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footer29.xml" ContentType="application/vnd.openxmlformats-officedocument.wordprocessingml.footer+xml"/>
  <Override PartName="/word/header1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12.xml" ContentType="application/vnd.openxmlformats-officedocument.wordprocessingml.header+xml"/>
  <Override PartName="/word/footer32.xml" ContentType="application/vnd.openxmlformats-officedocument.wordprocessingml.footer+xml"/>
  <Override PartName="/word/header13.xml" ContentType="application/vnd.openxmlformats-officedocument.wordprocessingml.header+xml"/>
  <Override PartName="/word/footer33.xml" ContentType="application/vnd.openxmlformats-officedocument.wordprocessingml.footer+xml"/>
  <Override PartName="/word/header14.xml" ContentType="application/vnd.openxmlformats-officedocument.wordprocessingml.header+xml"/>
  <Override PartName="/word/footer34.xml" ContentType="application/vnd.openxmlformats-officedocument.wordprocessingml.footer+xml"/>
  <Override PartName="/word/header15.xml" ContentType="application/vnd.openxmlformats-officedocument.wordprocessingml.header+xml"/>
  <Override PartName="/word/footer35.xml" ContentType="application/vnd.openxmlformats-officedocument.wordprocessingml.footer+xml"/>
  <Override PartName="/word/header16.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17.xml" ContentType="application/vnd.openxmlformats-officedocument.wordprocessingml.header+xml"/>
  <Override PartName="/word/footer38.xml" ContentType="application/vnd.openxmlformats-officedocument.wordprocessingml.footer+xml"/>
  <Override PartName="/word/header18.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19.xml" ContentType="application/vnd.openxmlformats-officedocument.wordprocessingml.header+xml"/>
  <Override PartName="/word/footer42.xml" ContentType="application/vnd.openxmlformats-officedocument.wordprocessingml.footer+xml"/>
  <Override PartName="/word/header20.xml" ContentType="application/vnd.openxmlformats-officedocument.wordprocessingml.header+xml"/>
  <Override PartName="/word/footer43.xml" ContentType="application/vnd.openxmlformats-officedocument.wordprocessingml.footer+xml"/>
  <Override PartName="/word/header21.xml" ContentType="application/vnd.openxmlformats-officedocument.wordprocessingml.header+xml"/>
  <Override PartName="/word/footer44.xml" ContentType="application/vnd.openxmlformats-officedocument.wordprocessingml.footer+xml"/>
  <Override PartName="/word/header22.xml" ContentType="application/vnd.openxmlformats-officedocument.wordprocessingml.header+xml"/>
  <Override PartName="/word/footer4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line="620" w:lineRule="exact" w:before="0"/>
        <w:ind w:left="2313" w:right="153" w:firstLine="0"/>
        <w:jc w:val="left"/>
        <w:rPr>
          <w:rFonts w:ascii="宋体" w:hAnsi="宋体" w:cs="宋体" w:eastAsia="宋体" w:hint="default"/>
          <w:sz w:val="52"/>
          <w:szCs w:val="52"/>
        </w:rPr>
      </w:pPr>
      <w:r>
        <w:rPr>
          <w:rFonts w:ascii="宋体" w:hAnsi="宋体" w:cs="宋体" w:eastAsia="宋体" w:hint="default"/>
          <w:b/>
          <w:bCs/>
          <w:sz w:val="52"/>
          <w:szCs w:val="52"/>
        </w:rPr>
        <w:t>苏宁电器股份有限公司</w:t>
      </w:r>
      <w:r>
        <w:rPr>
          <w:rFonts w:ascii="宋体" w:hAnsi="宋体" w:cs="宋体" w:eastAsia="宋体" w:hint="default"/>
          <w:sz w:val="52"/>
          <w:szCs w:val="5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spacing w:line="1239" w:lineRule="exact"/>
        <w:ind w:left="3081" w:right="0" w:firstLine="0"/>
        <w:rPr>
          <w:rFonts w:ascii="宋体" w:hAnsi="宋体" w:cs="宋体" w:eastAsia="宋体" w:hint="default"/>
          <w:sz w:val="20"/>
          <w:szCs w:val="20"/>
        </w:rPr>
      </w:pPr>
      <w:r>
        <w:rPr>
          <w:rFonts w:ascii="宋体" w:hAnsi="宋体" w:cs="宋体" w:eastAsia="宋体" w:hint="default"/>
          <w:position w:val="-24"/>
          <w:sz w:val="20"/>
          <w:szCs w:val="20"/>
        </w:rPr>
        <w:drawing>
          <wp:inline distT="0" distB="0" distL="0" distR="0">
            <wp:extent cx="2238673" cy="78695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238673" cy="786955"/>
                    </a:xfrm>
                    <a:prstGeom prst="rect">
                      <a:avLst/>
                    </a:prstGeom>
                  </pic:spPr>
                </pic:pic>
              </a:graphicData>
            </a:graphic>
          </wp:inline>
        </w:drawing>
      </w:r>
      <w:r>
        <w:rPr>
          <w:rFonts w:ascii="宋体" w:hAnsi="宋体" w:cs="宋体" w:eastAsia="宋体" w:hint="default"/>
          <w:position w:val="-24"/>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line="620" w:lineRule="exact" w:before="0"/>
        <w:ind w:left="2285" w:right="2300" w:firstLine="0"/>
        <w:jc w:val="center"/>
        <w:rPr>
          <w:rFonts w:ascii="宋体" w:hAnsi="宋体" w:cs="宋体" w:eastAsia="宋体" w:hint="default"/>
          <w:sz w:val="52"/>
          <w:szCs w:val="52"/>
        </w:rPr>
      </w:pPr>
      <w:r>
        <w:rPr>
          <w:rFonts w:ascii="宋体" w:hAnsi="宋体" w:cs="宋体" w:eastAsia="宋体" w:hint="default"/>
          <w:b/>
          <w:bCs/>
          <w:sz w:val="52"/>
          <w:szCs w:val="52"/>
        </w:rPr>
        <w:t>二○一○年年度报告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1"/>
        <w:rPr>
          <w:rFonts w:ascii="宋体" w:hAnsi="宋体" w:cs="宋体" w:eastAsia="宋体" w:hint="default"/>
          <w:b/>
          <w:bCs/>
          <w:sz w:val="62"/>
          <w:szCs w:val="62"/>
        </w:rPr>
      </w:pPr>
    </w:p>
    <w:p>
      <w:pPr>
        <w:spacing w:before="0"/>
        <w:ind w:left="2285" w:right="2300" w:firstLine="0"/>
        <w:jc w:val="center"/>
        <w:rPr>
          <w:rFonts w:ascii="宋体" w:hAnsi="宋体" w:cs="宋体" w:eastAsia="宋体" w:hint="default"/>
          <w:sz w:val="52"/>
          <w:szCs w:val="52"/>
        </w:rPr>
      </w:pPr>
      <w:r>
        <w:rPr>
          <w:rFonts w:ascii="宋体" w:hAnsi="宋体" w:cs="宋体" w:eastAsia="宋体" w:hint="default"/>
          <w:b/>
          <w:bCs/>
          <w:sz w:val="52"/>
          <w:szCs w:val="52"/>
        </w:rPr>
        <w:t>二○一一年三月</w:t>
      </w:r>
      <w:r>
        <w:rPr>
          <w:rFonts w:ascii="宋体" w:hAnsi="宋体" w:cs="宋体" w:eastAsia="宋体" w:hint="default"/>
          <w:sz w:val="52"/>
          <w:szCs w:val="52"/>
        </w:rPr>
      </w:r>
    </w:p>
    <w:p>
      <w:pPr>
        <w:spacing w:after="0"/>
        <w:jc w:val="center"/>
        <w:rPr>
          <w:rFonts w:ascii="宋体" w:hAnsi="宋体" w:cs="宋体" w:eastAsia="宋体" w:hint="default"/>
          <w:sz w:val="52"/>
          <w:szCs w:val="52"/>
        </w:rPr>
        <w:sectPr>
          <w:headerReference w:type="default" r:id="rId5"/>
          <w:footerReference w:type="default" r:id="rId6"/>
          <w:type w:val="continuous"/>
          <w:pgSz w:w="11910" w:h="16840"/>
          <w:pgMar w:header="748" w:footer="714" w:top="920" w:bottom="900" w:left="1300" w:right="1280"/>
          <w:pgNumType w:start="1"/>
        </w:sectPr>
      </w:pPr>
    </w:p>
    <w:p>
      <w:pPr>
        <w:spacing w:line="240" w:lineRule="auto" w:before="0"/>
        <w:rPr>
          <w:rFonts w:ascii="宋体" w:hAnsi="宋体" w:cs="宋体" w:eastAsia="宋体" w:hint="default"/>
          <w:b/>
          <w:bCs/>
          <w:sz w:val="20"/>
          <w:szCs w:val="20"/>
        </w:rPr>
      </w:pPr>
    </w:p>
    <w:p>
      <w:pPr>
        <w:spacing w:before="137"/>
        <w:ind w:left="4012" w:right="153" w:firstLine="0"/>
        <w:jc w:val="left"/>
        <w:rPr>
          <w:rFonts w:ascii="宋体" w:hAnsi="宋体" w:cs="宋体" w:eastAsia="宋体" w:hint="default"/>
          <w:sz w:val="32"/>
          <w:szCs w:val="32"/>
        </w:rPr>
      </w:pPr>
      <w:r>
        <w:rPr>
          <w:rFonts w:ascii="宋体" w:hAnsi="宋体" w:cs="宋体" w:eastAsia="宋体" w:hint="default"/>
          <w:b/>
          <w:bCs/>
          <w:sz w:val="32"/>
          <w:szCs w:val="32"/>
        </w:rPr>
        <w:t>重要提示</w:t>
      </w:r>
      <w:r>
        <w:rPr>
          <w:rFonts w:ascii="宋体" w:hAnsi="宋体" w:cs="宋体" w:eastAsia="宋体" w:hint="default"/>
          <w:sz w:val="32"/>
          <w:szCs w:val="32"/>
        </w:rPr>
      </w:r>
    </w:p>
    <w:p>
      <w:pPr>
        <w:spacing w:line="240" w:lineRule="auto" w:before="6"/>
        <w:rPr>
          <w:rFonts w:ascii="宋体" w:hAnsi="宋体" w:cs="宋体" w:eastAsia="宋体" w:hint="default"/>
          <w:b/>
          <w:bCs/>
          <w:sz w:val="42"/>
          <w:szCs w:val="42"/>
        </w:rPr>
      </w:pPr>
    </w:p>
    <w:p>
      <w:pPr>
        <w:spacing w:line="357" w:lineRule="auto" w:before="0"/>
        <w:ind w:left="139" w:right="151"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本公司董事会、监事会及董事、监事、高级管理人员保证本报告所载</w:t>
      </w:r>
      <w:r>
        <w:rPr>
          <w:rFonts w:ascii="宋体" w:hAnsi="宋体" w:cs="宋体" w:eastAsia="宋体" w:hint="default"/>
          <w:b/>
          <w:bCs/>
          <w:spacing w:val="2"/>
          <w:w w:val="99"/>
          <w:sz w:val="28"/>
          <w:szCs w:val="28"/>
        </w:rPr>
        <w:t> </w:t>
      </w:r>
      <w:r>
        <w:rPr>
          <w:rFonts w:ascii="宋体" w:hAnsi="宋体" w:cs="宋体" w:eastAsia="宋体" w:hint="default"/>
          <w:b/>
          <w:bCs/>
          <w:spacing w:val="2"/>
          <w:w w:val="95"/>
          <w:sz w:val="28"/>
          <w:szCs w:val="28"/>
        </w:rPr>
        <w:t>资料不存在任何虚假记载、误导性陈述或者重大遗漏，并对其内容的真实</w:t>
      </w:r>
      <w:r>
        <w:rPr>
          <w:rFonts w:ascii="宋体" w:hAnsi="宋体" w:cs="宋体" w:eastAsia="宋体" w:hint="default"/>
          <w:b/>
          <w:bCs/>
          <w:spacing w:val="132"/>
          <w:w w:val="95"/>
          <w:sz w:val="28"/>
          <w:szCs w:val="28"/>
        </w:rPr>
        <w:t> </w:t>
      </w:r>
      <w:r>
        <w:rPr>
          <w:rFonts w:ascii="宋体" w:hAnsi="宋体" w:cs="宋体" w:eastAsia="宋体" w:hint="default"/>
          <w:b/>
          <w:bCs/>
          <w:spacing w:val="132"/>
          <w:w w:val="95"/>
          <w:sz w:val="28"/>
          <w:szCs w:val="28"/>
        </w:rPr>
      </w:r>
      <w:r>
        <w:rPr>
          <w:rFonts w:ascii="宋体" w:hAnsi="宋体" w:cs="宋体" w:eastAsia="宋体" w:hint="default"/>
          <w:b/>
          <w:bCs/>
          <w:sz w:val="28"/>
          <w:szCs w:val="28"/>
        </w:rPr>
        <w:t>性、准确性和完整性承担个别及连带责任。</w:t>
      </w:r>
      <w:r>
        <w:rPr>
          <w:rFonts w:ascii="宋体" w:hAnsi="宋体" w:cs="宋体" w:eastAsia="宋体" w:hint="default"/>
          <w:sz w:val="28"/>
          <w:szCs w:val="28"/>
        </w:rPr>
      </w:r>
    </w:p>
    <w:p>
      <w:pPr>
        <w:spacing w:line="357" w:lineRule="auto" w:before="42"/>
        <w:ind w:left="139" w:right="151"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没有董事、监事、高级管理人员对本报告内容的真实性、准确性、完</w:t>
      </w:r>
      <w:r>
        <w:rPr>
          <w:rFonts w:ascii="宋体" w:hAnsi="宋体" w:cs="宋体" w:eastAsia="宋体" w:hint="default"/>
          <w:b/>
          <w:bCs/>
          <w:spacing w:val="2"/>
          <w:w w:val="99"/>
          <w:sz w:val="28"/>
          <w:szCs w:val="28"/>
        </w:rPr>
        <w:t> </w:t>
      </w:r>
      <w:r>
        <w:rPr>
          <w:rFonts w:ascii="宋体" w:hAnsi="宋体" w:cs="宋体" w:eastAsia="宋体" w:hint="default"/>
          <w:b/>
          <w:bCs/>
          <w:sz w:val="28"/>
          <w:szCs w:val="28"/>
        </w:rPr>
        <w:t>整性无法保证或存在异议。</w:t>
      </w:r>
      <w:r>
        <w:rPr>
          <w:rFonts w:ascii="宋体" w:hAnsi="宋体" w:cs="宋体" w:eastAsia="宋体" w:hint="default"/>
          <w:sz w:val="28"/>
          <w:szCs w:val="28"/>
        </w:rPr>
      </w:r>
    </w:p>
    <w:p>
      <w:pPr>
        <w:spacing w:line="357" w:lineRule="auto" w:before="42"/>
        <w:ind w:left="139" w:right="151"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普华永道中天会计师事务所有限公司为本公司出具了标准无保留意见</w:t>
      </w:r>
      <w:r>
        <w:rPr>
          <w:rFonts w:ascii="宋体" w:hAnsi="宋体" w:cs="宋体" w:eastAsia="宋体" w:hint="default"/>
          <w:b/>
          <w:bCs/>
          <w:spacing w:val="2"/>
          <w:w w:val="99"/>
          <w:sz w:val="28"/>
          <w:szCs w:val="28"/>
        </w:rPr>
        <w:t> </w:t>
      </w:r>
      <w:r>
        <w:rPr>
          <w:rFonts w:ascii="宋体" w:hAnsi="宋体" w:cs="宋体" w:eastAsia="宋体" w:hint="default"/>
          <w:b/>
          <w:bCs/>
          <w:sz w:val="28"/>
          <w:szCs w:val="28"/>
        </w:rPr>
        <w:t>的审计报告。</w:t>
      </w:r>
      <w:r>
        <w:rPr>
          <w:rFonts w:ascii="宋体" w:hAnsi="宋体" w:cs="宋体" w:eastAsia="宋体" w:hint="default"/>
          <w:sz w:val="28"/>
          <w:szCs w:val="28"/>
        </w:rPr>
      </w:r>
    </w:p>
    <w:p>
      <w:pPr>
        <w:spacing w:line="357" w:lineRule="auto" w:before="42"/>
        <w:ind w:left="139" w:right="151"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公司董事长张近东先生、财务负责人朱华女士及会计机构负责人肖忠</w:t>
      </w:r>
      <w:r>
        <w:rPr>
          <w:rFonts w:ascii="宋体" w:hAnsi="宋体" w:cs="宋体" w:eastAsia="宋体" w:hint="default"/>
          <w:b/>
          <w:bCs/>
          <w:spacing w:val="2"/>
          <w:w w:val="99"/>
          <w:sz w:val="28"/>
          <w:szCs w:val="28"/>
        </w:rPr>
        <w:t> </w:t>
      </w:r>
      <w:r>
        <w:rPr>
          <w:rFonts w:ascii="宋体" w:hAnsi="宋体" w:cs="宋体" w:eastAsia="宋体" w:hint="default"/>
          <w:b/>
          <w:bCs/>
          <w:sz w:val="28"/>
          <w:szCs w:val="28"/>
        </w:rPr>
        <w:t>祥先生声明：保证本年度报告中财务报告的真实、完整。</w:t>
      </w:r>
      <w:r>
        <w:rPr>
          <w:rFonts w:ascii="宋体" w:hAnsi="宋体" w:cs="宋体" w:eastAsia="宋体" w:hint="default"/>
          <w:sz w:val="28"/>
          <w:szCs w:val="28"/>
        </w:rPr>
      </w:r>
    </w:p>
    <w:p>
      <w:pPr>
        <w:spacing w:after="0" w:line="357" w:lineRule="auto"/>
        <w:jc w:val="both"/>
        <w:rPr>
          <w:rFonts w:ascii="宋体" w:hAnsi="宋体" w:cs="宋体" w:eastAsia="宋体" w:hint="default"/>
          <w:sz w:val="28"/>
          <w:szCs w:val="28"/>
        </w:rPr>
        <w:sectPr>
          <w:pgSz w:w="11910" w:h="16840"/>
          <w:pgMar w:header="748" w:footer="714" w:top="980" w:bottom="900" w:left="1300" w:right="1280"/>
        </w:sectPr>
      </w:pPr>
    </w:p>
    <w:p>
      <w:pPr>
        <w:spacing w:line="240" w:lineRule="auto" w:before="0"/>
        <w:rPr>
          <w:rFonts w:ascii="宋体" w:hAnsi="宋体" w:cs="宋体" w:eastAsia="宋体" w:hint="default"/>
          <w:b/>
          <w:bCs/>
          <w:sz w:val="20"/>
          <w:szCs w:val="20"/>
        </w:rPr>
      </w:pPr>
    </w:p>
    <w:p>
      <w:pPr>
        <w:tabs>
          <w:tab w:pos="924" w:val="left" w:leader="none"/>
        </w:tabs>
        <w:spacing w:before="137"/>
        <w:ind w:left="124" w:right="0"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076" w:val="left" w:leader="none"/>
              <w:tab w:pos="9278" w:val="right" w:leader="dot"/>
            </w:tabs>
            <w:spacing w:line="240" w:lineRule="auto" w:before="405"/>
            <w:ind w:right="0"/>
            <w:jc w:val="left"/>
            <w:rPr>
              <w:b w:val="0"/>
              <w:bCs w:val="0"/>
            </w:rPr>
          </w:pPr>
          <w:r>
            <w:fldChar w:fldCharType="begin"/>
          </w:r>
          <w:r>
            <w:instrText>TOC \o "1-1" \h \z \u </w:instrText>
          </w:r>
          <w:r>
            <w:fldChar w:fldCharType="separate"/>
          </w:r>
          <w:hyperlink w:history="true" w:anchor="_TOC_250010">
            <w:r>
              <w:rPr>
                <w:w w:val="95"/>
              </w:rPr>
              <w:t>第一节</w:t>
              <w:tab/>
            </w:r>
            <w:r>
              <w:rPr/>
              <w:t>公司基本情况简介</w:t>
            </w:r>
            <w:r>
              <w:rPr>
                <w:rFonts w:ascii="Times New Roman" w:hAnsi="Times New Roman" w:cs="Times New Roman" w:eastAsia="Times New Roman" w:hint="default"/>
                <w:b w:val="0"/>
                <w:bCs w:val="0"/>
              </w:rPr>
              <w:tab/>
            </w:r>
            <w:r>
              <w:rPr/>
              <w:t>4</w:t>
            </w:r>
            <w:r>
              <w:rPr>
                <w:b w:val="0"/>
                <w:bCs w:val="0"/>
              </w:rPr>
            </w:r>
          </w:hyperlink>
        </w:p>
        <w:p>
          <w:pPr>
            <w:pStyle w:val="TOC1"/>
            <w:tabs>
              <w:tab w:pos="1076" w:val="left" w:leader="none"/>
              <w:tab w:pos="9277" w:val="right" w:leader="dot"/>
            </w:tabs>
            <w:spacing w:line="240" w:lineRule="auto"/>
            <w:ind w:right="0"/>
            <w:jc w:val="left"/>
            <w:rPr>
              <w:b w:val="0"/>
              <w:bCs w:val="0"/>
            </w:rPr>
          </w:pPr>
          <w:hyperlink w:history="true" w:anchor="_TOC_250009">
            <w:r>
              <w:rPr>
                <w:w w:val="95"/>
              </w:rPr>
              <w:t>第二节</w:t>
              <w:tab/>
            </w:r>
            <w:r>
              <w:rPr/>
              <w:t>会计数据和业务数据摘要</w:t>
            </w:r>
            <w:r>
              <w:rPr>
                <w:rFonts w:ascii="Times New Roman" w:hAnsi="Times New Roman" w:cs="Times New Roman" w:eastAsia="Times New Roman" w:hint="default"/>
                <w:b w:val="0"/>
                <w:bCs w:val="0"/>
              </w:rPr>
              <w:tab/>
            </w:r>
            <w:r>
              <w:rPr/>
              <w:t>5</w:t>
            </w:r>
            <w:r>
              <w:rPr>
                <w:b w:val="0"/>
                <w:bCs w:val="0"/>
              </w:rPr>
            </w:r>
          </w:hyperlink>
        </w:p>
        <w:p>
          <w:pPr>
            <w:pStyle w:val="TOC1"/>
            <w:tabs>
              <w:tab w:pos="1076" w:val="left" w:leader="none"/>
              <w:tab w:pos="9278" w:val="right" w:leader="dot"/>
            </w:tabs>
            <w:spacing w:line="240" w:lineRule="auto"/>
            <w:ind w:right="0"/>
            <w:jc w:val="left"/>
            <w:rPr>
              <w:b w:val="0"/>
              <w:bCs w:val="0"/>
            </w:rPr>
          </w:pPr>
          <w:hyperlink w:history="true" w:anchor="_TOC_250008">
            <w:r>
              <w:rPr>
                <w:w w:val="95"/>
              </w:rPr>
              <w:t>第三节</w:t>
              <w:tab/>
            </w:r>
            <w:r>
              <w:rPr/>
              <w:t>股本变动及股东情况</w:t>
            </w:r>
            <w:r>
              <w:rPr>
                <w:rFonts w:ascii="Times New Roman" w:hAnsi="Times New Roman" w:cs="Times New Roman" w:eastAsia="Times New Roman" w:hint="default"/>
                <w:b w:val="0"/>
                <w:bCs w:val="0"/>
              </w:rPr>
              <w:tab/>
            </w:r>
            <w:r>
              <w:rPr/>
              <w:t>7</w:t>
            </w:r>
            <w:r>
              <w:rPr>
                <w:b w:val="0"/>
                <w:bCs w:val="0"/>
              </w:rPr>
            </w:r>
          </w:hyperlink>
        </w:p>
        <w:p>
          <w:pPr>
            <w:pStyle w:val="TOC1"/>
            <w:tabs>
              <w:tab w:pos="1076" w:val="left" w:leader="none"/>
              <w:tab w:pos="9278" w:val="right" w:leader="dot"/>
            </w:tabs>
            <w:spacing w:line="240" w:lineRule="auto"/>
            <w:ind w:right="0"/>
            <w:jc w:val="left"/>
            <w:rPr>
              <w:b w:val="0"/>
              <w:bCs w:val="0"/>
            </w:rPr>
          </w:pPr>
          <w:hyperlink w:history="true" w:anchor="_TOC_250007">
            <w:r>
              <w:rPr>
                <w:w w:val="95"/>
              </w:rPr>
              <w:t>第四节</w:t>
              <w:tab/>
            </w:r>
            <w:r>
              <w:rPr/>
              <w:t>董事、监事、高级管理人员和员工的情况</w:t>
            </w:r>
            <w:r>
              <w:rPr>
                <w:rFonts w:ascii="Times New Roman" w:hAnsi="Times New Roman" w:cs="Times New Roman" w:eastAsia="Times New Roman" w:hint="default"/>
                <w:b w:val="0"/>
                <w:bCs w:val="0"/>
              </w:rPr>
              <w:tab/>
            </w:r>
            <w:r>
              <w:rPr/>
              <w:t>14</w:t>
            </w:r>
            <w:r>
              <w:rPr>
                <w:b w:val="0"/>
                <w:bCs w:val="0"/>
              </w:rPr>
            </w:r>
          </w:hyperlink>
        </w:p>
        <w:p>
          <w:pPr>
            <w:pStyle w:val="TOC1"/>
            <w:tabs>
              <w:tab w:pos="1076" w:val="left" w:leader="none"/>
              <w:tab w:pos="9278" w:val="right" w:leader="dot"/>
            </w:tabs>
            <w:spacing w:line="240" w:lineRule="auto"/>
            <w:ind w:right="0"/>
            <w:jc w:val="left"/>
            <w:rPr>
              <w:b w:val="0"/>
              <w:bCs w:val="0"/>
            </w:rPr>
          </w:pPr>
          <w:hyperlink w:history="true" w:anchor="_TOC_250006">
            <w:r>
              <w:rPr>
                <w:w w:val="95"/>
              </w:rPr>
              <w:t>第五节</w:t>
              <w:tab/>
            </w:r>
            <w:r>
              <w:rPr/>
              <w:t>公司治理结构</w:t>
            </w:r>
            <w:r>
              <w:rPr>
                <w:rFonts w:ascii="Times New Roman" w:hAnsi="Times New Roman" w:cs="Times New Roman" w:eastAsia="Times New Roman" w:hint="default"/>
                <w:b w:val="0"/>
                <w:bCs w:val="0"/>
              </w:rPr>
              <w:tab/>
            </w:r>
            <w:r>
              <w:rPr/>
              <w:t>19</w:t>
            </w:r>
            <w:r>
              <w:rPr>
                <w:b w:val="0"/>
                <w:bCs w:val="0"/>
              </w:rPr>
            </w:r>
          </w:hyperlink>
        </w:p>
        <w:p>
          <w:pPr>
            <w:pStyle w:val="TOC1"/>
            <w:tabs>
              <w:tab w:pos="1076" w:val="left" w:leader="none"/>
              <w:tab w:pos="9278" w:val="right" w:leader="dot"/>
            </w:tabs>
            <w:spacing w:line="240" w:lineRule="auto"/>
            <w:ind w:right="0"/>
            <w:jc w:val="left"/>
            <w:rPr>
              <w:b w:val="0"/>
              <w:bCs w:val="0"/>
            </w:rPr>
          </w:pPr>
          <w:hyperlink w:history="true" w:anchor="_TOC_250005">
            <w:r>
              <w:rPr>
                <w:w w:val="95"/>
              </w:rPr>
              <w:t>第六节</w:t>
              <w:tab/>
            </w:r>
            <w:r>
              <w:rPr/>
              <w:t>股东大会情况简介</w:t>
            </w:r>
            <w:r>
              <w:rPr>
                <w:rFonts w:ascii="Times New Roman" w:hAnsi="Times New Roman" w:cs="Times New Roman" w:eastAsia="Times New Roman" w:hint="default"/>
                <w:b w:val="0"/>
                <w:bCs w:val="0"/>
              </w:rPr>
              <w:tab/>
            </w:r>
            <w:r>
              <w:rPr/>
              <w:t>27</w:t>
            </w:r>
            <w:r>
              <w:rPr>
                <w:b w:val="0"/>
                <w:bCs w:val="0"/>
              </w:rPr>
            </w:r>
          </w:hyperlink>
        </w:p>
        <w:p>
          <w:pPr>
            <w:pStyle w:val="TOC1"/>
            <w:tabs>
              <w:tab w:pos="9279" w:val="right" w:leader="dot"/>
            </w:tabs>
            <w:spacing w:line="240" w:lineRule="auto"/>
            <w:ind w:right="0"/>
            <w:jc w:val="left"/>
            <w:rPr>
              <w:b w:val="0"/>
              <w:bCs w:val="0"/>
            </w:rPr>
          </w:pPr>
          <w:hyperlink w:history="true" w:anchor="_TOC_250004">
            <w:r>
              <w:rPr/>
              <w:t>第七节</w:t>
            </w:r>
            <w:r>
              <w:rPr>
                <w:spacing w:val="-2"/>
              </w:rPr>
              <w:t> </w:t>
            </w:r>
            <w:r>
              <w:rPr/>
              <w:t>董事会报告</w:t>
            </w:r>
            <w:r>
              <w:rPr>
                <w:rFonts w:ascii="Times New Roman" w:hAnsi="Times New Roman" w:cs="Times New Roman" w:eastAsia="Times New Roman" w:hint="default"/>
                <w:b w:val="0"/>
                <w:bCs w:val="0"/>
              </w:rPr>
              <w:tab/>
            </w:r>
            <w:r>
              <w:rPr/>
              <w:t>29</w:t>
            </w:r>
            <w:r>
              <w:rPr>
                <w:b w:val="0"/>
                <w:bCs w:val="0"/>
              </w:rPr>
            </w:r>
          </w:hyperlink>
        </w:p>
        <w:p>
          <w:pPr>
            <w:pStyle w:val="TOC1"/>
            <w:tabs>
              <w:tab w:pos="1076" w:val="left" w:leader="none"/>
              <w:tab w:pos="9279" w:val="right" w:leader="dot"/>
            </w:tabs>
            <w:spacing w:line="240" w:lineRule="auto"/>
            <w:ind w:right="0"/>
            <w:jc w:val="left"/>
            <w:rPr>
              <w:b w:val="0"/>
              <w:bCs w:val="0"/>
            </w:rPr>
          </w:pPr>
          <w:hyperlink w:history="true" w:anchor="_TOC_250003">
            <w:r>
              <w:rPr>
                <w:w w:val="95"/>
              </w:rPr>
              <w:t>第八节</w:t>
              <w:tab/>
            </w:r>
            <w:r>
              <w:rPr/>
              <w:t>监事会报告</w:t>
            </w:r>
            <w:r>
              <w:rPr>
                <w:rFonts w:ascii="Times New Roman" w:hAnsi="Times New Roman" w:cs="Times New Roman" w:eastAsia="Times New Roman" w:hint="default"/>
                <w:b w:val="0"/>
                <w:bCs w:val="0"/>
              </w:rPr>
              <w:tab/>
            </w:r>
            <w:r>
              <w:rPr/>
              <w:t>84</w:t>
            </w:r>
            <w:r>
              <w:rPr>
                <w:b w:val="0"/>
                <w:bCs w:val="0"/>
              </w:rPr>
            </w:r>
          </w:hyperlink>
        </w:p>
        <w:p>
          <w:pPr>
            <w:pStyle w:val="TOC1"/>
            <w:tabs>
              <w:tab w:pos="1076" w:val="left" w:leader="none"/>
              <w:tab w:pos="9279" w:val="right" w:leader="dot"/>
            </w:tabs>
            <w:spacing w:line="240" w:lineRule="auto"/>
            <w:ind w:right="0"/>
            <w:jc w:val="left"/>
            <w:rPr>
              <w:b w:val="0"/>
              <w:bCs w:val="0"/>
            </w:rPr>
          </w:pPr>
          <w:hyperlink w:history="true" w:anchor="_TOC_250002">
            <w:r>
              <w:rPr>
                <w:w w:val="95"/>
              </w:rPr>
              <w:t>第九节</w:t>
              <w:tab/>
            </w:r>
            <w:r>
              <w:rPr/>
              <w:t>重要事项</w:t>
            </w:r>
            <w:r>
              <w:rPr>
                <w:rFonts w:ascii="Times New Roman" w:hAnsi="Times New Roman" w:cs="Times New Roman" w:eastAsia="Times New Roman" w:hint="default"/>
                <w:b w:val="0"/>
                <w:bCs w:val="0"/>
              </w:rPr>
              <w:tab/>
            </w:r>
            <w:r>
              <w:rPr/>
              <w:t>86</w:t>
            </w:r>
            <w:r>
              <w:rPr>
                <w:b w:val="0"/>
                <w:bCs w:val="0"/>
              </w:rPr>
            </w:r>
          </w:hyperlink>
        </w:p>
        <w:p>
          <w:pPr>
            <w:pStyle w:val="TOC1"/>
            <w:tabs>
              <w:tab w:pos="1076" w:val="left" w:leader="none"/>
              <w:tab w:pos="9279" w:val="right" w:leader="dot"/>
            </w:tabs>
            <w:spacing w:line="240" w:lineRule="auto"/>
            <w:ind w:right="0"/>
            <w:jc w:val="left"/>
            <w:rPr>
              <w:b w:val="0"/>
              <w:bCs w:val="0"/>
            </w:rPr>
          </w:pPr>
          <w:hyperlink w:history="true" w:anchor="_TOC_250001">
            <w:r>
              <w:rPr>
                <w:w w:val="95"/>
              </w:rPr>
              <w:t>第十节</w:t>
              <w:tab/>
            </w:r>
            <w:r>
              <w:rPr/>
              <w:t>财务报告</w:t>
            </w:r>
            <w:r>
              <w:rPr>
                <w:rFonts w:ascii="Times New Roman" w:hAnsi="Times New Roman" w:cs="Times New Roman" w:eastAsia="Times New Roman" w:hint="default"/>
                <w:b w:val="0"/>
                <w:bCs w:val="0"/>
              </w:rPr>
              <w:tab/>
            </w:r>
            <w:r>
              <w:rPr/>
              <w:t>101</w:t>
            </w:r>
            <w:r>
              <w:rPr>
                <w:b w:val="0"/>
                <w:bCs w:val="0"/>
              </w:rPr>
            </w:r>
          </w:hyperlink>
        </w:p>
        <w:p>
          <w:pPr>
            <w:pStyle w:val="TOC1"/>
            <w:tabs>
              <w:tab w:pos="1316" w:val="left" w:leader="none"/>
              <w:tab w:pos="9279" w:val="right" w:leader="dot"/>
            </w:tabs>
            <w:spacing w:line="240" w:lineRule="auto"/>
            <w:ind w:right="0"/>
            <w:jc w:val="left"/>
            <w:rPr>
              <w:b w:val="0"/>
              <w:bCs w:val="0"/>
            </w:rPr>
          </w:pPr>
          <w:hyperlink w:history="true" w:anchor="_TOC_250000">
            <w:r>
              <w:rPr>
                <w:w w:val="95"/>
              </w:rPr>
              <w:t>第十一节</w:t>
              <w:tab/>
            </w:r>
            <w:r>
              <w:rPr/>
              <w:t>备查文件目录</w:t>
            </w:r>
            <w:r>
              <w:rPr>
                <w:rFonts w:ascii="Times New Roman" w:hAnsi="Times New Roman" w:cs="Times New Roman" w:eastAsia="Times New Roman" w:hint="default"/>
                <w:b w:val="0"/>
                <w:bCs w:val="0"/>
              </w:rPr>
              <w:tab/>
            </w:r>
            <w:r>
              <w:rPr/>
              <w:t>220</w:t>
            </w:r>
            <w:r>
              <w:rPr>
                <w:b w:val="0"/>
                <w:bCs w:val="0"/>
              </w:rPr>
            </w:r>
          </w:hyperlink>
        </w:p>
        <w:p>
          <w:pPr/>
          <w:r>
            <w:fldChar w:fldCharType="end"/>
          </w:r>
        </w:p>
      </w:sdtContent>
    </w:sdt>
    <w:p>
      <w:pPr>
        <w:spacing w:after="0"/>
        <w:sectPr>
          <w:pgSz w:w="11910" w:h="16840"/>
          <w:pgMar w:header="748" w:footer="714" w:top="980" w:bottom="900" w:left="1160" w:right="1280"/>
        </w:sectPr>
      </w:pPr>
    </w:p>
    <w:p>
      <w:pPr>
        <w:spacing w:line="240" w:lineRule="auto" w:before="8"/>
        <w:rPr>
          <w:rFonts w:ascii="宋体" w:hAnsi="宋体" w:cs="宋体" w:eastAsia="宋体" w:hint="default"/>
          <w:b/>
          <w:bCs/>
          <w:sz w:val="30"/>
          <w:szCs w:val="30"/>
        </w:rPr>
      </w:pPr>
    </w:p>
    <w:p>
      <w:pPr>
        <w:pStyle w:val="Heading1"/>
        <w:tabs>
          <w:tab w:pos="4112" w:val="left" w:leader="none"/>
        </w:tabs>
        <w:spacing w:line="240" w:lineRule="auto" w:before="0"/>
        <w:ind w:left="2832" w:right="2202"/>
        <w:jc w:val="left"/>
        <w:rPr>
          <w:b w:val="0"/>
          <w:bCs w:val="0"/>
        </w:rPr>
      </w:pPr>
      <w:bookmarkStart w:name="_TOC_250010" w:id="1"/>
      <w:r>
        <w:rPr>
          <w:w w:val="95"/>
        </w:rPr>
        <w:t>第一节</w:t>
        <w:tab/>
      </w:r>
      <w:r>
        <w:rPr/>
        <w:t>公司基本情况简介</w:t>
      </w:r>
      <w:bookmarkEnd w:id="1"/>
      <w:r>
        <w:rPr>
          <w:b w:val="0"/>
          <w:bCs w:val="0"/>
        </w:rPr>
      </w:r>
    </w:p>
    <w:p>
      <w:pPr>
        <w:pStyle w:val="BodyText"/>
        <w:spacing w:line="314" w:lineRule="auto" w:before="217"/>
        <w:ind w:left="1079" w:right="2992" w:hanging="36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、公司法定中文名称：苏宁电器股份有限公司 公司法定英文名称：</w:t>
      </w:r>
      <w:r>
        <w:rPr>
          <w:rFonts w:ascii="Times New Roman" w:hAnsi="Times New Roman" w:cs="Times New Roman" w:eastAsia="Times New Roman" w:hint="default"/>
        </w:rPr>
        <w:t>SUNING APPLIANCE</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4"/>
        </w:rPr>
        <w:t>CO.,LTD.</w:t>
      </w:r>
      <w:r>
        <w:rPr>
          <w:rFonts w:ascii="Times New Roman" w:hAnsi="Times New Roman" w:cs="Times New Roman" w:eastAsia="Times New Roman" w:hint="default"/>
        </w:rPr>
      </w:r>
    </w:p>
    <w:p>
      <w:pPr>
        <w:pStyle w:val="BodyText"/>
        <w:spacing w:line="333" w:lineRule="auto" w:before="22"/>
        <w:ind w:left="1079" w:right="4487"/>
        <w:jc w:val="left"/>
        <w:rPr>
          <w:rFonts w:ascii="Times New Roman" w:hAnsi="Times New Roman" w:cs="Times New Roman" w:eastAsia="Times New Roman" w:hint="default"/>
        </w:rPr>
      </w:pPr>
      <w:r>
        <w:rPr/>
        <w:t>中文名称缩写：苏宁电器 英文名称缩写：</w:t>
      </w:r>
      <w:r>
        <w:rPr>
          <w:rFonts w:ascii="Times New Roman" w:hAnsi="Times New Roman" w:cs="Times New Roman" w:eastAsia="Times New Roman" w:hint="default"/>
        </w:rPr>
        <w:t>SUNING</w:t>
      </w:r>
      <w:r>
        <w:rPr>
          <w:rFonts w:ascii="Times New Roman" w:hAnsi="Times New Roman" w:cs="Times New Roman" w:eastAsia="Times New Roman" w:hint="default"/>
          <w:spacing w:val="-29"/>
        </w:rPr>
        <w:t> </w:t>
      </w:r>
      <w:r>
        <w:rPr>
          <w:rFonts w:ascii="Times New Roman" w:hAnsi="Times New Roman" w:cs="Times New Roman" w:eastAsia="Times New Roman" w:hint="default"/>
        </w:rPr>
        <w:t>APPLIANCE</w:t>
      </w:r>
    </w:p>
    <w:p>
      <w:pPr>
        <w:pStyle w:val="BodyText"/>
        <w:spacing w:line="240" w:lineRule="auto" w:before="1"/>
        <w:ind w:left="719" w:right="2202"/>
        <w:jc w:val="left"/>
      </w:pPr>
      <w:r>
        <w:rPr>
          <w:rFonts w:ascii="Times New Roman" w:hAnsi="Times New Roman" w:cs="Times New Roman" w:eastAsia="Times New Roman" w:hint="default"/>
        </w:rPr>
        <w:t>2</w:t>
      </w:r>
      <w:r>
        <w:rPr/>
        <w:t>、公司法定代表人：张近东</w:t>
      </w:r>
    </w:p>
    <w:p>
      <w:pPr>
        <w:pStyle w:val="BodyText"/>
        <w:spacing w:line="240" w:lineRule="auto" w:before="104"/>
        <w:ind w:left="719" w:right="2202"/>
        <w:jc w:val="left"/>
      </w:pPr>
      <w:r>
        <w:rPr>
          <w:rFonts w:ascii="Times New Roman" w:hAnsi="Times New Roman" w:cs="Times New Roman" w:eastAsia="Times New Roman" w:hint="default"/>
        </w:rPr>
        <w:t>3</w:t>
      </w:r>
      <w:r>
        <w:rPr/>
        <w:t>、公司联系人和联系方式</w:t>
      </w:r>
    </w:p>
    <w:p>
      <w:pPr>
        <w:spacing w:line="240" w:lineRule="auto" w:before="13"/>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212"/>
        <w:gridCol w:w="2678"/>
        <w:gridCol w:w="2677"/>
        <w:gridCol w:w="2677"/>
      </w:tblGrid>
      <w:tr>
        <w:trPr>
          <w:trHeight w:val="330" w:hRule="exact"/>
        </w:trPr>
        <w:tc>
          <w:tcPr>
            <w:tcW w:w="1212" w:type="dxa"/>
            <w:tcBorders>
              <w:top w:val="single" w:sz="12" w:space="0" w:color="000000"/>
              <w:left w:val="single" w:sz="12" w:space="0" w:color="000000"/>
              <w:bottom w:val="single" w:sz="4" w:space="0" w:color="000000"/>
              <w:right w:val="single" w:sz="4" w:space="0" w:color="000000"/>
            </w:tcBorders>
          </w:tcPr>
          <w:p>
            <w:pPr/>
          </w:p>
        </w:tc>
        <w:tc>
          <w:tcPr>
            <w:tcW w:w="2678"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677"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c>
          <w:tcPr>
            <w:tcW w:w="267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投资者关系管理负责人</w:t>
            </w:r>
          </w:p>
        </w:tc>
      </w:tr>
      <w:tr>
        <w:trPr>
          <w:trHeight w:val="341" w:hRule="exact"/>
        </w:trPr>
        <w:tc>
          <w:tcPr>
            <w:tcW w:w="1212" w:type="dxa"/>
            <w:tcBorders>
              <w:top w:val="single" w:sz="4" w:space="0" w:color="000000"/>
              <w:left w:val="single" w:sz="12" w:space="0" w:color="000000"/>
              <w:bottom w:val="single" w:sz="4" w:space="0" w:color="000000"/>
              <w:right w:val="single" w:sz="4" w:space="0" w:color="000000"/>
            </w:tcBorders>
          </w:tcPr>
          <w:p>
            <w:pPr>
              <w:pStyle w:val="TableParagraph"/>
              <w:tabs>
                <w:tab w:pos="724" w:val="left" w:leader="none"/>
              </w:tabs>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姓</w:t>
              <w:tab/>
              <w:t>名</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任</w:t>
              <w:tab/>
              <w:t>峻</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韩</w:t>
              <w:tab/>
              <w:t>枫</w:t>
            </w:r>
          </w:p>
        </w:tc>
        <w:tc>
          <w:tcPr>
            <w:tcW w:w="2677" w:type="dxa"/>
            <w:tcBorders>
              <w:top w:val="single" w:sz="4" w:space="0" w:color="000000"/>
              <w:left w:val="single" w:sz="4" w:space="0" w:color="000000"/>
              <w:bottom w:val="single" w:sz="4" w:space="0" w:color="000000"/>
              <w:right w:val="single" w:sz="12" w:space="0" w:color="000000"/>
            </w:tcBorders>
          </w:tcPr>
          <w:p>
            <w:pPr>
              <w:pStyle w:val="TableParagraph"/>
              <w:tabs>
                <w:tab w:pos="429" w:val="left" w:leader="none"/>
              </w:tabs>
              <w:spacing w:line="270" w:lineRule="exact"/>
              <w:ind w:left="8" w:right="0"/>
              <w:jc w:val="center"/>
              <w:rPr>
                <w:rFonts w:ascii="宋体" w:hAnsi="宋体" w:cs="宋体" w:eastAsia="宋体" w:hint="default"/>
                <w:sz w:val="21"/>
                <w:szCs w:val="21"/>
              </w:rPr>
            </w:pPr>
            <w:r>
              <w:rPr>
                <w:rFonts w:ascii="宋体" w:hAnsi="宋体" w:cs="宋体" w:eastAsia="宋体" w:hint="default"/>
                <w:sz w:val="21"/>
                <w:szCs w:val="21"/>
              </w:rPr>
              <w:t>任</w:t>
              <w:tab/>
              <w:t>峻</w:t>
            </w:r>
          </w:p>
        </w:tc>
      </w:tr>
      <w:tr>
        <w:trPr>
          <w:trHeight w:val="340" w:hRule="exact"/>
        </w:trPr>
        <w:tc>
          <w:tcPr>
            <w:tcW w:w="121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宋体" w:hAnsi="宋体" w:cs="宋体" w:eastAsia="宋体" w:hint="default"/>
                <w:sz w:val="21"/>
                <w:szCs w:val="21"/>
              </w:rPr>
              <w:t>江苏省南京市淮海路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 w:right="0"/>
              <w:jc w:val="center"/>
              <w:rPr>
                <w:rFonts w:ascii="宋体" w:hAnsi="宋体" w:cs="宋体" w:eastAsia="宋体" w:hint="default"/>
                <w:sz w:val="21"/>
                <w:szCs w:val="21"/>
              </w:rPr>
            </w:pPr>
            <w:r>
              <w:rPr>
                <w:rFonts w:ascii="宋体" w:hAnsi="宋体" w:cs="宋体" w:eastAsia="宋体" w:hint="default"/>
                <w:sz w:val="21"/>
                <w:szCs w:val="21"/>
              </w:rPr>
              <w:t>江苏省南京市淮海路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2677" w:type="dxa"/>
            <w:tcBorders>
              <w:top w:val="single" w:sz="4" w:space="0" w:color="000000"/>
              <w:left w:val="single" w:sz="4" w:space="0" w:color="000000"/>
              <w:bottom w:val="single" w:sz="4" w:space="0" w:color="000000"/>
              <w:right w:val="single" w:sz="12" w:space="0" w:color="000000"/>
            </w:tcBorders>
          </w:tcPr>
          <w:p>
            <w:pPr>
              <w:pStyle w:val="TableParagraph"/>
              <w:spacing w:line="285" w:lineRule="exact"/>
              <w:ind w:left="8" w:right="0"/>
              <w:jc w:val="center"/>
              <w:rPr>
                <w:rFonts w:ascii="宋体" w:hAnsi="宋体" w:cs="宋体" w:eastAsia="宋体" w:hint="default"/>
                <w:sz w:val="21"/>
                <w:szCs w:val="21"/>
              </w:rPr>
            </w:pPr>
            <w:r>
              <w:rPr>
                <w:rFonts w:ascii="宋体" w:hAnsi="宋体" w:cs="宋体" w:eastAsia="宋体" w:hint="default"/>
                <w:sz w:val="21"/>
                <w:szCs w:val="21"/>
              </w:rPr>
              <w:t>江苏省南京市淮海路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r>
      <w:tr>
        <w:trPr>
          <w:trHeight w:val="340" w:hRule="exact"/>
        </w:trPr>
        <w:tc>
          <w:tcPr>
            <w:tcW w:w="1212" w:type="dxa"/>
            <w:tcBorders>
              <w:top w:val="single" w:sz="4" w:space="0" w:color="000000"/>
              <w:left w:val="single" w:sz="12" w:space="0" w:color="000000"/>
              <w:bottom w:val="single" w:sz="4" w:space="0" w:color="000000"/>
              <w:right w:val="single" w:sz="4" w:space="0" w:color="000000"/>
            </w:tcBorders>
          </w:tcPr>
          <w:p>
            <w:pPr>
              <w:pStyle w:val="TableParagraph"/>
              <w:tabs>
                <w:tab w:pos="724" w:val="left" w:leader="none"/>
              </w:tabs>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电</w:t>
              <w:tab/>
              <w:t>话</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025-84418888-888155</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025-84418888-888122</w:t>
            </w:r>
          </w:p>
        </w:tc>
        <w:tc>
          <w:tcPr>
            <w:tcW w:w="2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left="10" w:right="0"/>
              <w:jc w:val="center"/>
              <w:rPr>
                <w:rFonts w:ascii="Times New Roman" w:hAnsi="Times New Roman" w:cs="Times New Roman" w:eastAsia="Times New Roman" w:hint="default"/>
                <w:sz w:val="21"/>
                <w:szCs w:val="21"/>
              </w:rPr>
            </w:pPr>
            <w:r>
              <w:rPr>
                <w:rFonts w:ascii="Times New Roman"/>
                <w:sz w:val="21"/>
              </w:rPr>
              <w:t>025-84418888-888155</w:t>
            </w:r>
          </w:p>
        </w:tc>
      </w:tr>
      <w:tr>
        <w:trPr>
          <w:trHeight w:val="341" w:hRule="exact"/>
        </w:trPr>
        <w:tc>
          <w:tcPr>
            <w:tcW w:w="1212" w:type="dxa"/>
            <w:tcBorders>
              <w:top w:val="single" w:sz="4" w:space="0" w:color="000000"/>
              <w:left w:val="single" w:sz="12" w:space="0" w:color="000000"/>
              <w:bottom w:val="single" w:sz="4" w:space="0" w:color="000000"/>
              <w:right w:val="single" w:sz="4" w:space="0" w:color="000000"/>
            </w:tcBorders>
          </w:tcPr>
          <w:p>
            <w:pPr>
              <w:pStyle w:val="TableParagraph"/>
              <w:tabs>
                <w:tab w:pos="724" w:val="left" w:leader="none"/>
              </w:tabs>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传</w:t>
              <w:tab/>
              <w:t>真</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025-84467008</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Times New Roman" w:hAnsi="Times New Roman" w:cs="Times New Roman" w:eastAsia="Times New Roman" w:hint="default"/>
                <w:sz w:val="21"/>
                <w:szCs w:val="21"/>
              </w:rPr>
            </w:pPr>
            <w:r>
              <w:rPr>
                <w:rFonts w:ascii="Times New Roman"/>
                <w:sz w:val="21"/>
              </w:rPr>
              <w:t>025-84467008</w:t>
            </w:r>
          </w:p>
        </w:tc>
        <w:tc>
          <w:tcPr>
            <w:tcW w:w="2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left="12" w:right="0"/>
              <w:jc w:val="center"/>
              <w:rPr>
                <w:rFonts w:ascii="Times New Roman" w:hAnsi="Times New Roman" w:cs="Times New Roman" w:eastAsia="Times New Roman" w:hint="default"/>
                <w:sz w:val="21"/>
                <w:szCs w:val="21"/>
              </w:rPr>
            </w:pPr>
            <w:r>
              <w:rPr>
                <w:rFonts w:ascii="Times New Roman"/>
                <w:sz w:val="21"/>
              </w:rPr>
              <w:t>025-84467008</w:t>
            </w:r>
          </w:p>
        </w:tc>
      </w:tr>
      <w:tr>
        <w:trPr>
          <w:trHeight w:val="350" w:hRule="exact"/>
        </w:trPr>
        <w:tc>
          <w:tcPr>
            <w:tcW w:w="1212" w:type="dxa"/>
            <w:tcBorders>
              <w:top w:val="single" w:sz="4" w:space="0" w:color="000000"/>
              <w:left w:val="single" w:sz="12" w:space="0" w:color="000000"/>
              <w:bottom w:val="single" w:sz="12" w:space="0" w:color="000000"/>
              <w:right w:val="single" w:sz="4"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6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left="3" w:right="0"/>
              <w:jc w:val="center"/>
              <w:rPr>
                <w:rFonts w:ascii="Times New Roman" w:hAnsi="Times New Roman" w:cs="Times New Roman" w:eastAsia="Times New Roman" w:hint="default"/>
                <w:sz w:val="21"/>
                <w:szCs w:val="21"/>
              </w:rPr>
            </w:pPr>
            <w:r>
              <w:rPr>
                <w:rFonts w:ascii="Times New Roman"/>
                <w:w w:val="99"/>
                <w:sz w:val="21"/>
              </w:rPr>
            </w:r>
            <w:hyperlink r:id="rId8">
              <w:r>
                <w:rPr>
                  <w:rFonts w:ascii="Times New Roman"/>
                  <w:sz w:val="21"/>
                  <w:u w:val="single" w:color="000000"/>
                </w:rPr>
                <w:t>stock@cnsuning.com</w:t>
              </w:r>
              <w:r>
                <w:rPr>
                  <w:rFonts w:ascii="Times New Roman"/>
                  <w:sz w:val="21"/>
                </w:rPr>
              </w:r>
            </w:hyperlink>
          </w:p>
        </w:tc>
        <w:tc>
          <w:tcPr>
            <w:tcW w:w="26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left="4" w:right="0"/>
              <w:jc w:val="center"/>
              <w:rPr>
                <w:rFonts w:ascii="Times New Roman" w:hAnsi="Times New Roman" w:cs="Times New Roman" w:eastAsia="Times New Roman" w:hint="default"/>
                <w:sz w:val="21"/>
                <w:szCs w:val="21"/>
              </w:rPr>
            </w:pPr>
            <w:r>
              <w:rPr>
                <w:rFonts w:ascii="Times New Roman"/>
                <w:w w:val="99"/>
                <w:sz w:val="21"/>
              </w:rPr>
            </w:r>
            <w:hyperlink r:id="rId8">
              <w:r>
                <w:rPr>
                  <w:rFonts w:ascii="Times New Roman"/>
                  <w:sz w:val="21"/>
                  <w:u w:val="single" w:color="000000"/>
                </w:rPr>
                <w:t>stock@cnsuning.com</w:t>
              </w:r>
              <w:r>
                <w:rPr>
                  <w:rFonts w:ascii="Times New Roman"/>
                  <w:sz w:val="21"/>
                </w:rPr>
              </w:r>
            </w:hyperlink>
          </w:p>
        </w:tc>
        <w:tc>
          <w:tcPr>
            <w:tcW w:w="267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2"/>
              <w:ind w:left="11" w:right="0"/>
              <w:jc w:val="center"/>
              <w:rPr>
                <w:rFonts w:ascii="Times New Roman" w:hAnsi="Times New Roman" w:cs="Times New Roman" w:eastAsia="Times New Roman" w:hint="default"/>
                <w:sz w:val="21"/>
                <w:szCs w:val="21"/>
              </w:rPr>
            </w:pPr>
            <w:r>
              <w:rPr>
                <w:rFonts w:ascii="Times New Roman"/>
                <w:w w:val="99"/>
                <w:sz w:val="21"/>
              </w:rPr>
            </w:r>
            <w:hyperlink r:id="rId8">
              <w:r>
                <w:rPr>
                  <w:rFonts w:ascii="Times New Roman"/>
                  <w:sz w:val="21"/>
                  <w:u w:val="single" w:color="000000"/>
                </w:rPr>
                <w:t>stock@cnsuning.com</w:t>
              </w:r>
              <w:r>
                <w:rPr>
                  <w:rFonts w:ascii="Times New Roman"/>
                  <w:sz w:val="21"/>
                </w:rPr>
              </w:r>
            </w:hyperlink>
          </w:p>
        </w:tc>
      </w:tr>
    </w:tbl>
    <w:p>
      <w:pPr>
        <w:pStyle w:val="BodyText"/>
        <w:spacing w:line="240" w:lineRule="auto" w:before="81"/>
        <w:ind w:left="722" w:right="2202"/>
        <w:jc w:val="left"/>
      </w:pPr>
      <w:r>
        <w:rPr>
          <w:rFonts w:ascii="Times New Roman" w:hAnsi="Times New Roman" w:cs="Times New Roman" w:eastAsia="Times New Roman" w:hint="default"/>
        </w:rPr>
        <w:t>4</w:t>
      </w:r>
      <w:r>
        <w:rPr/>
        <w:t>、公司注册地址：江苏省南京市山西路</w:t>
      </w:r>
      <w:r>
        <w:rPr>
          <w:spacing w:val="-60"/>
        </w:rPr>
        <w:t> </w:t>
      </w:r>
      <w:r>
        <w:rPr>
          <w:rFonts w:ascii="Times New Roman" w:hAnsi="Times New Roman" w:cs="Times New Roman" w:eastAsia="Times New Roman" w:hint="default"/>
        </w:rPr>
        <w:t>8 </w:t>
      </w:r>
      <w:r>
        <w:rPr/>
        <w:t>号金山大厦</w:t>
      </w:r>
      <w:r>
        <w:rPr>
          <w:spacing w:val="-60"/>
        </w:rPr>
        <w:t> </w:t>
      </w:r>
      <w:r>
        <w:rPr>
          <w:rFonts w:ascii="Times New Roman" w:hAnsi="Times New Roman" w:cs="Times New Roman" w:eastAsia="Times New Roman" w:hint="default"/>
        </w:rPr>
        <w:t>1-5 </w:t>
      </w:r>
      <w:r>
        <w:rPr/>
        <w:t>层</w:t>
      </w:r>
    </w:p>
    <w:p>
      <w:pPr>
        <w:spacing w:line="316" w:lineRule="auto" w:before="104"/>
        <w:ind w:left="1080" w:right="3984" w:firstLine="0"/>
        <w:jc w:val="left"/>
        <w:rPr>
          <w:rFonts w:ascii="Times New Roman" w:hAnsi="Times New Roman" w:cs="Times New Roman" w:eastAsia="Times New Roman" w:hint="default"/>
          <w:sz w:val="21"/>
          <w:szCs w:val="21"/>
        </w:rPr>
      </w:pPr>
      <w:r>
        <w:rPr>
          <w:rFonts w:ascii="宋体" w:hAnsi="宋体" w:cs="宋体" w:eastAsia="宋体" w:hint="default"/>
          <w:sz w:val="24"/>
          <w:szCs w:val="24"/>
        </w:rPr>
        <w:t>公司办公地址：江苏省南京市淮海路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68 </w:t>
      </w:r>
      <w:r>
        <w:rPr>
          <w:rFonts w:ascii="宋体" w:hAnsi="宋体" w:cs="宋体" w:eastAsia="宋体" w:hint="default"/>
          <w:sz w:val="24"/>
          <w:szCs w:val="24"/>
        </w:rPr>
        <w:t>号 邮政编码：</w:t>
      </w:r>
      <w:r>
        <w:rPr>
          <w:rFonts w:ascii="Times New Roman" w:hAnsi="Times New Roman" w:cs="Times New Roman" w:eastAsia="Times New Roman" w:hint="default"/>
          <w:sz w:val="24"/>
          <w:szCs w:val="24"/>
        </w:rPr>
        <w:t>210005 </w:t>
      </w:r>
      <w:r>
        <w:rPr>
          <w:rFonts w:ascii="宋体" w:hAnsi="宋体" w:cs="宋体" w:eastAsia="宋体" w:hint="default"/>
          <w:sz w:val="24"/>
          <w:szCs w:val="24"/>
        </w:rPr>
        <w:t>互联网网址：</w:t>
      </w:r>
      <w:hyperlink r:id="rId9">
        <w:r>
          <w:rPr>
            <w:rFonts w:ascii="Times New Roman" w:hAnsi="Times New Roman" w:cs="Times New Roman" w:eastAsia="Times New Roman" w:hint="default"/>
            <w:sz w:val="21"/>
            <w:szCs w:val="21"/>
          </w:rPr>
          <w:t>http://www.cnsuning.com</w:t>
        </w:r>
      </w:hyperlink>
      <w:r>
        <w:rPr>
          <w:rFonts w:ascii="Times New Roman" w:hAnsi="Times New Roman" w:cs="Times New Roman" w:eastAsia="Times New Roman" w:hint="default"/>
          <w:sz w:val="21"/>
          <w:szCs w:val="21"/>
        </w:rPr>
        <w:t> </w:t>
      </w:r>
      <w:r>
        <w:rPr>
          <w:rFonts w:ascii="宋体" w:hAnsi="宋体" w:cs="宋体" w:eastAsia="宋体" w:hint="default"/>
          <w:sz w:val="24"/>
          <w:szCs w:val="24"/>
        </w:rPr>
        <w:t>电子信箱：</w:t>
      </w:r>
      <w:hyperlink r:id="rId8">
        <w:r>
          <w:rPr>
            <w:rFonts w:ascii="Times New Roman" w:hAnsi="Times New Roman" w:cs="Times New Roman" w:eastAsia="Times New Roman" w:hint="default"/>
            <w:sz w:val="21"/>
            <w:szCs w:val="21"/>
          </w:rPr>
          <w:t>stock@cnsuning.com</w:t>
        </w:r>
      </w:hyperlink>
    </w:p>
    <w:p>
      <w:pPr>
        <w:pStyle w:val="BodyText"/>
        <w:spacing w:line="240" w:lineRule="auto" w:before="30"/>
        <w:ind w:left="718" w:right="2202"/>
        <w:jc w:val="left"/>
      </w:pPr>
      <w:r>
        <w:rPr>
          <w:rFonts w:ascii="Times New Roman" w:hAnsi="Times New Roman" w:cs="Times New Roman" w:eastAsia="Times New Roman" w:hint="default"/>
        </w:rPr>
        <w:t>5</w:t>
      </w:r>
      <w:r>
        <w:rPr/>
        <w:t>、公司选定的信息披露报纸</w:t>
      </w:r>
      <w:r>
        <w:rPr>
          <w:spacing w:val="-120"/>
        </w:rPr>
        <w:t>：</w:t>
      </w:r>
      <w:r>
        <w:rPr/>
        <w:t>《证券时报</w:t>
      </w:r>
      <w:r>
        <w:rPr>
          <w:spacing w:val="-120"/>
        </w:rPr>
        <w:t>》、</w:t>
      </w:r>
      <w:r>
        <w:rPr/>
        <w:t>《中国证券报》</w:t>
      </w:r>
    </w:p>
    <w:p>
      <w:pPr>
        <w:spacing w:line="328" w:lineRule="auto" w:before="104"/>
        <w:ind w:left="1080" w:right="2565" w:firstLine="2751"/>
        <w:jc w:val="left"/>
        <w:rPr>
          <w:rFonts w:ascii="宋体" w:hAnsi="宋体" w:cs="宋体" w:eastAsia="宋体" w:hint="default"/>
          <w:sz w:val="24"/>
          <w:szCs w:val="24"/>
        </w:rPr>
      </w:pPr>
      <w:r>
        <w:rPr>
          <w:rFonts w:ascii="宋体" w:hAnsi="宋体" w:cs="宋体" w:eastAsia="宋体" w:hint="default"/>
          <w:spacing w:val="-18"/>
          <w:sz w:val="24"/>
          <w:szCs w:val="24"/>
        </w:rPr>
        <w:t>《上海证券报》、《证券日报》</w:t>
      </w:r>
      <w:r>
        <w:rPr>
          <w:rFonts w:ascii="宋体" w:hAnsi="宋体" w:cs="宋体" w:eastAsia="宋体" w:hint="default"/>
          <w:sz w:val="24"/>
          <w:szCs w:val="24"/>
        </w:rPr>
        <w:t> 指定信息披露网址：</w:t>
      </w: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sz w:val="21"/>
          <w:szCs w:val="21"/>
        </w:rPr>
        <w:t> </w:t>
      </w:r>
      <w:r>
        <w:rPr>
          <w:rFonts w:ascii="宋体" w:hAnsi="宋体" w:cs="宋体" w:eastAsia="宋体" w:hint="default"/>
          <w:sz w:val="24"/>
          <w:szCs w:val="24"/>
        </w:rPr>
        <w:t>公司年度报告备置地点：公司董事会秘书办公室</w:t>
      </w:r>
    </w:p>
    <w:p>
      <w:pPr>
        <w:pStyle w:val="BodyText"/>
        <w:spacing w:line="324" w:lineRule="auto" w:before="34"/>
        <w:ind w:left="1080" w:right="4824" w:hanging="36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、股票上市交易所：深圳证券交易所 股票简称：苏宁电器 股票代码：</w:t>
      </w:r>
      <w:r>
        <w:rPr>
          <w:rFonts w:ascii="Times New Roman" w:hAnsi="Times New Roman" w:cs="Times New Roman" w:eastAsia="Times New Roman" w:hint="default"/>
        </w:rPr>
        <w:t>002024</w:t>
      </w:r>
    </w:p>
    <w:p>
      <w:pPr>
        <w:pStyle w:val="BodyText"/>
        <w:spacing w:line="240" w:lineRule="auto" w:before="11"/>
        <w:ind w:left="720" w:right="2202"/>
        <w:jc w:val="left"/>
      </w:pPr>
      <w:r>
        <w:rPr>
          <w:rFonts w:ascii="Times New Roman" w:hAnsi="Times New Roman" w:cs="Times New Roman" w:eastAsia="Times New Roman" w:hint="default"/>
        </w:rPr>
        <w:t>7</w:t>
      </w:r>
      <w:r>
        <w:rPr/>
        <w:t>、公司首次注册登记日期：</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29 </w:t>
      </w:r>
      <w:r>
        <w:rPr/>
        <w:t>日</w:t>
      </w:r>
    </w:p>
    <w:p>
      <w:pPr>
        <w:pStyle w:val="BodyText"/>
        <w:spacing w:line="314" w:lineRule="auto" w:before="104"/>
        <w:ind w:left="1080" w:right="3444"/>
        <w:jc w:val="left"/>
      </w:pPr>
      <w:r>
        <w:rPr/>
        <w:t>最近一次变更注册登记日期：</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14 </w:t>
      </w:r>
      <w:r>
        <w:rPr/>
        <w:t>日 注册登记地点：江苏省工商行政管理局</w:t>
      </w:r>
    </w:p>
    <w:p>
      <w:pPr>
        <w:pStyle w:val="BodyText"/>
        <w:spacing w:line="319" w:lineRule="auto" w:before="48"/>
        <w:ind w:left="1080" w:right="2202" w:hanging="360"/>
        <w:jc w:val="left"/>
      </w:pPr>
      <w:r>
        <w:rPr>
          <w:rFonts w:ascii="Times New Roman" w:hAnsi="Times New Roman" w:cs="Times New Roman" w:eastAsia="Times New Roman" w:hint="default"/>
        </w:rPr>
        <w:t>8</w:t>
      </w:r>
      <w:r>
        <w:rPr/>
        <w:t>、企业法人营业执照注册号：</w:t>
      </w:r>
      <w:r>
        <w:rPr>
          <w:rFonts w:ascii="Times New Roman" w:hAnsi="Times New Roman" w:cs="Times New Roman" w:eastAsia="Times New Roman" w:hint="default"/>
        </w:rPr>
        <w:t>320000000035248 </w:t>
      </w:r>
      <w:r>
        <w:rPr/>
        <w:t>税务登记号码：苏宁税苏字</w:t>
      </w:r>
      <w:r>
        <w:rPr>
          <w:spacing w:val="-60"/>
        </w:rPr>
        <w:t> </w:t>
      </w:r>
      <w:r>
        <w:rPr>
          <w:rFonts w:ascii="Times New Roman" w:hAnsi="Times New Roman" w:cs="Times New Roman" w:eastAsia="Times New Roman" w:hint="default"/>
        </w:rPr>
        <w:t>320106608950987 </w:t>
      </w:r>
      <w:r>
        <w:rPr/>
        <w:t>组织机构代码证号码：</w:t>
      </w:r>
      <w:r>
        <w:rPr>
          <w:rFonts w:ascii="Times New Roman" w:hAnsi="Times New Roman" w:cs="Times New Roman" w:eastAsia="Times New Roman" w:hint="default"/>
        </w:rPr>
        <w:t>60895098-7 </w:t>
      </w:r>
      <w:r>
        <w:rPr/>
        <w:t>聘请的会计师事务所：普华永道中天会计师事务所有限公司 会计师事务所地址：中国上海市湖滨路</w:t>
      </w:r>
      <w:r>
        <w:rPr>
          <w:spacing w:val="-60"/>
        </w:rPr>
        <w:t> </w:t>
      </w:r>
      <w:r>
        <w:rPr>
          <w:rFonts w:ascii="Times New Roman" w:hAnsi="Times New Roman" w:cs="Times New Roman" w:eastAsia="Times New Roman" w:hint="default"/>
        </w:rPr>
        <w:t>202 </w:t>
      </w:r>
      <w:r>
        <w:rPr/>
        <w:t>号</w:t>
      </w:r>
    </w:p>
    <w:p>
      <w:pPr>
        <w:spacing w:after="0" w:line="319" w:lineRule="auto"/>
        <w:jc w:val="left"/>
        <w:sectPr>
          <w:pgSz w:w="11910" w:h="16840"/>
          <w:pgMar w:header="748" w:footer="714" w:top="980" w:bottom="900" w:left="1200" w:right="1180"/>
        </w:sectPr>
      </w:pPr>
    </w:p>
    <w:p>
      <w:pPr>
        <w:spacing w:line="240" w:lineRule="auto" w:before="0"/>
        <w:rPr>
          <w:rFonts w:ascii="宋体" w:hAnsi="宋体" w:cs="宋体" w:eastAsia="宋体" w:hint="default"/>
          <w:sz w:val="20"/>
          <w:szCs w:val="20"/>
        </w:rPr>
      </w:pPr>
    </w:p>
    <w:p>
      <w:pPr>
        <w:pStyle w:val="Heading1"/>
        <w:tabs>
          <w:tab w:pos="3631" w:val="left" w:leader="none"/>
        </w:tabs>
        <w:spacing w:line="240" w:lineRule="auto"/>
        <w:ind w:left="2350" w:right="2202"/>
        <w:jc w:val="left"/>
        <w:rPr>
          <w:b w:val="0"/>
          <w:bCs w:val="0"/>
        </w:rPr>
      </w:pPr>
      <w:bookmarkStart w:name="_TOC_250009" w:id="2"/>
      <w:r>
        <w:rPr>
          <w:w w:val="95"/>
        </w:rPr>
        <w:t>第二节</w:t>
        <w:tab/>
      </w:r>
      <w:r>
        <w:rPr/>
        <w:t>会计数据和业务数据摘要</w:t>
      </w:r>
      <w:bookmarkEnd w:id="2"/>
      <w:r>
        <w:rPr>
          <w:b w:val="0"/>
          <w:bCs w:val="0"/>
        </w:rPr>
      </w:r>
    </w:p>
    <w:p>
      <w:pPr>
        <w:tabs>
          <w:tab w:pos="7799" w:val="left" w:leader="none"/>
        </w:tabs>
        <w:spacing w:before="217"/>
        <w:ind w:left="720" w:right="119" w:firstLine="0"/>
        <w:jc w:val="left"/>
        <w:rPr>
          <w:rFonts w:ascii="宋体" w:hAnsi="宋体" w:cs="宋体" w:eastAsia="宋体" w:hint="default"/>
          <w:sz w:val="21"/>
          <w:szCs w:val="21"/>
        </w:rPr>
      </w:pPr>
      <w:r>
        <w:rPr>
          <w:rFonts w:ascii="宋体" w:hAnsi="宋体" w:cs="宋体" w:eastAsia="宋体" w:hint="default"/>
          <w:sz w:val="24"/>
          <w:szCs w:val="24"/>
        </w:rPr>
        <w:t>一、公司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年度主要利润指标：</w:t>
        <w:tab/>
      </w:r>
      <w:r>
        <w:rPr>
          <w:rFonts w:ascii="宋体" w:hAnsi="宋体" w:cs="宋体" w:eastAsia="宋体" w:hint="default"/>
          <w:sz w:val="21"/>
          <w:szCs w:val="21"/>
        </w:rPr>
        <w:t>（单位：千元）</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5314"/>
        <w:gridCol w:w="3931"/>
      </w:tblGrid>
      <w:tr>
        <w:trPr>
          <w:trHeight w:val="302" w:hRule="exact"/>
        </w:trPr>
        <w:tc>
          <w:tcPr>
            <w:tcW w:w="5314" w:type="dxa"/>
            <w:tcBorders>
              <w:top w:val="single" w:sz="12" w:space="0" w:color="000000"/>
              <w:left w:val="single" w:sz="12" w:space="0" w:color="000000"/>
              <w:bottom w:val="single" w:sz="4" w:space="0" w:color="000000"/>
              <w:right w:val="single" w:sz="4" w:space="0" w:color="000000"/>
            </w:tcBorders>
          </w:tcPr>
          <w:p>
            <w:pPr>
              <w:pStyle w:val="TableParagraph"/>
              <w:spacing w:line="247" w:lineRule="exact"/>
              <w:ind w:right="7"/>
              <w:jc w:val="center"/>
              <w:rPr>
                <w:rFonts w:ascii="宋体" w:hAnsi="宋体" w:cs="宋体" w:eastAsia="宋体" w:hint="default"/>
                <w:sz w:val="21"/>
                <w:szCs w:val="21"/>
              </w:rPr>
            </w:pPr>
            <w:r>
              <w:rPr>
                <w:rFonts w:ascii="宋体" w:hAnsi="宋体" w:cs="宋体" w:eastAsia="宋体" w:hint="default"/>
                <w:sz w:val="21"/>
                <w:szCs w:val="21"/>
              </w:rPr>
              <w:t>指标</w:t>
            </w:r>
          </w:p>
        </w:tc>
        <w:tc>
          <w:tcPr>
            <w:tcW w:w="3931" w:type="dxa"/>
            <w:tcBorders>
              <w:top w:val="single" w:sz="12" w:space="0" w:color="000000"/>
              <w:left w:val="single" w:sz="4" w:space="0" w:color="000000"/>
              <w:bottom w:val="single" w:sz="4" w:space="0" w:color="000000"/>
              <w:right w:val="single" w:sz="12" w:space="0" w:color="000000"/>
            </w:tcBorders>
          </w:tcPr>
          <w:p>
            <w:pPr>
              <w:pStyle w:val="TableParagraph"/>
              <w:spacing w:line="247" w:lineRule="exact"/>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12" w:hRule="exact"/>
        </w:trPr>
        <w:tc>
          <w:tcPr>
            <w:tcW w:w="5314" w:type="dxa"/>
            <w:tcBorders>
              <w:top w:val="single" w:sz="4" w:space="0" w:color="000000"/>
              <w:left w:val="single" w:sz="12" w:space="0" w:color="000000"/>
              <w:bottom w:val="single" w:sz="4" w:space="0" w:color="000000"/>
              <w:right w:val="single" w:sz="4"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9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1"/>
                <w:szCs w:val="21"/>
              </w:rPr>
            </w:pPr>
            <w:r>
              <w:rPr>
                <w:rFonts w:ascii="Times New Roman"/>
                <w:spacing w:val="-1"/>
                <w:sz w:val="21"/>
              </w:rPr>
              <w:t>75,504,739</w:t>
            </w:r>
          </w:p>
        </w:tc>
      </w:tr>
      <w:tr>
        <w:trPr>
          <w:trHeight w:val="312" w:hRule="exact"/>
        </w:trPr>
        <w:tc>
          <w:tcPr>
            <w:tcW w:w="5314" w:type="dxa"/>
            <w:tcBorders>
              <w:top w:val="single" w:sz="4" w:space="0" w:color="000000"/>
              <w:left w:val="single" w:sz="12" w:space="0" w:color="000000"/>
              <w:bottom w:val="single" w:sz="4" w:space="0" w:color="000000"/>
              <w:right w:val="single" w:sz="4"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9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1"/>
                <w:szCs w:val="21"/>
              </w:rPr>
            </w:pPr>
            <w:r>
              <w:rPr>
                <w:rFonts w:ascii="Times New Roman"/>
                <w:spacing w:val="-1"/>
                <w:sz w:val="21"/>
              </w:rPr>
              <w:t>5,431,948</w:t>
            </w:r>
          </w:p>
        </w:tc>
      </w:tr>
      <w:tr>
        <w:trPr>
          <w:trHeight w:val="312" w:hRule="exact"/>
        </w:trPr>
        <w:tc>
          <w:tcPr>
            <w:tcW w:w="5314" w:type="dxa"/>
            <w:tcBorders>
              <w:top w:val="single" w:sz="4" w:space="0" w:color="000000"/>
              <w:left w:val="single" w:sz="12" w:space="0" w:color="000000"/>
              <w:bottom w:val="single" w:sz="4" w:space="0" w:color="000000"/>
              <w:right w:val="single" w:sz="4"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营业外收支净额</w:t>
            </w:r>
          </w:p>
        </w:tc>
        <w:tc>
          <w:tcPr>
            <w:tcW w:w="39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1"/>
                <w:szCs w:val="21"/>
              </w:rPr>
            </w:pPr>
            <w:r>
              <w:rPr>
                <w:rFonts w:ascii="Times New Roman"/>
                <w:spacing w:val="-1"/>
                <w:sz w:val="21"/>
              </w:rPr>
              <w:t>-29,904</w:t>
            </w:r>
          </w:p>
        </w:tc>
      </w:tr>
      <w:tr>
        <w:trPr>
          <w:trHeight w:val="312" w:hRule="exact"/>
        </w:trPr>
        <w:tc>
          <w:tcPr>
            <w:tcW w:w="5314" w:type="dxa"/>
            <w:tcBorders>
              <w:top w:val="single" w:sz="4" w:space="0" w:color="000000"/>
              <w:left w:val="single" w:sz="12" w:space="0" w:color="000000"/>
              <w:bottom w:val="single" w:sz="4" w:space="0" w:color="000000"/>
              <w:right w:val="single" w:sz="4"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9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1"/>
                <w:szCs w:val="21"/>
              </w:rPr>
            </w:pPr>
            <w:r>
              <w:rPr>
                <w:rFonts w:ascii="Times New Roman"/>
                <w:spacing w:val="-1"/>
                <w:sz w:val="21"/>
              </w:rPr>
              <w:t>5,402,044</w:t>
            </w:r>
          </w:p>
        </w:tc>
      </w:tr>
      <w:tr>
        <w:trPr>
          <w:trHeight w:val="312" w:hRule="exact"/>
        </w:trPr>
        <w:tc>
          <w:tcPr>
            <w:tcW w:w="5314" w:type="dxa"/>
            <w:tcBorders>
              <w:top w:val="single" w:sz="4" w:space="0" w:color="000000"/>
              <w:left w:val="single" w:sz="12" w:space="0" w:color="000000"/>
              <w:bottom w:val="single" w:sz="4" w:space="0" w:color="000000"/>
              <w:right w:val="single" w:sz="4"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9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1"/>
                <w:szCs w:val="21"/>
              </w:rPr>
            </w:pPr>
            <w:r>
              <w:rPr>
                <w:rFonts w:ascii="Times New Roman"/>
                <w:spacing w:val="-2"/>
                <w:sz w:val="21"/>
              </w:rPr>
              <w:t>4,011,820</w:t>
            </w:r>
            <w:r>
              <w:rPr>
                <w:rFonts w:ascii="Times New Roman"/>
                <w:sz w:val="21"/>
              </w:rPr>
            </w:r>
          </w:p>
        </w:tc>
      </w:tr>
      <w:tr>
        <w:trPr>
          <w:trHeight w:val="312" w:hRule="exact"/>
        </w:trPr>
        <w:tc>
          <w:tcPr>
            <w:tcW w:w="5314" w:type="dxa"/>
            <w:tcBorders>
              <w:top w:val="single" w:sz="4" w:space="0" w:color="000000"/>
              <w:left w:val="single" w:sz="12" w:space="0" w:color="000000"/>
              <w:bottom w:val="single" w:sz="4" w:space="0" w:color="000000"/>
              <w:right w:val="single" w:sz="4"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扣除非经常性损益后归属于上市公司股东的净利润</w:t>
            </w:r>
          </w:p>
        </w:tc>
        <w:tc>
          <w:tcPr>
            <w:tcW w:w="39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1"/>
                <w:szCs w:val="21"/>
              </w:rPr>
            </w:pPr>
            <w:r>
              <w:rPr>
                <w:rFonts w:ascii="Times New Roman"/>
                <w:spacing w:val="-1"/>
                <w:sz w:val="21"/>
              </w:rPr>
              <w:t>4,029,589</w:t>
            </w:r>
          </w:p>
        </w:tc>
      </w:tr>
      <w:tr>
        <w:trPr>
          <w:trHeight w:val="312" w:hRule="exact"/>
        </w:trPr>
        <w:tc>
          <w:tcPr>
            <w:tcW w:w="5314" w:type="dxa"/>
            <w:tcBorders>
              <w:top w:val="single" w:sz="4" w:space="0" w:color="000000"/>
              <w:left w:val="single" w:sz="12" w:space="0" w:color="000000"/>
              <w:bottom w:val="single" w:sz="4" w:space="0" w:color="000000"/>
              <w:right w:val="single" w:sz="4"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9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1"/>
                <w:szCs w:val="21"/>
              </w:rPr>
            </w:pPr>
            <w:r>
              <w:rPr>
                <w:rFonts w:ascii="Times New Roman"/>
                <w:spacing w:val="-1"/>
                <w:sz w:val="21"/>
              </w:rPr>
              <w:t>3,881,336</w:t>
            </w:r>
          </w:p>
        </w:tc>
      </w:tr>
      <w:tr>
        <w:trPr>
          <w:trHeight w:val="323" w:hRule="exact"/>
        </w:trPr>
        <w:tc>
          <w:tcPr>
            <w:tcW w:w="5314" w:type="dxa"/>
            <w:tcBorders>
              <w:top w:val="single" w:sz="4" w:space="0" w:color="000000"/>
              <w:left w:val="single" w:sz="12" w:space="0" w:color="000000"/>
              <w:bottom w:val="single" w:sz="12" w:space="0" w:color="000000"/>
              <w:right w:val="single" w:sz="4"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39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1"/>
                <w:szCs w:val="21"/>
              </w:rPr>
            </w:pPr>
            <w:r>
              <w:rPr>
                <w:rFonts w:ascii="Times New Roman"/>
                <w:spacing w:val="-1"/>
                <w:sz w:val="21"/>
              </w:rPr>
              <w:t>-1,648,563</w:t>
            </w:r>
            <w:r>
              <w:rPr>
                <w:rFonts w:ascii="Times New Roman"/>
                <w:sz w:val="21"/>
              </w:rPr>
            </w:r>
          </w:p>
        </w:tc>
      </w:tr>
    </w:tbl>
    <w:p>
      <w:pPr>
        <w:spacing w:line="240" w:lineRule="auto" w:before="9"/>
        <w:rPr>
          <w:rFonts w:ascii="宋体" w:hAnsi="宋体" w:cs="宋体" w:eastAsia="宋体" w:hint="default"/>
          <w:sz w:val="26"/>
          <w:szCs w:val="26"/>
        </w:rPr>
      </w:pPr>
    </w:p>
    <w:p>
      <w:pPr>
        <w:tabs>
          <w:tab w:pos="7559" w:val="left" w:leader="none"/>
        </w:tabs>
        <w:spacing w:before="26"/>
        <w:ind w:left="720" w:right="119" w:firstLine="0"/>
        <w:jc w:val="left"/>
        <w:rPr>
          <w:rFonts w:ascii="宋体" w:hAnsi="宋体" w:cs="宋体" w:eastAsia="宋体" w:hint="default"/>
          <w:sz w:val="21"/>
          <w:szCs w:val="21"/>
        </w:rPr>
      </w:pPr>
      <w:r>
        <w:rPr>
          <w:rFonts w:ascii="宋体" w:hAnsi="宋体" w:cs="宋体" w:eastAsia="宋体" w:hint="default"/>
          <w:sz w:val="24"/>
          <w:szCs w:val="24"/>
        </w:rPr>
        <w:t>报告期内扣除非经常性损益的项目及涉及金额如下：</w:t>
        <w:tab/>
      </w:r>
      <w:r>
        <w:rPr>
          <w:rFonts w:ascii="宋体" w:hAnsi="宋体" w:cs="宋体" w:eastAsia="宋体" w:hint="default"/>
          <w:sz w:val="21"/>
          <w:szCs w:val="21"/>
        </w:rPr>
        <w:t>（单位：千元）</w:t>
      </w:r>
    </w:p>
    <w:p>
      <w:pPr>
        <w:spacing w:line="240" w:lineRule="auto" w:before="10"/>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6986"/>
        <w:gridCol w:w="2258"/>
      </w:tblGrid>
      <w:tr>
        <w:trPr>
          <w:trHeight w:val="302" w:hRule="exact"/>
        </w:trPr>
        <w:tc>
          <w:tcPr>
            <w:tcW w:w="6986" w:type="dxa"/>
            <w:tcBorders>
              <w:top w:val="single" w:sz="12" w:space="0" w:color="000000"/>
              <w:left w:val="single" w:sz="12" w:space="0" w:color="000000"/>
              <w:bottom w:val="single" w:sz="4" w:space="0" w:color="000000"/>
              <w:right w:val="single" w:sz="4" w:space="0" w:color="000000"/>
            </w:tcBorders>
          </w:tcPr>
          <w:p>
            <w:pPr>
              <w:pStyle w:val="TableParagraph"/>
              <w:spacing w:line="247" w:lineRule="exact"/>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2258" w:type="dxa"/>
            <w:tcBorders>
              <w:top w:val="single" w:sz="12" w:space="0" w:color="000000"/>
              <w:left w:val="single" w:sz="4" w:space="0" w:color="000000"/>
              <w:bottom w:val="single" w:sz="4" w:space="0" w:color="000000"/>
              <w:right w:val="single" w:sz="12" w:space="0" w:color="000000"/>
            </w:tcBorders>
          </w:tcPr>
          <w:p>
            <w:pPr>
              <w:pStyle w:val="TableParagraph"/>
              <w:spacing w:line="247" w:lineRule="exact"/>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12" w:hRule="exact"/>
        </w:trPr>
        <w:tc>
          <w:tcPr>
            <w:tcW w:w="6986" w:type="dxa"/>
            <w:tcBorders>
              <w:top w:val="single" w:sz="4" w:space="0" w:color="000000"/>
              <w:left w:val="single" w:sz="12" w:space="0" w:color="000000"/>
              <w:bottom w:val="single" w:sz="4" w:space="0" w:color="000000"/>
              <w:right w:val="single" w:sz="4"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2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1"/>
                <w:szCs w:val="21"/>
              </w:rPr>
            </w:pPr>
            <w:r>
              <w:rPr>
                <w:rFonts w:ascii="Times New Roman"/>
                <w:w w:val="95"/>
                <w:sz w:val="21"/>
              </w:rPr>
              <w:t>-3,717</w:t>
            </w:r>
            <w:r>
              <w:rPr>
                <w:rFonts w:ascii="Times New Roman"/>
                <w:sz w:val="21"/>
              </w:rPr>
            </w:r>
          </w:p>
        </w:tc>
      </w:tr>
      <w:tr>
        <w:trPr>
          <w:trHeight w:val="556" w:hRule="exact"/>
        </w:trPr>
        <w:tc>
          <w:tcPr>
            <w:tcW w:w="6986"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与公司正常经营业务密切相关，符合国家政策规</w:t>
            </w:r>
          </w:p>
          <w:p>
            <w:pPr>
              <w:pStyle w:val="TableParagraph"/>
              <w:spacing w:line="282"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定、按照一定标准定额或定量持续享受的政府补助除外</w:t>
            </w:r>
            <w:r>
              <w:rPr>
                <w:rFonts w:ascii="Times New Roman" w:hAnsi="Times New Roman" w:cs="Times New Roman" w:eastAsia="Times New Roman" w:hint="default"/>
                <w:sz w:val="21"/>
                <w:szCs w:val="21"/>
              </w:rPr>
              <w:t>)</w:t>
            </w:r>
          </w:p>
        </w:tc>
        <w:tc>
          <w:tcPr>
            <w:tcW w:w="22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0"/>
              <w:ind w:right="92"/>
              <w:jc w:val="right"/>
              <w:rPr>
                <w:rFonts w:ascii="Times New Roman" w:hAnsi="Times New Roman" w:cs="Times New Roman" w:eastAsia="Times New Roman" w:hint="default"/>
                <w:sz w:val="21"/>
                <w:szCs w:val="21"/>
              </w:rPr>
            </w:pPr>
            <w:r>
              <w:rPr>
                <w:rFonts w:ascii="Times New Roman"/>
                <w:spacing w:val="-1"/>
                <w:sz w:val="21"/>
              </w:rPr>
              <w:t>41,982</w:t>
            </w:r>
          </w:p>
        </w:tc>
      </w:tr>
      <w:tr>
        <w:trPr>
          <w:trHeight w:val="829" w:hRule="exact"/>
        </w:trPr>
        <w:tc>
          <w:tcPr>
            <w:tcW w:w="6986"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93" w:right="-2"/>
              <w:jc w:val="left"/>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除同公司正常经营业务相关的有效套期保值业务外，持有交易性金融资产、</w:t>
            </w:r>
          </w:p>
          <w:p>
            <w:pPr>
              <w:pStyle w:val="TableParagraph"/>
              <w:spacing w:line="272" w:lineRule="exact" w:before="27"/>
              <w:ind w:left="93" w:right="100"/>
              <w:jc w:val="left"/>
              <w:rPr>
                <w:rFonts w:ascii="宋体" w:hAnsi="宋体" w:cs="宋体" w:eastAsia="宋体" w:hint="default"/>
                <w:sz w:val="21"/>
                <w:szCs w:val="21"/>
              </w:rPr>
            </w:pPr>
            <w:r>
              <w:rPr>
                <w:rFonts w:ascii="宋体" w:hAnsi="宋体" w:cs="宋体" w:eastAsia="宋体" w:hint="default"/>
                <w:sz w:val="21"/>
                <w:szCs w:val="21"/>
              </w:rPr>
              <w:t>交易性金融负债产生的公允价值变动损益，以及处置交易性金融资产、交</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易性金融负债和可供出售金融资产取得的投资收益</w:t>
            </w:r>
          </w:p>
        </w:tc>
        <w:tc>
          <w:tcPr>
            <w:tcW w:w="22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spacing w:val="-1"/>
                <w:sz w:val="21"/>
              </w:rPr>
              <w:t>5,658</w:t>
            </w:r>
          </w:p>
        </w:tc>
      </w:tr>
      <w:tr>
        <w:trPr>
          <w:trHeight w:val="312" w:hRule="exact"/>
        </w:trPr>
        <w:tc>
          <w:tcPr>
            <w:tcW w:w="6986" w:type="dxa"/>
            <w:tcBorders>
              <w:top w:val="single" w:sz="4" w:space="0" w:color="000000"/>
              <w:left w:val="single" w:sz="12" w:space="0" w:color="000000"/>
              <w:bottom w:val="single" w:sz="4" w:space="0" w:color="000000"/>
              <w:right w:val="single" w:sz="4"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其他营业外收支净额</w:t>
            </w:r>
          </w:p>
        </w:tc>
        <w:tc>
          <w:tcPr>
            <w:tcW w:w="22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1"/>
                <w:szCs w:val="21"/>
              </w:rPr>
            </w:pPr>
            <w:r>
              <w:rPr>
                <w:rFonts w:ascii="Times New Roman"/>
                <w:spacing w:val="-1"/>
                <w:sz w:val="21"/>
              </w:rPr>
              <w:t>-68,169</w:t>
            </w:r>
          </w:p>
        </w:tc>
      </w:tr>
      <w:tr>
        <w:trPr>
          <w:trHeight w:val="312" w:hRule="exact"/>
        </w:trPr>
        <w:tc>
          <w:tcPr>
            <w:tcW w:w="6986" w:type="dxa"/>
            <w:tcBorders>
              <w:top w:val="single" w:sz="4" w:space="0" w:color="000000"/>
              <w:left w:val="single" w:sz="12" w:space="0" w:color="000000"/>
              <w:bottom w:val="single" w:sz="4" w:space="0" w:color="000000"/>
              <w:right w:val="single" w:sz="4"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非经常性损益的所得税影响数</w:t>
            </w:r>
          </w:p>
        </w:tc>
        <w:tc>
          <w:tcPr>
            <w:tcW w:w="22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1"/>
                <w:szCs w:val="21"/>
              </w:rPr>
            </w:pPr>
            <w:r>
              <w:rPr>
                <w:rFonts w:ascii="Times New Roman"/>
                <w:spacing w:val="-1"/>
                <w:sz w:val="21"/>
              </w:rPr>
              <w:t>6,062</w:t>
            </w:r>
          </w:p>
        </w:tc>
      </w:tr>
      <w:tr>
        <w:trPr>
          <w:trHeight w:val="312" w:hRule="exact"/>
        </w:trPr>
        <w:tc>
          <w:tcPr>
            <w:tcW w:w="6986" w:type="dxa"/>
            <w:tcBorders>
              <w:top w:val="single" w:sz="4" w:space="0" w:color="000000"/>
              <w:left w:val="single" w:sz="12" w:space="0" w:color="000000"/>
              <w:bottom w:val="single" w:sz="4" w:space="0" w:color="000000"/>
              <w:right w:val="single" w:sz="4"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少数股东权益影响数</w:t>
            </w:r>
          </w:p>
        </w:tc>
        <w:tc>
          <w:tcPr>
            <w:tcW w:w="22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1"/>
                <w:szCs w:val="21"/>
              </w:rPr>
            </w:pPr>
            <w:r>
              <w:rPr>
                <w:rFonts w:ascii="Times New Roman"/>
                <w:spacing w:val="-1"/>
                <w:sz w:val="21"/>
              </w:rPr>
              <w:t>415</w:t>
            </w:r>
          </w:p>
        </w:tc>
      </w:tr>
      <w:tr>
        <w:trPr>
          <w:trHeight w:val="323" w:hRule="exact"/>
        </w:trPr>
        <w:tc>
          <w:tcPr>
            <w:tcW w:w="6986" w:type="dxa"/>
            <w:tcBorders>
              <w:top w:val="single" w:sz="4" w:space="0" w:color="000000"/>
              <w:left w:val="single" w:sz="12" w:space="0" w:color="000000"/>
              <w:bottom w:val="single" w:sz="12" w:space="0" w:color="000000"/>
              <w:right w:val="single" w:sz="4"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非经常性损益净额</w:t>
            </w:r>
          </w:p>
        </w:tc>
        <w:tc>
          <w:tcPr>
            <w:tcW w:w="225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1"/>
                <w:szCs w:val="21"/>
              </w:rPr>
            </w:pPr>
            <w:r>
              <w:rPr>
                <w:rFonts w:ascii="Times New Roman"/>
                <w:spacing w:val="-1"/>
                <w:sz w:val="21"/>
              </w:rPr>
              <w:t>-17,769</w:t>
            </w:r>
          </w:p>
        </w:tc>
      </w:tr>
    </w:tbl>
    <w:p>
      <w:pPr>
        <w:spacing w:line="240" w:lineRule="auto" w:before="9"/>
        <w:rPr>
          <w:rFonts w:ascii="宋体" w:hAnsi="宋体" w:cs="宋体" w:eastAsia="宋体" w:hint="default"/>
          <w:sz w:val="26"/>
          <w:szCs w:val="26"/>
        </w:rPr>
      </w:pPr>
    </w:p>
    <w:p>
      <w:pPr>
        <w:pStyle w:val="BodyText"/>
        <w:spacing w:line="240" w:lineRule="auto" w:before="26"/>
        <w:ind w:left="722" w:right="2202"/>
        <w:jc w:val="left"/>
      </w:pPr>
      <w:r>
        <w:rPr/>
        <w:t>二、公司前三年主要会计数据和财务指标：</w:t>
      </w:r>
    </w:p>
    <w:p>
      <w:pPr>
        <w:tabs>
          <w:tab w:pos="7559" w:val="left" w:leader="none"/>
        </w:tabs>
        <w:spacing w:before="154"/>
        <w:ind w:left="720" w:right="119"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1</w:t>
      </w:r>
      <w:r>
        <w:rPr>
          <w:rFonts w:ascii="宋体" w:hAnsi="宋体" w:cs="宋体" w:eastAsia="宋体" w:hint="default"/>
          <w:sz w:val="24"/>
          <w:szCs w:val="24"/>
        </w:rPr>
        <w:t>、主要会计数据</w:t>
        <w:tab/>
      </w:r>
      <w:r>
        <w:rPr>
          <w:rFonts w:ascii="宋体" w:hAnsi="宋体" w:cs="宋体" w:eastAsia="宋体" w:hint="default"/>
          <w:sz w:val="21"/>
          <w:szCs w:val="21"/>
        </w:rPr>
        <w:t>（单位：千元）</w:t>
      </w:r>
    </w:p>
    <w:p>
      <w:pPr>
        <w:spacing w:line="240" w:lineRule="auto" w:before="5"/>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750"/>
        <w:gridCol w:w="1487"/>
        <w:gridCol w:w="1670"/>
        <w:gridCol w:w="2010"/>
        <w:gridCol w:w="1330"/>
      </w:tblGrid>
      <w:tr>
        <w:trPr>
          <w:trHeight w:val="661" w:hRule="exact"/>
        </w:trPr>
        <w:tc>
          <w:tcPr>
            <w:tcW w:w="2750" w:type="dxa"/>
            <w:tcBorders>
              <w:top w:val="single" w:sz="12" w:space="0" w:color="000000"/>
              <w:left w:val="single" w:sz="12" w:space="0" w:color="000000"/>
              <w:bottom w:val="single" w:sz="8" w:space="0" w:color="000000"/>
              <w:right w:val="single" w:sz="8" w:space="0" w:color="000000"/>
            </w:tcBorders>
          </w:tcPr>
          <w:p>
            <w:pPr>
              <w:pStyle w:val="TableParagraph"/>
              <w:spacing w:line="240" w:lineRule="auto" w:before="149"/>
              <w:ind w:left="93" w:right="0"/>
              <w:jc w:val="left"/>
              <w:rPr>
                <w:rFonts w:ascii="宋体" w:hAnsi="宋体" w:cs="宋体" w:eastAsia="宋体" w:hint="default"/>
                <w:sz w:val="21"/>
                <w:szCs w:val="21"/>
              </w:rPr>
            </w:pPr>
            <w:r>
              <w:rPr>
                <w:rFonts w:ascii="宋体" w:hAnsi="宋体" w:cs="宋体" w:eastAsia="宋体" w:hint="default"/>
                <w:sz w:val="21"/>
                <w:szCs w:val="21"/>
              </w:rPr>
              <w:t>指标</w:t>
            </w:r>
          </w:p>
        </w:tc>
        <w:tc>
          <w:tcPr>
            <w:tcW w:w="148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49"/>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7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49"/>
              <w:ind w:left="4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10" w:type="dxa"/>
            <w:tcBorders>
              <w:top w:val="single" w:sz="12" w:space="0" w:color="000000"/>
              <w:left w:val="single" w:sz="8" w:space="0" w:color="000000"/>
              <w:bottom w:val="single" w:sz="8" w:space="0" w:color="000000"/>
              <w:right w:val="single" w:sz="8" w:space="0" w:color="000000"/>
            </w:tcBorders>
          </w:tcPr>
          <w:p>
            <w:pPr>
              <w:pStyle w:val="TableParagraph"/>
              <w:spacing w:line="272" w:lineRule="exact" w:before="40"/>
              <w:ind w:left="470" w:right="468"/>
              <w:jc w:val="left"/>
              <w:rPr>
                <w:rFonts w:ascii="宋体" w:hAnsi="宋体" w:cs="宋体" w:eastAsia="宋体" w:hint="default"/>
                <w:sz w:val="21"/>
                <w:szCs w:val="21"/>
              </w:rPr>
            </w:pPr>
            <w:r>
              <w:rPr>
                <w:rFonts w:ascii="宋体" w:hAnsi="宋体" w:cs="宋体" w:eastAsia="宋体" w:hint="default"/>
                <w:sz w:val="21"/>
                <w:szCs w:val="21"/>
              </w:rPr>
              <w:t>本年比上年 增减（％）</w:t>
            </w:r>
          </w:p>
        </w:tc>
        <w:tc>
          <w:tcPr>
            <w:tcW w:w="1330"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before="149"/>
              <w:ind w:left="3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41" w:hRule="exact"/>
        </w:trPr>
        <w:tc>
          <w:tcPr>
            <w:tcW w:w="2750" w:type="dxa"/>
            <w:tcBorders>
              <w:top w:val="single" w:sz="8" w:space="0" w:color="000000"/>
              <w:left w:val="single" w:sz="12" w:space="0" w:color="000000"/>
              <w:bottom w:val="single" w:sz="8" w:space="0" w:color="000000"/>
              <w:right w:val="single" w:sz="8"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pacing w:val="-1"/>
                <w:sz w:val="21"/>
              </w:rPr>
              <w:t>75,504,739</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6"/>
              <w:jc w:val="right"/>
              <w:rPr>
                <w:rFonts w:ascii="Times New Roman" w:hAnsi="Times New Roman" w:cs="Times New Roman" w:eastAsia="Times New Roman" w:hint="default"/>
                <w:sz w:val="21"/>
                <w:szCs w:val="21"/>
              </w:rPr>
            </w:pPr>
            <w:r>
              <w:rPr>
                <w:rFonts w:ascii="Times New Roman"/>
                <w:spacing w:val="-1"/>
                <w:sz w:val="21"/>
              </w:rPr>
              <w:t>58,300,149</w:t>
            </w:r>
          </w:p>
        </w:tc>
        <w:tc>
          <w:tcPr>
            <w:tcW w:w="2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4"/>
              <w:jc w:val="right"/>
              <w:rPr>
                <w:rFonts w:ascii="Times New Roman" w:hAnsi="Times New Roman" w:cs="Times New Roman" w:eastAsia="Times New Roman" w:hint="default"/>
                <w:sz w:val="21"/>
                <w:szCs w:val="21"/>
              </w:rPr>
            </w:pPr>
            <w:r>
              <w:rPr>
                <w:rFonts w:ascii="Times New Roman"/>
                <w:spacing w:val="-1"/>
                <w:sz w:val="21"/>
              </w:rPr>
              <w:t>29.51%</w:t>
            </w:r>
          </w:p>
        </w:tc>
        <w:tc>
          <w:tcPr>
            <w:tcW w:w="133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8"/>
              <w:ind w:right="92"/>
              <w:jc w:val="right"/>
              <w:rPr>
                <w:rFonts w:ascii="Times New Roman" w:hAnsi="Times New Roman" w:cs="Times New Roman" w:eastAsia="Times New Roman" w:hint="default"/>
                <w:sz w:val="21"/>
                <w:szCs w:val="21"/>
              </w:rPr>
            </w:pPr>
            <w:r>
              <w:rPr>
                <w:rFonts w:ascii="Times New Roman"/>
                <w:spacing w:val="-1"/>
                <w:sz w:val="21"/>
              </w:rPr>
              <w:t>49,896,709</w:t>
            </w:r>
          </w:p>
        </w:tc>
      </w:tr>
      <w:tr>
        <w:trPr>
          <w:trHeight w:val="340" w:hRule="exact"/>
        </w:trPr>
        <w:tc>
          <w:tcPr>
            <w:tcW w:w="2750" w:type="dxa"/>
            <w:tcBorders>
              <w:top w:val="single" w:sz="8" w:space="0" w:color="000000"/>
              <w:left w:val="single" w:sz="12" w:space="0" w:color="000000"/>
              <w:bottom w:val="single" w:sz="8" w:space="0" w:color="000000"/>
              <w:right w:val="single" w:sz="8"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6"/>
              <w:jc w:val="right"/>
              <w:rPr>
                <w:rFonts w:ascii="Times New Roman" w:hAnsi="Times New Roman" w:cs="Times New Roman" w:eastAsia="Times New Roman" w:hint="default"/>
                <w:sz w:val="21"/>
                <w:szCs w:val="21"/>
              </w:rPr>
            </w:pPr>
            <w:r>
              <w:rPr>
                <w:rFonts w:ascii="Times New Roman"/>
                <w:spacing w:val="-1"/>
                <w:sz w:val="21"/>
              </w:rPr>
              <w:t>5,402,044</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6"/>
              <w:jc w:val="right"/>
              <w:rPr>
                <w:rFonts w:ascii="Times New Roman" w:hAnsi="Times New Roman" w:cs="Times New Roman" w:eastAsia="Times New Roman" w:hint="default"/>
                <w:sz w:val="21"/>
                <w:szCs w:val="21"/>
              </w:rPr>
            </w:pPr>
            <w:r>
              <w:rPr>
                <w:rFonts w:ascii="Times New Roman"/>
                <w:spacing w:val="-1"/>
                <w:sz w:val="21"/>
              </w:rPr>
              <w:t>3,926,367</w:t>
            </w:r>
          </w:p>
        </w:tc>
        <w:tc>
          <w:tcPr>
            <w:tcW w:w="2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5"/>
              <w:jc w:val="right"/>
              <w:rPr>
                <w:rFonts w:ascii="Times New Roman" w:hAnsi="Times New Roman" w:cs="Times New Roman" w:eastAsia="Times New Roman" w:hint="default"/>
                <w:sz w:val="21"/>
                <w:szCs w:val="21"/>
              </w:rPr>
            </w:pPr>
            <w:r>
              <w:rPr>
                <w:rFonts w:ascii="Times New Roman"/>
                <w:spacing w:val="-1"/>
                <w:sz w:val="21"/>
              </w:rPr>
              <w:t>37.58%</w:t>
            </w:r>
          </w:p>
        </w:tc>
        <w:tc>
          <w:tcPr>
            <w:tcW w:w="133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8"/>
              <w:ind w:right="92"/>
              <w:jc w:val="right"/>
              <w:rPr>
                <w:rFonts w:ascii="Times New Roman" w:hAnsi="Times New Roman" w:cs="Times New Roman" w:eastAsia="Times New Roman" w:hint="default"/>
                <w:sz w:val="21"/>
                <w:szCs w:val="21"/>
              </w:rPr>
            </w:pPr>
            <w:r>
              <w:rPr>
                <w:rFonts w:ascii="Times New Roman"/>
                <w:spacing w:val="-1"/>
                <w:sz w:val="21"/>
              </w:rPr>
              <w:t>2,950,873</w:t>
            </w:r>
          </w:p>
        </w:tc>
      </w:tr>
      <w:tr>
        <w:trPr>
          <w:trHeight w:val="562" w:hRule="exact"/>
        </w:trPr>
        <w:tc>
          <w:tcPr>
            <w:tcW w:w="2750"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2"/>
                <w:sz w:val="21"/>
              </w:rPr>
              <w:t>4,011,820</w:t>
            </w:r>
            <w:r>
              <w:rPr>
                <w:rFonts w:ascii="Times New Roman"/>
                <w:sz w:val="21"/>
              </w:rPr>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2,889,956</w:t>
            </w:r>
          </w:p>
        </w:tc>
        <w:tc>
          <w:tcPr>
            <w:tcW w:w="2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95"/>
              <w:jc w:val="right"/>
              <w:rPr>
                <w:rFonts w:ascii="Times New Roman" w:hAnsi="Times New Roman" w:cs="Times New Roman" w:eastAsia="Times New Roman" w:hint="default"/>
                <w:sz w:val="21"/>
                <w:szCs w:val="21"/>
              </w:rPr>
            </w:pPr>
            <w:r>
              <w:rPr>
                <w:rFonts w:ascii="Times New Roman"/>
                <w:spacing w:val="-1"/>
                <w:sz w:val="21"/>
              </w:rPr>
              <w:t>38.82%</w:t>
            </w:r>
          </w:p>
        </w:tc>
        <w:tc>
          <w:tcPr>
            <w:tcW w:w="133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49"/>
              <w:ind w:right="92"/>
              <w:jc w:val="right"/>
              <w:rPr>
                <w:rFonts w:ascii="Times New Roman" w:hAnsi="Times New Roman" w:cs="Times New Roman" w:eastAsia="Times New Roman" w:hint="default"/>
                <w:sz w:val="21"/>
                <w:szCs w:val="21"/>
              </w:rPr>
            </w:pPr>
            <w:r>
              <w:rPr>
                <w:rFonts w:ascii="Times New Roman"/>
                <w:spacing w:val="-1"/>
                <w:sz w:val="21"/>
              </w:rPr>
              <w:t>2,170,189</w:t>
            </w:r>
          </w:p>
        </w:tc>
      </w:tr>
      <w:tr>
        <w:trPr>
          <w:trHeight w:val="692" w:hRule="exact"/>
        </w:trPr>
        <w:tc>
          <w:tcPr>
            <w:tcW w:w="2750" w:type="dxa"/>
            <w:tcBorders>
              <w:top w:val="single" w:sz="8" w:space="0" w:color="000000"/>
              <w:left w:val="single" w:sz="12" w:space="0" w:color="000000"/>
              <w:bottom w:val="single" w:sz="8" w:space="0" w:color="000000"/>
              <w:right w:val="single" w:sz="8" w:space="0" w:color="000000"/>
            </w:tcBorders>
          </w:tcPr>
          <w:p>
            <w:pPr>
              <w:pStyle w:val="TableParagraph"/>
              <w:spacing w:line="272" w:lineRule="exact" w:before="57"/>
              <w:ind w:left="93" w:right="96"/>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r>
              <w:rPr>
                <w:rFonts w:ascii="宋体" w:hAnsi="宋体" w:cs="宋体" w:eastAsia="宋体" w:hint="default"/>
                <w:spacing w:val="-94"/>
                <w:sz w:val="21"/>
                <w:szCs w:val="21"/>
              </w:rPr>
              <w:t> </w:t>
            </w:r>
            <w:r>
              <w:rPr>
                <w:rFonts w:ascii="宋体" w:hAnsi="宋体" w:cs="宋体" w:eastAsia="宋体" w:hint="default"/>
                <w:sz w:val="21"/>
                <w:szCs w:val="21"/>
              </w:rPr>
              <w:t>非经常性损益的净利润</w:t>
            </w:r>
          </w:p>
        </w:tc>
        <w:tc>
          <w:tcPr>
            <w:tcW w:w="1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4,029,589</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2,852,724</w:t>
            </w:r>
          </w:p>
        </w:tc>
        <w:tc>
          <w:tcPr>
            <w:tcW w:w="2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41.25%</w:t>
            </w:r>
          </w:p>
        </w:tc>
        <w:tc>
          <w:tcPr>
            <w:tcW w:w="133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spacing w:val="-1"/>
                <w:sz w:val="21"/>
              </w:rPr>
              <w:t>2,179,913</w:t>
            </w:r>
          </w:p>
        </w:tc>
      </w:tr>
      <w:tr>
        <w:trPr>
          <w:trHeight w:val="617" w:hRule="exact"/>
        </w:trPr>
        <w:tc>
          <w:tcPr>
            <w:tcW w:w="2750" w:type="dxa"/>
            <w:tcBorders>
              <w:top w:val="single" w:sz="8" w:space="0" w:color="000000"/>
              <w:left w:val="single" w:sz="12" w:space="0" w:color="000000"/>
              <w:bottom w:val="single" w:sz="8" w:space="0" w:color="000000"/>
              <w:right w:val="single" w:sz="8" w:space="0" w:color="000000"/>
            </w:tcBorders>
          </w:tcPr>
          <w:p>
            <w:pPr>
              <w:pStyle w:val="TableParagraph"/>
              <w:spacing w:line="274" w:lineRule="exact" w:before="18"/>
              <w:ind w:left="93" w:right="96"/>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r>
              <w:rPr>
                <w:rFonts w:ascii="宋体" w:hAnsi="宋体" w:cs="宋体" w:eastAsia="宋体" w:hint="default"/>
                <w:spacing w:val="-94"/>
                <w:sz w:val="21"/>
                <w:szCs w:val="21"/>
              </w:rPr>
              <w:t> </w:t>
            </w:r>
            <w:r>
              <w:rPr>
                <w:rFonts w:ascii="宋体" w:hAnsi="宋体" w:cs="宋体" w:eastAsia="宋体" w:hint="default"/>
                <w:sz w:val="21"/>
                <w:szCs w:val="21"/>
              </w:rPr>
              <w:t>额</w:t>
            </w:r>
          </w:p>
        </w:tc>
        <w:tc>
          <w:tcPr>
            <w:tcW w:w="1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7"/>
              <w:ind w:right="96"/>
              <w:jc w:val="right"/>
              <w:rPr>
                <w:rFonts w:ascii="Times New Roman" w:hAnsi="Times New Roman" w:cs="Times New Roman" w:eastAsia="Times New Roman" w:hint="default"/>
                <w:sz w:val="21"/>
                <w:szCs w:val="21"/>
              </w:rPr>
            </w:pPr>
            <w:r>
              <w:rPr>
                <w:rFonts w:ascii="Times New Roman"/>
                <w:spacing w:val="-1"/>
                <w:sz w:val="21"/>
              </w:rPr>
              <w:t>3,881,336</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7"/>
              <w:ind w:right="97"/>
              <w:jc w:val="right"/>
              <w:rPr>
                <w:rFonts w:ascii="Times New Roman" w:hAnsi="Times New Roman" w:cs="Times New Roman" w:eastAsia="Times New Roman" w:hint="default"/>
                <w:sz w:val="21"/>
                <w:szCs w:val="21"/>
              </w:rPr>
            </w:pPr>
            <w:r>
              <w:rPr>
                <w:rFonts w:ascii="Times New Roman"/>
                <w:spacing w:val="-1"/>
                <w:sz w:val="21"/>
              </w:rPr>
              <w:t>5,554,942</w:t>
            </w:r>
          </w:p>
        </w:tc>
        <w:tc>
          <w:tcPr>
            <w:tcW w:w="2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7"/>
              <w:ind w:right="96"/>
              <w:jc w:val="right"/>
              <w:rPr>
                <w:rFonts w:ascii="Times New Roman" w:hAnsi="Times New Roman" w:cs="Times New Roman" w:eastAsia="Times New Roman" w:hint="default"/>
                <w:sz w:val="21"/>
                <w:szCs w:val="21"/>
              </w:rPr>
            </w:pPr>
            <w:r>
              <w:rPr>
                <w:rFonts w:ascii="Times New Roman"/>
                <w:spacing w:val="-1"/>
                <w:sz w:val="21"/>
              </w:rPr>
              <w:t>-30.13%</w:t>
            </w:r>
          </w:p>
        </w:tc>
        <w:tc>
          <w:tcPr>
            <w:tcW w:w="133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77"/>
              <w:ind w:right="92"/>
              <w:jc w:val="right"/>
              <w:rPr>
                <w:rFonts w:ascii="Times New Roman" w:hAnsi="Times New Roman" w:cs="Times New Roman" w:eastAsia="Times New Roman" w:hint="default"/>
                <w:sz w:val="21"/>
                <w:szCs w:val="21"/>
              </w:rPr>
            </w:pPr>
            <w:r>
              <w:rPr>
                <w:rFonts w:ascii="Times New Roman"/>
                <w:spacing w:val="-1"/>
                <w:sz w:val="21"/>
              </w:rPr>
              <w:t>3,819,141</w:t>
            </w:r>
          </w:p>
        </w:tc>
      </w:tr>
      <w:tr>
        <w:trPr>
          <w:trHeight w:val="569" w:hRule="exact"/>
        </w:trPr>
        <w:tc>
          <w:tcPr>
            <w:tcW w:w="2750"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4"/>
              <w:ind w:left="93" w:right="0"/>
              <w:jc w:val="left"/>
              <w:rPr>
                <w:rFonts w:ascii="宋体" w:hAnsi="宋体" w:cs="宋体" w:eastAsia="宋体" w:hint="default"/>
                <w:sz w:val="21"/>
                <w:szCs w:val="21"/>
              </w:rPr>
            </w:pPr>
            <w:r>
              <w:rPr>
                <w:rFonts w:ascii="宋体" w:hAnsi="宋体" w:cs="宋体" w:eastAsia="宋体" w:hint="default"/>
                <w:sz w:val="21"/>
                <w:szCs w:val="21"/>
              </w:rPr>
              <w:t>指标</w:t>
            </w:r>
          </w:p>
        </w:tc>
        <w:tc>
          <w:tcPr>
            <w:tcW w:w="1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28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3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33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04"/>
              <w:ind w:left="2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40" w:hRule="exact"/>
        </w:trPr>
        <w:tc>
          <w:tcPr>
            <w:tcW w:w="2750" w:type="dxa"/>
            <w:tcBorders>
              <w:top w:val="single" w:sz="8" w:space="0" w:color="000000"/>
              <w:left w:val="single" w:sz="12" w:space="0" w:color="000000"/>
              <w:bottom w:val="single" w:sz="8" w:space="0" w:color="000000"/>
              <w:right w:val="single" w:sz="8"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pacing w:val="-1"/>
                <w:sz w:val="21"/>
              </w:rPr>
              <w:t>43,907,382</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6"/>
              <w:jc w:val="right"/>
              <w:rPr>
                <w:rFonts w:ascii="Times New Roman" w:hAnsi="Times New Roman" w:cs="Times New Roman" w:eastAsia="Times New Roman" w:hint="default"/>
                <w:sz w:val="21"/>
                <w:szCs w:val="21"/>
              </w:rPr>
            </w:pPr>
            <w:r>
              <w:rPr>
                <w:rFonts w:ascii="Times New Roman"/>
                <w:spacing w:val="-1"/>
                <w:sz w:val="21"/>
              </w:rPr>
              <w:t>35,839,832</w:t>
            </w:r>
          </w:p>
        </w:tc>
        <w:tc>
          <w:tcPr>
            <w:tcW w:w="2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4"/>
              <w:jc w:val="right"/>
              <w:rPr>
                <w:rFonts w:ascii="Times New Roman" w:hAnsi="Times New Roman" w:cs="Times New Roman" w:eastAsia="Times New Roman" w:hint="default"/>
                <w:sz w:val="21"/>
                <w:szCs w:val="21"/>
              </w:rPr>
            </w:pPr>
            <w:r>
              <w:rPr>
                <w:rFonts w:ascii="Times New Roman"/>
                <w:spacing w:val="-1"/>
                <w:sz w:val="21"/>
              </w:rPr>
              <w:t>22.51%</w:t>
            </w:r>
          </w:p>
        </w:tc>
        <w:tc>
          <w:tcPr>
            <w:tcW w:w="133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8"/>
              <w:ind w:right="92"/>
              <w:jc w:val="right"/>
              <w:rPr>
                <w:rFonts w:ascii="Times New Roman" w:hAnsi="Times New Roman" w:cs="Times New Roman" w:eastAsia="Times New Roman" w:hint="default"/>
                <w:sz w:val="21"/>
                <w:szCs w:val="21"/>
              </w:rPr>
            </w:pPr>
            <w:r>
              <w:rPr>
                <w:rFonts w:ascii="Times New Roman"/>
                <w:spacing w:val="-1"/>
                <w:sz w:val="21"/>
              </w:rPr>
              <w:t>21,618,527</w:t>
            </w:r>
          </w:p>
        </w:tc>
      </w:tr>
      <w:tr>
        <w:trPr>
          <w:trHeight w:val="340" w:hRule="exact"/>
        </w:trPr>
        <w:tc>
          <w:tcPr>
            <w:tcW w:w="2750" w:type="dxa"/>
            <w:tcBorders>
              <w:top w:val="single" w:sz="8" w:space="0" w:color="000000"/>
              <w:left w:val="single" w:sz="12" w:space="0" w:color="000000"/>
              <w:bottom w:val="single" w:sz="8" w:space="0" w:color="000000"/>
              <w:right w:val="single" w:sz="8"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7"/>
              <w:jc w:val="right"/>
              <w:rPr>
                <w:rFonts w:ascii="Times New Roman" w:hAnsi="Times New Roman" w:cs="Times New Roman" w:eastAsia="Times New Roman" w:hint="default"/>
                <w:sz w:val="21"/>
                <w:szCs w:val="21"/>
              </w:rPr>
            </w:pPr>
            <w:r>
              <w:rPr>
                <w:rFonts w:ascii="Times New Roman"/>
                <w:spacing w:val="-1"/>
                <w:sz w:val="21"/>
              </w:rPr>
              <w:t>18,338,189</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7"/>
              <w:jc w:val="right"/>
              <w:rPr>
                <w:rFonts w:ascii="Times New Roman" w:hAnsi="Times New Roman" w:cs="Times New Roman" w:eastAsia="Times New Roman" w:hint="default"/>
                <w:sz w:val="21"/>
                <w:szCs w:val="21"/>
              </w:rPr>
            </w:pPr>
            <w:r>
              <w:rPr>
                <w:rFonts w:ascii="Times New Roman"/>
                <w:spacing w:val="-1"/>
                <w:sz w:val="21"/>
              </w:rPr>
              <w:t>14,540,346</w:t>
            </w:r>
          </w:p>
        </w:tc>
        <w:tc>
          <w:tcPr>
            <w:tcW w:w="2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5"/>
              <w:jc w:val="right"/>
              <w:rPr>
                <w:rFonts w:ascii="Times New Roman" w:hAnsi="Times New Roman" w:cs="Times New Roman" w:eastAsia="Times New Roman" w:hint="default"/>
                <w:sz w:val="21"/>
                <w:szCs w:val="21"/>
              </w:rPr>
            </w:pPr>
            <w:r>
              <w:rPr>
                <w:rFonts w:ascii="Times New Roman"/>
                <w:spacing w:val="-1"/>
                <w:sz w:val="21"/>
              </w:rPr>
              <w:t>26.12%</w:t>
            </w:r>
          </w:p>
        </w:tc>
        <w:tc>
          <w:tcPr>
            <w:tcW w:w="133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8"/>
              <w:ind w:right="92"/>
              <w:jc w:val="right"/>
              <w:rPr>
                <w:rFonts w:ascii="Times New Roman" w:hAnsi="Times New Roman" w:cs="Times New Roman" w:eastAsia="Times New Roman" w:hint="default"/>
                <w:sz w:val="21"/>
                <w:szCs w:val="21"/>
              </w:rPr>
            </w:pPr>
            <w:r>
              <w:rPr>
                <w:rFonts w:ascii="Times New Roman"/>
                <w:spacing w:val="-1"/>
                <w:sz w:val="21"/>
              </w:rPr>
              <w:t>8,775,957</w:t>
            </w:r>
          </w:p>
        </w:tc>
      </w:tr>
      <w:tr>
        <w:trPr>
          <w:trHeight w:val="347" w:hRule="exact"/>
        </w:trPr>
        <w:tc>
          <w:tcPr>
            <w:tcW w:w="2750" w:type="dxa"/>
            <w:tcBorders>
              <w:top w:val="single" w:sz="8" w:space="0" w:color="000000"/>
              <w:left w:val="single" w:sz="12" w:space="0" w:color="000000"/>
              <w:bottom w:val="single" w:sz="12" w:space="0" w:color="000000"/>
              <w:right w:val="single" w:sz="8"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48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8"/>
              <w:ind w:right="96"/>
              <w:jc w:val="right"/>
              <w:rPr>
                <w:rFonts w:ascii="Times New Roman" w:hAnsi="Times New Roman" w:cs="Times New Roman" w:eastAsia="Times New Roman" w:hint="default"/>
                <w:sz w:val="21"/>
                <w:szCs w:val="21"/>
              </w:rPr>
            </w:pPr>
            <w:r>
              <w:rPr>
                <w:rFonts w:ascii="Times New Roman"/>
                <w:spacing w:val="-1"/>
                <w:sz w:val="21"/>
              </w:rPr>
              <w:t>6,996,212</w:t>
            </w:r>
          </w:p>
        </w:tc>
        <w:tc>
          <w:tcPr>
            <w:tcW w:w="167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8"/>
              <w:ind w:right="96"/>
              <w:jc w:val="right"/>
              <w:rPr>
                <w:rFonts w:ascii="Times New Roman" w:hAnsi="Times New Roman" w:cs="Times New Roman" w:eastAsia="Times New Roman" w:hint="default"/>
                <w:sz w:val="21"/>
                <w:szCs w:val="21"/>
              </w:rPr>
            </w:pPr>
            <w:r>
              <w:rPr>
                <w:rFonts w:ascii="Times New Roman"/>
                <w:spacing w:val="-1"/>
                <w:sz w:val="21"/>
              </w:rPr>
              <w:t>4,664,141</w:t>
            </w:r>
          </w:p>
        </w:tc>
        <w:tc>
          <w:tcPr>
            <w:tcW w:w="201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8"/>
              <w:ind w:right="95"/>
              <w:jc w:val="right"/>
              <w:rPr>
                <w:rFonts w:ascii="Times New Roman" w:hAnsi="Times New Roman" w:cs="Times New Roman" w:eastAsia="Times New Roman" w:hint="default"/>
                <w:sz w:val="21"/>
                <w:szCs w:val="21"/>
              </w:rPr>
            </w:pPr>
            <w:r>
              <w:rPr>
                <w:rFonts w:ascii="Times New Roman"/>
                <w:spacing w:val="-1"/>
                <w:sz w:val="21"/>
              </w:rPr>
              <w:t>50.00%</w:t>
            </w:r>
          </w:p>
        </w:tc>
        <w:tc>
          <w:tcPr>
            <w:tcW w:w="1330"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8"/>
              <w:ind w:right="92"/>
              <w:jc w:val="right"/>
              <w:rPr>
                <w:rFonts w:ascii="Times New Roman" w:hAnsi="Times New Roman" w:cs="Times New Roman" w:eastAsia="Times New Roman" w:hint="default"/>
                <w:sz w:val="21"/>
                <w:szCs w:val="21"/>
              </w:rPr>
            </w:pPr>
            <w:r>
              <w:rPr>
                <w:rFonts w:ascii="Times New Roman"/>
                <w:spacing w:val="-1"/>
                <w:sz w:val="21"/>
              </w:rPr>
              <w:t>2,991,008</w:t>
            </w:r>
          </w:p>
        </w:tc>
      </w:tr>
    </w:tbl>
    <w:p>
      <w:pPr>
        <w:spacing w:after="0" w:line="240" w:lineRule="auto"/>
        <w:jc w:val="right"/>
        <w:rPr>
          <w:rFonts w:ascii="Times New Roman" w:hAnsi="Times New Roman" w:cs="Times New Roman" w:eastAsia="Times New Roman" w:hint="default"/>
          <w:sz w:val="21"/>
          <w:szCs w:val="21"/>
        </w:rPr>
        <w:sectPr>
          <w:pgSz w:w="11910" w:h="16840"/>
          <w:pgMar w:header="748" w:footer="714" w:top="980" w:bottom="900" w:left="1200" w:right="1180"/>
        </w:sectPr>
      </w:pPr>
    </w:p>
    <w:p>
      <w:pPr>
        <w:spacing w:line="240" w:lineRule="auto" w:before="7"/>
        <w:rPr>
          <w:rFonts w:ascii="宋体" w:hAnsi="宋体" w:cs="宋体" w:eastAsia="宋体" w:hint="default"/>
          <w:sz w:val="29"/>
          <w:szCs w:val="29"/>
        </w:rPr>
      </w:pPr>
    </w:p>
    <w:p>
      <w:pPr>
        <w:tabs>
          <w:tab w:pos="7679" w:val="left" w:leader="none"/>
        </w:tabs>
        <w:spacing w:before="26"/>
        <w:ind w:left="720" w:right="119"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2</w:t>
      </w:r>
      <w:r>
        <w:rPr>
          <w:rFonts w:ascii="宋体" w:hAnsi="宋体" w:cs="宋体" w:eastAsia="宋体" w:hint="default"/>
          <w:sz w:val="24"/>
          <w:szCs w:val="24"/>
        </w:rPr>
        <w:t>、主要财务指标</w:t>
        <w:tab/>
      </w:r>
      <w:r>
        <w:rPr>
          <w:rFonts w:ascii="宋体" w:hAnsi="宋体" w:cs="宋体" w:eastAsia="宋体" w:hint="default"/>
          <w:sz w:val="21"/>
          <w:szCs w:val="21"/>
        </w:rPr>
        <w:t>（单位：元）</w:t>
      </w:r>
    </w:p>
    <w:p>
      <w:pPr>
        <w:spacing w:line="240" w:lineRule="auto" w:before="5"/>
        <w:rPr>
          <w:rFonts w:ascii="宋体" w:hAnsi="宋体" w:cs="宋体" w:eastAsia="宋体"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625"/>
        <w:gridCol w:w="1301"/>
        <w:gridCol w:w="1302"/>
        <w:gridCol w:w="1859"/>
        <w:gridCol w:w="1126"/>
      </w:tblGrid>
      <w:tr>
        <w:trPr>
          <w:trHeight w:val="618" w:hRule="exact"/>
        </w:trPr>
        <w:tc>
          <w:tcPr>
            <w:tcW w:w="362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9"/>
              <w:ind w:right="8"/>
              <w:jc w:val="center"/>
              <w:rPr>
                <w:rFonts w:ascii="宋体" w:hAnsi="宋体" w:cs="宋体" w:eastAsia="宋体" w:hint="default"/>
                <w:sz w:val="21"/>
                <w:szCs w:val="21"/>
              </w:rPr>
            </w:pPr>
            <w:r>
              <w:rPr>
                <w:rFonts w:ascii="宋体" w:hAnsi="宋体" w:cs="宋体" w:eastAsia="宋体" w:hint="default"/>
                <w:sz w:val="21"/>
                <w:szCs w:val="21"/>
              </w:rPr>
              <w:t>指标</w:t>
            </w:r>
          </w:p>
        </w:tc>
        <w:tc>
          <w:tcPr>
            <w:tcW w:w="13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9"/>
              <w:ind w:left="2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9"/>
              <w:ind w:left="2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59" w:type="dxa"/>
            <w:tcBorders>
              <w:top w:val="single" w:sz="12"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12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9"/>
              <w:ind w:left="2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68" w:hRule="exact"/>
        </w:trPr>
        <w:tc>
          <w:tcPr>
            <w:tcW w:w="36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left="93" w:right="0"/>
              <w:jc w:val="left"/>
              <w:rPr>
                <w:rFonts w:ascii="宋体" w:hAnsi="宋体" w:cs="宋体" w:eastAsia="宋体" w:hint="default"/>
                <w:sz w:val="21"/>
                <w:szCs w:val="21"/>
              </w:rPr>
            </w:pPr>
            <w:r>
              <w:rPr>
                <w:rFonts w:ascii="宋体" w:hAnsi="宋体" w:cs="宋体" w:eastAsia="宋体" w:hint="default"/>
                <w:sz w:val="21"/>
                <w:szCs w:val="21"/>
              </w:rPr>
              <w:t>基本每股收益（注）</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0.57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21"/>
                <w:szCs w:val="21"/>
              </w:rPr>
            </w:pPr>
            <w:r>
              <w:rPr>
                <w:rFonts w:ascii="Times New Roman"/>
                <w:spacing w:val="-1"/>
                <w:sz w:val="21"/>
              </w:rPr>
              <w:t>0.43</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spacing w:val="-1"/>
                <w:sz w:val="21"/>
              </w:rPr>
              <w:t>32.56%</w:t>
            </w:r>
          </w:p>
        </w:tc>
        <w:tc>
          <w:tcPr>
            <w:tcW w:w="1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2"/>
              <w:jc w:val="right"/>
              <w:rPr>
                <w:rFonts w:ascii="Times New Roman" w:hAnsi="Times New Roman" w:cs="Times New Roman" w:eastAsia="Times New Roman" w:hint="default"/>
                <w:sz w:val="21"/>
                <w:szCs w:val="21"/>
              </w:rPr>
            </w:pPr>
            <w:r>
              <w:rPr>
                <w:rFonts w:ascii="Times New Roman"/>
                <w:spacing w:val="-1"/>
                <w:sz w:val="21"/>
              </w:rPr>
              <w:t>0.33</w:t>
            </w:r>
          </w:p>
        </w:tc>
      </w:tr>
      <w:tr>
        <w:trPr>
          <w:trHeight w:val="368" w:hRule="exact"/>
        </w:trPr>
        <w:tc>
          <w:tcPr>
            <w:tcW w:w="36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0.57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0.43</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Times New Roman" w:hAnsi="Times New Roman" w:cs="Times New Roman" w:eastAsia="Times New Roman" w:hint="default"/>
                <w:sz w:val="21"/>
                <w:szCs w:val="21"/>
              </w:rPr>
            </w:pPr>
            <w:r>
              <w:rPr>
                <w:rFonts w:ascii="Times New Roman"/>
                <w:spacing w:val="-1"/>
                <w:sz w:val="21"/>
              </w:rPr>
              <w:t>32.56%</w:t>
            </w:r>
          </w:p>
        </w:tc>
        <w:tc>
          <w:tcPr>
            <w:tcW w:w="1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92"/>
              <w:jc w:val="right"/>
              <w:rPr>
                <w:rFonts w:ascii="Times New Roman" w:hAnsi="Times New Roman" w:cs="Times New Roman" w:eastAsia="Times New Roman" w:hint="default"/>
                <w:sz w:val="21"/>
                <w:szCs w:val="21"/>
              </w:rPr>
            </w:pPr>
            <w:r>
              <w:rPr>
                <w:rFonts w:ascii="Times New Roman"/>
                <w:spacing w:val="-1"/>
                <w:sz w:val="21"/>
              </w:rPr>
              <w:t>0.33</w:t>
            </w:r>
          </w:p>
        </w:tc>
      </w:tr>
      <w:tr>
        <w:trPr>
          <w:trHeight w:val="432" w:hRule="exact"/>
        </w:trPr>
        <w:tc>
          <w:tcPr>
            <w:tcW w:w="36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93"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扣除非经常性损益后的基本每股收益</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21"/>
                <w:szCs w:val="21"/>
              </w:rPr>
            </w:pPr>
            <w:r>
              <w:rPr>
                <w:rFonts w:ascii="Times New Roman"/>
                <w:spacing w:val="-1"/>
                <w:sz w:val="21"/>
              </w:rPr>
              <w:t>0.58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21"/>
                <w:szCs w:val="21"/>
              </w:rPr>
            </w:pPr>
            <w:r>
              <w:rPr>
                <w:rFonts w:ascii="Times New Roman"/>
                <w:spacing w:val="-1"/>
                <w:sz w:val="21"/>
              </w:rPr>
              <w:t>0.42</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21"/>
                <w:szCs w:val="21"/>
              </w:rPr>
            </w:pPr>
            <w:r>
              <w:rPr>
                <w:rFonts w:ascii="Times New Roman"/>
                <w:spacing w:val="-1"/>
                <w:sz w:val="21"/>
              </w:rPr>
              <w:t>38.10%</w:t>
            </w:r>
          </w:p>
        </w:tc>
        <w:tc>
          <w:tcPr>
            <w:tcW w:w="1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right="92"/>
              <w:jc w:val="right"/>
              <w:rPr>
                <w:rFonts w:ascii="Times New Roman" w:hAnsi="Times New Roman" w:cs="Times New Roman" w:eastAsia="Times New Roman" w:hint="default"/>
                <w:sz w:val="21"/>
                <w:szCs w:val="21"/>
              </w:rPr>
            </w:pPr>
            <w:r>
              <w:rPr>
                <w:rFonts w:ascii="Times New Roman"/>
                <w:spacing w:val="-1"/>
                <w:sz w:val="21"/>
              </w:rPr>
              <w:t>0.33</w:t>
            </w:r>
          </w:p>
        </w:tc>
      </w:tr>
      <w:tr>
        <w:trPr>
          <w:trHeight w:val="368" w:hRule="exact"/>
        </w:trPr>
        <w:tc>
          <w:tcPr>
            <w:tcW w:w="36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全面摊薄净资产收益率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Times New Roman" w:hAnsi="Times New Roman" w:cs="Times New Roman" w:eastAsia="Times New Roman" w:hint="default"/>
                <w:sz w:val="21"/>
                <w:szCs w:val="21"/>
              </w:rPr>
            </w:pPr>
            <w:r>
              <w:rPr>
                <w:rFonts w:ascii="Times New Roman"/>
                <w:spacing w:val="-1"/>
                <w:sz w:val="21"/>
              </w:rPr>
              <w:t>21.88%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19.88%</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2.00%</w:t>
            </w:r>
          </w:p>
        </w:tc>
        <w:tc>
          <w:tcPr>
            <w:tcW w:w="1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91"/>
              <w:jc w:val="right"/>
              <w:rPr>
                <w:rFonts w:ascii="Times New Roman" w:hAnsi="Times New Roman" w:cs="Times New Roman" w:eastAsia="Times New Roman" w:hint="default"/>
                <w:sz w:val="21"/>
                <w:szCs w:val="21"/>
              </w:rPr>
            </w:pPr>
            <w:r>
              <w:rPr>
                <w:rFonts w:ascii="Times New Roman"/>
                <w:spacing w:val="-1"/>
                <w:sz w:val="21"/>
              </w:rPr>
              <w:t>24.73%</w:t>
            </w:r>
          </w:p>
        </w:tc>
      </w:tr>
      <w:tr>
        <w:trPr>
          <w:trHeight w:val="370" w:hRule="exact"/>
        </w:trPr>
        <w:tc>
          <w:tcPr>
            <w:tcW w:w="36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Times New Roman" w:hAnsi="Times New Roman" w:cs="Times New Roman" w:eastAsia="Times New Roman" w:hint="default"/>
                <w:sz w:val="21"/>
                <w:szCs w:val="21"/>
              </w:rPr>
            </w:pPr>
            <w:r>
              <w:rPr>
                <w:rFonts w:ascii="Times New Roman"/>
                <w:spacing w:val="-1"/>
                <w:sz w:val="21"/>
              </w:rPr>
              <w:t>24.48%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28.44%</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21"/>
                <w:szCs w:val="21"/>
              </w:rPr>
            </w:pPr>
            <w:r>
              <w:rPr>
                <w:rFonts w:ascii="Times New Roman"/>
                <w:spacing w:val="-1"/>
                <w:sz w:val="21"/>
              </w:rPr>
              <w:t>-3.96%</w:t>
            </w:r>
          </w:p>
        </w:tc>
        <w:tc>
          <w:tcPr>
            <w:tcW w:w="1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89"/>
              <w:jc w:val="right"/>
              <w:rPr>
                <w:rFonts w:ascii="Times New Roman" w:hAnsi="Times New Roman" w:cs="Times New Roman" w:eastAsia="Times New Roman" w:hint="default"/>
                <w:sz w:val="21"/>
                <w:szCs w:val="21"/>
              </w:rPr>
            </w:pPr>
            <w:r>
              <w:rPr>
                <w:rFonts w:ascii="Times New Roman"/>
                <w:spacing w:val="-1"/>
                <w:sz w:val="21"/>
              </w:rPr>
              <w:t>31.60%</w:t>
            </w:r>
          </w:p>
        </w:tc>
      </w:tr>
      <w:tr>
        <w:trPr>
          <w:trHeight w:val="660" w:hRule="exact"/>
        </w:trPr>
        <w:tc>
          <w:tcPr>
            <w:tcW w:w="3625"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46"/>
              <w:ind w:left="93" w:right="10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扣除非经常性损益后的全面摊薄净资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产收益率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21.97%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19.62%</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2.35%</w:t>
            </w:r>
          </w:p>
        </w:tc>
        <w:tc>
          <w:tcPr>
            <w:tcW w:w="1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24.84%</w:t>
            </w:r>
          </w:p>
        </w:tc>
      </w:tr>
      <w:tr>
        <w:trPr>
          <w:trHeight w:val="640" w:hRule="exact"/>
        </w:trPr>
        <w:tc>
          <w:tcPr>
            <w:tcW w:w="36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left="93" w:right="10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扣除非经常性损益后的加权平均净资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产收益率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24.58%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28.07%</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-3.49%</w:t>
            </w:r>
          </w:p>
        </w:tc>
        <w:tc>
          <w:tcPr>
            <w:tcW w:w="1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
                <w:sz w:val="21"/>
              </w:rPr>
              <w:t>31.75%</w:t>
            </w:r>
          </w:p>
        </w:tc>
      </w:tr>
      <w:tr>
        <w:trPr>
          <w:trHeight w:val="468" w:hRule="exact"/>
        </w:trPr>
        <w:tc>
          <w:tcPr>
            <w:tcW w:w="36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0.55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Times New Roman" w:hAnsi="Times New Roman" w:cs="Times New Roman" w:eastAsia="Times New Roman" w:hint="default"/>
                <w:sz w:val="21"/>
                <w:szCs w:val="21"/>
              </w:rPr>
            </w:pPr>
            <w:r>
              <w:rPr>
                <w:rFonts w:ascii="Times New Roman"/>
                <w:spacing w:val="-1"/>
                <w:sz w:val="21"/>
              </w:rPr>
              <w:t>1.19</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-53.78%</w:t>
            </w:r>
          </w:p>
        </w:tc>
        <w:tc>
          <w:tcPr>
            <w:tcW w:w="1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6"/>
              <w:ind w:right="92"/>
              <w:jc w:val="right"/>
              <w:rPr>
                <w:rFonts w:ascii="Times New Roman" w:hAnsi="Times New Roman" w:cs="Times New Roman" w:eastAsia="Times New Roman" w:hint="default"/>
                <w:sz w:val="21"/>
                <w:szCs w:val="21"/>
              </w:rPr>
            </w:pPr>
            <w:r>
              <w:rPr>
                <w:rFonts w:ascii="Times New Roman"/>
                <w:spacing w:val="-1"/>
                <w:sz w:val="21"/>
              </w:rPr>
              <w:t>1.28</w:t>
            </w:r>
          </w:p>
        </w:tc>
      </w:tr>
      <w:tr>
        <w:trPr>
          <w:trHeight w:val="584" w:hRule="exact"/>
        </w:trPr>
        <w:tc>
          <w:tcPr>
            <w:tcW w:w="36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7"/>
              <w:ind w:right="8"/>
              <w:jc w:val="center"/>
              <w:rPr>
                <w:rFonts w:ascii="宋体" w:hAnsi="宋体" w:cs="宋体" w:eastAsia="宋体" w:hint="default"/>
                <w:sz w:val="21"/>
                <w:szCs w:val="21"/>
              </w:rPr>
            </w:pPr>
            <w:r>
              <w:rPr>
                <w:rFonts w:ascii="宋体" w:hAnsi="宋体" w:cs="宋体" w:eastAsia="宋体" w:hint="default"/>
                <w:sz w:val="21"/>
                <w:szCs w:val="21"/>
              </w:rPr>
              <w:t>指标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399" w:right="187" w:hanging="210"/>
              <w:jc w:val="left"/>
              <w:rPr>
                <w:rFonts w:ascii="宋体" w:hAnsi="宋体" w:cs="宋体" w:eastAsia="宋体" w:hint="default"/>
                <w:sz w:val="21"/>
                <w:szCs w:val="21"/>
              </w:rPr>
            </w:pPr>
            <w:r>
              <w:rPr>
                <w:rFonts w:ascii="宋体" w:hAnsi="宋体" w:cs="宋体" w:eastAsia="宋体" w:hint="default"/>
                <w:sz w:val="21"/>
                <w:szCs w:val="21"/>
              </w:rPr>
              <w:t>本年末比上年末 增减（％）</w:t>
            </w:r>
          </w:p>
        </w:tc>
        <w:tc>
          <w:tcPr>
            <w:tcW w:w="1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7"/>
              <w:ind w:right="100"/>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88" w:hRule="exact"/>
        </w:trPr>
        <w:tc>
          <w:tcPr>
            <w:tcW w:w="362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3"/>
              <w:ind w:left="93"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21"/>
                <w:szCs w:val="21"/>
              </w:rPr>
            </w:pPr>
            <w:r>
              <w:rPr>
                <w:rFonts w:ascii="Times New Roman"/>
                <w:spacing w:val="-1"/>
                <w:sz w:val="21"/>
              </w:rPr>
              <w:t>2.62</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1"/>
              <w:ind w:right="103"/>
              <w:jc w:val="right"/>
              <w:rPr>
                <w:rFonts w:ascii="Times New Roman" w:hAnsi="Times New Roman" w:cs="Times New Roman" w:eastAsia="Times New Roman" w:hint="default"/>
                <w:sz w:val="21"/>
                <w:szCs w:val="21"/>
              </w:rPr>
            </w:pPr>
            <w:r>
              <w:rPr>
                <w:rFonts w:ascii="Times New Roman"/>
                <w:spacing w:val="-1"/>
                <w:sz w:val="21"/>
              </w:rPr>
              <w:t>3.12</w:t>
            </w:r>
          </w:p>
        </w:tc>
        <w:tc>
          <w:tcPr>
            <w:tcW w:w="18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21"/>
                <w:szCs w:val="21"/>
              </w:rPr>
            </w:pPr>
            <w:r>
              <w:rPr>
                <w:rFonts w:ascii="Times New Roman"/>
                <w:spacing w:val="-1"/>
                <w:sz w:val="21"/>
              </w:rPr>
              <w:t>-16.03%</w:t>
            </w:r>
          </w:p>
        </w:tc>
        <w:tc>
          <w:tcPr>
            <w:tcW w:w="11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61"/>
              <w:ind w:right="92"/>
              <w:jc w:val="right"/>
              <w:rPr>
                <w:rFonts w:ascii="Times New Roman" w:hAnsi="Times New Roman" w:cs="Times New Roman" w:eastAsia="Times New Roman" w:hint="default"/>
                <w:sz w:val="21"/>
                <w:szCs w:val="21"/>
              </w:rPr>
            </w:pPr>
            <w:r>
              <w:rPr>
                <w:rFonts w:ascii="Times New Roman"/>
                <w:spacing w:val="-1"/>
                <w:sz w:val="21"/>
              </w:rPr>
              <w:t>2.93</w:t>
            </w:r>
          </w:p>
        </w:tc>
      </w:tr>
    </w:tbl>
    <w:p>
      <w:pPr>
        <w:spacing w:line="282" w:lineRule="exact" w:before="38"/>
        <w:ind w:left="240" w:right="119" w:firstLine="0"/>
        <w:jc w:val="left"/>
        <w:rPr>
          <w:rFonts w:ascii="宋体" w:hAnsi="宋体" w:cs="宋体" w:eastAsia="宋体" w:hint="default"/>
          <w:sz w:val="21"/>
          <w:szCs w:val="21"/>
        </w:rPr>
      </w:pPr>
      <w:r>
        <w:rPr>
          <w:rFonts w:ascii="宋体" w:hAnsi="宋体" w:cs="宋体" w:eastAsia="宋体" w:hint="default"/>
          <w:sz w:val="21"/>
          <w:szCs w:val="21"/>
        </w:rPr>
        <w:t>注：计算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年基本每股收益时总股本额按</w:t>
      </w:r>
      <w:r>
        <w:rPr>
          <w:rFonts w:ascii="宋体" w:hAnsi="宋体" w:cs="宋体" w:eastAsia="宋体" w:hint="default"/>
          <w:spacing w:val="-54"/>
          <w:sz w:val="21"/>
          <w:szCs w:val="21"/>
        </w:rPr>
        <w:t> </w:t>
      </w:r>
      <w:r>
        <w:rPr>
          <w:rFonts w:ascii="Times New Roman" w:hAnsi="Times New Roman" w:cs="Times New Roman" w:eastAsia="Times New Roman" w:hint="default"/>
          <w:sz w:val="20"/>
          <w:szCs w:val="20"/>
        </w:rPr>
        <w:t>6,996,211,866</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股计算，计算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年每股收益时按照调</w:t>
      </w:r>
    </w:p>
    <w:p>
      <w:pPr>
        <w:spacing w:line="280" w:lineRule="exact" w:before="0"/>
        <w:ind w:left="239" w:right="2202" w:firstLine="0"/>
        <w:jc w:val="left"/>
        <w:rPr>
          <w:rFonts w:ascii="宋体" w:hAnsi="宋体" w:cs="宋体" w:eastAsia="宋体" w:hint="default"/>
          <w:sz w:val="21"/>
          <w:szCs w:val="21"/>
        </w:rPr>
      </w:pPr>
      <w:r>
        <w:rPr>
          <w:rFonts w:ascii="宋体" w:hAnsi="宋体" w:cs="宋体" w:eastAsia="宋体" w:hint="default"/>
          <w:sz w:val="21"/>
          <w:szCs w:val="21"/>
        </w:rPr>
        <w:t>整后的股本额</w:t>
      </w:r>
      <w:r>
        <w:rPr>
          <w:rFonts w:ascii="宋体" w:hAnsi="宋体" w:cs="宋体" w:eastAsia="宋体" w:hint="default"/>
          <w:spacing w:val="-57"/>
          <w:sz w:val="21"/>
          <w:szCs w:val="21"/>
        </w:rPr>
        <w:t> </w:t>
      </w:r>
      <w:r>
        <w:rPr>
          <w:rFonts w:ascii="Times New Roman" w:hAnsi="Times New Roman" w:cs="Times New Roman" w:eastAsia="Times New Roman" w:hint="default"/>
          <w:sz w:val="20"/>
          <w:szCs w:val="20"/>
        </w:rPr>
        <w:t>6,729,768,000</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股计算。</w:t>
      </w:r>
    </w:p>
    <w:p>
      <w:pPr>
        <w:spacing w:line="240" w:lineRule="auto" w:before="1"/>
        <w:rPr>
          <w:rFonts w:ascii="宋体" w:hAnsi="宋体" w:cs="宋体" w:eastAsia="宋体" w:hint="default"/>
          <w:sz w:val="26"/>
          <w:szCs w:val="26"/>
        </w:rPr>
      </w:pPr>
    </w:p>
    <w:p>
      <w:pPr>
        <w:pStyle w:val="BodyText"/>
        <w:spacing w:line="338" w:lineRule="auto"/>
        <w:ind w:left="240" w:right="237" w:firstLine="480"/>
        <w:jc w:val="left"/>
      </w:pPr>
      <w:r>
        <w:rPr>
          <w:rFonts w:ascii="Times New Roman" w:hAnsi="Times New Roman" w:cs="Times New Roman" w:eastAsia="Times New Roman" w:hint="default"/>
        </w:rPr>
        <w:t>3</w:t>
      </w:r>
      <w:r>
        <w:rPr/>
        <w:t>、按照中国证监会《公开发行证券的公司信息披露编报规则第 </w:t>
      </w:r>
      <w:r>
        <w:rPr>
          <w:rFonts w:ascii="Times New Roman" w:hAnsi="Times New Roman" w:cs="Times New Roman" w:eastAsia="Times New Roman" w:hint="default"/>
        </w:rPr>
        <w:t>9 </w:t>
      </w:r>
      <w:r>
        <w:rPr>
          <w:spacing w:val="-18"/>
        </w:rPr>
        <w:t>号》（</w:t>
      </w:r>
      <w:r>
        <w:rPr>
          <w:rFonts w:ascii="Times New Roman" w:hAnsi="Times New Roman" w:cs="Times New Roman" w:eastAsia="Times New Roman" w:hint="default"/>
          <w:spacing w:val="-18"/>
        </w:rPr>
        <w:t>2010</w:t>
      </w:r>
      <w:r>
        <w:rPr>
          <w:rFonts w:ascii="Times New Roman" w:hAnsi="Times New Roman" w:cs="Times New Roman" w:eastAsia="Times New Roman" w:hint="default"/>
          <w:spacing w:val="33"/>
        </w:rPr>
        <w:t> </w:t>
      </w:r>
      <w:r>
        <w:rPr/>
        <w:t>年修 订）的要求计算的净资产收益率和每股收益</w:t>
      </w:r>
    </w:p>
    <w:p>
      <w:pPr>
        <w:spacing w:line="240" w:lineRule="auto" w:before="3"/>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4680"/>
        <w:gridCol w:w="1331"/>
        <w:gridCol w:w="1534"/>
        <w:gridCol w:w="1700"/>
      </w:tblGrid>
      <w:tr>
        <w:trPr>
          <w:trHeight w:val="350" w:hRule="exact"/>
        </w:trPr>
        <w:tc>
          <w:tcPr>
            <w:tcW w:w="4680" w:type="dxa"/>
            <w:vMerge w:val="restart"/>
            <w:tcBorders>
              <w:top w:val="single" w:sz="12" w:space="0" w:color="000000"/>
              <w:left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16"/>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331" w:type="dxa"/>
            <w:vMerge w:val="restart"/>
            <w:tcBorders>
              <w:top w:val="single" w:sz="12" w:space="0" w:color="000000"/>
              <w:left w:val="single" w:sz="4" w:space="0" w:color="000000"/>
              <w:right w:val="single" w:sz="4" w:space="0" w:color="000000"/>
            </w:tcBorders>
          </w:tcPr>
          <w:p>
            <w:pPr>
              <w:pStyle w:val="TableParagraph"/>
              <w:spacing w:line="272" w:lineRule="exact" w:before="149"/>
              <w:ind w:left="135" w:right="133"/>
              <w:jc w:val="left"/>
              <w:rPr>
                <w:rFonts w:ascii="宋体" w:hAnsi="宋体" w:cs="宋体" w:eastAsia="宋体" w:hint="default"/>
                <w:sz w:val="21"/>
                <w:szCs w:val="21"/>
              </w:rPr>
            </w:pPr>
            <w:r>
              <w:rPr>
                <w:rFonts w:ascii="宋体" w:hAnsi="宋体" w:cs="宋体" w:eastAsia="宋体" w:hint="default"/>
                <w:sz w:val="21"/>
                <w:szCs w:val="21"/>
              </w:rPr>
              <w:t>加权平均净 资产收益率</w:t>
            </w:r>
          </w:p>
        </w:tc>
        <w:tc>
          <w:tcPr>
            <w:tcW w:w="3234"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71" w:lineRule="exact"/>
              <w:ind w:left="8"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56" w:hRule="exact"/>
        </w:trPr>
        <w:tc>
          <w:tcPr>
            <w:tcW w:w="4680" w:type="dxa"/>
            <w:vMerge/>
            <w:tcBorders>
              <w:left w:val="single" w:sz="12" w:space="0" w:color="000000"/>
              <w:bottom w:val="single" w:sz="4" w:space="0" w:color="000000"/>
              <w:right w:val="single" w:sz="4" w:space="0" w:color="000000"/>
            </w:tcBorders>
          </w:tcPr>
          <w:p>
            <w:pPr/>
          </w:p>
        </w:tc>
        <w:tc>
          <w:tcPr>
            <w:tcW w:w="1331"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w:t>
            </w:r>
          </w:p>
        </w:tc>
        <w:tc>
          <w:tcPr>
            <w:tcW w:w="1700"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稀释每股</w:t>
            </w:r>
          </w:p>
          <w:p>
            <w:pPr>
              <w:pStyle w:val="TableParagraph"/>
              <w:spacing w:line="274" w:lineRule="exact"/>
              <w:ind w:left="10" w:right="0"/>
              <w:jc w:val="center"/>
              <w:rPr>
                <w:rFonts w:ascii="宋体" w:hAnsi="宋体" w:cs="宋体" w:eastAsia="宋体" w:hint="default"/>
                <w:sz w:val="21"/>
                <w:szCs w:val="21"/>
              </w:rPr>
            </w:pPr>
            <w:r>
              <w:rPr>
                <w:rFonts w:ascii="宋体" w:hAnsi="宋体" w:cs="宋体" w:eastAsia="宋体" w:hint="default"/>
                <w:sz w:val="21"/>
                <w:szCs w:val="21"/>
              </w:rPr>
              <w:t>收益</w:t>
            </w:r>
          </w:p>
        </w:tc>
      </w:tr>
      <w:tr>
        <w:trPr>
          <w:trHeight w:val="413" w:hRule="exact"/>
        </w:trPr>
        <w:tc>
          <w:tcPr>
            <w:tcW w:w="46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0"/>
              <w:ind w:left="9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sz w:val="21"/>
              </w:rPr>
              <w:t>24.48%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sz w:val="21"/>
              </w:rPr>
              <w:t>0.57</w:t>
            </w:r>
          </w:p>
        </w:tc>
        <w:tc>
          <w:tcPr>
            <w:tcW w:w="1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8"/>
              <w:ind w:left="9" w:right="0"/>
              <w:jc w:val="center"/>
              <w:rPr>
                <w:rFonts w:ascii="Times New Roman" w:hAnsi="Times New Roman" w:cs="Times New Roman" w:eastAsia="Times New Roman" w:hint="default"/>
                <w:sz w:val="21"/>
                <w:szCs w:val="21"/>
              </w:rPr>
            </w:pPr>
            <w:r>
              <w:rPr>
                <w:rFonts w:ascii="Times New Roman"/>
                <w:sz w:val="21"/>
              </w:rPr>
              <w:t>0.57</w:t>
            </w:r>
          </w:p>
        </w:tc>
      </w:tr>
      <w:tr>
        <w:trPr>
          <w:trHeight w:val="566" w:hRule="exact"/>
        </w:trPr>
        <w:tc>
          <w:tcPr>
            <w:tcW w:w="4680" w:type="dxa"/>
            <w:tcBorders>
              <w:top w:val="single" w:sz="4" w:space="0" w:color="000000"/>
              <w:left w:val="single" w:sz="12" w:space="0" w:color="000000"/>
              <w:bottom w:val="single" w:sz="12"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扣除非经常性损益后归属于公司普通股股东的净</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3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24.58%</w:t>
            </w: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0.58</w:t>
            </w:r>
          </w:p>
        </w:tc>
        <w:tc>
          <w:tcPr>
            <w:tcW w:w="17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50"/>
              <w:ind w:left="9" w:right="0"/>
              <w:jc w:val="center"/>
              <w:rPr>
                <w:rFonts w:ascii="Times New Roman" w:hAnsi="Times New Roman" w:cs="Times New Roman" w:eastAsia="Times New Roman" w:hint="default"/>
                <w:sz w:val="21"/>
                <w:szCs w:val="21"/>
              </w:rPr>
            </w:pPr>
            <w:r>
              <w:rPr>
                <w:rFonts w:ascii="Times New Roman"/>
                <w:sz w:val="21"/>
              </w:rPr>
              <w:t>0.58</w:t>
            </w:r>
          </w:p>
        </w:tc>
      </w:tr>
    </w:tbl>
    <w:p>
      <w:pPr>
        <w:spacing w:line="240" w:lineRule="auto" w:before="9"/>
        <w:rPr>
          <w:rFonts w:ascii="宋体" w:hAnsi="宋体" w:cs="宋体" w:eastAsia="宋体" w:hint="default"/>
          <w:sz w:val="26"/>
          <w:szCs w:val="26"/>
        </w:rPr>
      </w:pPr>
    </w:p>
    <w:p>
      <w:pPr>
        <w:tabs>
          <w:tab w:pos="7439" w:val="left" w:leader="none"/>
        </w:tabs>
        <w:spacing w:before="26"/>
        <w:ind w:left="720" w:right="119" w:firstLine="0"/>
        <w:jc w:val="left"/>
        <w:rPr>
          <w:rFonts w:ascii="宋体" w:hAnsi="宋体" w:cs="宋体" w:eastAsia="宋体" w:hint="default"/>
          <w:sz w:val="21"/>
          <w:szCs w:val="21"/>
        </w:rPr>
      </w:pPr>
      <w:r>
        <w:rPr>
          <w:rFonts w:ascii="宋体" w:hAnsi="宋体" w:cs="宋体" w:eastAsia="宋体" w:hint="default"/>
          <w:sz w:val="24"/>
          <w:szCs w:val="24"/>
        </w:rPr>
        <w:t>三、报告期内归属于母公司所有者权益变动情况</w:t>
        <w:tab/>
      </w:r>
      <w:r>
        <w:rPr>
          <w:rFonts w:ascii="宋体" w:hAnsi="宋体" w:cs="宋体" w:eastAsia="宋体" w:hint="default"/>
          <w:sz w:val="21"/>
          <w:szCs w:val="21"/>
        </w:rPr>
        <w:t>（单位：千元）</w:t>
      </w:r>
    </w:p>
    <w:p>
      <w:pPr>
        <w:spacing w:line="240" w:lineRule="auto" w:before="10"/>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1229"/>
        <w:gridCol w:w="1114"/>
        <w:gridCol w:w="1487"/>
        <w:gridCol w:w="1112"/>
        <w:gridCol w:w="1488"/>
        <w:gridCol w:w="1494"/>
        <w:gridCol w:w="1321"/>
      </w:tblGrid>
      <w:tr>
        <w:trPr>
          <w:trHeight w:val="839" w:hRule="exact"/>
        </w:trPr>
        <w:tc>
          <w:tcPr>
            <w:tcW w:w="122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4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盈余公积</w:t>
            </w:r>
          </w:p>
        </w:tc>
        <w:tc>
          <w:tcPr>
            <w:tcW w:w="14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94"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30"/>
              <w:ind w:left="321" w:right="320"/>
              <w:jc w:val="left"/>
              <w:rPr>
                <w:rFonts w:ascii="宋体" w:hAnsi="宋体" w:cs="宋体" w:eastAsia="宋体" w:hint="default"/>
                <w:sz w:val="21"/>
                <w:szCs w:val="21"/>
              </w:rPr>
            </w:pPr>
            <w:r>
              <w:rPr>
                <w:rFonts w:ascii="宋体" w:hAnsi="宋体" w:cs="宋体" w:eastAsia="宋体" w:hint="default"/>
                <w:sz w:val="21"/>
                <w:szCs w:val="21"/>
              </w:rPr>
              <w:t>外币报表 折算差额</w:t>
            </w:r>
          </w:p>
        </w:tc>
        <w:tc>
          <w:tcPr>
            <w:tcW w:w="1321" w:type="dxa"/>
            <w:tcBorders>
              <w:top w:val="single" w:sz="12" w:space="0" w:color="000000"/>
              <w:left w:val="single" w:sz="4" w:space="0" w:color="000000"/>
              <w:bottom w:val="single" w:sz="4"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归属于母公司</w:t>
            </w:r>
          </w:p>
          <w:p>
            <w:pPr>
              <w:pStyle w:val="TableParagraph"/>
              <w:spacing w:line="240" w:lineRule="auto"/>
              <w:ind w:left="130" w:right="119"/>
              <w:jc w:val="center"/>
              <w:rPr>
                <w:rFonts w:ascii="宋体" w:hAnsi="宋体" w:cs="宋体" w:eastAsia="宋体" w:hint="default"/>
                <w:sz w:val="21"/>
                <w:szCs w:val="21"/>
              </w:rPr>
            </w:pPr>
            <w:r>
              <w:rPr>
                <w:rFonts w:ascii="宋体" w:hAnsi="宋体" w:cs="宋体" w:eastAsia="宋体" w:hint="default"/>
                <w:sz w:val="21"/>
                <w:szCs w:val="21"/>
              </w:rPr>
              <w:t>所有者权益 合计</w:t>
            </w:r>
          </w:p>
        </w:tc>
      </w:tr>
      <w:tr>
        <w:trPr>
          <w:trHeight w:val="370" w:hRule="exact"/>
        </w:trPr>
        <w:tc>
          <w:tcPr>
            <w:tcW w:w="12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5" w:right="0"/>
              <w:jc w:val="center"/>
              <w:rPr>
                <w:rFonts w:ascii="Times New Roman" w:hAnsi="Times New Roman" w:cs="Times New Roman" w:eastAsia="Times New Roman" w:hint="default"/>
                <w:sz w:val="21"/>
                <w:szCs w:val="21"/>
              </w:rPr>
            </w:pPr>
            <w:r>
              <w:rPr>
                <w:rFonts w:ascii="Times New Roman"/>
                <w:sz w:val="21"/>
              </w:rPr>
              <w:t>4,664,141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2,975,652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21"/>
                <w:szCs w:val="21"/>
              </w:rPr>
            </w:pPr>
            <w:r>
              <w:rPr>
                <w:rFonts w:ascii="Times New Roman"/>
                <w:spacing w:val="-1"/>
                <w:sz w:val="21"/>
              </w:rPr>
              <w:t>517,465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6,383,317</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21"/>
                <w:szCs w:val="21"/>
              </w:rPr>
            </w:pPr>
            <w:r>
              <w:rPr>
                <w:rFonts w:ascii="Times New Roman"/>
                <w:sz w:val="21"/>
              </w:rPr>
              <w:t>-229</w:t>
            </w:r>
          </w:p>
        </w:tc>
        <w:tc>
          <w:tcPr>
            <w:tcW w:w="13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90"/>
              <w:jc w:val="right"/>
              <w:rPr>
                <w:rFonts w:ascii="Times New Roman" w:hAnsi="Times New Roman" w:cs="Times New Roman" w:eastAsia="Times New Roman" w:hint="default"/>
                <w:sz w:val="21"/>
                <w:szCs w:val="21"/>
              </w:rPr>
            </w:pPr>
            <w:r>
              <w:rPr>
                <w:rFonts w:ascii="Times New Roman"/>
                <w:spacing w:val="-1"/>
                <w:sz w:val="21"/>
              </w:rPr>
              <w:t>14,540,346</w:t>
            </w:r>
          </w:p>
        </w:tc>
      </w:tr>
      <w:tr>
        <w:trPr>
          <w:trHeight w:val="368" w:hRule="exact"/>
        </w:trPr>
        <w:tc>
          <w:tcPr>
            <w:tcW w:w="12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5" w:right="0"/>
              <w:jc w:val="center"/>
              <w:rPr>
                <w:rFonts w:ascii="Times New Roman" w:hAnsi="Times New Roman" w:cs="Times New Roman" w:eastAsia="Times New Roman" w:hint="default"/>
                <w:sz w:val="21"/>
                <w:szCs w:val="21"/>
              </w:rPr>
            </w:pPr>
            <w:r>
              <w:rPr>
                <w:rFonts w:ascii="Times New Roman"/>
                <w:sz w:val="21"/>
              </w:rPr>
              <w:t>2,332,071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14,543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21"/>
                <w:szCs w:val="21"/>
              </w:rPr>
            </w:pPr>
            <w:r>
              <w:rPr>
                <w:rFonts w:ascii="Times New Roman"/>
                <w:spacing w:val="-1"/>
                <w:sz w:val="21"/>
              </w:rPr>
              <w:t>229,064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2"/>
                <w:sz w:val="21"/>
              </w:rPr>
              <w:t>4,011,820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7,523</w:t>
            </w:r>
          </w:p>
        </w:tc>
        <w:tc>
          <w:tcPr>
            <w:tcW w:w="13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90"/>
              <w:jc w:val="right"/>
              <w:rPr>
                <w:rFonts w:ascii="Times New Roman" w:hAnsi="Times New Roman" w:cs="Times New Roman" w:eastAsia="Times New Roman" w:hint="default"/>
                <w:sz w:val="21"/>
                <w:szCs w:val="21"/>
              </w:rPr>
            </w:pPr>
            <w:r>
              <w:rPr>
                <w:rFonts w:ascii="Times New Roman"/>
                <w:spacing w:val="-1"/>
                <w:sz w:val="21"/>
              </w:rPr>
              <w:t>6,595,021</w:t>
            </w:r>
          </w:p>
        </w:tc>
      </w:tr>
      <w:tr>
        <w:trPr>
          <w:trHeight w:val="370" w:hRule="exact"/>
        </w:trPr>
        <w:tc>
          <w:tcPr>
            <w:tcW w:w="12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14"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2,334,907</w:t>
            </w:r>
          </w:p>
        </w:tc>
        <w:tc>
          <w:tcPr>
            <w:tcW w:w="111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21"/>
                <w:szCs w:val="21"/>
              </w:rPr>
            </w:pPr>
            <w:r>
              <w:rPr>
                <w:rFonts w:ascii="Times New Roman"/>
                <w:spacing w:val="-1"/>
                <w:sz w:val="21"/>
              </w:rPr>
              <w:t>462,271</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91"/>
              <w:jc w:val="right"/>
              <w:rPr>
                <w:rFonts w:ascii="Times New Roman" w:hAnsi="Times New Roman" w:cs="Times New Roman" w:eastAsia="Times New Roman" w:hint="default"/>
                <w:sz w:val="21"/>
                <w:szCs w:val="21"/>
              </w:rPr>
            </w:pPr>
            <w:r>
              <w:rPr>
                <w:rFonts w:ascii="Times New Roman"/>
                <w:spacing w:val="-1"/>
                <w:sz w:val="21"/>
              </w:rPr>
              <w:t>2,797,178</w:t>
            </w:r>
          </w:p>
        </w:tc>
      </w:tr>
      <w:tr>
        <w:trPr>
          <w:trHeight w:val="368" w:hRule="exact"/>
        </w:trPr>
        <w:tc>
          <w:tcPr>
            <w:tcW w:w="12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5" w:right="0"/>
              <w:jc w:val="center"/>
              <w:rPr>
                <w:rFonts w:ascii="Times New Roman" w:hAnsi="Times New Roman" w:cs="Times New Roman" w:eastAsia="Times New Roman" w:hint="default"/>
                <w:sz w:val="21"/>
                <w:szCs w:val="21"/>
              </w:rPr>
            </w:pPr>
            <w:r>
              <w:rPr>
                <w:rFonts w:ascii="Times New Roman"/>
                <w:sz w:val="21"/>
              </w:rPr>
              <w:t>6,996,212</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655,288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21"/>
                <w:szCs w:val="21"/>
              </w:rPr>
            </w:pPr>
            <w:r>
              <w:rPr>
                <w:rFonts w:ascii="Times New Roman"/>
                <w:spacing w:val="-1"/>
                <w:sz w:val="21"/>
              </w:rPr>
              <w:t>746,529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9,932,866</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21"/>
                <w:szCs w:val="21"/>
              </w:rPr>
            </w:pPr>
            <w:r>
              <w:rPr>
                <w:rFonts w:ascii="Times New Roman"/>
                <w:spacing w:val="-1"/>
                <w:sz w:val="21"/>
              </w:rPr>
              <w:t>7,294</w:t>
            </w:r>
          </w:p>
        </w:tc>
        <w:tc>
          <w:tcPr>
            <w:tcW w:w="13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90"/>
              <w:jc w:val="right"/>
              <w:rPr>
                <w:rFonts w:ascii="Times New Roman" w:hAnsi="Times New Roman" w:cs="Times New Roman" w:eastAsia="Times New Roman" w:hint="default"/>
                <w:sz w:val="21"/>
                <w:szCs w:val="21"/>
              </w:rPr>
            </w:pPr>
            <w:r>
              <w:rPr>
                <w:rFonts w:ascii="Times New Roman"/>
                <w:spacing w:val="-1"/>
                <w:sz w:val="21"/>
              </w:rPr>
              <w:t>18,338,189</w:t>
            </w:r>
          </w:p>
        </w:tc>
      </w:tr>
      <w:tr>
        <w:trPr>
          <w:trHeight w:val="1386" w:hRule="exact"/>
        </w:trPr>
        <w:tc>
          <w:tcPr>
            <w:tcW w:w="122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1114" w:type="dxa"/>
            <w:tcBorders>
              <w:top w:val="single" w:sz="4" w:space="0" w:color="000000"/>
              <w:left w:val="single" w:sz="4" w:space="0" w:color="000000"/>
              <w:bottom w:val="single" w:sz="12" w:space="0" w:color="000000"/>
              <w:right w:val="single" w:sz="4" w:space="0" w:color="000000"/>
            </w:tcBorders>
          </w:tcPr>
          <w:p>
            <w:pPr>
              <w:pStyle w:val="TableParagraph"/>
              <w:spacing w:line="237" w:lineRule="auto" w:before="105"/>
              <w:ind w:left="103" w:right="82"/>
              <w:jc w:val="both"/>
              <w:rPr>
                <w:rFonts w:ascii="宋体" w:hAnsi="宋体" w:cs="宋体" w:eastAsia="宋体" w:hint="default"/>
                <w:sz w:val="21"/>
                <w:szCs w:val="21"/>
              </w:rPr>
            </w:pPr>
            <w:r>
              <w:rPr>
                <w:rFonts w:ascii="宋体" w:hAnsi="宋体" w:cs="宋体" w:eastAsia="宋体" w:hint="default"/>
                <w:spacing w:val="14"/>
                <w:sz w:val="21"/>
                <w:szCs w:val="21"/>
              </w:rPr>
              <w:t>报告期内</w:t>
            </w:r>
            <w:r>
              <w:rPr>
                <w:rFonts w:ascii="宋体" w:hAnsi="宋体" w:cs="宋体" w:eastAsia="宋体" w:hint="default"/>
                <w:spacing w:val="-86"/>
                <w:sz w:val="21"/>
                <w:szCs w:val="21"/>
              </w:rPr>
              <w:t> </w:t>
            </w:r>
            <w:r>
              <w:rPr>
                <w:rFonts w:ascii="宋体" w:hAnsi="宋体" w:cs="宋体" w:eastAsia="宋体" w:hint="default"/>
                <w:spacing w:val="14"/>
                <w:sz w:val="21"/>
                <w:szCs w:val="21"/>
              </w:rPr>
              <w:t>实施资本</w:t>
            </w:r>
            <w:r>
              <w:rPr>
                <w:rFonts w:ascii="宋体" w:hAnsi="宋体" w:cs="宋体" w:eastAsia="宋体" w:hint="default"/>
                <w:spacing w:val="-86"/>
                <w:sz w:val="21"/>
                <w:szCs w:val="21"/>
              </w:rPr>
              <w:t> </w:t>
            </w:r>
            <w:r>
              <w:rPr>
                <w:rFonts w:ascii="宋体" w:hAnsi="宋体" w:cs="宋体" w:eastAsia="宋体" w:hint="default"/>
                <w:spacing w:val="14"/>
                <w:sz w:val="21"/>
                <w:szCs w:val="21"/>
              </w:rPr>
              <w:t>公积金转</w:t>
            </w:r>
            <w:r>
              <w:rPr>
                <w:rFonts w:ascii="宋体" w:hAnsi="宋体" w:cs="宋体" w:eastAsia="宋体" w:hint="default"/>
                <w:spacing w:val="-86"/>
                <w:sz w:val="21"/>
                <w:szCs w:val="21"/>
              </w:rPr>
              <w:t> </w:t>
            </w:r>
            <w:r>
              <w:rPr>
                <w:rFonts w:ascii="宋体" w:hAnsi="宋体" w:cs="宋体" w:eastAsia="宋体" w:hint="default"/>
                <w:sz w:val="21"/>
                <w:szCs w:val="21"/>
              </w:rPr>
              <w:t>增股本；</w:t>
            </w:r>
          </w:p>
        </w:tc>
        <w:tc>
          <w:tcPr>
            <w:tcW w:w="1487" w:type="dxa"/>
            <w:tcBorders>
              <w:top w:val="single" w:sz="4" w:space="0" w:color="000000"/>
              <w:left w:val="single" w:sz="4" w:space="0" w:color="000000"/>
              <w:bottom w:val="single" w:sz="12" w:space="0" w:color="000000"/>
              <w:right w:val="single" w:sz="4" w:space="0" w:color="000000"/>
            </w:tcBorders>
          </w:tcPr>
          <w:p>
            <w:pPr>
              <w:pStyle w:val="TableParagraph"/>
              <w:spacing w:line="237" w:lineRule="auto" w:before="105"/>
              <w:ind w:left="103" w:right="101"/>
              <w:jc w:val="left"/>
              <w:rPr>
                <w:rFonts w:ascii="宋体" w:hAnsi="宋体" w:cs="宋体" w:eastAsia="宋体" w:hint="default"/>
                <w:sz w:val="21"/>
                <w:szCs w:val="21"/>
              </w:rPr>
            </w:pPr>
            <w:r>
              <w:rPr>
                <w:rFonts w:ascii="宋体" w:hAnsi="宋体" w:cs="宋体" w:eastAsia="宋体" w:hint="default"/>
                <w:sz w:val="21"/>
                <w:szCs w:val="21"/>
              </w:rPr>
              <w:t>资本公积金转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增股本； 报告期内确认</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期权费用；</w:t>
            </w:r>
          </w:p>
        </w:tc>
        <w:tc>
          <w:tcPr>
            <w:tcW w:w="11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341" w:right="128" w:hanging="210"/>
              <w:jc w:val="left"/>
              <w:rPr>
                <w:rFonts w:ascii="宋体" w:hAnsi="宋体" w:cs="宋体" w:eastAsia="宋体" w:hint="default"/>
                <w:sz w:val="21"/>
                <w:szCs w:val="21"/>
              </w:rPr>
            </w:pPr>
            <w:r>
              <w:rPr>
                <w:rFonts w:ascii="宋体" w:hAnsi="宋体" w:cs="宋体" w:eastAsia="宋体" w:hint="default"/>
                <w:sz w:val="21"/>
                <w:szCs w:val="21"/>
              </w:rPr>
              <w:t>按规定计 提；</w:t>
            </w:r>
          </w:p>
        </w:tc>
        <w:tc>
          <w:tcPr>
            <w:tcW w:w="1488"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4"/>
                <w:sz w:val="21"/>
                <w:szCs w:val="21"/>
              </w:rPr>
              <w:t>本期利润增</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37" w:lineRule="auto" w:before="2"/>
              <w:ind w:left="103" w:right="102"/>
              <w:jc w:val="both"/>
              <w:rPr>
                <w:rFonts w:ascii="宋体" w:hAnsi="宋体" w:cs="宋体" w:eastAsia="宋体" w:hint="default"/>
                <w:sz w:val="21"/>
                <w:szCs w:val="21"/>
              </w:rPr>
            </w:pPr>
            <w:r>
              <w:rPr>
                <w:rFonts w:ascii="宋体" w:hAnsi="宋体" w:cs="宋体" w:eastAsia="宋体" w:hint="default"/>
                <w:sz w:val="21"/>
                <w:szCs w:val="21"/>
              </w:rPr>
              <w:t>加；按规定计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提盈余公积； 报告期内实施</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现金分红；</w:t>
            </w:r>
          </w:p>
        </w:tc>
        <w:tc>
          <w:tcPr>
            <w:tcW w:w="14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pacing w:val="3"/>
                <w:sz w:val="21"/>
                <w:szCs w:val="21"/>
              </w:rPr>
              <w:t>汇率变动对外 币核算报表的 </w:t>
            </w:r>
            <w:r>
              <w:rPr>
                <w:rFonts w:ascii="宋体" w:hAnsi="宋体" w:cs="宋体" w:eastAsia="宋体" w:hint="default"/>
                <w:sz w:val="21"/>
                <w:szCs w:val="21"/>
              </w:rPr>
              <w:t>影响；</w:t>
            </w:r>
          </w:p>
        </w:tc>
        <w:tc>
          <w:tcPr>
            <w:tcW w:w="132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19"/>
              <w:jc w:val="right"/>
              <w:rPr>
                <w:rFonts w:ascii="宋体" w:hAnsi="宋体" w:cs="宋体" w:eastAsia="宋体" w:hint="default"/>
                <w:sz w:val="21"/>
                <w:szCs w:val="21"/>
              </w:rPr>
            </w:pPr>
            <w:r>
              <w:rPr>
                <w:rFonts w:ascii="宋体" w:hAnsi="宋体" w:cs="宋体" w:eastAsia="宋体" w:hint="default"/>
                <w:sz w:val="21"/>
                <w:szCs w:val="21"/>
              </w:rPr>
              <w:t>前述因素。</w:t>
            </w:r>
          </w:p>
        </w:tc>
      </w:tr>
    </w:tbl>
    <w:p>
      <w:pPr>
        <w:spacing w:after="0" w:line="240" w:lineRule="auto"/>
        <w:jc w:val="right"/>
        <w:rPr>
          <w:rFonts w:ascii="宋体" w:hAnsi="宋体" w:cs="宋体" w:eastAsia="宋体" w:hint="default"/>
          <w:sz w:val="21"/>
          <w:szCs w:val="21"/>
        </w:rPr>
        <w:sectPr>
          <w:pgSz w:w="11910" w:h="16840"/>
          <w:pgMar w:header="748" w:footer="714" w:top="980" w:bottom="900" w:left="1200" w:right="1180"/>
        </w:sectPr>
      </w:pPr>
    </w:p>
    <w:p>
      <w:pPr>
        <w:spacing w:line="240" w:lineRule="auto" w:before="0"/>
        <w:rPr>
          <w:rFonts w:ascii="宋体" w:hAnsi="宋体" w:cs="宋体" w:eastAsia="宋体" w:hint="default"/>
          <w:sz w:val="20"/>
          <w:szCs w:val="20"/>
        </w:rPr>
      </w:pPr>
    </w:p>
    <w:p>
      <w:pPr>
        <w:pStyle w:val="Heading1"/>
        <w:tabs>
          <w:tab w:pos="1282" w:val="left" w:leader="none"/>
        </w:tabs>
        <w:spacing w:line="240" w:lineRule="auto"/>
        <w:ind w:right="0"/>
        <w:jc w:val="center"/>
        <w:rPr>
          <w:b w:val="0"/>
          <w:bCs w:val="0"/>
        </w:rPr>
      </w:pPr>
      <w:bookmarkStart w:name="_TOC_250008" w:id="3"/>
      <w:r>
        <w:rPr>
          <w:w w:val="95"/>
        </w:rPr>
        <w:t>第三节</w:t>
        <w:tab/>
      </w:r>
      <w:r>
        <w:rPr/>
        <w:t>股本变动及股东情况</w:t>
      </w:r>
      <w:bookmarkEnd w:id="3"/>
      <w:r>
        <w:rPr>
          <w:b w:val="0"/>
          <w:bCs w:val="0"/>
        </w:rPr>
      </w:r>
    </w:p>
    <w:p>
      <w:pPr>
        <w:pStyle w:val="BodyText"/>
        <w:spacing w:line="240" w:lineRule="auto" w:before="217"/>
        <w:ind w:left="640" w:right="144"/>
        <w:jc w:val="left"/>
      </w:pPr>
      <w:r>
        <w:rPr/>
        <w:t>一、股本变动情况</w:t>
      </w:r>
    </w:p>
    <w:p>
      <w:pPr>
        <w:tabs>
          <w:tab w:pos="7599" w:val="left" w:leader="none"/>
        </w:tabs>
        <w:spacing w:before="154"/>
        <w:ind w:left="640" w:right="144"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1</w:t>
      </w:r>
      <w:r>
        <w:rPr>
          <w:rFonts w:ascii="宋体" w:hAnsi="宋体" w:cs="宋体" w:eastAsia="宋体" w:hint="default"/>
          <w:sz w:val="24"/>
          <w:szCs w:val="24"/>
        </w:rPr>
        <w:t>、股本变动情况表</w:t>
        <w:tab/>
      </w:r>
      <w:r>
        <w:rPr>
          <w:rFonts w:ascii="宋体" w:hAnsi="宋体" w:cs="宋体" w:eastAsia="宋体" w:hint="default"/>
          <w:sz w:val="21"/>
          <w:szCs w:val="21"/>
        </w:rPr>
        <w:t>（单位：股）</w:t>
      </w:r>
    </w:p>
    <w:p>
      <w:pPr>
        <w:spacing w:line="240" w:lineRule="auto" w:before="7"/>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2030"/>
        <w:gridCol w:w="1093"/>
        <w:gridCol w:w="516"/>
        <w:gridCol w:w="1093"/>
        <w:gridCol w:w="1147"/>
        <w:gridCol w:w="1147"/>
        <w:gridCol w:w="1092"/>
        <w:gridCol w:w="728"/>
      </w:tblGrid>
      <w:tr>
        <w:trPr>
          <w:trHeight w:val="485" w:hRule="exact"/>
        </w:trPr>
        <w:tc>
          <w:tcPr>
            <w:tcW w:w="2030" w:type="dxa"/>
            <w:vMerge w:val="restart"/>
            <w:tcBorders>
              <w:top w:val="single" w:sz="12" w:space="0" w:color="000000"/>
              <w:left w:val="single" w:sz="12" w:space="0" w:color="000000"/>
              <w:right w:val="single" w:sz="4" w:space="0" w:color="000000"/>
            </w:tcBorders>
          </w:tcPr>
          <w:p>
            <w:pPr/>
          </w:p>
        </w:tc>
        <w:tc>
          <w:tcPr>
            <w:tcW w:w="160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left="274"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38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left="64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20"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3"/>
              <w:ind w:left="38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7" w:hRule="exact"/>
        </w:trPr>
        <w:tc>
          <w:tcPr>
            <w:tcW w:w="2030" w:type="dxa"/>
            <w:vMerge/>
            <w:tcBorders>
              <w:left w:val="single" w:sz="12"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94" w:right="0"/>
              <w:jc w:val="left"/>
              <w:rPr>
                <w:rFonts w:ascii="Times New Roman" w:hAnsi="Times New Roman" w:cs="Times New Roman" w:eastAsia="Times New Roman" w:hint="default"/>
                <w:sz w:val="21"/>
                <w:szCs w:val="21"/>
              </w:rPr>
            </w:pPr>
            <w:r>
              <w:rPr>
                <w:rFonts w:ascii="Times New Roman"/>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其他（注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tabs>
                <w:tab w:pos="357" w:val="left" w:leader="none"/>
              </w:tabs>
              <w:spacing w:line="240" w:lineRule="auto" w:before="102"/>
              <w:ind w:left="-138" w:right="0"/>
              <w:jc w:val="left"/>
              <w:rPr>
                <w:rFonts w:ascii="宋体" w:hAnsi="宋体" w:cs="宋体" w:eastAsia="宋体" w:hint="default"/>
                <w:sz w:val="21"/>
                <w:szCs w:val="21"/>
              </w:rPr>
            </w:pPr>
            <w:r>
              <w:rPr>
                <w:rFonts w:ascii="宋体" w:hAnsi="宋体" w:cs="宋体" w:eastAsia="宋体" w:hint="default"/>
                <w:sz w:val="21"/>
                <w:szCs w:val="21"/>
              </w:rPr>
              <w:t>）</w:t>
              <w:tab/>
              <w:t>小计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8" w:type="dxa"/>
            <w:tcBorders>
              <w:top w:val="single" w:sz="4" w:space="0" w:color="000000"/>
              <w:left w:val="single" w:sz="4" w:space="0" w:color="000000"/>
              <w:bottom w:val="single" w:sz="4" w:space="0" w:color="000000"/>
              <w:right w:val="single" w:sz="12" w:space="0" w:color="000000"/>
            </w:tcBorders>
          </w:tcPr>
          <w:p>
            <w:pPr>
              <w:pStyle w:val="TableParagraph"/>
              <w:spacing w:line="256" w:lineRule="exact"/>
              <w:ind w:left="15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02" w:right="0"/>
              <w:jc w:val="left"/>
              <w:rPr>
                <w:rFonts w:ascii="Times New Roman" w:hAnsi="Times New Roman" w:cs="Times New Roman" w:eastAsia="Times New Roman" w:hint="default"/>
                <w:sz w:val="21"/>
                <w:szCs w:val="21"/>
              </w:rPr>
            </w:pPr>
            <w:r>
              <w:rPr>
                <w:rFonts w:ascii="Times New Roman"/>
                <w:sz w:val="21"/>
              </w:rPr>
              <w:t>(%)</w:t>
            </w:r>
          </w:p>
        </w:tc>
      </w:tr>
      <w:tr>
        <w:trPr>
          <w:trHeight w:val="474" w:hRule="exact"/>
        </w:trPr>
        <w:tc>
          <w:tcPr>
            <w:tcW w:w="20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1,521,571,524</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32.62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760,785,762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-728,233,933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32,551,829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1,554,123,353</w:t>
            </w:r>
          </w:p>
        </w:tc>
        <w:tc>
          <w:tcPr>
            <w:tcW w:w="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1"/>
              <w:jc w:val="right"/>
              <w:rPr>
                <w:rFonts w:ascii="Times New Roman" w:hAnsi="Times New Roman" w:cs="Times New Roman" w:eastAsia="Times New Roman" w:hint="default"/>
                <w:sz w:val="18"/>
                <w:szCs w:val="18"/>
              </w:rPr>
            </w:pPr>
            <w:r>
              <w:rPr>
                <w:rFonts w:ascii="Times New Roman"/>
                <w:sz w:val="18"/>
              </w:rPr>
              <w:t>22.21</w:t>
            </w:r>
          </w:p>
        </w:tc>
      </w:tr>
      <w:tr>
        <w:trPr>
          <w:trHeight w:val="475" w:hRule="exact"/>
        </w:trPr>
        <w:tc>
          <w:tcPr>
            <w:tcW w:w="20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9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0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09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0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1,443,207,620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30.94</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721,603,810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9" w:right="0"/>
              <w:jc w:val="left"/>
              <w:rPr>
                <w:rFonts w:ascii="Times New Roman" w:hAnsi="Times New Roman" w:cs="Times New Roman" w:eastAsia="Times New Roman" w:hint="default"/>
                <w:sz w:val="18"/>
                <w:szCs w:val="18"/>
              </w:rPr>
            </w:pPr>
            <w:r>
              <w:rPr>
                <w:rFonts w:ascii="Times New Roman"/>
                <w:sz w:val="18"/>
              </w:rPr>
              <w:t>-2,138,648,640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-1,417,044,830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26,162,790</w:t>
            </w:r>
          </w:p>
        </w:tc>
        <w:tc>
          <w:tcPr>
            <w:tcW w:w="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1"/>
              <w:jc w:val="right"/>
              <w:rPr>
                <w:rFonts w:ascii="Times New Roman" w:hAnsi="Times New Roman" w:cs="Times New Roman" w:eastAsia="Times New Roman" w:hint="default"/>
                <w:sz w:val="18"/>
                <w:szCs w:val="18"/>
              </w:rPr>
            </w:pPr>
            <w:r>
              <w:rPr>
                <w:rFonts w:ascii="Times New Roman"/>
                <w:sz w:val="18"/>
              </w:rPr>
              <w:t>0.37</w:t>
            </w:r>
          </w:p>
        </w:tc>
      </w:tr>
      <w:tr>
        <w:trPr>
          <w:trHeight w:val="556" w:hRule="exact"/>
        </w:trPr>
        <w:tc>
          <w:tcPr>
            <w:tcW w:w="2030"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118" w:right="0"/>
              <w:jc w:val="left"/>
              <w:rPr>
                <w:rFonts w:ascii="宋体" w:hAnsi="宋体" w:cs="宋体" w:eastAsia="宋体" w:hint="default"/>
                <w:sz w:val="21"/>
                <w:szCs w:val="21"/>
              </w:rPr>
            </w:pPr>
            <w:r>
              <w:rPr>
                <w:rFonts w:ascii="宋体" w:hAnsi="宋体" w:cs="宋体" w:eastAsia="宋体" w:hint="default"/>
                <w:spacing w:val="-3"/>
                <w:sz w:val="21"/>
                <w:szCs w:val="21"/>
              </w:rPr>
              <w:t>其中：境内非国有法</w:t>
            </w:r>
          </w:p>
          <w:p>
            <w:pPr>
              <w:pStyle w:val="TableParagraph"/>
              <w:spacing w:line="274" w:lineRule="exact"/>
              <w:ind w:left="13"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142,000,000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3.04</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71,000,000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-213,000,000</w:t>
            </w:r>
            <w:r>
              <w:rPr>
                <w:rFonts w:ascii="Times New Roman"/>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-142,000,000</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12" w:space="0" w:color="000000"/>
            </w:tcBorders>
          </w:tcPr>
          <w:p>
            <w:pPr/>
          </w:p>
        </w:tc>
      </w:tr>
      <w:tr>
        <w:trPr>
          <w:trHeight w:val="556" w:hRule="exact"/>
        </w:trPr>
        <w:tc>
          <w:tcPr>
            <w:tcW w:w="2030"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748"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4" w:lineRule="exact"/>
              <w:ind w:left="1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1,301,207,620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27.90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650,603,810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-1,925,648,640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-1,275,044,830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26,162,790</w:t>
            </w:r>
          </w:p>
        </w:tc>
        <w:tc>
          <w:tcPr>
            <w:tcW w:w="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0.37</w:t>
            </w:r>
          </w:p>
        </w:tc>
      </w:tr>
      <w:tr>
        <w:trPr>
          <w:trHeight w:val="475" w:hRule="exact"/>
        </w:trPr>
        <w:tc>
          <w:tcPr>
            <w:tcW w:w="20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18,187,384</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0.39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9,093,692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-27,281,076</w:t>
            </w:r>
            <w:r>
              <w:rPr>
                <w:rFonts w:ascii="Times New Roman"/>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-18,187,384</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5" w:hRule="exact"/>
        </w:trPr>
        <w:tc>
          <w:tcPr>
            <w:tcW w:w="20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18" w:right="0"/>
              <w:jc w:val="left"/>
              <w:rPr>
                <w:rFonts w:ascii="宋体" w:hAnsi="宋体" w:cs="宋体" w:eastAsia="宋体" w:hint="default"/>
                <w:sz w:val="21"/>
                <w:szCs w:val="21"/>
              </w:rPr>
            </w:pPr>
            <w:r>
              <w:rPr>
                <w:rFonts w:ascii="宋体" w:hAnsi="宋体" w:cs="宋体" w:eastAsia="宋体" w:hint="default"/>
                <w:spacing w:val="-3"/>
                <w:sz w:val="21"/>
                <w:szCs w:val="21"/>
              </w:rPr>
              <w:t>其中：境外法人持股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18,187,384</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0.39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9,093,692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-27,281,076</w:t>
            </w:r>
            <w:r>
              <w:rPr>
                <w:rFonts w:ascii="Times New Roman"/>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-18,187,384</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6" w:hRule="exact"/>
        </w:trPr>
        <w:tc>
          <w:tcPr>
            <w:tcW w:w="2030"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748"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4" w:lineRule="exact"/>
              <w:ind w:left="1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9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0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60,176,520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1.29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30,088,260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7" w:right="0"/>
              <w:jc w:val="left"/>
              <w:rPr>
                <w:rFonts w:ascii="Times New Roman" w:hAnsi="Times New Roman" w:cs="Times New Roman" w:eastAsia="Times New Roman" w:hint="default"/>
                <w:sz w:val="18"/>
                <w:szCs w:val="18"/>
              </w:rPr>
            </w:pPr>
            <w:r>
              <w:rPr>
                <w:rFonts w:ascii="Times New Roman"/>
                <w:sz w:val="18"/>
              </w:rPr>
              <w:t>1,437,695,783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1,467,784,043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1,527,960,563</w:t>
            </w:r>
          </w:p>
        </w:tc>
        <w:tc>
          <w:tcPr>
            <w:tcW w:w="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1"/>
              <w:jc w:val="right"/>
              <w:rPr>
                <w:rFonts w:ascii="Times New Roman" w:hAnsi="Times New Roman" w:cs="Times New Roman" w:eastAsia="Times New Roman" w:hint="default"/>
                <w:sz w:val="18"/>
                <w:szCs w:val="18"/>
              </w:rPr>
            </w:pPr>
            <w:r>
              <w:rPr>
                <w:rFonts w:ascii="Times New Roman"/>
                <w:sz w:val="18"/>
              </w:rPr>
              <w:t>21.84</w:t>
            </w:r>
          </w:p>
        </w:tc>
      </w:tr>
      <w:tr>
        <w:trPr>
          <w:trHeight w:val="475" w:hRule="exact"/>
        </w:trPr>
        <w:tc>
          <w:tcPr>
            <w:tcW w:w="20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3"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3,142,569,720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67.38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1,571,284,860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728,233,933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2,299,518,793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5,442,088,513</w:t>
            </w:r>
          </w:p>
        </w:tc>
        <w:tc>
          <w:tcPr>
            <w:tcW w:w="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1"/>
              <w:jc w:val="right"/>
              <w:rPr>
                <w:rFonts w:ascii="Times New Roman" w:hAnsi="Times New Roman" w:cs="Times New Roman" w:eastAsia="Times New Roman" w:hint="default"/>
                <w:sz w:val="18"/>
                <w:szCs w:val="18"/>
              </w:rPr>
            </w:pPr>
            <w:r>
              <w:rPr>
                <w:rFonts w:ascii="Times New Roman"/>
                <w:sz w:val="18"/>
              </w:rPr>
              <w:t>77.79</w:t>
            </w:r>
          </w:p>
        </w:tc>
      </w:tr>
      <w:tr>
        <w:trPr>
          <w:trHeight w:val="475" w:hRule="exact"/>
        </w:trPr>
        <w:tc>
          <w:tcPr>
            <w:tcW w:w="20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3,142,569,720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67.38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1,571,284,860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728,233,933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2,299,518,793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5,442,088,513</w:t>
            </w:r>
          </w:p>
        </w:tc>
        <w:tc>
          <w:tcPr>
            <w:tcW w:w="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1"/>
              <w:jc w:val="right"/>
              <w:rPr>
                <w:rFonts w:ascii="Times New Roman" w:hAnsi="Times New Roman" w:cs="Times New Roman" w:eastAsia="Times New Roman" w:hint="default"/>
                <w:sz w:val="18"/>
                <w:szCs w:val="18"/>
              </w:rPr>
            </w:pPr>
            <w:r>
              <w:rPr>
                <w:rFonts w:ascii="Times New Roman"/>
                <w:sz w:val="18"/>
              </w:rPr>
              <w:t>77.79</w:t>
            </w:r>
          </w:p>
        </w:tc>
      </w:tr>
      <w:tr>
        <w:trPr>
          <w:trHeight w:val="475" w:hRule="exact"/>
        </w:trPr>
        <w:tc>
          <w:tcPr>
            <w:tcW w:w="20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、境内上市的外资股</w:t>
            </w:r>
          </w:p>
        </w:tc>
        <w:tc>
          <w:tcPr>
            <w:tcW w:w="109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0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、境外上市的外资股</w:t>
            </w:r>
          </w:p>
        </w:tc>
        <w:tc>
          <w:tcPr>
            <w:tcW w:w="109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12" w:space="0" w:color="000000"/>
            </w:tcBorders>
          </w:tcPr>
          <w:p>
            <w:pPr/>
          </w:p>
        </w:tc>
      </w:tr>
      <w:tr>
        <w:trPr>
          <w:trHeight w:val="474" w:hRule="exact"/>
        </w:trPr>
        <w:tc>
          <w:tcPr>
            <w:tcW w:w="20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9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12" w:space="0" w:color="000000"/>
            </w:tcBorders>
          </w:tcPr>
          <w:p>
            <w:pPr/>
          </w:p>
        </w:tc>
      </w:tr>
      <w:tr>
        <w:trPr>
          <w:trHeight w:val="486" w:hRule="exact"/>
        </w:trPr>
        <w:tc>
          <w:tcPr>
            <w:tcW w:w="203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2"/>
              <w:ind w:left="1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4,664,141,244</w:t>
            </w:r>
          </w:p>
        </w:tc>
        <w:tc>
          <w:tcPr>
            <w:tcW w:w="5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100</w:t>
            </w:r>
          </w:p>
        </w:tc>
        <w:tc>
          <w:tcPr>
            <w:tcW w:w="10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2,332,070,622</w:t>
            </w:r>
          </w:p>
        </w:tc>
        <w:tc>
          <w:tcPr>
            <w:tcW w:w="11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2,332,070,622</w:t>
            </w:r>
          </w:p>
        </w:tc>
        <w:tc>
          <w:tcPr>
            <w:tcW w:w="10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6,996,211,866</w:t>
            </w:r>
          </w:p>
        </w:tc>
        <w:tc>
          <w:tcPr>
            <w:tcW w:w="72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4"/>
              <w:ind w:right="11"/>
              <w:jc w:val="right"/>
              <w:rPr>
                <w:rFonts w:ascii="Times New Roman" w:hAnsi="Times New Roman" w:cs="Times New Roman" w:eastAsia="Times New Roman" w:hint="default"/>
                <w:sz w:val="18"/>
                <w:szCs w:val="18"/>
              </w:rPr>
            </w:pPr>
            <w:r>
              <w:rPr>
                <w:rFonts w:ascii="Times New Roman"/>
                <w:sz w:val="18"/>
              </w:rPr>
              <w:t>100</w:t>
            </w:r>
          </w:p>
        </w:tc>
      </w:tr>
    </w:tbl>
    <w:p>
      <w:pPr>
        <w:spacing w:line="297" w:lineRule="auto" w:before="42"/>
        <w:ind w:left="159" w:right="153" w:firstLine="396"/>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72"/>
          <w:sz w:val="21"/>
          <w:szCs w:val="21"/>
        </w:rPr>
        <w:t> </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日，公司控股股东及实际控制人张近东先生追加股份限售承诺期满，其所 持限售股份上市流通，实际可上市流通数量为</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1,925,648,640</w:t>
      </w:r>
      <w:r>
        <w:rPr>
          <w:rFonts w:ascii="宋体" w:hAnsi="宋体" w:cs="宋体" w:eastAsia="宋体" w:hint="default"/>
          <w:sz w:val="21"/>
          <w:szCs w:val="21"/>
        </w:rPr>
        <w:t>，其中</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1,437,695,783</w:t>
      </w:r>
      <w:r>
        <w:rPr>
          <w:rFonts w:ascii="Times New Roman" w:hAnsi="Times New Roman" w:cs="Times New Roman" w:eastAsia="Times New Roman" w:hint="default"/>
          <w:spacing w:val="-13"/>
          <w:sz w:val="21"/>
          <w:szCs w:val="21"/>
        </w:rPr>
        <w:t> </w:t>
      </w:r>
      <w:r>
        <w:rPr>
          <w:rFonts w:ascii="宋体" w:hAnsi="宋体" w:cs="宋体" w:eastAsia="宋体" w:hint="default"/>
          <w:spacing w:val="-3"/>
          <w:sz w:val="21"/>
          <w:szCs w:val="21"/>
        </w:rPr>
        <w:t>股股份以“高管股</w:t>
      </w:r>
      <w:r>
        <w:rPr>
          <w:rFonts w:ascii="宋体" w:hAnsi="宋体" w:cs="宋体" w:eastAsia="宋体" w:hint="default"/>
          <w:sz w:val="21"/>
          <w:szCs w:val="21"/>
        </w:rPr>
        <w:t> 份”的形式予以锁定，实际可上市流通数量为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487,952,857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w:t>
      </w:r>
    </w:p>
    <w:p>
      <w:pPr>
        <w:spacing w:line="297" w:lineRule="auto" w:before="13"/>
        <w:ind w:left="159" w:right="144"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日，除控股股东张近东先生以外的六名特定投资者认购的公司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年非公开 发行股票限售期满可上市流通。</w:t>
      </w:r>
    </w:p>
    <w:p>
      <w:pPr>
        <w:spacing w:before="34"/>
        <w:ind w:left="564" w:right="144"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8"/>
          <w:sz w:val="21"/>
          <w:szCs w:val="21"/>
        </w:rPr>
        <w:t> </w:t>
      </w: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：董事、监事、高管所持股份按照国家相关法律法规及规范性文件规定予以锁定。</w:t>
      </w:r>
    </w:p>
    <w:p>
      <w:pPr>
        <w:pStyle w:val="BodyText"/>
        <w:spacing w:line="240" w:lineRule="auto" w:before="107"/>
        <w:ind w:left="642" w:right="144"/>
        <w:jc w:val="left"/>
      </w:pPr>
      <w:r>
        <w:rPr>
          <w:rFonts w:ascii="Times New Roman" w:hAnsi="Times New Roman" w:cs="Times New Roman" w:eastAsia="Times New Roman" w:hint="default"/>
        </w:rPr>
        <w:t>2</w:t>
      </w:r>
      <w:r>
        <w:rPr/>
        <w:t>、股票发行与上市情况</w:t>
      </w:r>
    </w:p>
    <w:p>
      <w:pPr>
        <w:pStyle w:val="BodyText"/>
        <w:spacing w:line="240" w:lineRule="auto" w:before="135"/>
        <w:ind w:left="640" w:right="144"/>
        <w:jc w:val="left"/>
      </w:pPr>
      <w:r>
        <w:rPr/>
        <w:t>（</w:t>
      </w:r>
      <w:r>
        <w:rPr>
          <w:rFonts w:ascii="Times New Roman" w:hAnsi="Times New Roman" w:cs="Times New Roman" w:eastAsia="Times New Roman" w:hint="default"/>
        </w:rPr>
        <w:t>1</w:t>
      </w:r>
      <w:r>
        <w:rPr/>
        <w:t>）截至报告期末公司前三年历次股票发行及上市情况</w:t>
      </w:r>
    </w:p>
    <w:p>
      <w:pPr>
        <w:pStyle w:val="BodyText"/>
        <w:spacing w:line="240" w:lineRule="auto" w:before="135"/>
        <w:ind w:left="640" w:right="0"/>
        <w:jc w:val="left"/>
      </w:pPr>
      <w:r>
        <w:rPr/>
        <w:t>①</w:t>
      </w:r>
      <w:r>
        <w:rPr>
          <w:spacing w:val="-1"/>
        </w:rPr>
        <w:t> </w:t>
      </w:r>
      <w:r>
        <w:rPr/>
        <w:t>经中国证监会证监发行字〔</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647</w:t>
      </w:r>
      <w:r>
        <w:rPr>
          <w:rFonts w:ascii="Times New Roman" w:hAnsi="Times New Roman" w:cs="Times New Roman" w:eastAsia="Times New Roman" w:hint="default"/>
          <w:spacing w:val="12"/>
        </w:rPr>
        <w:t> </w:t>
      </w:r>
      <w:r>
        <w:rPr/>
        <w:t>号文核准，公司于</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11"/>
        </w:rPr>
        <w:t> </w:t>
      </w:r>
      <w:r>
        <w:rPr/>
        <w:t>日完</w:t>
      </w:r>
    </w:p>
    <w:p>
      <w:pPr>
        <w:spacing w:after="0" w:line="240" w:lineRule="auto"/>
        <w:jc w:val="left"/>
        <w:sectPr>
          <w:pgSz w:w="11910" w:h="16840"/>
          <w:pgMar w:header="748" w:footer="714" w:top="980" w:bottom="900" w:left="1280" w:right="1280"/>
        </w:sectPr>
      </w:pPr>
    </w:p>
    <w:p>
      <w:pPr>
        <w:spacing w:line="240" w:lineRule="auto" w:before="7"/>
        <w:rPr>
          <w:rFonts w:ascii="宋体" w:hAnsi="宋体" w:cs="宋体" w:eastAsia="宋体" w:hint="default"/>
          <w:sz w:val="29"/>
          <w:szCs w:val="29"/>
        </w:rPr>
      </w:pPr>
    </w:p>
    <w:p>
      <w:pPr>
        <w:pStyle w:val="BodyText"/>
        <w:spacing w:line="338" w:lineRule="auto" w:before="26"/>
        <w:ind w:right="217"/>
        <w:jc w:val="left"/>
      </w:pPr>
      <w:r>
        <w:rPr/>
        <w:t>成以非公开发行股票的方式向特定投资者发行人民币普通股（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5,400</w:t>
      </w:r>
      <w:r>
        <w:rPr>
          <w:rFonts w:ascii="Times New Roman" w:hAnsi="Times New Roman" w:cs="Times New Roman" w:eastAsia="Times New Roman" w:hint="default"/>
          <w:spacing w:val="34"/>
        </w:rPr>
        <w:t> </w:t>
      </w:r>
      <w:r>
        <w:rPr/>
        <w:t>万股。该部 分股份于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23 </w:t>
      </w:r>
      <w:r>
        <w:rPr/>
        <w:t>日上市。发行后，公司股份总数为</w:t>
      </w:r>
      <w:r>
        <w:rPr>
          <w:spacing w:val="-60"/>
        </w:rPr>
        <w:t> </w:t>
      </w:r>
      <w:r>
        <w:rPr>
          <w:rFonts w:ascii="Times New Roman" w:hAnsi="Times New Roman" w:cs="Times New Roman" w:eastAsia="Times New Roman" w:hint="default"/>
        </w:rPr>
        <w:t>1,495,504,000 </w:t>
      </w:r>
      <w:r>
        <w:rPr/>
        <w:t>股。</w:t>
      </w:r>
    </w:p>
    <w:p>
      <w:pPr>
        <w:pStyle w:val="BodyText"/>
        <w:spacing w:line="345" w:lineRule="auto" w:before="27"/>
        <w:ind w:right="97" w:firstLine="480"/>
        <w:jc w:val="left"/>
      </w:pPr>
      <w:r>
        <w:rPr/>
        <w:t>②</w:t>
      </w:r>
      <w:r>
        <w:rPr>
          <w:spacing w:val="-1"/>
        </w:rPr>
        <w:t> </w:t>
      </w:r>
      <w:r>
        <w:rPr/>
        <w:t>经中国证监会证监许可〔</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1351</w:t>
      </w:r>
      <w:r>
        <w:rPr>
          <w:rFonts w:ascii="Times New Roman" w:hAnsi="Times New Roman" w:cs="Times New Roman" w:eastAsia="Times New Roman" w:hint="default"/>
          <w:spacing w:val="12"/>
        </w:rPr>
        <w:t> </w:t>
      </w:r>
      <w:r>
        <w:rPr/>
        <w:t>号文核准，公司于</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t>日完 </w:t>
      </w:r>
      <w:r>
        <w:rPr>
          <w:spacing w:val="3"/>
        </w:rPr>
        <w:t>成以非公开发行股票的方式向包括公司控股股东张近东先生在内的七名特定投资者发</w:t>
      </w:r>
      <w:r>
        <w:rPr>
          <w:spacing w:val="-94"/>
        </w:rPr>
        <w:t> </w:t>
      </w:r>
      <w:r>
        <w:rPr>
          <w:spacing w:val="-94"/>
        </w:rPr>
      </w:r>
      <w:r>
        <w:rPr>
          <w:spacing w:val="-6"/>
        </w:rPr>
        <w:t>行人民币普通股（</w:t>
      </w:r>
      <w:r>
        <w:rPr>
          <w:rFonts w:ascii="Times New Roman" w:hAnsi="Times New Roman" w:cs="Times New Roman" w:eastAsia="Times New Roman" w:hint="default"/>
          <w:spacing w:val="-6"/>
        </w:rPr>
        <w:t>A </w:t>
      </w:r>
      <w:r>
        <w:rPr>
          <w:spacing w:val="-4"/>
        </w:rPr>
        <w:t>股）</w:t>
      </w:r>
      <w:r>
        <w:rPr>
          <w:rFonts w:ascii="Times New Roman" w:hAnsi="Times New Roman" w:cs="Times New Roman" w:eastAsia="Times New Roman" w:hint="default"/>
          <w:spacing w:val="-4"/>
        </w:rPr>
        <w:t>177,629,244 </w:t>
      </w:r>
      <w:r>
        <w:rPr>
          <w:spacing w:val="-3"/>
        </w:rPr>
        <w:t>股；其中张近东先生认购的股份限售期为 </w:t>
      </w:r>
      <w:r>
        <w:rPr>
          <w:rFonts w:ascii="Times New Roman" w:hAnsi="Times New Roman" w:cs="Times New Roman" w:eastAsia="Times New Roman" w:hint="default"/>
        </w:rPr>
        <w:t>36</w:t>
      </w:r>
      <w:r>
        <w:rPr>
          <w:rFonts w:ascii="Times New Roman" w:hAnsi="Times New Roman" w:cs="Times New Roman" w:eastAsia="Times New Roman" w:hint="default"/>
          <w:spacing w:val="-33"/>
        </w:rPr>
        <w:t> </w:t>
      </w:r>
      <w:r>
        <w:rPr/>
        <w:t>个月， 其他六名特定投资者认购的股份限售期为</w:t>
      </w:r>
      <w:r>
        <w:rPr>
          <w:spacing w:val="-60"/>
        </w:rPr>
        <w:t> </w:t>
      </w:r>
      <w:r>
        <w:rPr>
          <w:rFonts w:ascii="Times New Roman" w:hAnsi="Times New Roman" w:cs="Times New Roman" w:eastAsia="Times New Roman" w:hint="default"/>
        </w:rPr>
        <w:t>12 </w:t>
      </w:r>
      <w:r>
        <w:rPr>
          <w:spacing w:val="-11"/>
        </w:rPr>
        <w:t>个月。该部分股份于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日上</w:t>
      </w:r>
    </w:p>
    <w:p>
      <w:pPr>
        <w:pStyle w:val="BodyText"/>
        <w:spacing w:line="240" w:lineRule="auto" w:before="19"/>
        <w:ind w:right="217"/>
        <w:jc w:val="left"/>
      </w:pPr>
      <w:r>
        <w:rPr/>
        <w:t>市。发行后，公司股份总数为</w:t>
      </w:r>
      <w:r>
        <w:rPr>
          <w:spacing w:val="-60"/>
        </w:rPr>
        <w:t> </w:t>
      </w:r>
      <w:r>
        <w:rPr>
          <w:rFonts w:ascii="Times New Roman" w:hAnsi="Times New Roman" w:cs="Times New Roman" w:eastAsia="Times New Roman" w:hint="default"/>
        </w:rPr>
        <w:t>4,664,141,244 </w:t>
      </w:r>
      <w:r>
        <w:rPr/>
        <w:t>股。</w:t>
      </w:r>
    </w:p>
    <w:p>
      <w:pPr>
        <w:pStyle w:val="BodyText"/>
        <w:spacing w:line="240" w:lineRule="auto" w:before="135"/>
        <w:ind w:left="560" w:right="217"/>
        <w:jc w:val="left"/>
      </w:pPr>
      <w:r>
        <w:rPr/>
        <w:t>（</w:t>
      </w:r>
      <w:r>
        <w:rPr>
          <w:rFonts w:ascii="Times New Roman" w:hAnsi="Times New Roman" w:cs="Times New Roman" w:eastAsia="Times New Roman" w:hint="default"/>
        </w:rPr>
        <w:t>2</w:t>
      </w:r>
      <w:r>
        <w:rPr/>
        <w:t>）报告期内公司实施分红派息及资本公积金转增股本情况</w:t>
      </w:r>
    </w:p>
    <w:p>
      <w:pPr>
        <w:pStyle w:val="BodyText"/>
        <w:spacing w:line="240" w:lineRule="auto" w:before="135"/>
        <w:ind w:left="620" w:right="97"/>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5"/>
        </w:rPr>
        <w:t>日，公司召开</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spacing w:val="-4"/>
        </w:rPr>
        <w:t>年年度股东大会，审议通过了《</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1"/>
        </w:rPr>
        <w:t> </w:t>
      </w:r>
      <w:r>
        <w:rPr/>
        <w:t>年度利润分</w:t>
      </w:r>
    </w:p>
    <w:p>
      <w:pPr>
        <w:pStyle w:val="BodyText"/>
        <w:spacing w:line="240" w:lineRule="auto" w:before="135"/>
        <w:ind w:right="97"/>
        <w:jc w:val="left"/>
      </w:pPr>
      <w:r>
        <w:rPr/>
        <w:t>配预案</w:t>
      </w:r>
      <w:r>
        <w:rPr>
          <w:spacing w:val="-120"/>
        </w:rPr>
        <w:t>》</w:t>
      </w:r>
      <w:r>
        <w:rPr/>
        <w:t>。根据决议，公司以</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日总股本</w:t>
      </w:r>
      <w:r>
        <w:rPr>
          <w:spacing w:val="-50"/>
        </w:rPr>
        <w:t> </w:t>
      </w:r>
      <w:r>
        <w:rPr>
          <w:rFonts w:ascii="Times New Roman" w:hAnsi="Times New Roman" w:cs="Times New Roman" w:eastAsia="Times New Roman" w:hint="default"/>
        </w:rPr>
        <w:t>4,664,141,244</w:t>
      </w:r>
      <w:r>
        <w:rPr>
          <w:rFonts w:ascii="Times New Roman" w:hAnsi="Times New Roman" w:cs="Times New Roman" w:eastAsia="Times New Roman" w:hint="default"/>
          <w:spacing w:val="10"/>
        </w:rPr>
        <w:t> </w:t>
      </w:r>
      <w:r>
        <w:rPr/>
        <w:t>股为基数，向全</w:t>
      </w:r>
    </w:p>
    <w:p>
      <w:pPr>
        <w:pStyle w:val="BodyText"/>
        <w:spacing w:line="240" w:lineRule="auto" w:before="135"/>
        <w:ind w:right="97"/>
        <w:jc w:val="left"/>
      </w:pPr>
      <w:r>
        <w:rPr/>
        <w:t>体股东每 </w:t>
      </w:r>
      <w:r>
        <w:rPr>
          <w:rFonts w:ascii="Times New Roman" w:hAnsi="Times New Roman" w:cs="Times New Roman" w:eastAsia="Times New Roman" w:hint="default"/>
        </w:rPr>
        <w:t>10 </w:t>
      </w:r>
      <w:r>
        <w:rPr/>
        <w:t>股派发现金红利 </w:t>
      </w:r>
      <w:r>
        <w:rPr>
          <w:rFonts w:ascii="Times New Roman" w:hAnsi="Times New Roman" w:cs="Times New Roman" w:eastAsia="Times New Roman" w:hint="default"/>
        </w:rPr>
        <w:t>0.5</w:t>
      </w:r>
      <w:r>
        <w:rPr>
          <w:rFonts w:ascii="Times New Roman" w:hAnsi="Times New Roman" w:cs="Times New Roman" w:eastAsia="Times New Roman" w:hint="default"/>
          <w:spacing w:val="-33"/>
        </w:rPr>
        <w:t> </w:t>
      </w:r>
      <w:r>
        <w:rPr/>
        <w:t>元人民币（含税，扣税后，个人股东、投资基金、合</w:t>
      </w:r>
    </w:p>
    <w:p>
      <w:pPr>
        <w:pStyle w:val="BodyText"/>
        <w:spacing w:line="240" w:lineRule="auto" w:before="135"/>
        <w:ind w:right="97"/>
        <w:jc w:val="left"/>
      </w:pPr>
      <w:r>
        <w:rPr/>
        <w:t>格境外机构投资者实际每</w:t>
      </w:r>
      <w:r>
        <w:rPr>
          <w:spacing w:val="-60"/>
        </w:rPr>
        <w:t> </w:t>
      </w:r>
      <w:r>
        <w:rPr>
          <w:rFonts w:ascii="Times New Roman" w:hAnsi="Times New Roman" w:cs="Times New Roman" w:eastAsia="Times New Roman" w:hint="default"/>
        </w:rPr>
        <w:t>10 </w:t>
      </w:r>
      <w:r>
        <w:rPr/>
        <w:t>股派现金红利</w:t>
      </w:r>
      <w:r>
        <w:rPr>
          <w:spacing w:val="-60"/>
        </w:rPr>
        <w:t> </w:t>
      </w:r>
      <w:r>
        <w:rPr>
          <w:rFonts w:ascii="Times New Roman" w:hAnsi="Times New Roman" w:cs="Times New Roman" w:eastAsia="Times New Roman" w:hint="default"/>
        </w:rPr>
        <w:t>0.45 </w:t>
      </w:r>
      <w:r>
        <w:rPr/>
        <w:t>元</w:t>
      </w:r>
      <w:r>
        <w:rPr>
          <w:spacing w:val="-120"/>
        </w:rPr>
        <w:t>）</w:t>
      </w:r>
      <w:r>
        <w:rPr>
          <w:spacing w:val="-40"/>
        </w:rPr>
        <w:t>；</w:t>
      </w:r>
      <w:r>
        <w:rPr/>
        <w:t>同时</w:t>
      </w:r>
      <w:r>
        <w:rPr>
          <w:spacing w:val="-40"/>
        </w:rPr>
        <w:t>，</w:t>
      </w:r>
      <w:r>
        <w:rPr/>
        <w:t>以资本</w:t>
      </w:r>
      <w:r>
        <w:rPr>
          <w:spacing w:val="-8"/>
        </w:rPr>
        <w:t>公</w:t>
      </w:r>
      <w:r>
        <w:rPr>
          <w:spacing w:val="-9"/>
        </w:rPr>
        <w:t>积金</w:t>
      </w:r>
      <w:r>
        <w:rPr>
          <w:spacing w:val="-8"/>
        </w:rPr>
        <w:t>转</w:t>
      </w:r>
      <w:r>
        <w:rPr>
          <w:spacing w:val="-9"/>
        </w:rPr>
        <w:t>增</w:t>
      </w:r>
      <w:r>
        <w:rPr>
          <w:spacing w:val="-8"/>
        </w:rPr>
        <w:t>股</w:t>
      </w:r>
      <w:r>
        <w:rPr>
          <w:spacing w:val="-9"/>
        </w:rPr>
        <w:t>本的</w:t>
      </w:r>
      <w:r>
        <w:rPr/>
        <w:t>方</w:t>
      </w:r>
    </w:p>
    <w:p>
      <w:pPr>
        <w:pStyle w:val="BodyText"/>
        <w:spacing w:line="240" w:lineRule="auto" w:before="135"/>
        <w:ind w:right="217"/>
        <w:jc w:val="left"/>
        <w:rPr>
          <w:rFonts w:ascii="Times New Roman" w:hAnsi="Times New Roman" w:cs="Times New Roman" w:eastAsia="Times New Roman" w:hint="default"/>
        </w:rPr>
      </w:pPr>
      <w:r>
        <w:rPr>
          <w:spacing w:val="-7"/>
        </w:rPr>
        <w:t>式向全体股东每</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spacing w:val="-6"/>
        </w:rPr>
        <w:t>股转增</w:t>
      </w:r>
      <w:r>
        <w:rPr>
          <w:spacing w:val="-71"/>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spacing w:val="-6"/>
        </w:rPr>
        <w:t>股。利润分配方案实施完成后，公司总股本由</w:t>
      </w:r>
      <w:r>
        <w:rPr>
          <w:spacing w:val="-71"/>
        </w:rPr>
        <w:t> </w:t>
      </w:r>
      <w:r>
        <w:rPr>
          <w:rFonts w:ascii="Times New Roman" w:hAnsi="Times New Roman" w:cs="Times New Roman" w:eastAsia="Times New Roman" w:hint="default"/>
        </w:rPr>
        <w:t>4,664,141,244</w:t>
      </w:r>
    </w:p>
    <w:p>
      <w:pPr>
        <w:pStyle w:val="BodyText"/>
        <w:spacing w:line="240" w:lineRule="auto" w:before="135"/>
        <w:ind w:right="217"/>
        <w:jc w:val="left"/>
      </w:pPr>
      <w:r>
        <w:rPr>
          <w:spacing w:val="-6"/>
        </w:rPr>
        <w:t>股增加至</w:t>
      </w:r>
      <w:r>
        <w:rPr>
          <w:spacing w:val="-80"/>
        </w:rPr>
        <w:t> </w:t>
      </w:r>
      <w:r>
        <w:rPr>
          <w:rFonts w:ascii="Times New Roman" w:hAnsi="Times New Roman" w:cs="Times New Roman" w:eastAsia="Times New Roman" w:hint="default"/>
        </w:rPr>
        <w:t>6,996,211,866</w:t>
      </w:r>
      <w:r>
        <w:rPr>
          <w:rFonts w:ascii="Times New Roman" w:hAnsi="Times New Roman" w:cs="Times New Roman" w:eastAsia="Times New Roman" w:hint="default"/>
          <w:spacing w:val="-12"/>
        </w:rPr>
        <w:t> </w:t>
      </w:r>
      <w:r>
        <w:rPr>
          <w:spacing w:val="-8"/>
        </w:rPr>
        <w:t>股。</w:t>
      </w:r>
      <w:r>
        <w:rPr/>
      </w:r>
    </w:p>
    <w:p>
      <w:pPr>
        <w:pStyle w:val="BodyText"/>
        <w:spacing w:line="240" w:lineRule="auto" w:before="135"/>
        <w:ind w:left="620" w:right="217"/>
        <w:jc w:val="left"/>
      </w:pPr>
      <w:r>
        <w:rPr/>
        <w:t>（</w:t>
      </w:r>
      <w:r>
        <w:rPr>
          <w:rFonts w:ascii="Times New Roman" w:hAnsi="Times New Roman" w:cs="Times New Roman" w:eastAsia="Times New Roman" w:hint="default"/>
        </w:rPr>
        <w:t>3</w:t>
      </w:r>
      <w:r>
        <w:rPr/>
        <w:t>）报告期内限售股份上市流通情况</w:t>
      </w:r>
    </w:p>
    <w:p>
      <w:pPr>
        <w:pStyle w:val="BodyText"/>
        <w:spacing w:line="240" w:lineRule="auto" w:before="135"/>
        <w:ind w:left="620" w:right="97"/>
        <w:jc w:val="left"/>
      </w:pPr>
      <w:r>
        <w:rPr/>
        <w:t>①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30 </w:t>
      </w:r>
      <w:r>
        <w:rPr/>
        <w:t>日</w:t>
      </w:r>
      <w:r>
        <w:rPr>
          <w:spacing w:val="-11"/>
        </w:rPr>
        <w:t>，</w:t>
      </w:r>
      <w:r>
        <w:rPr/>
        <w:t>控股股东张近东先生出</w:t>
      </w:r>
      <w:r>
        <w:rPr>
          <w:spacing w:val="-11"/>
        </w:rPr>
        <w:t>具</w:t>
      </w:r>
      <w:r>
        <w:rPr/>
        <w:t>《承诺书</w:t>
      </w:r>
      <w:r>
        <w:rPr>
          <w:spacing w:val="-120"/>
        </w:rPr>
        <w:t>》</w:t>
      </w:r>
      <w:r>
        <w:rPr>
          <w:spacing w:val="-11"/>
        </w:rPr>
        <w:t>，</w:t>
      </w:r>
      <w:r>
        <w:rPr/>
        <w:t>其在原股权分置改革</w:t>
      </w:r>
    </w:p>
    <w:p>
      <w:pPr>
        <w:pStyle w:val="BodyText"/>
        <w:spacing w:line="338" w:lineRule="auto" w:before="135"/>
        <w:ind w:right="217"/>
        <w:jc w:val="left"/>
      </w:pPr>
      <w:r>
        <w:rPr>
          <w:spacing w:val="-4"/>
        </w:rPr>
        <w:t>承诺的基础上，追加股份限售承诺，即于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spacing w:val="-3"/>
        </w:rPr>
        <w:t>日前，其持有的所有苏宁电器</w:t>
      </w:r>
      <w:r>
        <w:rPr/>
        <w:t> 股份不通过证券交易系统（含大宗交易系统）挂牌交易的方式减持。</w:t>
      </w:r>
    </w:p>
    <w:p>
      <w:pPr>
        <w:pStyle w:val="BodyText"/>
        <w:spacing w:line="240" w:lineRule="auto" w:before="55"/>
        <w:ind w:left="620" w:right="97"/>
        <w:jc w:val="left"/>
        <w:rPr>
          <w:rFonts w:ascii="Times New Roman" w:hAnsi="Times New Roman" w:cs="Times New Roman" w:eastAsia="Times New Roman" w:hint="default"/>
        </w:rPr>
      </w:pP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日，张近东先生完成认购公司</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年非公开发行股份</w:t>
      </w:r>
      <w:r>
        <w:rPr>
          <w:spacing w:val="-57"/>
        </w:rPr>
        <w:t> </w:t>
      </w:r>
      <w:r>
        <w:rPr>
          <w:rFonts w:ascii="Times New Roman" w:hAnsi="Times New Roman" w:cs="Times New Roman" w:eastAsia="Times New Roman" w:hint="default"/>
        </w:rPr>
        <w:t>17,441,860</w:t>
      </w:r>
    </w:p>
    <w:p>
      <w:pPr>
        <w:pStyle w:val="BodyText"/>
        <w:spacing w:line="240" w:lineRule="auto" w:before="135"/>
        <w:ind w:right="97"/>
        <w:jc w:val="left"/>
        <w:rPr>
          <w:rFonts w:ascii="Times New Roman" w:hAnsi="Times New Roman" w:cs="Times New Roman" w:eastAsia="Times New Roman" w:hint="default"/>
        </w:rPr>
      </w:pPr>
      <w:r>
        <w:rPr/>
        <w:t>股，根据《上市公司证券发行管理办法》的有关规定，该部分股份自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12 </w:t>
      </w:r>
      <w:r>
        <w:rPr/>
        <w:t>月</w:t>
      </w:r>
      <w:r>
        <w:rPr>
          <w:spacing w:val="-92"/>
        </w:rPr>
        <w:t> </w:t>
      </w:r>
      <w:r>
        <w:rPr>
          <w:rFonts w:ascii="Times New Roman" w:hAnsi="Times New Roman" w:cs="Times New Roman" w:eastAsia="Times New Roman" w:hint="default"/>
        </w:rPr>
        <w:t>31</w:t>
      </w:r>
    </w:p>
    <w:p>
      <w:pPr>
        <w:pStyle w:val="BodyText"/>
        <w:spacing w:line="240" w:lineRule="auto" w:before="135"/>
        <w:ind w:right="217"/>
        <w:jc w:val="left"/>
      </w:pPr>
      <w:r>
        <w:rPr/>
        <w:t>日起至</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30 </w:t>
      </w:r>
      <w:r>
        <w:rPr/>
        <w:t>日止限售</w:t>
      </w:r>
      <w:r>
        <w:rPr>
          <w:spacing w:val="-60"/>
        </w:rPr>
        <w:t> </w:t>
      </w:r>
      <w:r>
        <w:rPr>
          <w:rFonts w:ascii="Times New Roman" w:hAnsi="Times New Roman" w:cs="Times New Roman" w:eastAsia="Times New Roman" w:hint="default"/>
        </w:rPr>
        <w:t>36 </w:t>
      </w:r>
      <w:r>
        <w:rPr/>
        <w:t>个月。</w:t>
      </w:r>
    </w:p>
    <w:p>
      <w:pPr>
        <w:pStyle w:val="BodyText"/>
        <w:spacing w:line="240" w:lineRule="auto" w:before="135"/>
        <w:ind w:left="620" w:right="217"/>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1"/>
        </w:rPr>
        <w:t> </w:t>
      </w:r>
      <w:r>
        <w:rPr>
          <w:rFonts w:ascii="Times New Roman" w:hAnsi="Times New Roman" w:cs="Times New Roman" w:eastAsia="Times New Roman" w:hint="default"/>
        </w:rPr>
        <w:t>16</w:t>
      </w:r>
      <w:r>
        <w:rPr>
          <w:rFonts w:ascii="Times New Roman" w:hAnsi="Times New Roman" w:cs="Times New Roman" w:eastAsia="Times New Roman" w:hint="default"/>
          <w:spacing w:val="9"/>
        </w:rPr>
        <w:t> </w:t>
      </w:r>
      <w:r>
        <w:rPr/>
        <w:t>日，公司实施完成</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年度利润分配方案，张近东先生持有的有</w:t>
      </w:r>
    </w:p>
    <w:p>
      <w:pPr>
        <w:pStyle w:val="BodyText"/>
        <w:spacing w:line="240" w:lineRule="auto" w:before="135"/>
        <w:ind w:right="97"/>
        <w:jc w:val="left"/>
      </w:pPr>
      <w:r>
        <w:rPr/>
        <w:t>限售条件股份数量调整为</w:t>
      </w:r>
      <w:r>
        <w:rPr>
          <w:spacing w:val="-61"/>
        </w:rPr>
        <w:t> </w:t>
      </w:r>
      <w:r>
        <w:rPr>
          <w:rFonts w:ascii="Times New Roman" w:hAnsi="Times New Roman" w:cs="Times New Roman" w:eastAsia="Times New Roman" w:hint="default"/>
        </w:rPr>
        <w:t>1,951,811,430</w:t>
      </w:r>
      <w:r>
        <w:rPr>
          <w:rFonts w:ascii="Times New Roman" w:hAnsi="Times New Roman" w:cs="Times New Roman" w:eastAsia="Times New Roman" w:hint="default"/>
          <w:spacing w:val="-1"/>
        </w:rPr>
        <w:t> </w:t>
      </w:r>
      <w:r>
        <w:rPr>
          <w:spacing w:val="-3"/>
        </w:rPr>
        <w:t>股，其中认购的公司</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年非公开发行股份数</w:t>
      </w:r>
    </w:p>
    <w:p>
      <w:pPr>
        <w:pStyle w:val="BodyText"/>
        <w:spacing w:line="240" w:lineRule="auto" w:before="135"/>
        <w:ind w:right="217"/>
        <w:jc w:val="left"/>
      </w:pPr>
      <w:r>
        <w:rPr/>
        <w:t>量调整为</w:t>
      </w:r>
      <w:r>
        <w:rPr>
          <w:spacing w:val="-60"/>
        </w:rPr>
        <w:t> </w:t>
      </w:r>
      <w:r>
        <w:rPr>
          <w:rFonts w:ascii="Times New Roman" w:hAnsi="Times New Roman" w:cs="Times New Roman" w:eastAsia="Times New Roman" w:hint="default"/>
        </w:rPr>
        <w:t>26,162,790 </w:t>
      </w:r>
      <w:r>
        <w:rPr/>
        <w:t>股。</w:t>
      </w:r>
    </w:p>
    <w:p>
      <w:pPr>
        <w:pStyle w:val="BodyText"/>
        <w:spacing w:line="240" w:lineRule="auto" w:before="135"/>
        <w:ind w:left="620" w:right="97"/>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spacing w:val="-5"/>
        </w:rPr>
        <w:t>11 </w:t>
      </w:r>
      <w:r>
        <w:rPr>
          <w:rFonts w:ascii="Times New Roman" w:hAnsi="Times New Roman" w:cs="Times New Roman" w:eastAsia="Times New Roman" w:hint="default"/>
          <w:spacing w:val="28"/>
        </w:rPr>
        <w:t> </w:t>
      </w:r>
      <w:r>
        <w:rPr>
          <w:spacing w:val="5"/>
        </w:rPr>
        <w:t>日，张近东先生追加限售承诺期满，其持有的有限售条件股份</w:t>
      </w:r>
      <w:r>
        <w:rPr/>
      </w:r>
    </w:p>
    <w:p>
      <w:pPr>
        <w:pStyle w:val="BodyText"/>
        <w:spacing w:line="240" w:lineRule="auto" w:before="135"/>
        <w:ind w:right="97"/>
        <w:jc w:val="left"/>
      </w:pPr>
      <w:r>
        <w:rPr>
          <w:rFonts w:ascii="Times New Roman" w:hAnsi="Times New Roman" w:cs="Times New Roman" w:eastAsia="Times New Roman" w:hint="default"/>
        </w:rPr>
        <w:t>1,925,648,640</w:t>
      </w:r>
      <w:r>
        <w:rPr>
          <w:rFonts w:ascii="Times New Roman" w:hAnsi="Times New Roman" w:cs="Times New Roman" w:eastAsia="Times New Roman" w:hint="default"/>
          <w:spacing w:val="4"/>
        </w:rPr>
        <w:t> </w:t>
      </w:r>
      <w:r>
        <w:rPr>
          <w:spacing w:val="-3"/>
        </w:rPr>
        <w:t>股可上市流通，根据《上市公司董事、监事、高级管理人员所持本公司股</w:t>
      </w:r>
    </w:p>
    <w:p>
      <w:pPr>
        <w:pStyle w:val="BodyText"/>
        <w:spacing w:line="240" w:lineRule="auto" w:before="135"/>
        <w:ind w:right="217"/>
        <w:jc w:val="left"/>
      </w:pPr>
      <w:r>
        <w:rPr/>
        <w:t>份管理实施细则》的相关规定，张近东先生实际可上市流通股数为</w:t>
      </w:r>
      <w:r>
        <w:rPr>
          <w:spacing w:val="-60"/>
        </w:rPr>
        <w:t> </w:t>
      </w:r>
      <w:r>
        <w:rPr>
          <w:rFonts w:ascii="Times New Roman" w:hAnsi="Times New Roman" w:cs="Times New Roman" w:eastAsia="Times New Roman" w:hint="default"/>
        </w:rPr>
        <w:t>487,952,857 </w:t>
      </w:r>
      <w:r>
        <w:rPr/>
        <w:t>股。</w:t>
      </w:r>
    </w:p>
    <w:p>
      <w:pPr>
        <w:pStyle w:val="BodyText"/>
        <w:spacing w:line="321" w:lineRule="auto" w:before="135"/>
        <w:ind w:right="99" w:firstLine="480"/>
        <w:jc w:val="left"/>
        <w:rPr>
          <w:rFonts w:ascii="Times New Roman" w:hAnsi="Times New Roman" w:cs="Times New Roman" w:eastAsia="Times New Roman" w:hint="default"/>
        </w:rPr>
      </w:pPr>
      <w:r>
        <w:rPr/>
        <w:t>② 经中国证券监督管理委员会证监许可〔</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1351 </w:t>
      </w:r>
      <w:r>
        <w:rPr/>
        <w:t>号文核准，公司于 </w:t>
      </w:r>
      <w:r>
        <w:rPr>
          <w:rFonts w:ascii="Times New Roman" w:hAnsi="Times New Roman" w:cs="Times New Roman" w:eastAsia="Times New Roman" w:hint="default"/>
        </w:rPr>
        <w:t>2009</w:t>
      </w:r>
      <w:r>
        <w:rPr>
          <w:rFonts w:ascii="Times New Roman" w:hAnsi="Times New Roman" w:cs="Times New Roman" w:eastAsia="Times New Roman" w:hint="default"/>
          <w:spacing w:val="30"/>
        </w:rPr>
        <w:t>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日实施完成</w:t>
      </w:r>
      <w:r>
        <w:rPr>
          <w:spacing w:val="-6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年非公开发行股票项目。根据《上市公司证券发行管理办法》 </w:t>
      </w:r>
      <w:r>
        <w:rPr>
          <w:spacing w:val="3"/>
        </w:rPr>
        <w:t>的有关规定，本次非公开发行的股份自发行结束之日起，控股股东张近东先生认购的</w:t>
      </w:r>
      <w:r>
        <w:rPr>
          <w:spacing w:val="-94"/>
        </w:rPr>
        <w:t> </w:t>
      </w:r>
      <w:r>
        <w:rPr>
          <w:spacing w:val="-94"/>
        </w:rPr>
      </w:r>
      <w:r>
        <w:rPr>
          <w:rFonts w:ascii="Times New Roman" w:hAnsi="Times New Roman" w:cs="Times New Roman" w:eastAsia="Times New Roman" w:hint="default"/>
        </w:rPr>
        <w:t>17,441,860 </w:t>
      </w:r>
      <w:r>
        <w:rPr>
          <w:spacing w:val="-4"/>
        </w:rPr>
        <w:t>股股份三十六个月内不得转让，其他六名特定投资者合计认购的</w:t>
      </w:r>
      <w:r>
        <w:rPr>
          <w:spacing w:val="-40"/>
        </w:rPr>
        <w:t> </w:t>
      </w:r>
      <w:r>
        <w:rPr>
          <w:rFonts w:ascii="Times New Roman" w:hAnsi="Times New Roman" w:cs="Times New Roman" w:eastAsia="Times New Roman" w:hint="default"/>
        </w:rPr>
        <w:t>160,187,384</w:t>
      </w:r>
    </w:p>
    <w:p>
      <w:pPr>
        <w:spacing w:after="0" w:line="321" w:lineRule="auto"/>
        <w:jc w:val="left"/>
        <w:rPr>
          <w:rFonts w:ascii="Times New Roman" w:hAnsi="Times New Roman" w:cs="Times New Roman" w:eastAsia="Times New Roman" w:hint="default"/>
        </w:rPr>
        <w:sectPr>
          <w:pgSz w:w="11910" w:h="16840"/>
          <w:pgMar w:header="748" w:footer="714" w:top="980" w:bottom="900" w:left="1300" w:right="12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2"/>
        <w:ind w:left="480" w:right="0"/>
        <w:jc w:val="both"/>
      </w:pPr>
      <w:r>
        <w:rPr/>
        <w:t>股股份十二个月内不得转让。</w:t>
      </w:r>
    </w:p>
    <w:p>
      <w:pPr>
        <w:pStyle w:val="BodyText"/>
        <w:spacing w:line="240" w:lineRule="auto" w:before="122"/>
        <w:ind w:left="960" w:right="0"/>
        <w:jc w:val="left"/>
      </w:pPr>
      <w:r>
        <w:rPr/>
        <w:t>公司于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日实施完成</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spacing w:val="-3"/>
        </w:rPr>
        <w:t>年年度利润分配方案，</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1"/>
        </w:rPr>
        <w:t> </w:t>
      </w:r>
      <w:r>
        <w:rPr/>
        <w:t>年非公开发行</w:t>
      </w:r>
    </w:p>
    <w:p>
      <w:pPr>
        <w:pStyle w:val="BodyText"/>
        <w:spacing w:line="240" w:lineRule="auto" w:before="104"/>
        <w:ind w:left="480" w:right="0"/>
        <w:jc w:val="both"/>
      </w:pPr>
      <w:r>
        <w:rPr/>
        <w:t>的有限售条件流通股股份也相应调整。</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32"/>
        </w:rPr>
        <w:t> </w:t>
      </w:r>
      <w:r>
        <w:rPr/>
        <w:t>日，其他六名特定投资者认购</w:t>
      </w:r>
    </w:p>
    <w:p>
      <w:pPr>
        <w:pStyle w:val="BodyText"/>
        <w:spacing w:line="240" w:lineRule="auto" w:before="104"/>
        <w:ind w:left="479" w:right="0"/>
        <w:jc w:val="both"/>
      </w:pPr>
      <w:r>
        <w:rPr/>
        <w:t>合计</w:t>
      </w:r>
      <w:r>
        <w:rPr>
          <w:spacing w:val="-60"/>
        </w:rPr>
        <w:t> </w:t>
      </w:r>
      <w:r>
        <w:rPr>
          <w:rFonts w:ascii="Times New Roman" w:hAnsi="Times New Roman" w:cs="Times New Roman" w:eastAsia="Times New Roman" w:hint="default"/>
        </w:rPr>
        <w:t>240,281,076 </w:t>
      </w:r>
      <w:r>
        <w:rPr/>
        <w:t>股股份限售期满，上市流通。</w:t>
      </w:r>
    </w:p>
    <w:p>
      <w:pPr>
        <w:pStyle w:val="BodyText"/>
        <w:spacing w:line="240" w:lineRule="auto" w:before="104"/>
        <w:ind w:left="959" w:right="0"/>
        <w:jc w:val="left"/>
      </w:pPr>
      <w:r>
        <w:rPr/>
        <w:t>（</w:t>
      </w:r>
      <w:r>
        <w:rPr>
          <w:rFonts w:ascii="Times New Roman" w:hAnsi="Times New Roman" w:cs="Times New Roman" w:eastAsia="Times New Roman" w:hint="default"/>
        </w:rPr>
        <w:t>4</w:t>
      </w:r>
      <w:r>
        <w:rPr/>
        <w:t>）报告期内股票期权激励计划实施情况</w:t>
      </w:r>
    </w:p>
    <w:p>
      <w:pPr>
        <w:pStyle w:val="BodyText"/>
        <w:spacing w:line="240" w:lineRule="auto" w:before="104"/>
        <w:ind w:left="959" w:right="0"/>
        <w:jc w:val="left"/>
      </w:pPr>
      <w:r>
        <w:rPr/>
        <w:t>公司于</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spacing w:val="-4"/>
        </w:rPr>
        <w:t>日召开第四届董事会第二次会议审议通过了《苏宁电器股份</w:t>
      </w:r>
    </w:p>
    <w:p>
      <w:pPr>
        <w:pStyle w:val="BodyText"/>
        <w:spacing w:line="240" w:lineRule="auto" w:before="104"/>
        <w:ind w:left="479" w:right="0"/>
        <w:jc w:val="both"/>
      </w:pPr>
      <w:r>
        <w:rPr/>
        <w:t>有限公司</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年股票期权激励计划（草案</w:t>
      </w:r>
      <w:r>
        <w:rPr>
          <w:spacing w:val="-120"/>
        </w:rPr>
        <w:t>）》</w:t>
      </w:r>
      <w:r>
        <w:rPr/>
        <w:t>，并报中国证券监督管理委员会备案。经</w:t>
      </w:r>
    </w:p>
    <w:p>
      <w:pPr>
        <w:pStyle w:val="BodyText"/>
        <w:spacing w:line="314" w:lineRule="auto" w:before="104"/>
        <w:ind w:left="22" w:right="462"/>
        <w:jc w:val="right"/>
        <w:rPr>
          <w:rFonts w:ascii="Times New Roman" w:hAnsi="Times New Roman" w:cs="Times New Roman" w:eastAsia="Times New Roman" w:hint="default"/>
        </w:rPr>
      </w:pPr>
      <w:r>
        <w:rPr>
          <w:spacing w:val="-6"/>
        </w:rPr>
        <w:t>中国证监会备案通过后，公司于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24 </w:t>
      </w:r>
      <w:r>
        <w:rPr/>
        <w:t>日召开</w:t>
      </w:r>
      <w:r>
        <w:rPr>
          <w:spacing w:val="-60"/>
        </w:rPr>
        <w:t> </w:t>
      </w:r>
      <w:r>
        <w:rPr>
          <w:rFonts w:ascii="Times New Roman" w:hAnsi="Times New Roman" w:cs="Times New Roman" w:eastAsia="Times New Roman" w:hint="default"/>
        </w:rPr>
        <w:t>2010 </w:t>
      </w:r>
      <w:r>
        <w:rPr/>
        <w:t>年第二次临时股东大会审 议通过了《</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spacing w:val="-4"/>
        </w:rPr>
        <w:t>年股票期权激励计划》，完成本次股票期权激励计划相关的审批程序。</w:t>
      </w:r>
      <w:r>
        <w:rPr/>
        <w:t>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spacing w:val="-5"/>
        </w:rPr>
        <w:t>11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20"/>
        </w:rPr>
        <w:t> </w:t>
      </w:r>
      <w:r>
        <w:rPr/>
        <w:t>日，公司召开第四届董事会第六次会议，认为公司已符合《</w:t>
      </w:r>
      <w:r>
        <w:rPr>
          <w:rFonts w:ascii="Times New Roman" w:hAnsi="Times New Roman" w:cs="Times New Roman" w:eastAsia="Times New Roman" w:hint="default"/>
        </w:rPr>
        <w:t>2010</w:t>
      </w:r>
    </w:p>
    <w:p>
      <w:pPr>
        <w:pStyle w:val="BodyText"/>
        <w:spacing w:line="240" w:lineRule="auto" w:before="22"/>
        <w:ind w:left="480" w:right="0"/>
        <w:jc w:val="both"/>
      </w:pPr>
      <w:r>
        <w:rPr/>
        <w:t>年股票期权激励计划》规定的各项授权条件，确定以</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t>日作为本次股票</w:t>
      </w:r>
    </w:p>
    <w:p>
      <w:pPr>
        <w:pStyle w:val="BodyText"/>
        <w:spacing w:line="324" w:lineRule="auto" w:before="104"/>
        <w:ind w:left="480" w:right="493"/>
        <w:jc w:val="both"/>
      </w:pPr>
      <w:r>
        <w:rPr/>
        <w:t>期权的授权日，向</w:t>
      </w:r>
      <w:r>
        <w:rPr>
          <w:spacing w:val="-68"/>
        </w:rPr>
        <w:t> </w:t>
      </w:r>
      <w:r>
        <w:rPr>
          <w:rFonts w:ascii="Times New Roman" w:hAnsi="Times New Roman" w:cs="Times New Roman" w:eastAsia="Times New Roman" w:hint="default"/>
        </w:rPr>
        <w:t>248</w:t>
      </w:r>
      <w:r>
        <w:rPr>
          <w:rFonts w:ascii="Times New Roman" w:hAnsi="Times New Roman" w:cs="Times New Roman" w:eastAsia="Times New Roman" w:hint="default"/>
          <w:spacing w:val="-8"/>
        </w:rPr>
        <w:t> </w:t>
      </w:r>
      <w:r>
        <w:rPr/>
        <w:t>位激励对象授予</w:t>
      </w:r>
      <w:r>
        <w:rPr>
          <w:spacing w:val="-68"/>
        </w:rPr>
        <w:t> </w:t>
      </w:r>
      <w:r>
        <w:rPr>
          <w:rFonts w:ascii="Times New Roman" w:hAnsi="Times New Roman" w:cs="Times New Roman" w:eastAsia="Times New Roman" w:hint="default"/>
        </w:rPr>
        <w:t>8,469</w:t>
      </w:r>
      <w:r>
        <w:rPr>
          <w:rFonts w:ascii="Times New Roman" w:hAnsi="Times New Roman" w:cs="Times New Roman" w:eastAsia="Times New Roman" w:hint="default"/>
          <w:spacing w:val="-8"/>
        </w:rPr>
        <w:t> </w:t>
      </w:r>
      <w:r>
        <w:rPr/>
        <w:t>万份股票期权，每份股票期权拥有在激励 </w:t>
      </w:r>
      <w:r>
        <w:rPr>
          <w:spacing w:val="-3"/>
        </w:rPr>
        <w:t>计划有效期内的可行权日以行权价格和行权条件购买一股苏宁电器股票的权利。本次授</w:t>
      </w:r>
      <w:r>
        <w:rPr>
          <w:spacing w:val="-98"/>
        </w:rPr>
        <w:t> </w:t>
      </w:r>
      <w:r>
        <w:rPr>
          <w:spacing w:val="-98"/>
        </w:rPr>
      </w:r>
      <w:r>
        <w:rPr/>
        <w:t>予的</w:t>
      </w:r>
      <w:r>
        <w:rPr>
          <w:spacing w:val="-60"/>
        </w:rPr>
        <w:t> </w:t>
      </w:r>
      <w:r>
        <w:rPr>
          <w:rFonts w:ascii="Times New Roman" w:hAnsi="Times New Roman" w:cs="Times New Roman" w:eastAsia="Times New Roman" w:hint="default"/>
        </w:rPr>
        <w:t>8,469 </w:t>
      </w:r>
      <w:r>
        <w:rPr/>
        <w:t>万份股票期权标的股票总数占本激励计划批准时公司股本总额的</w:t>
      </w:r>
      <w:r>
        <w:rPr>
          <w:spacing w:val="-60"/>
        </w:rPr>
        <w:t> </w:t>
      </w:r>
      <w:r>
        <w:rPr>
          <w:rFonts w:ascii="Times New Roman" w:hAnsi="Times New Roman" w:cs="Times New Roman" w:eastAsia="Times New Roman" w:hint="default"/>
        </w:rPr>
        <w:t>1.21%</w:t>
      </w:r>
      <w:r>
        <w:rPr/>
        <w:t>。</w:t>
      </w:r>
    </w:p>
    <w:p>
      <w:pPr>
        <w:pStyle w:val="BodyText"/>
        <w:spacing w:line="240" w:lineRule="auto" w:before="11"/>
        <w:ind w:left="960" w:right="0"/>
        <w:jc w:val="left"/>
      </w:pPr>
      <w:r>
        <w:rPr/>
        <w:t>二、股东情况介绍：</w:t>
      </w:r>
    </w:p>
    <w:p>
      <w:pPr>
        <w:pStyle w:val="BodyText"/>
        <w:spacing w:line="240" w:lineRule="auto" w:before="154"/>
        <w:ind w:left="960" w:right="0"/>
        <w:jc w:val="left"/>
      </w:pPr>
      <w:r>
        <w:rPr>
          <w:rFonts w:ascii="Times New Roman" w:hAnsi="Times New Roman" w:cs="Times New Roman" w:eastAsia="Times New Roman" w:hint="default"/>
        </w:rPr>
        <w:t>1</w:t>
      </w:r>
      <w:r>
        <w:rPr/>
        <w:t>、股东情况</w:t>
      </w:r>
    </w:p>
    <w:p>
      <w:pPr>
        <w:spacing w:line="240" w:lineRule="auto" w:before="5"/>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676"/>
        <w:gridCol w:w="1742"/>
        <w:gridCol w:w="890"/>
        <w:gridCol w:w="1462"/>
        <w:gridCol w:w="1974"/>
        <w:gridCol w:w="1001"/>
      </w:tblGrid>
      <w:tr>
        <w:trPr>
          <w:trHeight w:val="425" w:hRule="exact"/>
        </w:trPr>
        <w:tc>
          <w:tcPr>
            <w:tcW w:w="267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33"/>
              <w:ind w:left="92" w:right="0"/>
              <w:jc w:val="left"/>
              <w:rPr>
                <w:rFonts w:ascii="宋体" w:hAnsi="宋体" w:cs="宋体" w:eastAsia="宋体" w:hint="default"/>
                <w:sz w:val="21"/>
                <w:szCs w:val="21"/>
              </w:rPr>
            </w:pPr>
            <w:r>
              <w:rPr>
                <w:rFonts w:ascii="宋体" w:hAnsi="宋体" w:cs="宋体" w:eastAsia="宋体" w:hint="default"/>
                <w:b/>
                <w:bCs/>
                <w:sz w:val="21"/>
                <w:szCs w:val="21"/>
              </w:rPr>
              <w:t>股东总数</w:t>
            </w:r>
            <w:r>
              <w:rPr>
                <w:rFonts w:ascii="宋体" w:hAnsi="宋体" w:cs="宋体" w:eastAsia="宋体" w:hint="default"/>
                <w:sz w:val="21"/>
                <w:szCs w:val="21"/>
              </w:rPr>
            </w:r>
          </w:p>
        </w:tc>
        <w:tc>
          <w:tcPr>
            <w:tcW w:w="7069" w:type="dxa"/>
            <w:gridSpan w:val="5"/>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1"/>
              <w:ind w:left="7" w:right="0"/>
              <w:jc w:val="center"/>
              <w:rPr>
                <w:rFonts w:ascii="Times New Roman" w:hAnsi="Times New Roman" w:cs="Times New Roman" w:eastAsia="Times New Roman" w:hint="default"/>
                <w:sz w:val="21"/>
                <w:szCs w:val="21"/>
              </w:rPr>
            </w:pPr>
            <w:r>
              <w:rPr>
                <w:rFonts w:ascii="Times New Roman"/>
                <w:sz w:val="21"/>
              </w:rPr>
              <w:t>297,213</w:t>
            </w:r>
          </w:p>
        </w:tc>
      </w:tr>
      <w:tr>
        <w:trPr>
          <w:trHeight w:val="379" w:hRule="exact"/>
        </w:trPr>
        <w:tc>
          <w:tcPr>
            <w:tcW w:w="2676" w:type="dxa"/>
            <w:tcBorders>
              <w:top w:val="single" w:sz="4" w:space="0" w:color="000000"/>
              <w:left w:val="single" w:sz="12" w:space="0" w:color="000000"/>
              <w:bottom w:val="single" w:sz="4" w:space="0" w:color="000000"/>
              <w:right w:val="nil" w:sz="6" w:space="0" w:color="auto"/>
            </w:tcBorders>
          </w:tcPr>
          <w:p>
            <w:pPr>
              <w:pStyle w:val="TableParagraph"/>
              <w:spacing w:line="240" w:lineRule="auto" w:before="14"/>
              <w:ind w:left="92" w:right="0"/>
              <w:jc w:val="left"/>
              <w:rPr>
                <w:rFonts w:ascii="宋体" w:hAnsi="宋体" w:cs="宋体" w:eastAsia="宋体" w:hint="default"/>
                <w:sz w:val="21"/>
                <w:szCs w:val="21"/>
              </w:rPr>
            </w:pPr>
            <w:r>
              <w:rPr>
                <w:rFonts w:ascii="宋体" w:hAnsi="宋体" w:cs="宋体" w:eastAsia="宋体" w:hint="default"/>
                <w:b/>
                <w:bCs/>
                <w:sz w:val="21"/>
                <w:szCs w:val="21"/>
              </w:rPr>
              <w:t>前</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名股东持股情况</w:t>
            </w:r>
            <w:r>
              <w:rPr>
                <w:rFonts w:ascii="宋体" w:hAnsi="宋体" w:cs="宋体" w:eastAsia="宋体" w:hint="default"/>
                <w:sz w:val="21"/>
                <w:szCs w:val="21"/>
              </w:rPr>
            </w:r>
          </w:p>
        </w:tc>
        <w:tc>
          <w:tcPr>
            <w:tcW w:w="1742" w:type="dxa"/>
            <w:tcBorders>
              <w:top w:val="single" w:sz="4" w:space="0" w:color="000000"/>
              <w:left w:val="nil" w:sz="6" w:space="0" w:color="auto"/>
              <w:bottom w:val="single" w:sz="4" w:space="0" w:color="000000"/>
              <w:right w:val="nil" w:sz="6" w:space="0" w:color="auto"/>
            </w:tcBorders>
          </w:tcPr>
          <w:p>
            <w:pPr/>
          </w:p>
        </w:tc>
        <w:tc>
          <w:tcPr>
            <w:tcW w:w="890" w:type="dxa"/>
            <w:tcBorders>
              <w:top w:val="single" w:sz="4" w:space="0" w:color="000000"/>
              <w:left w:val="nil" w:sz="6" w:space="0" w:color="auto"/>
              <w:bottom w:val="single" w:sz="4" w:space="0" w:color="000000"/>
              <w:right w:val="nil" w:sz="6" w:space="0" w:color="auto"/>
            </w:tcBorders>
          </w:tcPr>
          <w:p>
            <w:pPr/>
          </w:p>
        </w:tc>
        <w:tc>
          <w:tcPr>
            <w:tcW w:w="1462" w:type="dxa"/>
            <w:tcBorders>
              <w:top w:val="single" w:sz="4" w:space="0" w:color="000000"/>
              <w:left w:val="nil" w:sz="6" w:space="0" w:color="auto"/>
              <w:bottom w:val="single" w:sz="4" w:space="0" w:color="000000"/>
              <w:right w:val="nil" w:sz="6" w:space="0" w:color="auto"/>
            </w:tcBorders>
          </w:tcPr>
          <w:p>
            <w:pPr/>
          </w:p>
        </w:tc>
        <w:tc>
          <w:tcPr>
            <w:tcW w:w="2975" w:type="dxa"/>
            <w:gridSpan w:val="2"/>
            <w:tcBorders>
              <w:top w:val="single" w:sz="4" w:space="0" w:color="000000"/>
              <w:left w:val="nil" w:sz="6" w:space="0" w:color="auto"/>
              <w:bottom w:val="single" w:sz="4" w:space="0" w:color="000000"/>
              <w:right w:val="single" w:sz="12" w:space="0" w:color="000000"/>
            </w:tcBorders>
          </w:tcPr>
          <w:p>
            <w:pPr>
              <w:pStyle w:val="TableParagraph"/>
              <w:spacing w:line="240" w:lineRule="auto" w:before="14"/>
              <w:ind w:left="1427" w:right="0"/>
              <w:jc w:val="left"/>
              <w:rPr>
                <w:rFonts w:ascii="宋体" w:hAnsi="宋体" w:cs="宋体" w:eastAsia="宋体" w:hint="default"/>
                <w:sz w:val="21"/>
                <w:szCs w:val="21"/>
              </w:rPr>
            </w:pPr>
            <w:r>
              <w:rPr>
                <w:rFonts w:ascii="宋体" w:hAnsi="宋体" w:cs="宋体" w:eastAsia="宋体" w:hint="default"/>
                <w:b/>
                <w:bCs/>
                <w:sz w:val="21"/>
                <w:szCs w:val="21"/>
              </w:rPr>
              <w:t>（单位：股）</w:t>
            </w:r>
            <w:r>
              <w:rPr>
                <w:rFonts w:ascii="宋体" w:hAnsi="宋体" w:cs="宋体" w:eastAsia="宋体" w:hint="default"/>
                <w:sz w:val="21"/>
                <w:szCs w:val="21"/>
              </w:rPr>
            </w:r>
          </w:p>
        </w:tc>
      </w:tr>
      <w:tr>
        <w:trPr>
          <w:trHeight w:val="848" w:hRule="exact"/>
        </w:trPr>
        <w:tc>
          <w:tcPr>
            <w:tcW w:w="26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45"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36" w:right="122" w:hanging="210"/>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12"/>
              <w:ind w:right="0"/>
              <w:jc w:val="center"/>
              <w:rPr>
                <w:rFonts w:ascii="宋体" w:hAnsi="宋体" w:cs="宋体" w:eastAsia="宋体" w:hint="default"/>
                <w:sz w:val="21"/>
                <w:szCs w:val="21"/>
              </w:rPr>
            </w:pPr>
            <w:r>
              <w:rPr>
                <w:rFonts w:ascii="宋体" w:hAnsi="宋体" w:cs="宋体" w:eastAsia="宋体" w:hint="default"/>
                <w:sz w:val="21"/>
                <w:szCs w:val="21"/>
              </w:rPr>
              <w:t>持股总数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71" w:right="140" w:hanging="630"/>
              <w:jc w:val="left"/>
              <w:rPr>
                <w:rFonts w:ascii="宋体" w:hAnsi="宋体" w:cs="宋体" w:eastAsia="宋体" w:hint="default"/>
                <w:sz w:val="21"/>
                <w:szCs w:val="21"/>
              </w:rPr>
            </w:pPr>
            <w:r>
              <w:rPr>
                <w:rFonts w:ascii="宋体" w:hAnsi="宋体" w:cs="宋体" w:eastAsia="宋体" w:hint="default"/>
                <w:sz w:val="21"/>
                <w:szCs w:val="21"/>
              </w:rPr>
              <w:t>持有限售条件股份 数量</w:t>
            </w:r>
          </w:p>
        </w:tc>
        <w:tc>
          <w:tcPr>
            <w:tcW w:w="1001" w:type="dxa"/>
            <w:tcBorders>
              <w:top w:val="single" w:sz="4" w:space="0" w:color="000000"/>
              <w:left w:val="single" w:sz="4" w:space="0" w:color="000000"/>
              <w:bottom w:val="single" w:sz="4" w:space="0" w:color="000000"/>
              <w:right w:val="single" w:sz="12" w:space="0" w:color="000000"/>
            </w:tcBorders>
          </w:tcPr>
          <w:p>
            <w:pPr>
              <w:pStyle w:val="TableParagraph"/>
              <w:spacing w:line="250" w:lineRule="exact"/>
              <w:ind w:left="179" w:right="0"/>
              <w:jc w:val="left"/>
              <w:rPr>
                <w:rFonts w:ascii="宋体" w:hAnsi="宋体" w:cs="宋体" w:eastAsia="宋体" w:hint="default"/>
                <w:sz w:val="21"/>
                <w:szCs w:val="21"/>
              </w:rPr>
            </w:pPr>
            <w:r>
              <w:rPr>
                <w:rFonts w:ascii="宋体" w:hAnsi="宋体" w:cs="宋体" w:eastAsia="宋体" w:hint="default"/>
                <w:sz w:val="21"/>
                <w:szCs w:val="21"/>
              </w:rPr>
              <w:t>质押或</w:t>
            </w:r>
          </w:p>
          <w:p>
            <w:pPr>
              <w:pStyle w:val="TableParagraph"/>
              <w:spacing w:line="272" w:lineRule="exact" w:before="27"/>
              <w:ind w:left="179" w:right="169"/>
              <w:jc w:val="left"/>
              <w:rPr>
                <w:rFonts w:ascii="宋体" w:hAnsi="宋体" w:cs="宋体" w:eastAsia="宋体" w:hint="default"/>
                <w:sz w:val="21"/>
                <w:szCs w:val="21"/>
              </w:rPr>
            </w:pPr>
            <w:r>
              <w:rPr>
                <w:rFonts w:ascii="宋体" w:hAnsi="宋体" w:cs="宋体" w:eastAsia="宋体" w:hint="default"/>
                <w:sz w:val="21"/>
                <w:szCs w:val="21"/>
              </w:rPr>
              <w:t>冻结的 股份数</w:t>
            </w:r>
          </w:p>
        </w:tc>
      </w:tr>
      <w:tr>
        <w:trPr>
          <w:trHeight w:val="464" w:hRule="exact"/>
        </w:trPr>
        <w:tc>
          <w:tcPr>
            <w:tcW w:w="26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7"/>
              <w:ind w:left="93" w:right="0"/>
              <w:jc w:val="left"/>
              <w:rPr>
                <w:rFonts w:ascii="宋体" w:hAnsi="宋体" w:cs="宋体" w:eastAsia="宋体" w:hint="default"/>
                <w:sz w:val="21"/>
                <w:szCs w:val="21"/>
              </w:rPr>
            </w:pPr>
            <w:r>
              <w:rPr>
                <w:rFonts w:ascii="宋体" w:hAnsi="宋体" w:cs="宋体" w:eastAsia="宋体" w:hint="default"/>
                <w:sz w:val="21"/>
                <w:szCs w:val="21"/>
              </w:rPr>
              <w:t>张近东</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21"/>
                <w:szCs w:val="21"/>
              </w:rPr>
            </w:pPr>
            <w:r>
              <w:rPr>
                <w:rFonts w:ascii="Times New Roman"/>
                <w:spacing w:val="-1"/>
                <w:sz w:val="21"/>
              </w:rPr>
              <w:t>27.90%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21"/>
                <w:szCs w:val="21"/>
              </w:rPr>
            </w:pPr>
            <w:r>
              <w:rPr>
                <w:rFonts w:ascii="Times New Roman"/>
                <w:spacing w:val="-1"/>
                <w:sz w:val="21"/>
              </w:rPr>
              <w:t>1,951,811,430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1,463,858,573(</w:t>
            </w:r>
            <w:r>
              <w:rPr>
                <w:rFonts w:ascii="宋体" w:hAnsi="宋体" w:cs="宋体" w:eastAsia="宋体" w:hint="default"/>
                <w:sz w:val="21"/>
                <w:szCs w:val="21"/>
              </w:rPr>
              <w:t>注</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p>
        </w:tc>
        <w:tc>
          <w:tcPr>
            <w:tcW w:w="10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5"/>
              <w:ind w:left="8" w:right="0"/>
              <w:jc w:val="center"/>
              <w:rPr>
                <w:rFonts w:ascii="Times New Roman" w:hAnsi="Times New Roman" w:cs="Times New Roman" w:eastAsia="Times New Roman" w:hint="default"/>
                <w:sz w:val="21"/>
                <w:szCs w:val="21"/>
              </w:rPr>
            </w:pPr>
            <w:r>
              <w:rPr>
                <w:rFonts w:ascii="Times New Roman"/>
                <w:sz w:val="21"/>
              </w:rPr>
              <w:t>0</w:t>
            </w:r>
          </w:p>
        </w:tc>
      </w:tr>
      <w:tr>
        <w:trPr>
          <w:trHeight w:val="444" w:hRule="exact"/>
        </w:trPr>
        <w:tc>
          <w:tcPr>
            <w:tcW w:w="26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7"/>
              <w:ind w:left="93" w:right="0"/>
              <w:jc w:val="left"/>
              <w:rPr>
                <w:rFonts w:ascii="宋体" w:hAnsi="宋体" w:cs="宋体" w:eastAsia="宋体" w:hint="default"/>
                <w:sz w:val="21"/>
                <w:szCs w:val="21"/>
              </w:rPr>
            </w:pPr>
            <w:r>
              <w:rPr>
                <w:rFonts w:ascii="宋体" w:hAnsi="宋体" w:cs="宋体" w:eastAsia="宋体" w:hint="default"/>
                <w:sz w:val="21"/>
                <w:szCs w:val="21"/>
              </w:rPr>
              <w:t>苏宁电器集团有限公司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21"/>
                <w:szCs w:val="21"/>
              </w:rPr>
            </w:pPr>
            <w:r>
              <w:rPr>
                <w:rFonts w:ascii="Times New Roman"/>
                <w:spacing w:val="-1"/>
                <w:sz w:val="21"/>
              </w:rPr>
              <w:t>13.47%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942,093,549</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z w:val="21"/>
              </w:rPr>
              <w:t>0</w:t>
            </w:r>
          </w:p>
        </w:tc>
        <w:tc>
          <w:tcPr>
            <w:tcW w:w="10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left="9" w:right="0"/>
              <w:jc w:val="center"/>
              <w:rPr>
                <w:rFonts w:ascii="Times New Roman" w:hAnsi="Times New Roman" w:cs="Times New Roman" w:eastAsia="Times New Roman" w:hint="default"/>
                <w:sz w:val="21"/>
                <w:szCs w:val="21"/>
              </w:rPr>
            </w:pPr>
            <w:r>
              <w:rPr>
                <w:rFonts w:ascii="Times New Roman"/>
                <w:sz w:val="21"/>
              </w:rPr>
              <w:t>0</w:t>
            </w:r>
          </w:p>
        </w:tc>
      </w:tr>
      <w:tr>
        <w:trPr>
          <w:trHeight w:val="462" w:hRule="exact"/>
        </w:trPr>
        <w:tc>
          <w:tcPr>
            <w:tcW w:w="26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陈金凤</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21"/>
                <w:szCs w:val="21"/>
              </w:rPr>
            </w:pPr>
            <w:r>
              <w:rPr>
                <w:rFonts w:ascii="Times New Roman"/>
                <w:spacing w:val="-1"/>
                <w:sz w:val="21"/>
              </w:rPr>
              <w:t>2.81%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21"/>
                <w:szCs w:val="21"/>
              </w:rPr>
            </w:pPr>
            <w:r>
              <w:rPr>
                <w:rFonts w:ascii="Times New Roman"/>
                <w:spacing w:val="-1"/>
                <w:sz w:val="21"/>
              </w:rPr>
              <w:t>196,282,370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z w:val="21"/>
              </w:rPr>
              <w:t>0</w:t>
            </w:r>
          </w:p>
        </w:tc>
        <w:tc>
          <w:tcPr>
            <w:tcW w:w="10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4"/>
              <w:ind w:left="9" w:right="0"/>
              <w:jc w:val="center"/>
              <w:rPr>
                <w:rFonts w:ascii="Times New Roman" w:hAnsi="Times New Roman" w:cs="Times New Roman" w:eastAsia="Times New Roman" w:hint="default"/>
                <w:sz w:val="21"/>
                <w:szCs w:val="21"/>
              </w:rPr>
            </w:pPr>
            <w:r>
              <w:rPr>
                <w:rFonts w:ascii="Times New Roman"/>
                <w:sz w:val="21"/>
              </w:rPr>
              <w:t>0</w:t>
            </w:r>
          </w:p>
        </w:tc>
      </w:tr>
      <w:tr>
        <w:trPr>
          <w:trHeight w:val="397" w:hRule="exact"/>
        </w:trPr>
        <w:tc>
          <w:tcPr>
            <w:tcW w:w="26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left="93" w:right="0"/>
              <w:jc w:val="left"/>
              <w:rPr>
                <w:rFonts w:ascii="宋体" w:hAnsi="宋体" w:cs="宋体" w:eastAsia="宋体" w:hint="default"/>
                <w:sz w:val="21"/>
                <w:szCs w:val="21"/>
              </w:rPr>
            </w:pPr>
            <w:r>
              <w:rPr>
                <w:rFonts w:ascii="宋体" w:hAnsi="宋体" w:cs="宋体" w:eastAsia="宋体" w:hint="default"/>
                <w:sz w:val="21"/>
                <w:szCs w:val="21"/>
              </w:rPr>
              <w:t>金明</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1.72%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120,353,040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90,264,780 (</w:t>
            </w:r>
            <w:r>
              <w:rPr>
                <w:rFonts w:ascii="宋体" w:hAnsi="宋体" w:cs="宋体" w:eastAsia="宋体" w:hint="default"/>
                <w:sz w:val="21"/>
                <w:szCs w:val="21"/>
              </w:rPr>
              <w:t>注</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w:t>
            </w:r>
          </w:p>
        </w:tc>
        <w:tc>
          <w:tcPr>
            <w:tcW w:w="10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left="8" w:right="0"/>
              <w:jc w:val="center"/>
              <w:rPr>
                <w:rFonts w:ascii="Times New Roman" w:hAnsi="Times New Roman" w:cs="Times New Roman" w:eastAsia="Times New Roman" w:hint="default"/>
                <w:sz w:val="21"/>
                <w:szCs w:val="21"/>
              </w:rPr>
            </w:pPr>
            <w:r>
              <w:rPr>
                <w:rFonts w:ascii="Times New Roman"/>
                <w:sz w:val="21"/>
              </w:rPr>
              <w:t>0</w:t>
            </w:r>
          </w:p>
        </w:tc>
      </w:tr>
      <w:tr>
        <w:trPr>
          <w:trHeight w:val="550" w:hRule="exact"/>
        </w:trPr>
        <w:tc>
          <w:tcPr>
            <w:tcW w:w="2676"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中国工商银行</w:t>
            </w:r>
            <w:r>
              <w:rPr>
                <w:rFonts w:ascii="Times New Roman" w:hAnsi="Times New Roman" w:cs="Times New Roman" w:eastAsia="Times New Roman" w:hint="default"/>
                <w:sz w:val="21"/>
                <w:szCs w:val="21"/>
              </w:rPr>
              <w:t>—</w:t>
            </w:r>
            <w:r>
              <w:rPr>
                <w:rFonts w:ascii="宋体" w:hAnsi="宋体" w:cs="宋体" w:eastAsia="宋体" w:hint="default"/>
                <w:sz w:val="21"/>
                <w:szCs w:val="21"/>
              </w:rPr>
              <w:t>广发聚丰</w:t>
            </w:r>
          </w:p>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股票型证券投资基金</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21"/>
                <w:szCs w:val="21"/>
              </w:rPr>
            </w:pPr>
            <w:r>
              <w:rPr>
                <w:rFonts w:ascii="Times New Roman"/>
                <w:spacing w:val="-1"/>
                <w:sz w:val="21"/>
              </w:rPr>
              <w:t>1.54%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108,000,000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0</w:t>
            </w:r>
          </w:p>
        </w:tc>
        <w:tc>
          <w:tcPr>
            <w:tcW w:w="10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9"/>
              <w:ind w:left="9"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847" w:hRule="exact"/>
        </w:trPr>
        <w:tc>
          <w:tcPr>
            <w:tcW w:w="2676"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3"/>
              <w:ind w:left="93" w:right="250"/>
              <w:jc w:val="left"/>
              <w:rPr>
                <w:rFonts w:ascii="宋体" w:hAnsi="宋体" w:cs="宋体" w:eastAsia="宋体" w:hint="default"/>
                <w:sz w:val="21"/>
                <w:szCs w:val="21"/>
              </w:rPr>
            </w:pPr>
            <w:r>
              <w:rPr>
                <w:rFonts w:ascii="宋体" w:hAnsi="宋体" w:cs="宋体" w:eastAsia="宋体" w:hint="default"/>
                <w:sz w:val="21"/>
                <w:szCs w:val="21"/>
              </w:rPr>
              <w:t>中国建设银行－银华核心 价值优选股票型证券投资</w:t>
            </w:r>
          </w:p>
          <w:p>
            <w:pPr>
              <w:pStyle w:val="TableParagraph"/>
              <w:spacing w:line="249" w:lineRule="exact"/>
              <w:ind w:left="9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99,999,979</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0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630" w:hRule="exact"/>
        </w:trPr>
        <w:tc>
          <w:tcPr>
            <w:tcW w:w="2676"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30"/>
              <w:ind w:left="93" w:right="250"/>
              <w:jc w:val="left"/>
              <w:rPr>
                <w:rFonts w:ascii="宋体" w:hAnsi="宋体" w:cs="宋体" w:eastAsia="宋体" w:hint="default"/>
                <w:sz w:val="21"/>
                <w:szCs w:val="21"/>
              </w:rPr>
            </w:pPr>
            <w:r>
              <w:rPr>
                <w:rFonts w:ascii="宋体" w:hAnsi="宋体" w:cs="宋体" w:eastAsia="宋体" w:hint="default"/>
                <w:sz w:val="21"/>
                <w:szCs w:val="21"/>
              </w:rPr>
              <w:t>中国工商银行－博时精选 股票证券投资基金</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0.96%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67,000,000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0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0"/>
              <w:ind w:left="9"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625" w:hRule="exact"/>
        </w:trPr>
        <w:tc>
          <w:tcPr>
            <w:tcW w:w="26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250"/>
              <w:jc w:val="left"/>
              <w:rPr>
                <w:rFonts w:ascii="宋体" w:hAnsi="宋体" w:cs="宋体" w:eastAsia="宋体" w:hint="default"/>
                <w:sz w:val="21"/>
                <w:szCs w:val="21"/>
              </w:rPr>
            </w:pPr>
            <w:r>
              <w:rPr>
                <w:rFonts w:ascii="宋体" w:hAnsi="宋体" w:cs="宋体" w:eastAsia="宋体" w:hint="default"/>
                <w:sz w:val="21"/>
                <w:szCs w:val="21"/>
              </w:rPr>
              <w:t>交通银行－博时新兴成长 股票型证券投资基金</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61,999,913</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0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7"/>
              <w:ind w:left="9"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619" w:hRule="exact"/>
        </w:trPr>
        <w:tc>
          <w:tcPr>
            <w:tcW w:w="2676" w:type="dxa"/>
            <w:tcBorders>
              <w:top w:val="single" w:sz="4" w:space="0" w:color="000000"/>
              <w:left w:val="single" w:sz="12" w:space="0" w:color="000000"/>
              <w:bottom w:val="single" w:sz="4" w:space="0" w:color="000000"/>
              <w:right w:val="single" w:sz="4" w:space="0" w:color="000000"/>
            </w:tcBorders>
          </w:tcPr>
          <w:p>
            <w:pPr>
              <w:pStyle w:val="TableParagraph"/>
              <w:spacing w:line="274" w:lineRule="exact" w:before="23"/>
              <w:ind w:left="93" w:right="250"/>
              <w:jc w:val="left"/>
              <w:rPr>
                <w:rFonts w:ascii="宋体" w:hAnsi="宋体" w:cs="宋体" w:eastAsia="宋体" w:hint="default"/>
                <w:sz w:val="21"/>
                <w:szCs w:val="21"/>
              </w:rPr>
            </w:pPr>
            <w:r>
              <w:rPr>
                <w:rFonts w:ascii="宋体" w:hAnsi="宋体" w:cs="宋体" w:eastAsia="宋体" w:hint="default"/>
                <w:sz w:val="21"/>
                <w:szCs w:val="21"/>
              </w:rPr>
              <w:t>交通银行－富国天益价值 证券投资基金</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5"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60,800,000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0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4"/>
              <w:ind w:left="9"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88" w:hRule="exact"/>
        </w:trPr>
        <w:tc>
          <w:tcPr>
            <w:tcW w:w="267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3"/>
              <w:ind w:left="93" w:right="0"/>
              <w:jc w:val="left"/>
              <w:rPr>
                <w:rFonts w:ascii="宋体" w:hAnsi="宋体" w:cs="宋体" w:eastAsia="宋体" w:hint="default"/>
                <w:sz w:val="21"/>
                <w:szCs w:val="21"/>
              </w:rPr>
            </w:pPr>
            <w:r>
              <w:rPr>
                <w:rFonts w:ascii="宋体" w:hAnsi="宋体" w:cs="宋体" w:eastAsia="宋体" w:hint="default"/>
                <w:sz w:val="21"/>
                <w:szCs w:val="21"/>
              </w:rPr>
              <w:t>雅戈尔集团股份有限公司</w:t>
            </w:r>
          </w:p>
        </w:tc>
        <w:tc>
          <w:tcPr>
            <w:tcW w:w="17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8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0.86%</w:t>
            </w:r>
          </w:p>
        </w:tc>
        <w:tc>
          <w:tcPr>
            <w:tcW w:w="14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60,000,000</w:t>
            </w:r>
          </w:p>
        </w:tc>
        <w:tc>
          <w:tcPr>
            <w:tcW w:w="19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z w:val="21"/>
              </w:rPr>
              <w:t>0</w:t>
            </w:r>
          </w:p>
        </w:tc>
        <w:tc>
          <w:tcPr>
            <w:tcW w:w="100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3"/>
              <w:ind w:left="9" w:right="0"/>
              <w:jc w:val="center"/>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0" w:lineRule="auto"/>
        <w:jc w:val="center"/>
        <w:rPr>
          <w:rFonts w:ascii="宋体" w:hAnsi="宋体" w:cs="宋体" w:eastAsia="宋体" w:hint="default"/>
          <w:sz w:val="21"/>
          <w:szCs w:val="21"/>
        </w:rPr>
        <w:sectPr>
          <w:pgSz w:w="11910" w:h="16840"/>
          <w:pgMar w:header="748" w:footer="714" w:top="980" w:bottom="900" w:left="96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4694"/>
        <w:gridCol w:w="2698"/>
        <w:gridCol w:w="2354"/>
      </w:tblGrid>
      <w:tr>
        <w:trPr>
          <w:trHeight w:val="518" w:hRule="exact"/>
        </w:trPr>
        <w:tc>
          <w:tcPr>
            <w:tcW w:w="9746" w:type="dxa"/>
            <w:gridSpan w:val="3"/>
            <w:tcBorders>
              <w:top w:val="single" w:sz="12" w:space="0" w:color="000000"/>
              <w:left w:val="single" w:sz="12" w:space="0" w:color="000000"/>
              <w:bottom w:val="single" w:sz="4" w:space="0" w:color="000000"/>
              <w:right w:val="single" w:sz="12" w:space="0" w:color="000000"/>
            </w:tcBorders>
          </w:tcPr>
          <w:p>
            <w:pPr>
              <w:pStyle w:val="TableParagraph"/>
              <w:tabs>
                <w:tab w:pos="8183" w:val="left" w:leader="none"/>
              </w:tabs>
              <w:spacing w:line="240" w:lineRule="auto" w:before="80"/>
              <w:ind w:left="93" w:right="0"/>
              <w:jc w:val="left"/>
              <w:rPr>
                <w:rFonts w:ascii="宋体" w:hAnsi="宋体" w:cs="宋体" w:eastAsia="宋体" w:hint="default"/>
                <w:sz w:val="21"/>
                <w:szCs w:val="21"/>
              </w:rPr>
            </w:pPr>
            <w:r>
              <w:rPr>
                <w:rFonts w:ascii="宋体" w:hAnsi="宋体" w:cs="宋体" w:eastAsia="宋体" w:hint="default"/>
                <w:b/>
                <w:bCs/>
                <w:w w:val="95"/>
                <w:sz w:val="21"/>
                <w:szCs w:val="21"/>
              </w:rPr>
              <w:t>前</w:t>
            </w:r>
            <w:r>
              <w:rPr>
                <w:rFonts w:ascii="Times New Roman" w:hAnsi="Times New Roman" w:cs="Times New Roman" w:eastAsia="Times New Roman" w:hint="default"/>
                <w:b/>
                <w:bCs/>
                <w:w w:val="95"/>
                <w:sz w:val="21"/>
                <w:szCs w:val="21"/>
              </w:rPr>
              <w:t>10</w:t>
            </w:r>
            <w:r>
              <w:rPr>
                <w:rFonts w:ascii="宋体" w:hAnsi="宋体" w:cs="宋体" w:eastAsia="宋体" w:hint="default"/>
                <w:b/>
                <w:bCs/>
                <w:w w:val="95"/>
                <w:sz w:val="21"/>
                <w:szCs w:val="21"/>
              </w:rPr>
              <w:t>名无限售条件股东持股情况</w:t>
              <w:tab/>
            </w:r>
            <w:r>
              <w:rPr>
                <w:rFonts w:ascii="宋体" w:hAnsi="宋体" w:cs="宋体" w:eastAsia="宋体" w:hint="default"/>
                <w:b/>
                <w:bCs/>
                <w:sz w:val="21"/>
                <w:szCs w:val="21"/>
              </w:rPr>
              <w:t>（单位：股）</w:t>
            </w:r>
            <w:r>
              <w:rPr>
                <w:rFonts w:ascii="宋体" w:hAnsi="宋体" w:cs="宋体" w:eastAsia="宋体" w:hint="default"/>
                <w:sz w:val="21"/>
                <w:szCs w:val="21"/>
              </w:rPr>
            </w:r>
          </w:p>
        </w:tc>
      </w:tr>
      <w:tr>
        <w:trPr>
          <w:trHeight w:val="340" w:hRule="exact"/>
        </w:trPr>
        <w:tc>
          <w:tcPr>
            <w:tcW w:w="4694"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88"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354"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41" w:hRule="exact"/>
        </w:trPr>
        <w:tc>
          <w:tcPr>
            <w:tcW w:w="4694"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苏宁电器集团有限公司</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942,093,549</w:t>
            </w:r>
          </w:p>
        </w:tc>
        <w:tc>
          <w:tcPr>
            <w:tcW w:w="2354"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0" w:hRule="exact"/>
        </w:trPr>
        <w:tc>
          <w:tcPr>
            <w:tcW w:w="4694"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张近东</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487,952,857</w:t>
            </w:r>
          </w:p>
        </w:tc>
        <w:tc>
          <w:tcPr>
            <w:tcW w:w="2354"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0" w:hRule="exact"/>
        </w:trPr>
        <w:tc>
          <w:tcPr>
            <w:tcW w:w="4694"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陈金凤</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196,282,370</w:t>
            </w:r>
          </w:p>
        </w:tc>
        <w:tc>
          <w:tcPr>
            <w:tcW w:w="2354"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1" w:hRule="exact"/>
        </w:trPr>
        <w:tc>
          <w:tcPr>
            <w:tcW w:w="4694" w:type="dxa"/>
            <w:tcBorders>
              <w:top w:val="single" w:sz="4" w:space="0" w:color="000000"/>
              <w:left w:val="single" w:sz="12" w:space="0" w:color="000000"/>
              <w:bottom w:val="single" w:sz="4" w:space="0" w:color="000000"/>
              <w:right w:val="single" w:sz="4" w:space="0" w:color="000000"/>
            </w:tcBorders>
          </w:tcPr>
          <w:p>
            <w:pPr>
              <w:pStyle w:val="TableParagraph"/>
              <w:spacing w:line="285"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中国工商银行</w:t>
            </w:r>
            <w:r>
              <w:rPr>
                <w:rFonts w:ascii="Times New Roman" w:hAnsi="Times New Roman" w:cs="Times New Roman" w:eastAsia="Times New Roman" w:hint="default"/>
                <w:sz w:val="21"/>
                <w:szCs w:val="21"/>
              </w:rPr>
              <w:t>—</w:t>
            </w:r>
            <w:r>
              <w:rPr>
                <w:rFonts w:ascii="宋体" w:hAnsi="宋体" w:cs="宋体" w:eastAsia="宋体" w:hint="default"/>
                <w:sz w:val="21"/>
                <w:szCs w:val="21"/>
              </w:rPr>
              <w:t>广发聚丰股票型证券投资基金</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108,000,000</w:t>
            </w:r>
          </w:p>
        </w:tc>
        <w:tc>
          <w:tcPr>
            <w:tcW w:w="2354"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4694"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32"/>
              <w:ind w:left="93" w:right="169"/>
              <w:jc w:val="left"/>
              <w:rPr>
                <w:rFonts w:ascii="宋体" w:hAnsi="宋体" w:cs="宋体" w:eastAsia="宋体" w:hint="default"/>
                <w:sz w:val="21"/>
                <w:szCs w:val="21"/>
              </w:rPr>
            </w:pPr>
            <w:r>
              <w:rPr>
                <w:rFonts w:ascii="宋体" w:hAnsi="宋体" w:cs="宋体" w:eastAsia="宋体" w:hint="default"/>
                <w:sz w:val="21"/>
                <w:szCs w:val="21"/>
              </w:rPr>
              <w:t>中国建设银行－银华核心价值优选股票型证券投 资基金</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99,999,979</w:t>
            </w:r>
          </w:p>
        </w:tc>
        <w:tc>
          <w:tcPr>
            <w:tcW w:w="235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1"/>
              <w:ind w:left="9"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0" w:hRule="exact"/>
        </w:trPr>
        <w:tc>
          <w:tcPr>
            <w:tcW w:w="4694"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中国工商银行－博时精选股票证券投资基金</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67,000,000</w:t>
            </w:r>
          </w:p>
        </w:tc>
        <w:tc>
          <w:tcPr>
            <w:tcW w:w="2354"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1" w:hRule="exact"/>
        </w:trPr>
        <w:tc>
          <w:tcPr>
            <w:tcW w:w="4694"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交通银行－博时新兴成长股票型证券投资基金</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61,999,913</w:t>
            </w:r>
          </w:p>
        </w:tc>
        <w:tc>
          <w:tcPr>
            <w:tcW w:w="2354"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0" w:hRule="exact"/>
        </w:trPr>
        <w:tc>
          <w:tcPr>
            <w:tcW w:w="4694"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交通银行－富国天益价值证券投资基金</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60,800,000</w:t>
            </w:r>
          </w:p>
        </w:tc>
        <w:tc>
          <w:tcPr>
            <w:tcW w:w="2354"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0" w:hRule="exact"/>
        </w:trPr>
        <w:tc>
          <w:tcPr>
            <w:tcW w:w="4694"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雅戈尔集团股份有限公司</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60,000,000</w:t>
            </w:r>
          </w:p>
        </w:tc>
        <w:tc>
          <w:tcPr>
            <w:tcW w:w="2354"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1" w:hRule="exact"/>
        </w:trPr>
        <w:tc>
          <w:tcPr>
            <w:tcW w:w="4694"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蒋勇</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56,247,080</w:t>
            </w:r>
          </w:p>
        </w:tc>
        <w:tc>
          <w:tcPr>
            <w:tcW w:w="2354"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522" w:hRule="exact"/>
        </w:trPr>
        <w:tc>
          <w:tcPr>
            <w:tcW w:w="9746" w:type="dxa"/>
            <w:gridSpan w:val="3"/>
            <w:tcBorders>
              <w:top w:val="single" w:sz="4" w:space="0" w:color="000000"/>
              <w:left w:val="single" w:sz="12" w:space="0" w:color="000000"/>
              <w:bottom w:val="single" w:sz="12" w:space="0" w:color="000000"/>
              <w:right w:val="single" w:sz="12" w:space="0" w:color="000000"/>
            </w:tcBorders>
          </w:tcPr>
          <w:p>
            <w:pPr>
              <w:pStyle w:val="TableParagraph"/>
              <w:spacing w:line="274" w:lineRule="exact" w:before="34"/>
              <w:ind w:left="9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p>
            <w:pPr>
              <w:pStyle w:val="TableParagraph"/>
              <w:spacing w:line="274" w:lineRule="exact" w:before="25"/>
              <w:ind w:left="93" w:right="9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、张近东先生持有苏宁电器集团有限公司</w:t>
            </w:r>
            <w:r>
              <w:rPr>
                <w:rFonts w:ascii="Times New Roman" w:hAnsi="Times New Roman" w:cs="Times New Roman" w:eastAsia="Times New Roman" w:hint="default"/>
                <w:sz w:val="21"/>
                <w:szCs w:val="21"/>
              </w:rPr>
              <w:t>28%</w:t>
            </w:r>
            <w:r>
              <w:rPr>
                <w:rFonts w:ascii="宋体" w:hAnsi="宋体" w:cs="宋体" w:eastAsia="宋体" w:hint="default"/>
                <w:sz w:val="21"/>
                <w:szCs w:val="21"/>
              </w:rPr>
              <w:t>的股权，张近东先生与苏宁电器集团有限公司构成关 联股东关系。</w:t>
            </w:r>
          </w:p>
          <w:p>
            <w:pPr>
              <w:pStyle w:val="TableParagraph"/>
              <w:spacing w:line="254" w:lineRule="exact"/>
              <w:ind w:left="5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、除前述关联关系外，未知公司前十名主要股东、前十名无限售条件股东之间是否存在其他关联关</w:t>
            </w:r>
          </w:p>
          <w:p>
            <w:pPr>
              <w:pStyle w:val="TableParagraph"/>
              <w:spacing w:line="266" w:lineRule="exact"/>
              <w:ind w:left="93" w:right="0"/>
              <w:jc w:val="left"/>
              <w:rPr>
                <w:rFonts w:ascii="宋体" w:hAnsi="宋体" w:cs="宋体" w:eastAsia="宋体" w:hint="default"/>
                <w:sz w:val="21"/>
                <w:szCs w:val="21"/>
              </w:rPr>
            </w:pPr>
            <w:r>
              <w:rPr>
                <w:rFonts w:ascii="宋体" w:hAnsi="宋体" w:cs="宋体" w:eastAsia="宋体" w:hint="default"/>
                <w:sz w:val="21"/>
                <w:szCs w:val="21"/>
              </w:rPr>
              <w:t>系，也未知是否存在《上市公司收购管理办法》中规定的一致行动人的情况。</w:t>
            </w:r>
          </w:p>
        </w:tc>
      </w:tr>
    </w:tbl>
    <w:p>
      <w:pPr>
        <w:spacing w:line="264" w:lineRule="auto" w:before="10"/>
        <w:ind w:left="480" w:right="493"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：张近东先生认购的公司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年非公开发行股票自</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日起限售三年；同时 作为公司现任董事，其所持有的公司股份需按照国家相关法律法规及规范性文件进行锁定；</w:t>
      </w:r>
    </w:p>
    <w:p>
      <w:pPr>
        <w:spacing w:line="264" w:lineRule="auto" w:before="24"/>
        <w:ind w:left="480" w:right="493"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：金明先生为公司现任董事，其所持有的公司股份需按照国家相关法律法规及规范性文件 进行锁定。</w:t>
      </w:r>
    </w:p>
    <w:p>
      <w:pPr>
        <w:spacing w:line="240" w:lineRule="auto" w:before="6"/>
        <w:rPr>
          <w:rFonts w:ascii="宋体" w:hAnsi="宋体" w:cs="宋体" w:eastAsia="宋体" w:hint="default"/>
          <w:sz w:val="22"/>
          <w:szCs w:val="22"/>
        </w:rPr>
      </w:pPr>
    </w:p>
    <w:p>
      <w:pPr>
        <w:pStyle w:val="BodyText"/>
        <w:spacing w:line="240" w:lineRule="auto"/>
        <w:ind w:left="960" w:right="0"/>
        <w:jc w:val="left"/>
      </w:pPr>
      <w:r>
        <w:rPr>
          <w:rFonts w:ascii="Times New Roman" w:hAnsi="Times New Roman" w:cs="Times New Roman" w:eastAsia="Times New Roman" w:hint="default"/>
        </w:rPr>
        <w:t>2</w:t>
      </w:r>
      <w:r>
        <w:rPr/>
        <w:t>、公司控股股东及实际控制人情况</w:t>
      </w:r>
    </w:p>
    <w:p>
      <w:pPr>
        <w:pStyle w:val="BodyText"/>
        <w:spacing w:line="348" w:lineRule="auto" w:before="135"/>
        <w:ind w:left="480" w:right="492" w:firstLine="480"/>
        <w:jc w:val="both"/>
      </w:pPr>
      <w:r>
        <w:rPr/>
        <w:t>（</w:t>
      </w:r>
      <w:r>
        <w:rPr>
          <w:rFonts w:ascii="Times New Roman" w:hAnsi="Times New Roman" w:cs="Times New Roman" w:eastAsia="Times New Roman" w:hint="default"/>
        </w:rPr>
        <w:t>1</w:t>
      </w:r>
      <w:r>
        <w:rPr/>
        <w:t>）公司控股股东或实际控制人：张近东先生，中国国籍，</w:t>
      </w:r>
      <w:r>
        <w:rPr>
          <w:rFonts w:ascii="Times New Roman" w:hAnsi="Times New Roman" w:cs="Times New Roman" w:eastAsia="Times New Roman" w:hint="default"/>
        </w:rPr>
        <w:t>1963</w:t>
      </w:r>
      <w:r>
        <w:rPr>
          <w:rFonts w:ascii="Times New Roman" w:hAnsi="Times New Roman" w:cs="Times New Roman" w:eastAsia="Times New Roman" w:hint="default"/>
          <w:spacing w:val="-10"/>
        </w:rPr>
        <w:t> </w:t>
      </w:r>
      <w:r>
        <w:rPr/>
        <w:t>年</w:t>
      </w:r>
      <w:r>
        <w:rPr>
          <w:spacing w:val="-70"/>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月出生，本 </w:t>
      </w:r>
      <w:r>
        <w:rPr>
          <w:spacing w:val="-3"/>
        </w:rPr>
        <w:t>科学历，曾任江苏苏宁交家电有限公司董事长兼总经理，现任苏宁电器股份有限公司董</w:t>
      </w:r>
      <w:r>
        <w:rPr>
          <w:spacing w:val="-98"/>
        </w:rPr>
        <w:t> </w:t>
      </w:r>
      <w:r>
        <w:rPr>
          <w:spacing w:val="-98"/>
        </w:rPr>
      </w:r>
      <w:r>
        <w:rPr/>
        <w:t>事长。无其他国家或地区居住权。</w:t>
      </w:r>
    </w:p>
    <w:p>
      <w:pPr>
        <w:pStyle w:val="BodyText"/>
        <w:spacing w:line="240" w:lineRule="auto" w:before="46"/>
        <w:ind w:left="960" w:right="0"/>
        <w:jc w:val="left"/>
      </w:pPr>
      <w:r>
        <w:rPr/>
        <w:t>（</w:t>
      </w:r>
      <w:r>
        <w:rPr>
          <w:rFonts w:ascii="Times New Roman" w:hAnsi="Times New Roman" w:cs="Times New Roman" w:eastAsia="Times New Roman" w:hint="default"/>
        </w:rPr>
        <w:t>2</w:t>
      </w:r>
      <w:r>
        <w:rPr/>
        <w:t>）公司与实际控制人的产权和控制关系如下图：</w:t>
      </w:r>
    </w:p>
    <w:p>
      <w:pPr>
        <w:spacing w:line="240" w:lineRule="auto" w:before="4"/>
        <w:rPr>
          <w:rFonts w:ascii="宋体" w:hAnsi="宋体" w:cs="宋体" w:eastAsia="宋体" w:hint="default"/>
          <w:sz w:val="25"/>
          <w:szCs w:val="25"/>
        </w:rPr>
      </w:pPr>
    </w:p>
    <w:p>
      <w:pPr>
        <w:spacing w:line="468" w:lineRule="exact"/>
        <w:ind w:left="354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81pt;height:23.4pt;mso-position-horizontal-relative:char;mso-position-vertical-relative:line" type="#_x0000_t202" filled="false" stroked="true" strokeweight=".75pt" strokecolor="#000000">
            <w10:anchorlock/>
            <v:textbox inset="0,0,0,0">
              <w:txbxContent>
                <w:p>
                  <w:pPr>
                    <w:spacing w:before="37"/>
                    <w:ind w:left="488" w:right="0" w:firstLine="0"/>
                    <w:jc w:val="left"/>
                    <w:rPr>
                      <w:rFonts w:ascii="宋体" w:hAnsi="宋体" w:cs="宋体" w:eastAsia="宋体" w:hint="default"/>
                      <w:sz w:val="21"/>
                      <w:szCs w:val="21"/>
                    </w:rPr>
                  </w:pPr>
                  <w:r>
                    <w:rPr>
                      <w:rFonts w:ascii="宋体" w:hAnsi="宋体" w:cs="宋体" w:eastAsia="宋体" w:hint="default"/>
                      <w:sz w:val="21"/>
                      <w:szCs w:val="21"/>
                    </w:rPr>
                    <w:t>张近东</w:t>
                  </w:r>
                </w:p>
              </w:txbxContent>
            </v:textbox>
          </v:shape>
        </w:pict>
      </w:r>
      <w:r>
        <w:rPr>
          <w:rFonts w:ascii="宋体" w:hAnsi="宋体" w:cs="宋体" w:eastAsia="宋体" w:hint="default"/>
          <w:position w:val="-8"/>
          <w:sz w:val="20"/>
          <w:szCs w:val="20"/>
        </w:rPr>
      </w:r>
    </w:p>
    <w:p>
      <w:pPr>
        <w:pStyle w:val="BodyText"/>
        <w:spacing w:line="240" w:lineRule="auto" w:before="200"/>
        <w:ind w:left="2445" w:right="4324"/>
        <w:jc w:val="center"/>
        <w:rPr>
          <w:rFonts w:ascii="Times New Roman" w:hAnsi="Times New Roman" w:cs="Times New Roman" w:eastAsia="Times New Roman" w:hint="default"/>
        </w:rPr>
      </w:pPr>
      <w:r>
        <w:rPr/>
        <w:pict>
          <v:group style="position:absolute;margin-left:231pt;margin-top:-.396572pt;width:6pt;height:40.1pt;mso-position-horizontal-relative:page;mso-position-vertical-relative:paragraph;z-index:-1005232" coordorigin="4620,-8" coordsize="120,802">
            <v:shape style="position:absolute;left:4620;top:-8;width:120;height:802" coordorigin="4620,-8" coordsize="120,802" path="m4673,674l4620,674,4680,794,4726,701,4680,701,4675,699,4673,693,4673,674xe" filled="true" fillcolor="#000000" stroked="false">
              <v:path arrowok="t"/>
              <v:fill type="solid"/>
            </v:shape>
            <v:shape style="position:absolute;left:4620;top:-8;width:120;height:802" coordorigin="4620,-8" coordsize="120,802" path="m4680,-8l4675,-6,4673,-1,4673,693,4675,699,4680,701,4685,699,4687,693,4687,-1,4685,-6,4680,-8xe" filled="true" fillcolor="#000000" stroked="false">
              <v:path arrowok="t"/>
              <v:fill type="solid"/>
            </v:shape>
            <v:shape style="position:absolute;left:4620;top:-8;width:120;height:802" coordorigin="4620,-8" coordsize="120,802" path="m4740,674l4687,674,4687,693,4685,699,4680,701,4726,701,4740,674xe" filled="true" fillcolor="#000000" stroked="false">
              <v:path arrowok="t"/>
              <v:fill type="solid"/>
            </v:shape>
            <w10:wrap type="none"/>
          </v:group>
        </w:pict>
      </w:r>
      <w:r>
        <w:rPr/>
        <w:pict>
          <v:group style="position:absolute;margin-left:285pt;margin-top:-.396572pt;width:6pt;height:117.4pt;mso-position-horizontal-relative:page;mso-position-vertical-relative:paragraph;z-index:-1005184" coordorigin="5700,-8" coordsize="120,2348">
            <v:shape style="position:absolute;left:5700;top:-8;width:120;height:2348" coordorigin="5700,-8" coordsize="120,2348" path="m5753,2219l5700,2219,5760,2339,5806,2247,5760,2247,5755,2244,5753,2240,5753,2219xe" filled="true" fillcolor="#000000" stroked="false">
              <v:path arrowok="t"/>
              <v:fill type="solid"/>
            </v:shape>
            <v:shape style="position:absolute;left:5700;top:-8;width:120;height:2348" coordorigin="5700,-8" coordsize="120,2348" path="m5760,-8l5755,-6,5753,-1,5753,2240,5755,2244,5760,2247,5765,2244,5767,2240,5767,-1,5765,-6,5760,-8xe" filled="true" fillcolor="#000000" stroked="false">
              <v:path arrowok="t"/>
              <v:fill type="solid"/>
            </v:shape>
            <v:shape style="position:absolute;left:5700;top:-8;width:120;height:2348" coordorigin="5700,-8" coordsize="120,2348" path="m5820,2219l5767,2219,5767,2240,5765,2244,5760,2247,5806,2247,5820,2219xe" filled="true" fillcolor="#000000" stroked="false">
              <v:path arrowok="t"/>
              <v:fill type="solid"/>
            </v:shape>
            <w10:wrap type="none"/>
          </v:group>
        </w:pict>
      </w:r>
      <w:r>
        <w:rPr>
          <w:rFonts w:ascii="Times New Roman"/>
        </w:rPr>
        <w:t>28%</w:t>
      </w:r>
    </w:p>
    <w:p>
      <w:pPr>
        <w:spacing w:line="240" w:lineRule="auto" w:before="10"/>
        <w:rPr>
          <w:rFonts w:ascii="Times New Roman" w:hAnsi="Times New Roman" w:cs="Times New Roman" w:eastAsia="Times New Roman" w:hint="default"/>
          <w:sz w:val="35"/>
          <w:szCs w:val="35"/>
        </w:rPr>
      </w:pPr>
    </w:p>
    <w:p>
      <w:pPr>
        <w:pStyle w:val="BodyText"/>
        <w:spacing w:line="240" w:lineRule="auto"/>
        <w:ind w:left="3822" w:right="3247"/>
        <w:jc w:val="center"/>
        <w:rPr>
          <w:rFonts w:ascii="Times New Roman" w:hAnsi="Times New Roman" w:cs="Times New Roman" w:eastAsia="Times New Roman" w:hint="default"/>
        </w:rPr>
      </w:pPr>
      <w:r>
        <w:rPr/>
        <w:pict>
          <v:shape style="position:absolute;margin-left:144pt;margin-top:-5.836574pt;width:108pt;height:39pt;mso-position-horizontal-relative:page;mso-position-vertical-relative:paragraph;z-index:1144" type="#_x0000_t202" filled="false" stroked="true" strokeweight=".75pt" strokecolor="#000000">
            <v:textbox inset="0,0,0,0">
              <w:txbxContent>
                <w:p>
                  <w:pPr>
                    <w:spacing w:line="272" w:lineRule="exact" w:before="66"/>
                    <w:ind w:left="653" w:right="439" w:hanging="210"/>
                    <w:jc w:val="left"/>
                    <w:rPr>
                      <w:rFonts w:ascii="宋体" w:hAnsi="宋体" w:cs="宋体" w:eastAsia="宋体" w:hint="default"/>
                      <w:sz w:val="21"/>
                      <w:szCs w:val="21"/>
                    </w:rPr>
                  </w:pPr>
                  <w:r>
                    <w:rPr>
                      <w:rFonts w:ascii="宋体" w:hAnsi="宋体" w:cs="宋体" w:eastAsia="宋体" w:hint="default"/>
                      <w:sz w:val="21"/>
                      <w:szCs w:val="21"/>
                    </w:rPr>
                    <w:t>苏宁电器集团 有限公司</w:t>
                  </w:r>
                </w:p>
              </w:txbxContent>
            </v:textbox>
            <w10:wrap type="none"/>
          </v:shape>
        </w:pict>
      </w:r>
      <w:r>
        <w:rPr>
          <w:rFonts w:ascii="Times New Roman"/>
        </w:rPr>
        <w:t>27.90%</w:t>
      </w:r>
    </w:p>
    <w:p>
      <w:pPr>
        <w:spacing w:line="240" w:lineRule="auto" w:before="0"/>
        <w:rPr>
          <w:rFonts w:ascii="Times New Roman" w:hAnsi="Times New Roman" w:cs="Times New Roman" w:eastAsia="Times New Roman" w:hint="default"/>
          <w:sz w:val="24"/>
          <w:szCs w:val="24"/>
        </w:rPr>
      </w:pPr>
    </w:p>
    <w:p>
      <w:pPr>
        <w:spacing w:line="240" w:lineRule="auto" w:before="10"/>
        <w:rPr>
          <w:rFonts w:ascii="Times New Roman" w:hAnsi="Times New Roman" w:cs="Times New Roman" w:eastAsia="Times New Roman" w:hint="default"/>
          <w:sz w:val="23"/>
          <w:szCs w:val="23"/>
        </w:rPr>
      </w:pPr>
    </w:p>
    <w:p>
      <w:pPr>
        <w:pStyle w:val="BodyText"/>
        <w:spacing w:line="240" w:lineRule="auto"/>
        <w:ind w:left="2640" w:right="0"/>
        <w:jc w:val="left"/>
        <w:rPr>
          <w:rFonts w:ascii="Times New Roman" w:hAnsi="Times New Roman" w:cs="Times New Roman" w:eastAsia="Times New Roman" w:hint="default"/>
        </w:rPr>
      </w:pPr>
      <w:r>
        <w:rPr/>
        <w:pict>
          <v:group style="position:absolute;margin-left:222pt;margin-top:-8.176571pt;width:6pt;height:39.4pt;mso-position-horizontal-relative:page;mso-position-vertical-relative:paragraph;z-index:-1005208" coordorigin="4440,-164" coordsize="120,788">
            <v:shape style="position:absolute;left:4440;top:-164;width:120;height:788" coordorigin="4440,-164" coordsize="120,788" path="m4493,504l4440,504,4500,624,4546,531,4500,531,4495,529,4493,524,4493,504xe" filled="true" fillcolor="#000000" stroked="false">
              <v:path arrowok="t"/>
              <v:fill type="solid"/>
            </v:shape>
            <v:shape style="position:absolute;left:4440;top:-164;width:120;height:788" coordorigin="4440,-164" coordsize="120,788" path="m4500,-164l4495,-161,4493,-156,4493,524,4495,529,4500,531,4505,529,4507,524,4507,-156,4505,-161,4500,-164xe" filled="true" fillcolor="#000000" stroked="false">
              <v:path arrowok="t"/>
              <v:fill type="solid"/>
            </v:shape>
            <v:shape style="position:absolute;left:4440;top:-164;width:120;height:788" coordorigin="4440,-164" coordsize="120,788" path="m4560,504l4507,504,4507,524,4505,529,4500,531,4546,531,4560,504xe" filled="true" fillcolor="#000000" stroked="false">
              <v:path arrowok="t"/>
              <v:fill type="solid"/>
            </v:shape>
            <w10:wrap type="none"/>
          </v:group>
        </w:pict>
      </w:r>
      <w:r>
        <w:rPr>
          <w:rFonts w:ascii="Times New Roman"/>
        </w:rPr>
        <w:t>13.47%</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0"/>
          <w:szCs w:val="10"/>
        </w:rPr>
      </w:pPr>
    </w:p>
    <w:p>
      <w:pPr>
        <w:spacing w:line="528" w:lineRule="exact"/>
        <w:ind w:left="264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shape style="width:171pt;height:26.4pt;mso-position-horizontal-relative:char;mso-position-vertical-relative:line" type="#_x0000_t202" filled="false" stroked="true" strokeweight=".75pt" strokecolor="#000000">
            <w10:anchorlock/>
            <v:textbox inset="0,0,0,0">
              <w:txbxContent>
                <w:p>
                  <w:pPr>
                    <w:spacing w:before="37"/>
                    <w:ind w:left="653" w:right="0" w:firstLine="0"/>
                    <w:jc w:val="left"/>
                    <w:rPr>
                      <w:rFonts w:ascii="宋体" w:hAnsi="宋体" w:cs="宋体" w:eastAsia="宋体" w:hint="default"/>
                      <w:sz w:val="21"/>
                      <w:szCs w:val="21"/>
                    </w:rPr>
                  </w:pPr>
                  <w:r>
                    <w:rPr>
                      <w:rFonts w:ascii="宋体" w:hAnsi="宋体" w:cs="宋体" w:eastAsia="宋体" w:hint="default"/>
                      <w:sz w:val="21"/>
                      <w:szCs w:val="21"/>
                    </w:rPr>
                    <w:t>苏宁电器股份有限公司</w:t>
                  </w:r>
                </w:p>
              </w:txbxContent>
            </v:textbox>
          </v:shape>
        </w:pict>
      </w:r>
      <w:r>
        <w:rPr>
          <w:rFonts w:ascii="Times New Roman" w:hAnsi="Times New Roman" w:cs="Times New Roman" w:eastAsia="Times New Roman" w:hint="default"/>
          <w:position w:val="-10"/>
          <w:sz w:val="20"/>
          <w:szCs w:val="20"/>
        </w:rPr>
      </w:r>
    </w:p>
    <w:p>
      <w:pPr>
        <w:spacing w:after="0" w:line="528" w:lineRule="exact"/>
        <w:rPr>
          <w:rFonts w:ascii="Times New Roman" w:hAnsi="Times New Roman" w:cs="Times New Roman" w:eastAsia="Times New Roman" w:hint="default"/>
          <w:sz w:val="20"/>
          <w:szCs w:val="20"/>
        </w:rPr>
        <w:sectPr>
          <w:pgSz w:w="11910" w:h="16840"/>
          <w:pgMar w:header="748" w:footer="714" w:top="980" w:bottom="900" w:left="960" w:right="940"/>
        </w:sectPr>
      </w:pPr>
    </w:p>
    <w:p>
      <w:pPr>
        <w:spacing w:line="240" w:lineRule="auto" w:before="0"/>
        <w:rPr>
          <w:rFonts w:ascii="Times New Roman" w:hAnsi="Times New Roman" w:cs="Times New Roman" w:eastAsia="Times New Roman" w:hint="default"/>
          <w:sz w:val="20"/>
          <w:szCs w:val="20"/>
        </w:rPr>
      </w:pPr>
    </w:p>
    <w:p>
      <w:pPr>
        <w:pStyle w:val="BodyText"/>
        <w:spacing w:line="338" w:lineRule="auto" w:before="182"/>
        <w:ind w:left="999" w:right="497"/>
        <w:jc w:val="left"/>
      </w:pPr>
      <w:r>
        <w:rPr/>
        <w:t>（</w:t>
      </w:r>
      <w:r>
        <w:rPr>
          <w:rFonts w:ascii="Times New Roman" w:hAnsi="Times New Roman" w:cs="Times New Roman" w:eastAsia="Times New Roman" w:hint="default"/>
        </w:rPr>
        <w:t>3</w:t>
      </w:r>
      <w:r>
        <w:rPr/>
        <w:t>）其他持股在</w:t>
      </w:r>
      <w:r>
        <w:rPr>
          <w:spacing w:val="-60"/>
        </w:rPr>
        <w:t> </w:t>
      </w:r>
      <w:r>
        <w:rPr>
          <w:rFonts w:ascii="Times New Roman" w:hAnsi="Times New Roman" w:cs="Times New Roman" w:eastAsia="Times New Roman" w:hint="default"/>
        </w:rPr>
        <w:t>10%</w:t>
      </w:r>
      <w:r>
        <w:rPr/>
        <w:t>以上的法人股东： 苏宁电器集团有限公司，法定代表人马晓咏，注册资本 </w:t>
      </w:r>
      <w:r>
        <w:rPr>
          <w:rFonts w:ascii="Times New Roman" w:hAnsi="Times New Roman" w:cs="Times New Roman" w:eastAsia="Times New Roman" w:hint="default"/>
        </w:rPr>
        <w:t>200,000,000</w:t>
      </w:r>
      <w:r>
        <w:rPr>
          <w:rFonts w:ascii="Times New Roman" w:hAnsi="Times New Roman" w:cs="Times New Roman" w:eastAsia="Times New Roman" w:hint="default"/>
          <w:spacing w:val="-32"/>
        </w:rPr>
        <w:t> </w:t>
      </w:r>
      <w:r>
        <w:rPr/>
        <w:t>元，成立日期</w:t>
      </w:r>
    </w:p>
    <w:p>
      <w:pPr>
        <w:pStyle w:val="BodyText"/>
        <w:spacing w:line="338" w:lineRule="auto" w:before="27"/>
        <w:ind w:left="519" w:right="0"/>
        <w:jc w:val="left"/>
      </w:pPr>
      <w:r>
        <w:rPr>
          <w:rFonts w:ascii="Times New Roman" w:hAnsi="Times New Roman" w:cs="Times New Roman" w:eastAsia="Times New Roman" w:hint="default"/>
        </w:rPr>
        <w:t>1999 </w:t>
      </w:r>
      <w:r>
        <w:rPr/>
        <w:t>年 </w:t>
      </w:r>
      <w:r>
        <w:rPr>
          <w:rFonts w:ascii="Times New Roman" w:hAnsi="Times New Roman" w:cs="Times New Roman" w:eastAsia="Times New Roman" w:hint="default"/>
          <w:spacing w:val="-5"/>
        </w:rPr>
        <w:t>11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20"/>
        </w:rPr>
        <w:t> </w:t>
      </w:r>
      <w:r>
        <w:rPr/>
        <w:t>日，经营范围：许可经营项目：中餐制售；音像制品零售，茶座。卷 </w:t>
      </w:r>
      <w:r>
        <w:rPr>
          <w:spacing w:val="-6"/>
        </w:rPr>
        <w:t>烟、烟丝、雪茄烟零售，国内版图书、期刊零售，零售各类定型包装食品、饮料、酒类。</w:t>
      </w:r>
    </w:p>
    <w:p>
      <w:pPr>
        <w:pStyle w:val="BodyText"/>
        <w:spacing w:line="357" w:lineRule="auto" w:before="55"/>
        <w:ind w:left="519" w:right="0"/>
        <w:jc w:val="left"/>
      </w:pPr>
      <w:r>
        <w:rPr>
          <w:spacing w:val="-6"/>
        </w:rPr>
        <w:t>（限指定的分支机构经营）；一般经营项目：家用电器及配件的制造、销售及售后服务；</w:t>
      </w:r>
      <w:r>
        <w:rPr>
          <w:spacing w:val="-96"/>
        </w:rPr>
        <w:t> </w:t>
      </w:r>
      <w:r>
        <w:rPr>
          <w:spacing w:val="-96"/>
        </w:rPr>
      </w:r>
      <w:r>
        <w:rPr/>
        <w:t>汽车专用照明电器、电子元件、电工器材和电气信号设备加工制造，房屋租赁、维修， 物业管理，室内装饰，园林绿化，经济信息咨询，实业投资；百货、黄金、珠宝玉器、 </w:t>
      </w:r>
      <w:r>
        <w:rPr>
          <w:spacing w:val="-3"/>
        </w:rPr>
        <w:t>工艺美术品、鲜花销售，洗衣服务，柜台、场地租赁，国内商品展示服务；国产、进口</w:t>
      </w:r>
      <w:r>
        <w:rPr>
          <w:spacing w:val="-104"/>
        </w:rPr>
        <w:t> </w:t>
      </w:r>
      <w:r>
        <w:rPr>
          <w:spacing w:val="-104"/>
        </w:rPr>
      </w:r>
      <w:r>
        <w:rPr/>
        <w:t>化妆品的销售，企业形象策划，人才培训。</w:t>
      </w:r>
    </w:p>
    <w:p>
      <w:pPr>
        <w:pStyle w:val="BodyText"/>
        <w:spacing w:line="240" w:lineRule="auto" w:before="36"/>
        <w:ind w:left="1000" w:right="497"/>
        <w:jc w:val="left"/>
      </w:pPr>
      <w:r>
        <w:rPr>
          <w:rFonts w:ascii="Times New Roman" w:hAnsi="Times New Roman" w:cs="Times New Roman" w:eastAsia="Times New Roman" w:hint="default"/>
        </w:rPr>
        <w:t>3</w:t>
      </w:r>
      <w:r>
        <w:rPr/>
        <w:t>、有限售条件股份情况</w:t>
      </w:r>
    </w:p>
    <w:p>
      <w:pPr>
        <w:pStyle w:val="BodyText"/>
        <w:tabs>
          <w:tab w:pos="7959" w:val="left" w:leader="none"/>
        </w:tabs>
        <w:spacing w:line="240" w:lineRule="auto" w:before="135"/>
        <w:ind w:left="1000" w:right="497"/>
        <w:jc w:val="left"/>
        <w:rPr>
          <w:sz w:val="21"/>
          <w:szCs w:val="21"/>
        </w:rPr>
      </w:pPr>
      <w:r>
        <w:rPr/>
        <w:t>（</w:t>
      </w:r>
      <w:r>
        <w:rPr>
          <w:rFonts w:ascii="Times New Roman" w:hAnsi="Times New Roman" w:cs="Times New Roman" w:eastAsia="Times New Roman" w:hint="default"/>
        </w:rPr>
        <w:t>1</w:t>
      </w:r>
      <w:r>
        <w:rPr/>
        <w:t>） 前十名股东中有限售条件股东持股数量及限售条件</w:t>
        <w:tab/>
      </w:r>
      <w:r>
        <w:rPr>
          <w:sz w:val="21"/>
          <w:szCs w:val="21"/>
        </w:rPr>
        <w:t>（单位：股）</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650"/>
        <w:gridCol w:w="1417"/>
        <w:gridCol w:w="1472"/>
        <w:gridCol w:w="1499"/>
        <w:gridCol w:w="1298"/>
        <w:gridCol w:w="3463"/>
      </w:tblGrid>
      <w:tr>
        <w:trPr>
          <w:trHeight w:val="839" w:hRule="exact"/>
        </w:trPr>
        <w:tc>
          <w:tcPr>
            <w:tcW w:w="65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序号</w:t>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30"/>
              <w:ind w:left="284" w:right="176" w:hanging="106"/>
              <w:jc w:val="left"/>
              <w:rPr>
                <w:rFonts w:ascii="宋体" w:hAnsi="宋体" w:cs="宋体" w:eastAsia="宋体" w:hint="default"/>
                <w:sz w:val="21"/>
                <w:szCs w:val="21"/>
              </w:rPr>
            </w:pPr>
            <w:r>
              <w:rPr>
                <w:rFonts w:ascii="宋体" w:hAnsi="宋体" w:cs="宋体" w:eastAsia="宋体" w:hint="default"/>
                <w:sz w:val="21"/>
                <w:szCs w:val="21"/>
              </w:rPr>
              <w:t>有限售条件 股东名称</w:t>
            </w:r>
          </w:p>
        </w:tc>
        <w:tc>
          <w:tcPr>
            <w:tcW w:w="1472"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40" w:lineRule="auto"/>
              <w:ind w:left="416" w:right="204" w:hanging="210"/>
              <w:jc w:val="left"/>
              <w:rPr>
                <w:rFonts w:ascii="宋体" w:hAnsi="宋体" w:cs="宋体" w:eastAsia="宋体" w:hint="default"/>
                <w:sz w:val="21"/>
                <w:szCs w:val="21"/>
              </w:rPr>
            </w:pPr>
            <w:r>
              <w:rPr>
                <w:rFonts w:ascii="宋体" w:hAnsi="宋体" w:cs="宋体" w:eastAsia="宋体" w:hint="default"/>
                <w:sz w:val="21"/>
                <w:szCs w:val="21"/>
              </w:rPr>
              <w:t>售条件股份 的数量</w:t>
            </w:r>
          </w:p>
        </w:tc>
        <w:tc>
          <w:tcPr>
            <w:tcW w:w="1499"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30"/>
              <w:ind w:left="639" w:right="113" w:hanging="526"/>
              <w:jc w:val="left"/>
              <w:rPr>
                <w:rFonts w:ascii="宋体" w:hAnsi="宋体" w:cs="宋体" w:eastAsia="宋体" w:hint="default"/>
                <w:sz w:val="21"/>
                <w:szCs w:val="21"/>
              </w:rPr>
            </w:pPr>
            <w:r>
              <w:rPr>
                <w:rFonts w:ascii="宋体" w:hAnsi="宋体" w:cs="宋体" w:eastAsia="宋体" w:hint="default"/>
                <w:sz w:val="21"/>
                <w:szCs w:val="21"/>
              </w:rPr>
              <w:t>可上市交易时 间</w:t>
            </w:r>
          </w:p>
        </w:tc>
        <w:tc>
          <w:tcPr>
            <w:tcW w:w="1298"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118" w:right="0"/>
              <w:jc w:val="left"/>
              <w:rPr>
                <w:rFonts w:ascii="宋体" w:hAnsi="宋体" w:cs="宋体" w:eastAsia="宋体" w:hint="default"/>
                <w:sz w:val="21"/>
                <w:szCs w:val="21"/>
              </w:rPr>
            </w:pPr>
            <w:r>
              <w:rPr>
                <w:rFonts w:ascii="宋体" w:hAnsi="宋体" w:cs="宋体" w:eastAsia="宋体" w:hint="default"/>
                <w:sz w:val="21"/>
                <w:szCs w:val="21"/>
              </w:rPr>
              <w:t>新增可上市</w:t>
            </w:r>
          </w:p>
          <w:p>
            <w:pPr>
              <w:pStyle w:val="TableParagraph"/>
              <w:spacing w:line="240" w:lineRule="auto"/>
              <w:ind w:left="538" w:right="119" w:hanging="420"/>
              <w:jc w:val="left"/>
              <w:rPr>
                <w:rFonts w:ascii="宋体" w:hAnsi="宋体" w:cs="宋体" w:eastAsia="宋体" w:hint="default"/>
                <w:sz w:val="21"/>
                <w:szCs w:val="21"/>
              </w:rPr>
            </w:pPr>
            <w:r>
              <w:rPr>
                <w:rFonts w:ascii="宋体" w:hAnsi="宋体" w:cs="宋体" w:eastAsia="宋体" w:hint="default"/>
                <w:sz w:val="21"/>
                <w:szCs w:val="21"/>
              </w:rPr>
              <w:t>交易股份数 量</w:t>
            </w:r>
          </w:p>
        </w:tc>
        <w:tc>
          <w:tcPr>
            <w:tcW w:w="346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283" w:hRule="exact"/>
        </w:trPr>
        <w:tc>
          <w:tcPr>
            <w:tcW w:w="650" w:type="dxa"/>
            <w:tcBorders>
              <w:top w:val="single" w:sz="4" w:space="0" w:color="000000"/>
              <w:left w:val="single" w:sz="12"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472" w:type="dxa"/>
            <w:tcBorders>
              <w:top w:val="single" w:sz="4" w:space="0" w:color="000000"/>
              <w:left w:val="single" w:sz="4" w:space="0" w:color="000000"/>
              <w:bottom w:val="nil" w:sz="6" w:space="0" w:color="auto"/>
              <w:right w:val="single" w:sz="4" w:space="0" w:color="000000"/>
            </w:tcBorders>
          </w:tcPr>
          <w:p>
            <w:pPr/>
          </w:p>
        </w:tc>
        <w:tc>
          <w:tcPr>
            <w:tcW w:w="1499" w:type="dxa"/>
            <w:tcBorders>
              <w:top w:val="single" w:sz="4" w:space="0" w:color="000000"/>
              <w:left w:val="single" w:sz="4" w:space="0" w:color="000000"/>
              <w:bottom w:val="nil" w:sz="6" w:space="0" w:color="auto"/>
              <w:right w:val="single" w:sz="4" w:space="0" w:color="000000"/>
            </w:tcBorders>
          </w:tcPr>
          <w:p>
            <w:pPr/>
          </w:p>
        </w:tc>
        <w:tc>
          <w:tcPr>
            <w:tcW w:w="1298" w:type="dxa"/>
            <w:tcBorders>
              <w:top w:val="single" w:sz="4" w:space="0" w:color="000000"/>
              <w:left w:val="single" w:sz="4" w:space="0" w:color="000000"/>
              <w:bottom w:val="nil" w:sz="6" w:space="0" w:color="auto"/>
              <w:right w:val="single" w:sz="4" w:space="0" w:color="000000"/>
            </w:tcBorders>
          </w:tcPr>
          <w:p>
            <w:pPr/>
          </w:p>
        </w:tc>
        <w:tc>
          <w:tcPr>
            <w:tcW w:w="3463" w:type="dxa"/>
            <w:tcBorders>
              <w:top w:val="single" w:sz="4" w:space="0" w:color="000000"/>
              <w:left w:val="single" w:sz="4" w:space="0" w:color="000000"/>
              <w:bottom w:val="nil" w:sz="6" w:space="0" w:color="auto"/>
              <w:right w:val="single" w:sz="12" w:space="0" w:color="000000"/>
            </w:tcBorders>
          </w:tcPr>
          <w:p>
            <w:pPr>
              <w:pStyle w:val="TableParagraph"/>
              <w:spacing w:line="257" w:lineRule="exact"/>
              <w:ind w:right="92"/>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、认购公司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年非公开发行</w:t>
            </w:r>
          </w:p>
        </w:tc>
      </w:tr>
      <w:tr>
        <w:trPr>
          <w:trHeight w:val="273" w:hRule="exact"/>
        </w:trPr>
        <w:tc>
          <w:tcPr>
            <w:tcW w:w="650" w:type="dxa"/>
            <w:tcBorders>
              <w:top w:val="nil" w:sz="6" w:space="0" w:color="auto"/>
              <w:left w:val="single" w:sz="12"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499" w:type="dxa"/>
            <w:tcBorders>
              <w:top w:val="nil" w:sz="6" w:space="0" w:color="auto"/>
              <w:left w:val="single" w:sz="4" w:space="0" w:color="000000"/>
              <w:bottom w:val="nil" w:sz="6" w:space="0" w:color="auto"/>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3463" w:type="dxa"/>
            <w:tcBorders>
              <w:top w:val="nil" w:sz="6" w:space="0" w:color="auto"/>
              <w:left w:val="single" w:sz="4" w:space="0" w:color="000000"/>
              <w:bottom w:val="nil" w:sz="6" w:space="0" w:color="auto"/>
              <w:right w:val="single" w:sz="12"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股票 </w:t>
            </w:r>
            <w:r>
              <w:rPr>
                <w:rFonts w:ascii="Times New Roman" w:hAnsi="Times New Roman" w:cs="Times New Roman" w:eastAsia="Times New Roman" w:hint="default"/>
                <w:sz w:val="21"/>
                <w:szCs w:val="21"/>
              </w:rPr>
              <w:t>17,441,860 </w:t>
            </w:r>
            <w:r>
              <w:rPr>
                <w:rFonts w:ascii="Times New Roman" w:hAnsi="Times New Roman" w:cs="Times New Roman" w:eastAsia="Times New Roman" w:hint="default"/>
                <w:spacing w:val="21"/>
                <w:sz w:val="21"/>
                <w:szCs w:val="21"/>
              </w:rPr>
              <w:t> </w:t>
            </w:r>
            <w:r>
              <w:rPr>
                <w:rFonts w:ascii="宋体" w:hAnsi="宋体" w:cs="宋体" w:eastAsia="宋体" w:hint="default"/>
                <w:spacing w:val="12"/>
                <w:sz w:val="21"/>
                <w:szCs w:val="21"/>
              </w:rPr>
              <w:t>股</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公司实施完成</w:t>
            </w:r>
            <w:r>
              <w:rPr>
                <w:rFonts w:ascii="宋体" w:hAnsi="宋体" w:cs="宋体" w:eastAsia="宋体" w:hint="default"/>
                <w:sz w:val="21"/>
                <w:szCs w:val="21"/>
              </w:rPr>
            </w:r>
          </w:p>
        </w:tc>
      </w:tr>
      <w:tr>
        <w:trPr>
          <w:trHeight w:val="273" w:hRule="exact"/>
        </w:trPr>
        <w:tc>
          <w:tcPr>
            <w:tcW w:w="650" w:type="dxa"/>
            <w:tcBorders>
              <w:top w:val="nil" w:sz="6" w:space="0" w:color="auto"/>
              <w:left w:val="single" w:sz="12"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499" w:type="dxa"/>
            <w:tcBorders>
              <w:top w:val="nil" w:sz="6" w:space="0" w:color="auto"/>
              <w:left w:val="single" w:sz="4" w:space="0" w:color="000000"/>
              <w:bottom w:val="nil" w:sz="6" w:space="0" w:color="auto"/>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3463" w:type="dxa"/>
            <w:tcBorders>
              <w:top w:val="nil" w:sz="6" w:space="0" w:color="auto"/>
              <w:left w:val="single" w:sz="4" w:space="0" w:color="000000"/>
              <w:bottom w:val="nil" w:sz="6" w:space="0" w:color="auto"/>
              <w:right w:val="single" w:sz="12" w:space="0" w:color="000000"/>
            </w:tcBorders>
          </w:tcPr>
          <w:p>
            <w:pPr>
              <w:pStyle w:val="TableParagraph"/>
              <w:spacing w:line="25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年度利润分配方案后，股份数</w:t>
            </w:r>
          </w:p>
        </w:tc>
      </w:tr>
      <w:tr>
        <w:trPr>
          <w:trHeight w:val="273" w:hRule="exact"/>
        </w:trPr>
        <w:tc>
          <w:tcPr>
            <w:tcW w:w="650" w:type="dxa"/>
            <w:tcBorders>
              <w:top w:val="nil" w:sz="6" w:space="0" w:color="auto"/>
              <w:left w:val="single" w:sz="12"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499" w:type="dxa"/>
            <w:tcBorders>
              <w:top w:val="nil" w:sz="6" w:space="0" w:color="auto"/>
              <w:left w:val="single" w:sz="4" w:space="0" w:color="000000"/>
              <w:bottom w:val="nil" w:sz="6" w:space="0" w:color="auto"/>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3463" w:type="dxa"/>
            <w:tcBorders>
              <w:top w:val="nil" w:sz="6" w:space="0" w:color="auto"/>
              <w:left w:val="single" w:sz="4" w:space="0" w:color="000000"/>
              <w:bottom w:val="nil" w:sz="6" w:space="0" w:color="auto"/>
              <w:right w:val="single" w:sz="12"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量相应调整为 </w:t>
            </w:r>
            <w:r>
              <w:rPr>
                <w:rFonts w:ascii="Times New Roman" w:hAnsi="Times New Roman" w:cs="Times New Roman" w:eastAsia="Times New Roman" w:hint="default"/>
                <w:sz w:val="21"/>
                <w:szCs w:val="21"/>
              </w:rPr>
              <w:t>26,162,790</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r>
              <w:rPr>
                <w:rFonts w:ascii="宋体" w:hAnsi="宋体" w:cs="宋体" w:eastAsia="宋体" w:hint="default"/>
                <w:sz w:val="21"/>
                <w:szCs w:val="21"/>
              </w:rPr>
              <w:t>，该部</w:t>
            </w:r>
          </w:p>
        </w:tc>
      </w:tr>
      <w:tr>
        <w:trPr>
          <w:trHeight w:val="819" w:hRule="exact"/>
        </w:trPr>
        <w:tc>
          <w:tcPr>
            <w:tcW w:w="650" w:type="dxa"/>
            <w:tcBorders>
              <w:top w:val="nil" w:sz="6" w:space="0" w:color="auto"/>
              <w:left w:val="single" w:sz="12"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6"/>
              <w:jc w:val="center"/>
              <w:rPr>
                <w:rFonts w:ascii="Times New Roman" w:hAnsi="Times New Roman" w:cs="Times New Roman" w:eastAsia="Times New Roman" w:hint="default"/>
                <w:sz w:val="21"/>
                <w:szCs w:val="21"/>
              </w:rPr>
            </w:pPr>
            <w:r>
              <w:rPr>
                <w:rFonts w:ascii="Times New Roman"/>
                <w:sz w:val="21"/>
              </w:rPr>
              <w:t>1</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张近东</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1,463,858,573</w:t>
            </w:r>
            <w:r>
              <w:rPr>
                <w:rFonts w:ascii="Times New Roman"/>
                <w:sz w:val="21"/>
              </w:rPr>
            </w:r>
          </w:p>
        </w:tc>
        <w:tc>
          <w:tcPr>
            <w:tcW w:w="1499" w:type="dxa"/>
            <w:tcBorders>
              <w:top w:val="nil" w:sz="6" w:space="0" w:color="auto"/>
              <w:left w:val="single" w:sz="4" w:space="0" w:color="000000"/>
              <w:bottom w:val="nil" w:sz="6" w:space="0" w:color="auto"/>
              <w:right w:val="single" w:sz="4" w:space="0" w:color="000000"/>
            </w:tcBorders>
          </w:tcPr>
          <w:p>
            <w:pPr>
              <w:pStyle w:val="TableParagraph"/>
              <w:spacing w:line="282" w:lineRule="exact" w:before="9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26,162,790</w:t>
            </w:r>
          </w:p>
        </w:tc>
        <w:tc>
          <w:tcPr>
            <w:tcW w:w="3463" w:type="dxa"/>
            <w:tcBorders>
              <w:top w:val="nil" w:sz="6" w:space="0" w:color="auto"/>
              <w:left w:val="single" w:sz="4" w:space="0" w:color="000000"/>
              <w:bottom w:val="nil" w:sz="6" w:space="0" w:color="auto"/>
              <w:right w:val="single" w:sz="12"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分股票自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日起至</w:t>
            </w:r>
          </w:p>
          <w:p>
            <w:pPr>
              <w:pStyle w:val="TableParagraph"/>
              <w:spacing w:line="273" w:lineRule="exact"/>
              <w:ind w:left="6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日止限售</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p>
            <w:pPr>
              <w:pStyle w:val="TableParagraph"/>
              <w:spacing w:line="282" w:lineRule="exact"/>
              <w:ind w:left="21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、作为公司董事长，其所持有的</w:t>
            </w:r>
          </w:p>
        </w:tc>
      </w:tr>
      <w:tr>
        <w:trPr>
          <w:trHeight w:val="267" w:hRule="exact"/>
        </w:trPr>
        <w:tc>
          <w:tcPr>
            <w:tcW w:w="650" w:type="dxa"/>
            <w:tcBorders>
              <w:top w:val="nil" w:sz="6" w:space="0" w:color="auto"/>
              <w:left w:val="single" w:sz="12"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499" w:type="dxa"/>
            <w:tcBorders>
              <w:top w:val="nil" w:sz="6" w:space="0" w:color="auto"/>
              <w:left w:val="single" w:sz="4" w:space="0" w:color="000000"/>
              <w:bottom w:val="nil" w:sz="6" w:space="0" w:color="auto"/>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3463" w:type="dxa"/>
            <w:tcBorders>
              <w:top w:val="nil" w:sz="6" w:space="0" w:color="auto"/>
              <w:left w:val="single" w:sz="4" w:space="0" w:color="000000"/>
              <w:bottom w:val="nil" w:sz="6" w:space="0" w:color="auto"/>
              <w:right w:val="single" w:sz="12"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股份还需按照国家相关法律法规及</w:t>
            </w:r>
            <w:r>
              <w:rPr>
                <w:rFonts w:ascii="宋体" w:hAnsi="宋体" w:cs="宋体" w:eastAsia="宋体" w:hint="default"/>
                <w:sz w:val="21"/>
                <w:szCs w:val="21"/>
              </w:rPr>
            </w:r>
          </w:p>
        </w:tc>
      </w:tr>
      <w:tr>
        <w:trPr>
          <w:trHeight w:val="273" w:hRule="exact"/>
        </w:trPr>
        <w:tc>
          <w:tcPr>
            <w:tcW w:w="650" w:type="dxa"/>
            <w:tcBorders>
              <w:top w:val="nil" w:sz="6" w:space="0" w:color="auto"/>
              <w:left w:val="single" w:sz="12"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499" w:type="dxa"/>
            <w:tcBorders>
              <w:top w:val="nil" w:sz="6" w:space="0" w:color="auto"/>
              <w:left w:val="single" w:sz="4" w:space="0" w:color="000000"/>
              <w:bottom w:val="nil" w:sz="6" w:space="0" w:color="auto"/>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3463" w:type="dxa"/>
            <w:tcBorders>
              <w:top w:val="nil" w:sz="6" w:space="0" w:color="auto"/>
              <w:left w:val="single" w:sz="4" w:space="0" w:color="000000"/>
              <w:bottom w:val="nil" w:sz="6" w:space="0" w:color="auto"/>
              <w:right w:val="single" w:sz="12"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规范性文件的要求以“高管股份”</w:t>
            </w:r>
            <w:r>
              <w:rPr>
                <w:rFonts w:ascii="宋体" w:hAnsi="宋体" w:cs="宋体" w:eastAsia="宋体" w:hint="default"/>
                <w:sz w:val="21"/>
                <w:szCs w:val="21"/>
              </w:rPr>
            </w:r>
          </w:p>
        </w:tc>
      </w:tr>
      <w:tr>
        <w:trPr>
          <w:trHeight w:val="279" w:hRule="exact"/>
        </w:trPr>
        <w:tc>
          <w:tcPr>
            <w:tcW w:w="650" w:type="dxa"/>
            <w:tcBorders>
              <w:top w:val="nil" w:sz="6" w:space="0" w:color="auto"/>
              <w:left w:val="single" w:sz="12"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499" w:type="dxa"/>
            <w:tcBorders>
              <w:top w:val="nil" w:sz="6" w:space="0" w:color="auto"/>
              <w:left w:val="single" w:sz="4" w:space="0" w:color="000000"/>
              <w:bottom w:val="nil" w:sz="6" w:space="0" w:color="auto"/>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3463" w:type="dxa"/>
            <w:tcBorders>
              <w:top w:val="nil" w:sz="6" w:space="0" w:color="auto"/>
              <w:left w:val="single" w:sz="4" w:space="0" w:color="000000"/>
              <w:bottom w:val="nil" w:sz="6" w:space="0" w:color="auto"/>
              <w:right w:val="single" w:sz="12"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形式锁定，故</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日实</w:t>
            </w:r>
          </w:p>
        </w:tc>
      </w:tr>
      <w:tr>
        <w:trPr>
          <w:trHeight w:val="273" w:hRule="exact"/>
        </w:trPr>
        <w:tc>
          <w:tcPr>
            <w:tcW w:w="650" w:type="dxa"/>
            <w:tcBorders>
              <w:top w:val="nil" w:sz="6" w:space="0" w:color="auto"/>
              <w:left w:val="single" w:sz="12"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472" w:type="dxa"/>
            <w:tcBorders>
              <w:top w:val="nil" w:sz="6" w:space="0" w:color="auto"/>
              <w:left w:val="single" w:sz="4" w:space="0" w:color="000000"/>
              <w:bottom w:val="single" w:sz="4" w:space="0" w:color="000000"/>
              <w:right w:val="single" w:sz="4" w:space="0" w:color="000000"/>
            </w:tcBorders>
          </w:tcPr>
          <w:p>
            <w:pPr/>
          </w:p>
        </w:tc>
        <w:tc>
          <w:tcPr>
            <w:tcW w:w="1499" w:type="dxa"/>
            <w:tcBorders>
              <w:top w:val="nil" w:sz="6" w:space="0" w:color="auto"/>
              <w:left w:val="single" w:sz="4" w:space="0" w:color="000000"/>
              <w:bottom w:val="single" w:sz="4" w:space="0" w:color="000000"/>
              <w:right w:val="single" w:sz="4" w:space="0" w:color="000000"/>
            </w:tcBorders>
          </w:tcPr>
          <w:p>
            <w:pPr/>
          </w:p>
        </w:tc>
        <w:tc>
          <w:tcPr>
            <w:tcW w:w="1298" w:type="dxa"/>
            <w:tcBorders>
              <w:top w:val="nil" w:sz="6" w:space="0" w:color="auto"/>
              <w:left w:val="single" w:sz="4" w:space="0" w:color="000000"/>
              <w:bottom w:val="single" w:sz="4" w:space="0" w:color="000000"/>
              <w:right w:val="single" w:sz="4" w:space="0" w:color="000000"/>
            </w:tcBorders>
          </w:tcPr>
          <w:p>
            <w:pPr/>
          </w:p>
        </w:tc>
        <w:tc>
          <w:tcPr>
            <w:tcW w:w="3463" w:type="dxa"/>
            <w:tcBorders>
              <w:top w:val="nil" w:sz="6" w:space="0" w:color="auto"/>
              <w:left w:val="single" w:sz="4" w:space="0" w:color="000000"/>
              <w:bottom w:val="single" w:sz="4" w:space="0" w:color="000000"/>
              <w:right w:val="single" w:sz="12"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际新增可上市交易股份数为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 </w:t>
            </w:r>
            <w:r>
              <w:rPr>
                <w:rFonts w:ascii="宋体" w:hAnsi="宋体" w:cs="宋体" w:eastAsia="宋体" w:hint="default"/>
                <w:sz w:val="21"/>
                <w:szCs w:val="21"/>
              </w:rPr>
              <w:t>股。</w:t>
            </w:r>
          </w:p>
        </w:tc>
      </w:tr>
      <w:tr>
        <w:trPr>
          <w:trHeight w:val="274" w:hRule="exact"/>
        </w:trPr>
        <w:tc>
          <w:tcPr>
            <w:tcW w:w="650" w:type="dxa"/>
            <w:tcBorders>
              <w:top w:val="single" w:sz="4" w:space="0" w:color="000000"/>
              <w:left w:val="single" w:sz="12"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472" w:type="dxa"/>
            <w:tcBorders>
              <w:top w:val="single" w:sz="4" w:space="0" w:color="000000"/>
              <w:left w:val="single" w:sz="4" w:space="0" w:color="000000"/>
              <w:bottom w:val="nil" w:sz="6" w:space="0" w:color="auto"/>
              <w:right w:val="single" w:sz="4" w:space="0" w:color="000000"/>
            </w:tcBorders>
          </w:tcPr>
          <w:p>
            <w:pPr/>
          </w:p>
        </w:tc>
        <w:tc>
          <w:tcPr>
            <w:tcW w:w="1499" w:type="dxa"/>
            <w:tcBorders>
              <w:top w:val="single" w:sz="4" w:space="0" w:color="000000"/>
              <w:left w:val="single" w:sz="4" w:space="0" w:color="000000"/>
              <w:bottom w:val="nil" w:sz="6" w:space="0" w:color="auto"/>
              <w:right w:val="single" w:sz="4" w:space="0" w:color="000000"/>
            </w:tcBorders>
          </w:tcPr>
          <w:p>
            <w:pPr/>
          </w:p>
        </w:tc>
        <w:tc>
          <w:tcPr>
            <w:tcW w:w="1298" w:type="dxa"/>
            <w:tcBorders>
              <w:top w:val="single" w:sz="4" w:space="0" w:color="000000"/>
              <w:left w:val="single" w:sz="4" w:space="0" w:color="000000"/>
              <w:bottom w:val="nil" w:sz="6" w:space="0" w:color="auto"/>
              <w:right w:val="single" w:sz="4" w:space="0" w:color="000000"/>
            </w:tcBorders>
          </w:tcPr>
          <w:p>
            <w:pPr/>
          </w:p>
        </w:tc>
        <w:tc>
          <w:tcPr>
            <w:tcW w:w="3463" w:type="dxa"/>
            <w:tcBorders>
              <w:top w:val="single" w:sz="4" w:space="0" w:color="000000"/>
              <w:left w:val="single" w:sz="4" w:space="0" w:color="000000"/>
              <w:bottom w:val="nil" w:sz="6" w:space="0" w:color="auto"/>
              <w:right w:val="single" w:sz="12" w:space="0" w:color="000000"/>
            </w:tcBorders>
          </w:tcPr>
          <w:p>
            <w:pPr>
              <w:pStyle w:val="TableParagraph"/>
              <w:spacing w:line="241" w:lineRule="exact"/>
              <w:ind w:right="82"/>
              <w:jc w:val="right"/>
              <w:rPr>
                <w:rFonts w:ascii="宋体" w:hAnsi="宋体" w:cs="宋体" w:eastAsia="宋体" w:hint="default"/>
                <w:sz w:val="21"/>
                <w:szCs w:val="21"/>
              </w:rPr>
            </w:pPr>
            <w:r>
              <w:rPr>
                <w:rFonts w:ascii="宋体" w:hAnsi="宋体" w:cs="宋体" w:eastAsia="宋体" w:hint="default"/>
                <w:spacing w:val="9"/>
                <w:sz w:val="21"/>
                <w:szCs w:val="21"/>
              </w:rPr>
              <w:t>按照国家相关法律法规及规范性</w:t>
            </w:r>
            <w:r>
              <w:rPr>
                <w:rFonts w:ascii="宋体" w:hAnsi="宋体" w:cs="宋体" w:eastAsia="宋体" w:hint="default"/>
                <w:sz w:val="21"/>
                <w:szCs w:val="21"/>
              </w:rPr>
            </w:r>
          </w:p>
        </w:tc>
      </w:tr>
      <w:tr>
        <w:trPr>
          <w:trHeight w:val="278" w:hRule="exact"/>
        </w:trPr>
        <w:tc>
          <w:tcPr>
            <w:tcW w:w="650" w:type="dxa"/>
            <w:tcBorders>
              <w:top w:val="nil" w:sz="6" w:space="0" w:color="auto"/>
              <w:left w:val="single" w:sz="12" w:space="0" w:color="000000"/>
              <w:bottom w:val="nil" w:sz="6" w:space="0" w:color="auto"/>
              <w:right w:val="single" w:sz="4" w:space="0" w:color="000000"/>
            </w:tcBorders>
          </w:tcPr>
          <w:p>
            <w:pPr>
              <w:pStyle w:val="TableParagraph"/>
              <w:spacing w:line="240" w:lineRule="auto" w:before="11"/>
              <w:ind w:right="116"/>
              <w:jc w:val="center"/>
              <w:rPr>
                <w:rFonts w:ascii="Times New Roman" w:hAnsi="Times New Roman" w:cs="Times New Roman" w:eastAsia="Times New Roman" w:hint="default"/>
                <w:sz w:val="21"/>
                <w:szCs w:val="21"/>
              </w:rPr>
            </w:pPr>
            <w:r>
              <w:rPr>
                <w:rFonts w:ascii="Times New Roman"/>
                <w:sz w:val="21"/>
              </w:rPr>
              <w:t>2</w:t>
            </w:r>
          </w:p>
        </w:tc>
        <w:tc>
          <w:tcPr>
            <w:tcW w:w="1417" w:type="dxa"/>
            <w:tcBorders>
              <w:top w:val="nil" w:sz="6" w:space="0" w:color="auto"/>
              <w:left w:val="single" w:sz="4" w:space="0" w:color="000000"/>
              <w:bottom w:val="nil" w:sz="6" w:space="0" w:color="auto"/>
              <w:right w:val="single" w:sz="4" w:space="0" w:color="000000"/>
            </w:tcBorders>
          </w:tcPr>
          <w:p>
            <w:pPr>
              <w:pStyle w:val="TableParagraph"/>
              <w:tabs>
                <w:tab w:pos="523" w:val="left" w:leader="none"/>
              </w:tabs>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tab/>
              <w:t>明</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90,264,780</w:t>
            </w:r>
          </w:p>
        </w:tc>
        <w:tc>
          <w:tcPr>
            <w:tcW w:w="1499"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90,264,780</w:t>
            </w:r>
          </w:p>
        </w:tc>
        <w:tc>
          <w:tcPr>
            <w:tcW w:w="3463" w:type="dxa"/>
            <w:tcBorders>
              <w:top w:val="nil" w:sz="6" w:space="0" w:color="auto"/>
              <w:left w:val="single" w:sz="4" w:space="0" w:color="000000"/>
              <w:bottom w:val="nil" w:sz="6" w:space="0" w:color="auto"/>
              <w:right w:val="single" w:sz="12"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的文件要求，以“高管股份”形式</w:t>
            </w:r>
            <w:r>
              <w:rPr>
                <w:rFonts w:ascii="宋体" w:hAnsi="宋体" w:cs="宋体" w:eastAsia="宋体" w:hint="default"/>
                <w:sz w:val="21"/>
                <w:szCs w:val="21"/>
              </w:rPr>
            </w:r>
          </w:p>
        </w:tc>
      </w:tr>
      <w:tr>
        <w:trPr>
          <w:trHeight w:val="274" w:hRule="exact"/>
        </w:trPr>
        <w:tc>
          <w:tcPr>
            <w:tcW w:w="650" w:type="dxa"/>
            <w:tcBorders>
              <w:top w:val="nil" w:sz="6" w:space="0" w:color="auto"/>
              <w:left w:val="single" w:sz="12" w:space="0" w:color="000000"/>
              <w:bottom w:val="single" w:sz="12" w:space="0" w:color="000000"/>
              <w:right w:val="single" w:sz="4" w:space="0" w:color="000000"/>
            </w:tcBorders>
          </w:tcPr>
          <w:p>
            <w:pPr/>
          </w:p>
        </w:tc>
        <w:tc>
          <w:tcPr>
            <w:tcW w:w="1417" w:type="dxa"/>
            <w:tcBorders>
              <w:top w:val="nil" w:sz="6" w:space="0" w:color="auto"/>
              <w:left w:val="single" w:sz="4" w:space="0" w:color="000000"/>
              <w:bottom w:val="single" w:sz="12" w:space="0" w:color="000000"/>
              <w:right w:val="single" w:sz="4" w:space="0" w:color="000000"/>
            </w:tcBorders>
          </w:tcPr>
          <w:p>
            <w:pPr/>
          </w:p>
        </w:tc>
        <w:tc>
          <w:tcPr>
            <w:tcW w:w="1472" w:type="dxa"/>
            <w:tcBorders>
              <w:top w:val="nil" w:sz="6" w:space="0" w:color="auto"/>
              <w:left w:val="single" w:sz="4" w:space="0" w:color="000000"/>
              <w:bottom w:val="single" w:sz="12" w:space="0" w:color="000000"/>
              <w:right w:val="single" w:sz="4" w:space="0" w:color="000000"/>
            </w:tcBorders>
          </w:tcPr>
          <w:p>
            <w:pPr/>
          </w:p>
        </w:tc>
        <w:tc>
          <w:tcPr>
            <w:tcW w:w="1499" w:type="dxa"/>
            <w:tcBorders>
              <w:top w:val="nil" w:sz="6" w:space="0" w:color="auto"/>
              <w:left w:val="single" w:sz="4" w:space="0" w:color="000000"/>
              <w:bottom w:val="single" w:sz="12" w:space="0" w:color="000000"/>
              <w:right w:val="single" w:sz="4" w:space="0" w:color="000000"/>
            </w:tcBorders>
          </w:tcPr>
          <w:p>
            <w:pPr/>
          </w:p>
        </w:tc>
        <w:tc>
          <w:tcPr>
            <w:tcW w:w="1298" w:type="dxa"/>
            <w:tcBorders>
              <w:top w:val="nil" w:sz="6" w:space="0" w:color="auto"/>
              <w:left w:val="single" w:sz="4" w:space="0" w:color="000000"/>
              <w:bottom w:val="single" w:sz="12" w:space="0" w:color="000000"/>
              <w:right w:val="single" w:sz="4" w:space="0" w:color="000000"/>
            </w:tcBorders>
          </w:tcPr>
          <w:p>
            <w:pPr/>
          </w:p>
        </w:tc>
        <w:tc>
          <w:tcPr>
            <w:tcW w:w="3463" w:type="dxa"/>
            <w:tcBorders>
              <w:top w:val="nil" w:sz="6" w:space="0" w:color="auto"/>
              <w:left w:val="single" w:sz="4" w:space="0" w:color="000000"/>
              <w:bottom w:val="single" w:sz="12" w:space="0" w:color="000000"/>
              <w:right w:val="single" w:sz="12"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锁定。</w:t>
            </w:r>
          </w:p>
        </w:tc>
      </w:tr>
    </w:tbl>
    <w:p>
      <w:pPr>
        <w:spacing w:line="240" w:lineRule="auto" w:before="9"/>
        <w:rPr>
          <w:rFonts w:ascii="宋体" w:hAnsi="宋体" w:cs="宋体" w:eastAsia="宋体" w:hint="default"/>
          <w:sz w:val="26"/>
          <w:szCs w:val="26"/>
        </w:rPr>
      </w:pPr>
    </w:p>
    <w:p>
      <w:pPr>
        <w:pStyle w:val="BodyText"/>
        <w:tabs>
          <w:tab w:pos="7959" w:val="left" w:leader="none"/>
        </w:tabs>
        <w:spacing w:line="240" w:lineRule="auto" w:before="26"/>
        <w:ind w:left="1000" w:right="497"/>
        <w:jc w:val="left"/>
        <w:rPr>
          <w:sz w:val="21"/>
          <w:szCs w:val="21"/>
        </w:rPr>
      </w:pPr>
      <w:r>
        <w:rPr/>
        <w:t>（</w:t>
      </w:r>
      <w:r>
        <w:rPr>
          <w:rFonts w:ascii="Times New Roman" w:hAnsi="Times New Roman" w:cs="Times New Roman" w:eastAsia="Times New Roman" w:hint="default"/>
        </w:rPr>
        <w:t>2</w:t>
      </w:r>
      <w:r>
        <w:rPr/>
        <w:t>）截至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日有限售条件股份可上市交易时间</w:t>
        <w:tab/>
      </w:r>
      <w:r>
        <w:rPr>
          <w:sz w:val="21"/>
          <w:szCs w:val="21"/>
        </w:rPr>
        <w:t>（单位：股）</w:t>
      </w:r>
    </w:p>
    <w:p>
      <w:pPr>
        <w:spacing w:line="240" w:lineRule="auto" w:before="5"/>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847"/>
        <w:gridCol w:w="1471"/>
        <w:gridCol w:w="1508"/>
        <w:gridCol w:w="1508"/>
        <w:gridCol w:w="3407"/>
      </w:tblGrid>
      <w:tr>
        <w:trPr>
          <w:trHeight w:val="836" w:hRule="exact"/>
        </w:trPr>
        <w:tc>
          <w:tcPr>
            <w:tcW w:w="184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时间</w:t>
            </w:r>
          </w:p>
        </w:tc>
        <w:tc>
          <w:tcPr>
            <w:tcW w:w="1471"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49"/>
              <w:ind w:left="206" w:right="203"/>
              <w:jc w:val="both"/>
              <w:rPr>
                <w:rFonts w:ascii="宋体" w:hAnsi="宋体" w:cs="宋体" w:eastAsia="宋体" w:hint="default"/>
                <w:sz w:val="21"/>
                <w:szCs w:val="21"/>
              </w:rPr>
            </w:pPr>
            <w:r>
              <w:rPr>
                <w:rFonts w:ascii="宋体" w:hAnsi="宋体" w:cs="宋体" w:eastAsia="宋体" w:hint="default"/>
                <w:sz w:val="21"/>
                <w:szCs w:val="21"/>
              </w:rPr>
              <w:t>限售期满新 增可上市交 易股份数量</w:t>
            </w:r>
          </w:p>
        </w:tc>
        <w:tc>
          <w:tcPr>
            <w:tcW w:w="1508"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69"/>
              <w:ind w:left="224" w:right="119" w:hanging="106"/>
              <w:jc w:val="left"/>
              <w:rPr>
                <w:rFonts w:ascii="宋体" w:hAnsi="宋体" w:cs="宋体" w:eastAsia="宋体" w:hint="default"/>
                <w:sz w:val="21"/>
                <w:szCs w:val="21"/>
              </w:rPr>
            </w:pPr>
            <w:r>
              <w:rPr>
                <w:rFonts w:ascii="宋体" w:hAnsi="宋体" w:cs="宋体" w:eastAsia="宋体" w:hint="default"/>
                <w:sz w:val="21"/>
                <w:szCs w:val="21"/>
              </w:rPr>
              <w:t>有限售条件股 份数量余额</w:t>
            </w:r>
          </w:p>
        </w:tc>
        <w:tc>
          <w:tcPr>
            <w:tcW w:w="1508"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69"/>
              <w:ind w:left="224" w:right="119" w:hanging="106"/>
              <w:jc w:val="left"/>
              <w:rPr>
                <w:rFonts w:ascii="宋体" w:hAnsi="宋体" w:cs="宋体" w:eastAsia="宋体" w:hint="default"/>
                <w:sz w:val="21"/>
                <w:szCs w:val="21"/>
              </w:rPr>
            </w:pPr>
            <w:r>
              <w:rPr>
                <w:rFonts w:ascii="宋体" w:hAnsi="宋体" w:cs="宋体" w:eastAsia="宋体" w:hint="default"/>
                <w:sz w:val="21"/>
                <w:szCs w:val="21"/>
              </w:rPr>
              <w:t>无限售条件股 份数量余额</w:t>
            </w:r>
          </w:p>
        </w:tc>
        <w:tc>
          <w:tcPr>
            <w:tcW w:w="340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8"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47" w:hRule="exact"/>
        </w:trPr>
        <w:tc>
          <w:tcPr>
            <w:tcW w:w="1847" w:type="dxa"/>
            <w:tcBorders>
              <w:top w:val="single" w:sz="4" w:space="0" w:color="000000"/>
              <w:left w:val="single" w:sz="12" w:space="0" w:color="000000"/>
              <w:bottom w:val="nil" w:sz="6" w:space="0" w:color="auto"/>
              <w:right w:val="single" w:sz="4" w:space="0" w:color="000000"/>
            </w:tcBorders>
          </w:tcPr>
          <w:p>
            <w:pPr/>
          </w:p>
        </w:tc>
        <w:tc>
          <w:tcPr>
            <w:tcW w:w="1471" w:type="dxa"/>
            <w:tcBorders>
              <w:top w:val="single" w:sz="4" w:space="0" w:color="000000"/>
              <w:left w:val="single" w:sz="4" w:space="0" w:color="000000"/>
              <w:bottom w:val="nil" w:sz="6" w:space="0" w:color="auto"/>
              <w:right w:val="single" w:sz="4" w:space="0" w:color="000000"/>
            </w:tcBorders>
          </w:tcPr>
          <w:p>
            <w:pPr/>
          </w:p>
        </w:tc>
        <w:tc>
          <w:tcPr>
            <w:tcW w:w="1508" w:type="dxa"/>
            <w:tcBorders>
              <w:top w:val="single" w:sz="4" w:space="0" w:color="000000"/>
              <w:left w:val="single" w:sz="4" w:space="0" w:color="000000"/>
              <w:bottom w:val="nil" w:sz="6" w:space="0" w:color="auto"/>
              <w:right w:val="single" w:sz="4" w:space="0" w:color="000000"/>
            </w:tcBorders>
          </w:tcPr>
          <w:p>
            <w:pPr/>
          </w:p>
        </w:tc>
        <w:tc>
          <w:tcPr>
            <w:tcW w:w="1508" w:type="dxa"/>
            <w:tcBorders>
              <w:top w:val="single" w:sz="4" w:space="0" w:color="000000"/>
              <w:left w:val="single" w:sz="4" w:space="0" w:color="000000"/>
              <w:bottom w:val="nil" w:sz="6" w:space="0" w:color="auto"/>
              <w:right w:val="single" w:sz="4" w:space="0" w:color="000000"/>
            </w:tcBorders>
          </w:tcPr>
          <w:p>
            <w:pPr/>
          </w:p>
        </w:tc>
        <w:tc>
          <w:tcPr>
            <w:tcW w:w="3407" w:type="dxa"/>
            <w:tcBorders>
              <w:top w:val="single" w:sz="4" w:space="0" w:color="000000"/>
              <w:left w:val="single" w:sz="4" w:space="0" w:color="000000"/>
              <w:bottom w:val="nil" w:sz="6" w:space="0" w:color="auto"/>
              <w:right w:val="single" w:sz="12" w:space="0" w:color="000000"/>
            </w:tcBorders>
          </w:tcPr>
          <w:p>
            <w:pPr>
              <w:pStyle w:val="TableParagraph"/>
              <w:spacing w:line="237" w:lineRule="exact"/>
              <w:ind w:right="9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、张近东先生认购的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年非</w:t>
            </w:r>
          </w:p>
        </w:tc>
      </w:tr>
      <w:tr>
        <w:trPr>
          <w:trHeight w:val="234" w:hRule="exact"/>
        </w:trPr>
        <w:tc>
          <w:tcPr>
            <w:tcW w:w="1847" w:type="dxa"/>
            <w:tcBorders>
              <w:top w:val="nil" w:sz="6" w:space="0" w:color="auto"/>
              <w:left w:val="single" w:sz="12" w:space="0" w:color="000000"/>
              <w:bottom w:val="nil" w:sz="6" w:space="0" w:color="auto"/>
              <w:right w:val="single" w:sz="4" w:space="0" w:color="000000"/>
            </w:tcBorders>
          </w:tcPr>
          <w:p>
            <w:pPr/>
          </w:p>
        </w:tc>
        <w:tc>
          <w:tcPr>
            <w:tcW w:w="1471" w:type="dxa"/>
            <w:tcBorders>
              <w:top w:val="nil" w:sz="6" w:space="0" w:color="auto"/>
              <w:left w:val="single" w:sz="4" w:space="0" w:color="000000"/>
              <w:bottom w:val="nil" w:sz="6" w:space="0" w:color="auto"/>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3407" w:type="dxa"/>
            <w:tcBorders>
              <w:top w:val="nil" w:sz="6" w:space="0" w:color="auto"/>
              <w:left w:val="single" w:sz="4" w:space="0" w:color="000000"/>
              <w:bottom w:val="nil" w:sz="6" w:space="0" w:color="auto"/>
              <w:right w:val="single" w:sz="12"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公开发行股份限售期满，可上市交</w:t>
            </w:r>
            <w:r>
              <w:rPr>
                <w:rFonts w:ascii="宋体" w:hAnsi="宋体" w:cs="宋体" w:eastAsia="宋体" w:hint="default"/>
                <w:sz w:val="21"/>
                <w:szCs w:val="21"/>
              </w:rPr>
            </w:r>
          </w:p>
        </w:tc>
      </w:tr>
      <w:tr>
        <w:trPr>
          <w:trHeight w:val="240" w:hRule="exact"/>
        </w:trPr>
        <w:tc>
          <w:tcPr>
            <w:tcW w:w="1847" w:type="dxa"/>
            <w:tcBorders>
              <w:top w:val="nil" w:sz="6" w:space="0" w:color="auto"/>
              <w:left w:val="single" w:sz="12" w:space="0" w:color="000000"/>
              <w:bottom w:val="nil" w:sz="6" w:space="0" w:color="auto"/>
              <w:right w:val="single" w:sz="4" w:space="0" w:color="000000"/>
            </w:tcBorders>
          </w:tcPr>
          <w:p>
            <w:pPr/>
          </w:p>
        </w:tc>
        <w:tc>
          <w:tcPr>
            <w:tcW w:w="1471" w:type="dxa"/>
            <w:tcBorders>
              <w:top w:val="nil" w:sz="6" w:space="0" w:color="auto"/>
              <w:left w:val="single" w:sz="4" w:space="0" w:color="000000"/>
              <w:bottom w:val="nil" w:sz="6" w:space="0" w:color="auto"/>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3407" w:type="dxa"/>
            <w:tcBorders>
              <w:top w:val="nil" w:sz="6" w:space="0" w:color="auto"/>
              <w:left w:val="single" w:sz="4" w:space="0" w:color="000000"/>
              <w:bottom w:val="nil" w:sz="6" w:space="0" w:color="auto"/>
              <w:right w:val="single" w:sz="12"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易；但同时，张近东先生持有的公</w:t>
            </w:r>
            <w:r>
              <w:rPr>
                <w:rFonts w:ascii="宋体" w:hAnsi="宋体" w:cs="宋体" w:eastAsia="宋体" w:hint="default"/>
                <w:sz w:val="21"/>
                <w:szCs w:val="21"/>
              </w:rPr>
            </w:r>
          </w:p>
        </w:tc>
      </w:tr>
      <w:tr>
        <w:trPr>
          <w:trHeight w:val="240" w:hRule="exact"/>
        </w:trPr>
        <w:tc>
          <w:tcPr>
            <w:tcW w:w="1847" w:type="dxa"/>
            <w:tcBorders>
              <w:top w:val="nil" w:sz="6" w:space="0" w:color="auto"/>
              <w:left w:val="single" w:sz="12" w:space="0" w:color="000000"/>
              <w:bottom w:val="nil" w:sz="6" w:space="0" w:color="auto"/>
              <w:right w:val="single" w:sz="4" w:space="0" w:color="000000"/>
            </w:tcBorders>
          </w:tcPr>
          <w:p>
            <w:pPr/>
          </w:p>
        </w:tc>
        <w:tc>
          <w:tcPr>
            <w:tcW w:w="1471" w:type="dxa"/>
            <w:tcBorders>
              <w:top w:val="nil" w:sz="6" w:space="0" w:color="auto"/>
              <w:left w:val="single" w:sz="4" w:space="0" w:color="000000"/>
              <w:bottom w:val="nil" w:sz="6" w:space="0" w:color="auto"/>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3407" w:type="dxa"/>
            <w:tcBorders>
              <w:top w:val="nil" w:sz="6" w:space="0" w:color="auto"/>
              <w:left w:val="single" w:sz="4" w:space="0" w:color="000000"/>
              <w:bottom w:val="nil" w:sz="6" w:space="0" w:color="auto"/>
              <w:right w:val="single" w:sz="12"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司股份还需以“高管股份”形式锁</w:t>
            </w:r>
            <w:r>
              <w:rPr>
                <w:rFonts w:ascii="宋体" w:hAnsi="宋体" w:cs="宋体" w:eastAsia="宋体" w:hint="default"/>
                <w:sz w:val="21"/>
                <w:szCs w:val="21"/>
              </w:rPr>
            </w:r>
          </w:p>
        </w:tc>
      </w:tr>
      <w:tr>
        <w:trPr>
          <w:trHeight w:val="486" w:hRule="exact"/>
        </w:trPr>
        <w:tc>
          <w:tcPr>
            <w:tcW w:w="1847" w:type="dxa"/>
            <w:tcBorders>
              <w:top w:val="nil" w:sz="6" w:space="0" w:color="auto"/>
              <w:left w:val="single" w:sz="12" w:space="0" w:color="000000"/>
              <w:bottom w:val="nil" w:sz="6" w:space="0" w:color="auto"/>
              <w:right w:val="single" w:sz="4" w:space="0" w:color="000000"/>
            </w:tcBorders>
          </w:tcPr>
          <w:p>
            <w:pPr>
              <w:pStyle w:val="TableParagraph"/>
              <w:spacing w:line="240" w:lineRule="auto" w:before="70"/>
              <w:ind w:left="7" w:right="0"/>
              <w:jc w:val="center"/>
              <w:rPr>
                <w:rFonts w:ascii="宋体" w:hAnsi="宋体" w:cs="宋体" w:eastAsia="宋体" w:hint="default"/>
                <w:sz w:val="21"/>
                <w:szCs w:val="21"/>
              </w:rPr>
            </w:pPr>
            <w:r>
              <w:rPr>
                <w:rFonts w:ascii="Times New Roman" w:hAnsi="Times New Roman" w:cs="Times New Roman" w:eastAsia="Times New Roman" w:hint="default"/>
                <w:spacing w:val="-9"/>
                <w:sz w:val="21"/>
                <w:szCs w:val="21"/>
              </w:rPr>
              <w:t>2012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pacing w:val="-6"/>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pacing w:val="-6"/>
                <w:sz w:val="21"/>
                <w:szCs w:val="21"/>
              </w:rPr>
              <w:t>31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14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21"/>
                <w:szCs w:val="21"/>
              </w:rPr>
            </w:pPr>
            <w:r>
              <w:rPr>
                <w:rFonts w:ascii="Times New Roman"/>
                <w:sz w:val="21"/>
              </w:rPr>
              <w:t>0</w:t>
            </w:r>
          </w:p>
        </w:tc>
        <w:tc>
          <w:tcPr>
            <w:tcW w:w="15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188" w:right="0"/>
              <w:jc w:val="left"/>
              <w:rPr>
                <w:rFonts w:ascii="Times New Roman" w:hAnsi="Times New Roman" w:cs="Times New Roman" w:eastAsia="Times New Roman" w:hint="default"/>
                <w:sz w:val="21"/>
                <w:szCs w:val="21"/>
              </w:rPr>
            </w:pPr>
            <w:r>
              <w:rPr>
                <w:rFonts w:ascii="Times New Roman"/>
                <w:sz w:val="21"/>
              </w:rPr>
              <w:t>1,554,123,353</w:t>
            </w:r>
          </w:p>
        </w:tc>
        <w:tc>
          <w:tcPr>
            <w:tcW w:w="15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188" w:right="0"/>
              <w:jc w:val="left"/>
              <w:rPr>
                <w:rFonts w:ascii="Times New Roman" w:hAnsi="Times New Roman" w:cs="Times New Roman" w:eastAsia="Times New Roman" w:hint="default"/>
                <w:sz w:val="21"/>
                <w:szCs w:val="21"/>
              </w:rPr>
            </w:pPr>
            <w:r>
              <w:rPr>
                <w:rFonts w:ascii="Times New Roman"/>
                <w:sz w:val="21"/>
              </w:rPr>
              <w:t>5,442,088,513</w:t>
            </w:r>
          </w:p>
        </w:tc>
        <w:tc>
          <w:tcPr>
            <w:tcW w:w="3407" w:type="dxa"/>
            <w:tcBorders>
              <w:top w:val="nil" w:sz="6" w:space="0" w:color="auto"/>
              <w:left w:val="single" w:sz="4" w:space="0" w:color="000000"/>
              <w:bottom w:val="nil" w:sz="6" w:space="0" w:color="auto"/>
              <w:right w:val="single" w:sz="12" w:space="0" w:color="000000"/>
            </w:tcBorders>
          </w:tcPr>
          <w:p>
            <w:pPr>
              <w:pStyle w:val="TableParagraph"/>
              <w:spacing w:line="240" w:lineRule="exact" w:before="3"/>
              <w:ind w:left="103" w:right="90"/>
              <w:jc w:val="left"/>
              <w:rPr>
                <w:rFonts w:ascii="宋体" w:hAnsi="宋体" w:cs="宋体" w:eastAsia="宋体" w:hint="default"/>
                <w:sz w:val="21"/>
                <w:szCs w:val="21"/>
              </w:rPr>
            </w:pPr>
            <w:r>
              <w:rPr>
                <w:rFonts w:ascii="宋体" w:hAnsi="宋体" w:cs="宋体" w:eastAsia="宋体" w:hint="default"/>
                <w:spacing w:val="2"/>
                <w:sz w:val="21"/>
                <w:szCs w:val="21"/>
              </w:rPr>
              <w:t>定，故此次实际可上市交易的股份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 </w:t>
            </w:r>
            <w:r>
              <w:rPr>
                <w:rFonts w:ascii="宋体" w:hAnsi="宋体" w:cs="宋体" w:eastAsia="宋体" w:hint="default"/>
                <w:sz w:val="21"/>
                <w:szCs w:val="21"/>
              </w:rPr>
              <w:t>股。</w:t>
            </w:r>
          </w:p>
        </w:tc>
      </w:tr>
      <w:tr>
        <w:trPr>
          <w:trHeight w:val="240" w:hRule="exact"/>
        </w:trPr>
        <w:tc>
          <w:tcPr>
            <w:tcW w:w="1847" w:type="dxa"/>
            <w:tcBorders>
              <w:top w:val="nil" w:sz="6" w:space="0" w:color="auto"/>
              <w:left w:val="single" w:sz="12" w:space="0" w:color="000000"/>
              <w:bottom w:val="nil" w:sz="6" w:space="0" w:color="auto"/>
              <w:right w:val="single" w:sz="4" w:space="0" w:color="000000"/>
            </w:tcBorders>
          </w:tcPr>
          <w:p>
            <w:pPr/>
          </w:p>
        </w:tc>
        <w:tc>
          <w:tcPr>
            <w:tcW w:w="1471" w:type="dxa"/>
            <w:tcBorders>
              <w:top w:val="nil" w:sz="6" w:space="0" w:color="auto"/>
              <w:left w:val="single" w:sz="4" w:space="0" w:color="000000"/>
              <w:bottom w:val="nil" w:sz="6" w:space="0" w:color="auto"/>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3407" w:type="dxa"/>
            <w:tcBorders>
              <w:top w:val="nil" w:sz="6" w:space="0" w:color="auto"/>
              <w:left w:val="single" w:sz="4" w:space="0" w:color="000000"/>
              <w:bottom w:val="nil" w:sz="6" w:space="0" w:color="auto"/>
              <w:right w:val="single" w:sz="12" w:space="0" w:color="000000"/>
            </w:tcBorders>
          </w:tcPr>
          <w:p>
            <w:pPr>
              <w:pStyle w:val="TableParagraph"/>
              <w:spacing w:line="235" w:lineRule="exact"/>
              <w:ind w:right="91"/>
              <w:jc w:val="righ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、有限售条件股份余额为张近东</w:t>
            </w:r>
          </w:p>
        </w:tc>
      </w:tr>
      <w:tr>
        <w:trPr>
          <w:trHeight w:val="234" w:hRule="exact"/>
        </w:trPr>
        <w:tc>
          <w:tcPr>
            <w:tcW w:w="1847" w:type="dxa"/>
            <w:tcBorders>
              <w:top w:val="nil" w:sz="6" w:space="0" w:color="auto"/>
              <w:left w:val="single" w:sz="12" w:space="0" w:color="000000"/>
              <w:bottom w:val="nil" w:sz="6" w:space="0" w:color="auto"/>
              <w:right w:val="single" w:sz="4" w:space="0" w:color="000000"/>
            </w:tcBorders>
          </w:tcPr>
          <w:p>
            <w:pPr/>
          </w:p>
        </w:tc>
        <w:tc>
          <w:tcPr>
            <w:tcW w:w="1471" w:type="dxa"/>
            <w:tcBorders>
              <w:top w:val="nil" w:sz="6" w:space="0" w:color="auto"/>
              <w:left w:val="single" w:sz="4" w:space="0" w:color="000000"/>
              <w:bottom w:val="nil" w:sz="6" w:space="0" w:color="auto"/>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3407" w:type="dxa"/>
            <w:tcBorders>
              <w:top w:val="nil" w:sz="6" w:space="0" w:color="auto"/>
              <w:left w:val="single" w:sz="4" w:space="0" w:color="000000"/>
              <w:bottom w:val="nil" w:sz="6" w:space="0" w:color="auto"/>
              <w:right w:val="single" w:sz="12"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先生、金明先生持有的以“高管股</w:t>
            </w:r>
            <w:r>
              <w:rPr>
                <w:rFonts w:ascii="宋体" w:hAnsi="宋体" w:cs="宋体" w:eastAsia="宋体" w:hint="default"/>
                <w:sz w:val="21"/>
                <w:szCs w:val="21"/>
              </w:rPr>
            </w:r>
          </w:p>
        </w:tc>
      </w:tr>
      <w:tr>
        <w:trPr>
          <w:trHeight w:val="240" w:hRule="exact"/>
        </w:trPr>
        <w:tc>
          <w:tcPr>
            <w:tcW w:w="1847" w:type="dxa"/>
            <w:tcBorders>
              <w:top w:val="nil" w:sz="6" w:space="0" w:color="auto"/>
              <w:left w:val="single" w:sz="12" w:space="0" w:color="000000"/>
              <w:bottom w:val="nil" w:sz="6" w:space="0" w:color="auto"/>
              <w:right w:val="single" w:sz="4" w:space="0" w:color="000000"/>
            </w:tcBorders>
          </w:tcPr>
          <w:p>
            <w:pPr/>
          </w:p>
        </w:tc>
        <w:tc>
          <w:tcPr>
            <w:tcW w:w="1471" w:type="dxa"/>
            <w:tcBorders>
              <w:top w:val="nil" w:sz="6" w:space="0" w:color="auto"/>
              <w:left w:val="single" w:sz="4" w:space="0" w:color="000000"/>
              <w:bottom w:val="nil" w:sz="6" w:space="0" w:color="auto"/>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3407" w:type="dxa"/>
            <w:tcBorders>
              <w:top w:val="nil" w:sz="6" w:space="0" w:color="auto"/>
              <w:left w:val="single" w:sz="4" w:space="0" w:color="000000"/>
              <w:bottom w:val="nil" w:sz="6" w:space="0" w:color="auto"/>
              <w:right w:val="single" w:sz="12"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份”形式锁定的股份，该部分股份</w:t>
            </w:r>
            <w:r>
              <w:rPr>
                <w:rFonts w:ascii="宋体" w:hAnsi="宋体" w:cs="宋体" w:eastAsia="宋体" w:hint="default"/>
                <w:sz w:val="21"/>
                <w:szCs w:val="21"/>
              </w:rPr>
            </w:r>
          </w:p>
        </w:tc>
      </w:tr>
      <w:tr>
        <w:trPr>
          <w:trHeight w:val="259" w:hRule="exact"/>
        </w:trPr>
        <w:tc>
          <w:tcPr>
            <w:tcW w:w="1847" w:type="dxa"/>
            <w:tcBorders>
              <w:top w:val="nil" w:sz="6" w:space="0" w:color="auto"/>
              <w:left w:val="single" w:sz="12" w:space="0" w:color="000000"/>
              <w:bottom w:val="single" w:sz="12" w:space="0" w:color="000000"/>
              <w:right w:val="single" w:sz="4" w:space="0" w:color="000000"/>
            </w:tcBorders>
          </w:tcPr>
          <w:p>
            <w:pPr/>
          </w:p>
        </w:tc>
        <w:tc>
          <w:tcPr>
            <w:tcW w:w="1471" w:type="dxa"/>
            <w:tcBorders>
              <w:top w:val="nil" w:sz="6" w:space="0" w:color="auto"/>
              <w:left w:val="single" w:sz="4" w:space="0" w:color="000000"/>
              <w:bottom w:val="single" w:sz="12" w:space="0" w:color="000000"/>
              <w:right w:val="single" w:sz="4" w:space="0" w:color="000000"/>
            </w:tcBorders>
          </w:tcPr>
          <w:p>
            <w:pPr/>
          </w:p>
        </w:tc>
        <w:tc>
          <w:tcPr>
            <w:tcW w:w="1508" w:type="dxa"/>
            <w:tcBorders>
              <w:top w:val="nil" w:sz="6" w:space="0" w:color="auto"/>
              <w:left w:val="single" w:sz="4" w:space="0" w:color="000000"/>
              <w:bottom w:val="single" w:sz="12" w:space="0" w:color="000000"/>
              <w:right w:val="single" w:sz="4" w:space="0" w:color="000000"/>
            </w:tcBorders>
          </w:tcPr>
          <w:p>
            <w:pPr/>
          </w:p>
        </w:tc>
        <w:tc>
          <w:tcPr>
            <w:tcW w:w="1508" w:type="dxa"/>
            <w:tcBorders>
              <w:top w:val="nil" w:sz="6" w:space="0" w:color="auto"/>
              <w:left w:val="single" w:sz="4" w:space="0" w:color="000000"/>
              <w:bottom w:val="single" w:sz="12" w:space="0" w:color="000000"/>
              <w:right w:val="single" w:sz="4" w:space="0" w:color="000000"/>
            </w:tcBorders>
          </w:tcPr>
          <w:p>
            <w:pPr/>
          </w:p>
        </w:tc>
        <w:tc>
          <w:tcPr>
            <w:tcW w:w="3407" w:type="dxa"/>
            <w:tcBorders>
              <w:top w:val="nil" w:sz="6" w:space="0" w:color="auto"/>
              <w:left w:val="single" w:sz="4" w:space="0" w:color="000000"/>
              <w:bottom w:val="single" w:sz="12" w:space="0" w:color="000000"/>
              <w:right w:val="single" w:sz="12"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z w:val="21"/>
                <w:szCs w:val="21"/>
              </w:rPr>
              <w:t>可上市交易的时间未知。</w:t>
            </w:r>
          </w:p>
        </w:tc>
      </w:tr>
    </w:tbl>
    <w:p>
      <w:pPr>
        <w:spacing w:after="0" w:line="225" w:lineRule="exact"/>
        <w:jc w:val="left"/>
        <w:rPr>
          <w:rFonts w:ascii="宋体" w:hAnsi="宋体" w:cs="宋体" w:eastAsia="宋体" w:hint="default"/>
          <w:sz w:val="21"/>
          <w:szCs w:val="21"/>
        </w:rPr>
        <w:sectPr>
          <w:pgSz w:w="11910" w:h="16840"/>
          <w:pgMar w:header="748" w:footer="714" w:top="980" w:bottom="900" w:left="920" w:right="920"/>
        </w:sectPr>
      </w:pPr>
    </w:p>
    <w:p>
      <w:pPr>
        <w:spacing w:line="240" w:lineRule="auto" w:before="7"/>
        <w:rPr>
          <w:rFonts w:ascii="宋体" w:hAnsi="宋体" w:cs="宋体" w:eastAsia="宋体" w:hint="default"/>
          <w:sz w:val="29"/>
          <w:szCs w:val="29"/>
        </w:rPr>
      </w:pPr>
    </w:p>
    <w:p>
      <w:pPr>
        <w:tabs>
          <w:tab w:pos="7719" w:val="left" w:leader="none"/>
        </w:tabs>
        <w:spacing w:before="26"/>
        <w:ind w:left="1000" w:right="0" w:firstLine="0"/>
        <w:jc w:val="left"/>
        <w:rPr>
          <w:rFonts w:ascii="宋体" w:hAnsi="宋体" w:cs="宋体" w:eastAsia="宋体" w:hint="default"/>
          <w:sz w:val="21"/>
          <w:szCs w:val="21"/>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）有限售条件股份变动情况表</w:t>
        <w:tab/>
      </w:r>
      <w:r>
        <w:rPr>
          <w:rFonts w:ascii="宋体" w:hAnsi="宋体" w:cs="宋体" w:eastAsia="宋体" w:hint="default"/>
          <w:sz w:val="21"/>
          <w:szCs w:val="21"/>
        </w:rPr>
        <w:t>（单位：股）</w:t>
      </w:r>
    </w:p>
    <w:p>
      <w:pPr>
        <w:spacing w:line="240" w:lineRule="auto" w:before="5"/>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131"/>
        <w:gridCol w:w="1306"/>
        <w:gridCol w:w="1142"/>
        <w:gridCol w:w="1142"/>
        <w:gridCol w:w="1306"/>
        <w:gridCol w:w="1370"/>
        <w:gridCol w:w="1434"/>
      </w:tblGrid>
      <w:tr>
        <w:trPr>
          <w:trHeight w:val="754" w:hRule="exact"/>
        </w:trPr>
        <w:tc>
          <w:tcPr>
            <w:tcW w:w="213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3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6"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27"/>
              <w:ind w:left="438" w:right="227" w:hanging="210"/>
              <w:jc w:val="left"/>
              <w:rPr>
                <w:rFonts w:ascii="宋体" w:hAnsi="宋体" w:cs="宋体" w:eastAsia="宋体" w:hint="default"/>
                <w:sz w:val="21"/>
                <w:szCs w:val="21"/>
              </w:rPr>
            </w:pPr>
            <w:r>
              <w:rPr>
                <w:rFonts w:ascii="宋体" w:hAnsi="宋体" w:cs="宋体" w:eastAsia="宋体" w:hint="default"/>
                <w:sz w:val="21"/>
                <w:szCs w:val="21"/>
              </w:rPr>
              <w:t>年初限售 股数</w:t>
            </w:r>
          </w:p>
        </w:tc>
        <w:tc>
          <w:tcPr>
            <w:tcW w:w="1142"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27"/>
              <w:ind w:left="146" w:right="144"/>
              <w:jc w:val="left"/>
              <w:rPr>
                <w:rFonts w:ascii="宋体" w:hAnsi="宋体" w:cs="宋体" w:eastAsia="宋体" w:hint="default"/>
                <w:sz w:val="21"/>
                <w:szCs w:val="21"/>
              </w:rPr>
            </w:pPr>
            <w:r>
              <w:rPr>
                <w:rFonts w:ascii="宋体" w:hAnsi="宋体" w:cs="宋体" w:eastAsia="宋体" w:hint="default"/>
                <w:sz w:val="21"/>
                <w:szCs w:val="21"/>
              </w:rPr>
              <w:t>本年解除 限售股数</w:t>
            </w:r>
          </w:p>
        </w:tc>
        <w:tc>
          <w:tcPr>
            <w:tcW w:w="1142"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27"/>
              <w:ind w:left="145" w:right="145"/>
              <w:jc w:val="left"/>
              <w:rPr>
                <w:rFonts w:ascii="宋体" w:hAnsi="宋体" w:cs="宋体" w:eastAsia="宋体" w:hint="default"/>
                <w:sz w:val="21"/>
                <w:szCs w:val="21"/>
              </w:rPr>
            </w:pPr>
            <w:r>
              <w:rPr>
                <w:rFonts w:ascii="宋体" w:hAnsi="宋体" w:cs="宋体" w:eastAsia="宋体" w:hint="default"/>
                <w:sz w:val="21"/>
                <w:szCs w:val="21"/>
              </w:rPr>
              <w:t>本年增加 限售股数</w:t>
            </w:r>
          </w:p>
        </w:tc>
        <w:tc>
          <w:tcPr>
            <w:tcW w:w="1306"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27"/>
              <w:ind w:left="438" w:right="227" w:hanging="210"/>
              <w:jc w:val="left"/>
              <w:rPr>
                <w:rFonts w:ascii="宋体" w:hAnsi="宋体" w:cs="宋体" w:eastAsia="宋体" w:hint="default"/>
                <w:sz w:val="21"/>
                <w:szCs w:val="21"/>
              </w:rPr>
            </w:pPr>
            <w:r>
              <w:rPr>
                <w:rFonts w:ascii="宋体" w:hAnsi="宋体" w:cs="宋体" w:eastAsia="宋体" w:hint="default"/>
                <w:sz w:val="21"/>
                <w:szCs w:val="21"/>
              </w:rPr>
              <w:t>年末限售 股数</w:t>
            </w:r>
          </w:p>
        </w:tc>
        <w:tc>
          <w:tcPr>
            <w:tcW w:w="13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43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2"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47" w:hRule="exact"/>
        </w:trPr>
        <w:tc>
          <w:tcPr>
            <w:tcW w:w="2131" w:type="dxa"/>
            <w:tcBorders>
              <w:top w:val="single" w:sz="4" w:space="0" w:color="000000"/>
              <w:left w:val="single" w:sz="12" w:space="0" w:color="000000"/>
              <w:bottom w:val="nil" w:sz="6" w:space="0" w:color="auto"/>
              <w:right w:val="single" w:sz="4" w:space="0" w:color="000000"/>
            </w:tcBorders>
          </w:tcPr>
          <w:p>
            <w:pPr/>
          </w:p>
        </w:tc>
        <w:tc>
          <w:tcPr>
            <w:tcW w:w="1306" w:type="dxa"/>
            <w:tcBorders>
              <w:top w:val="single" w:sz="4" w:space="0" w:color="000000"/>
              <w:left w:val="single" w:sz="4" w:space="0" w:color="000000"/>
              <w:bottom w:val="nil" w:sz="6" w:space="0" w:color="auto"/>
              <w:right w:val="single" w:sz="4" w:space="0" w:color="000000"/>
            </w:tcBorders>
          </w:tcPr>
          <w:p>
            <w:pPr/>
          </w:p>
        </w:tc>
        <w:tc>
          <w:tcPr>
            <w:tcW w:w="1142" w:type="dxa"/>
            <w:tcBorders>
              <w:top w:val="single" w:sz="4" w:space="0" w:color="000000"/>
              <w:left w:val="single" w:sz="4" w:space="0" w:color="000000"/>
              <w:bottom w:val="nil" w:sz="6" w:space="0" w:color="auto"/>
              <w:right w:val="single" w:sz="4" w:space="0" w:color="000000"/>
            </w:tcBorders>
          </w:tcPr>
          <w:p>
            <w:pPr/>
          </w:p>
        </w:tc>
        <w:tc>
          <w:tcPr>
            <w:tcW w:w="1142" w:type="dxa"/>
            <w:tcBorders>
              <w:top w:val="single" w:sz="4" w:space="0" w:color="000000"/>
              <w:left w:val="single" w:sz="4" w:space="0" w:color="000000"/>
              <w:bottom w:val="nil" w:sz="6" w:space="0" w:color="auto"/>
              <w:right w:val="single" w:sz="4" w:space="0" w:color="000000"/>
            </w:tcBorders>
          </w:tcPr>
          <w:p>
            <w:pPr/>
          </w:p>
        </w:tc>
        <w:tc>
          <w:tcPr>
            <w:tcW w:w="1306" w:type="dxa"/>
            <w:tcBorders>
              <w:top w:val="single" w:sz="4" w:space="0" w:color="000000"/>
              <w:left w:val="single" w:sz="4" w:space="0" w:color="000000"/>
              <w:bottom w:val="nil" w:sz="6" w:space="0" w:color="auto"/>
              <w:right w:val="single" w:sz="4" w:space="0" w:color="000000"/>
            </w:tcBorders>
          </w:tcPr>
          <w:p>
            <w:pPr/>
          </w:p>
        </w:tc>
        <w:tc>
          <w:tcPr>
            <w:tcW w:w="1370" w:type="dxa"/>
            <w:tcBorders>
              <w:top w:val="single" w:sz="4" w:space="0" w:color="000000"/>
              <w:left w:val="single" w:sz="4" w:space="0" w:color="000000"/>
              <w:bottom w:val="nil" w:sz="6" w:space="0" w:color="auto"/>
              <w:right w:val="single" w:sz="4" w:space="0" w:color="000000"/>
            </w:tcBorders>
          </w:tcPr>
          <w:p>
            <w:pPr/>
          </w:p>
        </w:tc>
        <w:tc>
          <w:tcPr>
            <w:tcW w:w="1434" w:type="dxa"/>
            <w:tcBorders>
              <w:top w:val="single" w:sz="4" w:space="0" w:color="000000"/>
              <w:left w:val="single" w:sz="4" w:space="0" w:color="000000"/>
              <w:bottom w:val="nil" w:sz="6" w:space="0" w:color="auto"/>
              <w:right w:val="single" w:sz="12"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5"/>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84"/>
                <w:sz w:val="21"/>
                <w:szCs w:val="21"/>
              </w:rPr>
              <w:t> </w:t>
            </w:r>
            <w:r>
              <w:rPr>
                <w:rFonts w:ascii="Times New Roman" w:hAnsi="Times New Roman" w:cs="Times New Roman" w:eastAsia="Times New Roman" w:hint="default"/>
                <w:spacing w:val="-7"/>
                <w:sz w:val="21"/>
                <w:szCs w:val="21"/>
              </w:rPr>
              <w:t>10</w:t>
            </w:r>
            <w:r>
              <w:rPr>
                <w:rFonts w:ascii="Times New Roman" w:hAnsi="Times New Roman" w:cs="Times New Roman" w:eastAsia="Times New Roman" w:hint="default"/>
                <w:sz w:val="21"/>
                <w:szCs w:val="21"/>
              </w:rPr>
            </w:r>
          </w:p>
        </w:tc>
      </w:tr>
      <w:tr>
        <w:trPr>
          <w:trHeight w:val="234" w:hRule="exact"/>
        </w:trPr>
        <w:tc>
          <w:tcPr>
            <w:tcW w:w="2131" w:type="dxa"/>
            <w:tcBorders>
              <w:top w:val="nil" w:sz="6" w:space="0" w:color="auto"/>
              <w:left w:val="single" w:sz="12" w:space="0" w:color="000000"/>
              <w:bottom w:val="nil" w:sz="6" w:space="0" w:color="auto"/>
              <w:right w:val="single" w:sz="4" w:space="0" w:color="000000"/>
            </w:tcBorders>
          </w:tcPr>
          <w:p>
            <w:pPr/>
          </w:p>
        </w:tc>
        <w:tc>
          <w:tcPr>
            <w:tcW w:w="1306" w:type="dxa"/>
            <w:tcBorders>
              <w:top w:val="nil" w:sz="6" w:space="0" w:color="auto"/>
              <w:left w:val="single" w:sz="4" w:space="0" w:color="000000"/>
              <w:bottom w:val="nil" w:sz="6" w:space="0" w:color="auto"/>
              <w:right w:val="single" w:sz="4" w:space="0" w:color="000000"/>
            </w:tcBorders>
          </w:tcPr>
          <w:p>
            <w:pPr/>
          </w:p>
        </w:tc>
        <w:tc>
          <w:tcPr>
            <w:tcW w:w="1142" w:type="dxa"/>
            <w:tcBorders>
              <w:top w:val="nil" w:sz="6" w:space="0" w:color="auto"/>
              <w:left w:val="single" w:sz="4" w:space="0" w:color="000000"/>
              <w:bottom w:val="nil" w:sz="6" w:space="0" w:color="auto"/>
              <w:right w:val="single" w:sz="4" w:space="0" w:color="000000"/>
            </w:tcBorders>
          </w:tcPr>
          <w:p>
            <w:pPr/>
          </w:p>
        </w:tc>
        <w:tc>
          <w:tcPr>
            <w:tcW w:w="1142" w:type="dxa"/>
            <w:tcBorders>
              <w:top w:val="nil" w:sz="6" w:space="0" w:color="auto"/>
              <w:left w:val="single" w:sz="4" w:space="0" w:color="000000"/>
              <w:bottom w:val="nil" w:sz="6" w:space="0" w:color="auto"/>
              <w:right w:val="single" w:sz="4" w:space="0" w:color="000000"/>
            </w:tcBorders>
          </w:tcPr>
          <w:p>
            <w:pPr/>
          </w:p>
        </w:tc>
        <w:tc>
          <w:tcPr>
            <w:tcW w:w="1306"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1434" w:type="dxa"/>
            <w:tcBorders>
              <w:top w:val="nil" w:sz="6" w:space="0" w:color="auto"/>
              <w:left w:val="single" w:sz="4" w:space="0" w:color="000000"/>
              <w:bottom w:val="nil" w:sz="6" w:space="0" w:color="auto"/>
              <w:right w:val="single" w:sz="12" w:space="0" w:color="000000"/>
            </w:tcBorders>
          </w:tcPr>
          <w:p>
            <w:pPr>
              <w:pStyle w:val="TableParagraph"/>
              <w:spacing w:line="219"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日，追加股份</w:t>
            </w:r>
            <w:r>
              <w:rPr>
                <w:rFonts w:ascii="宋体" w:hAnsi="宋体" w:cs="宋体" w:eastAsia="宋体" w:hint="default"/>
                <w:sz w:val="21"/>
                <w:szCs w:val="21"/>
              </w:rPr>
            </w:r>
          </w:p>
        </w:tc>
      </w:tr>
      <w:tr>
        <w:trPr>
          <w:trHeight w:val="240" w:hRule="exact"/>
        </w:trPr>
        <w:tc>
          <w:tcPr>
            <w:tcW w:w="2131" w:type="dxa"/>
            <w:tcBorders>
              <w:top w:val="nil" w:sz="6" w:space="0" w:color="auto"/>
              <w:left w:val="single" w:sz="12" w:space="0" w:color="000000"/>
              <w:bottom w:val="nil" w:sz="6" w:space="0" w:color="auto"/>
              <w:right w:val="single" w:sz="4" w:space="0" w:color="000000"/>
            </w:tcBorders>
          </w:tcPr>
          <w:p>
            <w:pPr/>
          </w:p>
        </w:tc>
        <w:tc>
          <w:tcPr>
            <w:tcW w:w="1306" w:type="dxa"/>
            <w:tcBorders>
              <w:top w:val="nil" w:sz="6" w:space="0" w:color="auto"/>
              <w:left w:val="single" w:sz="4" w:space="0" w:color="000000"/>
              <w:bottom w:val="nil" w:sz="6" w:space="0" w:color="auto"/>
              <w:right w:val="single" w:sz="4" w:space="0" w:color="000000"/>
            </w:tcBorders>
          </w:tcPr>
          <w:p>
            <w:pPr/>
          </w:p>
        </w:tc>
        <w:tc>
          <w:tcPr>
            <w:tcW w:w="1142" w:type="dxa"/>
            <w:tcBorders>
              <w:top w:val="nil" w:sz="6" w:space="0" w:color="auto"/>
              <w:left w:val="single" w:sz="4" w:space="0" w:color="000000"/>
              <w:bottom w:val="nil" w:sz="6" w:space="0" w:color="auto"/>
              <w:right w:val="single" w:sz="4" w:space="0" w:color="000000"/>
            </w:tcBorders>
          </w:tcPr>
          <w:p>
            <w:pPr/>
          </w:p>
        </w:tc>
        <w:tc>
          <w:tcPr>
            <w:tcW w:w="1142" w:type="dxa"/>
            <w:tcBorders>
              <w:top w:val="nil" w:sz="6" w:space="0" w:color="auto"/>
              <w:left w:val="single" w:sz="4" w:space="0" w:color="000000"/>
              <w:bottom w:val="nil" w:sz="6" w:space="0" w:color="auto"/>
              <w:right w:val="single" w:sz="4" w:space="0" w:color="000000"/>
            </w:tcBorders>
          </w:tcPr>
          <w:p>
            <w:pPr/>
          </w:p>
        </w:tc>
        <w:tc>
          <w:tcPr>
            <w:tcW w:w="1306"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0"/>
              <w:jc w:val="center"/>
              <w:rPr>
                <w:rFonts w:ascii="宋体" w:hAnsi="宋体" w:cs="宋体" w:eastAsia="宋体" w:hint="default"/>
                <w:sz w:val="21"/>
                <w:szCs w:val="21"/>
              </w:rPr>
            </w:pPr>
            <w:r>
              <w:rPr>
                <w:rFonts w:ascii="宋体" w:hAnsi="宋体" w:cs="宋体" w:eastAsia="宋体" w:hint="default"/>
                <w:sz w:val="21"/>
                <w:szCs w:val="21"/>
              </w:rPr>
              <w:t>追加股份限售</w:t>
            </w:r>
          </w:p>
        </w:tc>
        <w:tc>
          <w:tcPr>
            <w:tcW w:w="1434" w:type="dxa"/>
            <w:tcBorders>
              <w:top w:val="nil" w:sz="6" w:space="0" w:color="auto"/>
              <w:left w:val="single" w:sz="4" w:space="0" w:color="000000"/>
              <w:bottom w:val="nil" w:sz="6" w:space="0" w:color="auto"/>
              <w:right w:val="single" w:sz="12" w:space="0" w:color="000000"/>
            </w:tcBorders>
          </w:tcPr>
          <w:p>
            <w:pPr>
              <w:pStyle w:val="TableParagraph"/>
              <w:spacing w:line="225" w:lineRule="exact"/>
              <w:ind w:left="24" w:right="0"/>
              <w:jc w:val="left"/>
              <w:rPr>
                <w:rFonts w:ascii="宋体" w:hAnsi="宋体" w:cs="宋体" w:eastAsia="宋体" w:hint="default"/>
                <w:sz w:val="21"/>
                <w:szCs w:val="21"/>
              </w:rPr>
            </w:pPr>
            <w:r>
              <w:rPr>
                <w:rFonts w:ascii="宋体" w:hAnsi="宋体" w:cs="宋体" w:eastAsia="宋体" w:hint="default"/>
                <w:spacing w:val="-12"/>
                <w:sz w:val="21"/>
                <w:szCs w:val="21"/>
              </w:rPr>
              <w:t>限售解除；</w:t>
            </w:r>
            <w:r>
              <w:rPr>
                <w:rFonts w:ascii="宋体" w:hAnsi="宋体" w:cs="宋体" w:eastAsia="宋体" w:hint="default"/>
                <w:sz w:val="21"/>
                <w:szCs w:val="21"/>
              </w:rPr>
            </w:r>
          </w:p>
        </w:tc>
      </w:tr>
      <w:tr>
        <w:trPr>
          <w:trHeight w:val="486" w:hRule="exact"/>
        </w:trPr>
        <w:tc>
          <w:tcPr>
            <w:tcW w:w="2131" w:type="dxa"/>
            <w:tcBorders>
              <w:top w:val="nil" w:sz="6" w:space="0" w:color="auto"/>
              <w:left w:val="single" w:sz="12" w:space="0" w:color="000000"/>
              <w:bottom w:val="nil" w:sz="6" w:space="0" w:color="auto"/>
              <w:right w:val="single" w:sz="4" w:space="0" w:color="000000"/>
            </w:tcBorders>
          </w:tcPr>
          <w:p>
            <w:pPr>
              <w:pStyle w:val="TableParagraph"/>
              <w:spacing w:line="240" w:lineRule="auto" w:before="70"/>
              <w:ind w:left="13" w:right="0"/>
              <w:jc w:val="left"/>
              <w:rPr>
                <w:rFonts w:ascii="宋体" w:hAnsi="宋体" w:cs="宋体" w:eastAsia="宋体" w:hint="default"/>
                <w:sz w:val="21"/>
                <w:szCs w:val="21"/>
              </w:rPr>
            </w:pPr>
            <w:r>
              <w:rPr>
                <w:rFonts w:ascii="宋体" w:hAnsi="宋体" w:cs="宋体" w:eastAsia="宋体" w:hint="default"/>
                <w:sz w:val="21"/>
                <w:szCs w:val="21"/>
              </w:rPr>
              <w:t>张近东</w:t>
            </w:r>
          </w:p>
        </w:tc>
        <w:tc>
          <w:tcPr>
            <w:tcW w:w="13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pacing w:val="-1"/>
                <w:sz w:val="21"/>
              </w:rPr>
              <w:t>1,301,207,620</w:t>
            </w:r>
            <w:r>
              <w:rPr>
                <w:rFonts w:ascii="Times New Roman"/>
                <w:sz w:val="21"/>
              </w:rPr>
            </w:r>
          </w:p>
        </w:tc>
        <w:tc>
          <w:tcPr>
            <w:tcW w:w="11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pacing w:val="-1"/>
                <w:sz w:val="21"/>
              </w:rPr>
              <w:t>487,952,857</w:t>
            </w:r>
          </w:p>
        </w:tc>
        <w:tc>
          <w:tcPr>
            <w:tcW w:w="11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22"/>
              <w:jc w:val="right"/>
              <w:rPr>
                <w:rFonts w:ascii="Times New Roman" w:hAnsi="Times New Roman" w:cs="Times New Roman" w:eastAsia="Times New Roman" w:hint="default"/>
                <w:sz w:val="21"/>
                <w:szCs w:val="21"/>
              </w:rPr>
            </w:pPr>
            <w:r>
              <w:rPr>
                <w:rFonts w:ascii="Times New Roman"/>
                <w:spacing w:val="-1"/>
                <w:sz w:val="21"/>
              </w:rPr>
              <w:t>650,603,810</w:t>
            </w:r>
          </w:p>
        </w:tc>
        <w:tc>
          <w:tcPr>
            <w:tcW w:w="13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pacing w:val="-1"/>
                <w:sz w:val="21"/>
              </w:rPr>
              <w:t>1,463,858,573</w:t>
            </w: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承诺</w:t>
            </w:r>
          </w:p>
          <w:p>
            <w:pPr>
              <w:pStyle w:val="TableParagraph"/>
              <w:spacing w:line="273"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34" w:type="dxa"/>
            <w:tcBorders>
              <w:top w:val="nil" w:sz="6" w:space="0" w:color="auto"/>
              <w:left w:val="single" w:sz="4" w:space="0" w:color="000000"/>
              <w:bottom w:val="nil" w:sz="6" w:space="0" w:color="auto"/>
              <w:right w:val="single" w:sz="12" w:space="0" w:color="000000"/>
            </w:tcBorders>
          </w:tcPr>
          <w:p>
            <w:pPr>
              <w:pStyle w:val="TableParagraph"/>
              <w:spacing w:line="216"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65"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pacing w:val="-14"/>
                <w:sz w:val="21"/>
                <w:szCs w:val="21"/>
              </w:rPr>
              <w:t>日，认购的</w:t>
            </w:r>
          </w:p>
        </w:tc>
      </w:tr>
      <w:tr>
        <w:trPr>
          <w:trHeight w:val="240" w:hRule="exact"/>
        </w:trPr>
        <w:tc>
          <w:tcPr>
            <w:tcW w:w="2131" w:type="dxa"/>
            <w:tcBorders>
              <w:top w:val="nil" w:sz="6" w:space="0" w:color="auto"/>
              <w:left w:val="single" w:sz="12" w:space="0" w:color="000000"/>
              <w:bottom w:val="nil" w:sz="6" w:space="0" w:color="auto"/>
              <w:right w:val="single" w:sz="4" w:space="0" w:color="000000"/>
            </w:tcBorders>
          </w:tcPr>
          <w:p>
            <w:pPr/>
          </w:p>
        </w:tc>
        <w:tc>
          <w:tcPr>
            <w:tcW w:w="1306" w:type="dxa"/>
            <w:tcBorders>
              <w:top w:val="nil" w:sz="6" w:space="0" w:color="auto"/>
              <w:left w:val="single" w:sz="4" w:space="0" w:color="000000"/>
              <w:bottom w:val="nil" w:sz="6" w:space="0" w:color="auto"/>
              <w:right w:val="single" w:sz="4" w:space="0" w:color="000000"/>
            </w:tcBorders>
          </w:tcPr>
          <w:p>
            <w:pPr/>
          </w:p>
        </w:tc>
        <w:tc>
          <w:tcPr>
            <w:tcW w:w="1142" w:type="dxa"/>
            <w:tcBorders>
              <w:top w:val="nil" w:sz="6" w:space="0" w:color="auto"/>
              <w:left w:val="single" w:sz="4" w:space="0" w:color="000000"/>
              <w:bottom w:val="nil" w:sz="6" w:space="0" w:color="auto"/>
              <w:right w:val="single" w:sz="4" w:space="0" w:color="000000"/>
            </w:tcBorders>
          </w:tcPr>
          <w:p>
            <w:pPr/>
          </w:p>
        </w:tc>
        <w:tc>
          <w:tcPr>
            <w:tcW w:w="1142" w:type="dxa"/>
            <w:tcBorders>
              <w:top w:val="nil" w:sz="6" w:space="0" w:color="auto"/>
              <w:left w:val="single" w:sz="4" w:space="0" w:color="000000"/>
              <w:bottom w:val="nil" w:sz="6" w:space="0" w:color="auto"/>
              <w:right w:val="single" w:sz="4" w:space="0" w:color="000000"/>
            </w:tcBorders>
          </w:tcPr>
          <w:p>
            <w:pPr/>
          </w:p>
        </w:tc>
        <w:tc>
          <w:tcPr>
            <w:tcW w:w="1306"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1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nil" w:sz="6" w:space="0" w:color="auto"/>
              <w:left w:val="single" w:sz="4" w:space="0" w:color="000000"/>
              <w:bottom w:val="nil" w:sz="6" w:space="0" w:color="auto"/>
              <w:right w:val="single" w:sz="12" w:space="0" w:color="000000"/>
            </w:tcBorders>
          </w:tcPr>
          <w:p>
            <w:pPr>
              <w:pStyle w:val="TableParagraph"/>
              <w:spacing w:line="235"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2009</w:t>
            </w:r>
            <w:r>
              <w:rPr>
                <w:rFonts w:ascii="Times New Roman" w:hAnsi="Times New Roman" w:cs="Times New Roman" w:eastAsia="Times New Roman" w:hint="default"/>
                <w:spacing w:val="-23"/>
                <w:sz w:val="21"/>
                <w:szCs w:val="21"/>
              </w:rPr>
              <w:t> </w:t>
            </w:r>
            <w:r>
              <w:rPr>
                <w:rFonts w:ascii="宋体" w:hAnsi="宋体" w:cs="宋体" w:eastAsia="宋体" w:hint="default"/>
                <w:spacing w:val="-12"/>
                <w:sz w:val="21"/>
                <w:szCs w:val="21"/>
              </w:rPr>
              <w:t>年非公开</w:t>
            </w:r>
            <w:r>
              <w:rPr>
                <w:rFonts w:ascii="宋体" w:hAnsi="宋体" w:cs="宋体" w:eastAsia="宋体" w:hint="default"/>
                <w:sz w:val="21"/>
                <w:szCs w:val="21"/>
              </w:rPr>
            </w:r>
          </w:p>
        </w:tc>
      </w:tr>
      <w:tr>
        <w:trPr>
          <w:trHeight w:val="234" w:hRule="exact"/>
        </w:trPr>
        <w:tc>
          <w:tcPr>
            <w:tcW w:w="2131" w:type="dxa"/>
            <w:tcBorders>
              <w:top w:val="nil" w:sz="6" w:space="0" w:color="auto"/>
              <w:left w:val="single" w:sz="12" w:space="0" w:color="000000"/>
              <w:bottom w:val="nil" w:sz="6" w:space="0" w:color="auto"/>
              <w:right w:val="single" w:sz="4" w:space="0" w:color="000000"/>
            </w:tcBorders>
          </w:tcPr>
          <w:p>
            <w:pPr/>
          </w:p>
        </w:tc>
        <w:tc>
          <w:tcPr>
            <w:tcW w:w="1306" w:type="dxa"/>
            <w:tcBorders>
              <w:top w:val="nil" w:sz="6" w:space="0" w:color="auto"/>
              <w:left w:val="single" w:sz="4" w:space="0" w:color="000000"/>
              <w:bottom w:val="nil" w:sz="6" w:space="0" w:color="auto"/>
              <w:right w:val="single" w:sz="4" w:space="0" w:color="000000"/>
            </w:tcBorders>
          </w:tcPr>
          <w:p>
            <w:pPr/>
          </w:p>
        </w:tc>
        <w:tc>
          <w:tcPr>
            <w:tcW w:w="1142" w:type="dxa"/>
            <w:tcBorders>
              <w:top w:val="nil" w:sz="6" w:space="0" w:color="auto"/>
              <w:left w:val="single" w:sz="4" w:space="0" w:color="000000"/>
              <w:bottom w:val="nil" w:sz="6" w:space="0" w:color="auto"/>
              <w:right w:val="single" w:sz="4" w:space="0" w:color="000000"/>
            </w:tcBorders>
          </w:tcPr>
          <w:p>
            <w:pPr/>
          </w:p>
        </w:tc>
        <w:tc>
          <w:tcPr>
            <w:tcW w:w="1142" w:type="dxa"/>
            <w:tcBorders>
              <w:top w:val="nil" w:sz="6" w:space="0" w:color="auto"/>
              <w:left w:val="single" w:sz="4" w:space="0" w:color="000000"/>
              <w:bottom w:val="nil" w:sz="6" w:space="0" w:color="auto"/>
              <w:right w:val="single" w:sz="4" w:space="0" w:color="000000"/>
            </w:tcBorders>
          </w:tcPr>
          <w:p>
            <w:pPr/>
          </w:p>
        </w:tc>
        <w:tc>
          <w:tcPr>
            <w:tcW w:w="1306"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1434" w:type="dxa"/>
            <w:tcBorders>
              <w:top w:val="nil" w:sz="6" w:space="0" w:color="auto"/>
              <w:left w:val="single" w:sz="4" w:space="0" w:color="000000"/>
              <w:bottom w:val="nil" w:sz="6" w:space="0" w:color="auto"/>
              <w:right w:val="single" w:sz="12" w:space="0" w:color="000000"/>
            </w:tcBorders>
          </w:tcPr>
          <w:p>
            <w:pPr>
              <w:pStyle w:val="TableParagraph"/>
              <w:spacing w:line="219"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发行股份限售</w:t>
            </w:r>
            <w:r>
              <w:rPr>
                <w:rFonts w:ascii="宋体" w:hAnsi="宋体" w:cs="宋体" w:eastAsia="宋体" w:hint="default"/>
                <w:sz w:val="21"/>
                <w:szCs w:val="21"/>
              </w:rPr>
            </w:r>
          </w:p>
        </w:tc>
      </w:tr>
      <w:tr>
        <w:trPr>
          <w:trHeight w:val="248" w:hRule="exact"/>
        </w:trPr>
        <w:tc>
          <w:tcPr>
            <w:tcW w:w="2131" w:type="dxa"/>
            <w:tcBorders>
              <w:top w:val="nil" w:sz="6" w:space="0" w:color="auto"/>
              <w:left w:val="single" w:sz="12" w:space="0" w:color="000000"/>
              <w:bottom w:val="single" w:sz="4" w:space="0" w:color="000000"/>
              <w:right w:val="single" w:sz="4" w:space="0" w:color="000000"/>
            </w:tcBorders>
          </w:tcPr>
          <w:p>
            <w:pPr/>
          </w:p>
        </w:tc>
        <w:tc>
          <w:tcPr>
            <w:tcW w:w="1306" w:type="dxa"/>
            <w:tcBorders>
              <w:top w:val="nil" w:sz="6" w:space="0" w:color="auto"/>
              <w:left w:val="single" w:sz="4" w:space="0" w:color="000000"/>
              <w:bottom w:val="single" w:sz="4" w:space="0" w:color="000000"/>
              <w:right w:val="single" w:sz="4" w:space="0" w:color="000000"/>
            </w:tcBorders>
          </w:tcPr>
          <w:p>
            <w:pPr/>
          </w:p>
        </w:tc>
        <w:tc>
          <w:tcPr>
            <w:tcW w:w="1142" w:type="dxa"/>
            <w:tcBorders>
              <w:top w:val="nil" w:sz="6" w:space="0" w:color="auto"/>
              <w:left w:val="single" w:sz="4" w:space="0" w:color="000000"/>
              <w:bottom w:val="single" w:sz="4" w:space="0" w:color="000000"/>
              <w:right w:val="single" w:sz="4" w:space="0" w:color="000000"/>
            </w:tcBorders>
          </w:tcPr>
          <w:p>
            <w:pPr/>
          </w:p>
        </w:tc>
        <w:tc>
          <w:tcPr>
            <w:tcW w:w="1142" w:type="dxa"/>
            <w:tcBorders>
              <w:top w:val="nil" w:sz="6" w:space="0" w:color="auto"/>
              <w:left w:val="single" w:sz="4" w:space="0" w:color="000000"/>
              <w:bottom w:val="single" w:sz="4" w:space="0" w:color="000000"/>
              <w:right w:val="single" w:sz="4" w:space="0" w:color="000000"/>
            </w:tcBorders>
          </w:tcPr>
          <w:p>
            <w:pPr/>
          </w:p>
        </w:tc>
        <w:tc>
          <w:tcPr>
            <w:tcW w:w="1306" w:type="dxa"/>
            <w:tcBorders>
              <w:top w:val="nil" w:sz="6" w:space="0" w:color="auto"/>
              <w:left w:val="single" w:sz="4" w:space="0" w:color="000000"/>
              <w:bottom w:val="single" w:sz="4" w:space="0" w:color="000000"/>
              <w:right w:val="single" w:sz="4" w:space="0" w:color="000000"/>
            </w:tcBorders>
          </w:tcPr>
          <w:p>
            <w:pPr/>
          </w:p>
        </w:tc>
        <w:tc>
          <w:tcPr>
            <w:tcW w:w="1370" w:type="dxa"/>
            <w:tcBorders>
              <w:top w:val="nil" w:sz="6" w:space="0" w:color="auto"/>
              <w:left w:val="single" w:sz="4" w:space="0" w:color="000000"/>
              <w:bottom w:val="single" w:sz="4" w:space="0" w:color="000000"/>
              <w:right w:val="single" w:sz="4" w:space="0" w:color="000000"/>
            </w:tcBorders>
          </w:tcPr>
          <w:p>
            <w:pPr/>
          </w:p>
        </w:tc>
        <w:tc>
          <w:tcPr>
            <w:tcW w:w="1434" w:type="dxa"/>
            <w:tcBorders>
              <w:top w:val="nil" w:sz="6" w:space="0" w:color="auto"/>
              <w:left w:val="single" w:sz="4" w:space="0" w:color="000000"/>
              <w:bottom w:val="single" w:sz="4" w:space="0" w:color="000000"/>
              <w:right w:val="single" w:sz="12" w:space="0" w:color="000000"/>
            </w:tcBorders>
          </w:tcPr>
          <w:p>
            <w:pPr>
              <w:pStyle w:val="TableParagraph"/>
              <w:spacing w:line="225" w:lineRule="exact"/>
              <w:ind w:left="24" w:right="0"/>
              <w:jc w:val="left"/>
              <w:rPr>
                <w:rFonts w:ascii="宋体" w:hAnsi="宋体" w:cs="宋体" w:eastAsia="宋体" w:hint="default"/>
                <w:sz w:val="21"/>
                <w:szCs w:val="21"/>
              </w:rPr>
            </w:pPr>
            <w:r>
              <w:rPr>
                <w:rFonts w:ascii="宋体" w:hAnsi="宋体" w:cs="宋体" w:eastAsia="宋体" w:hint="default"/>
                <w:spacing w:val="-12"/>
                <w:sz w:val="21"/>
                <w:szCs w:val="21"/>
              </w:rPr>
              <w:t>解除。</w:t>
            </w:r>
            <w:r>
              <w:rPr>
                <w:rFonts w:ascii="宋体" w:hAnsi="宋体" w:cs="宋体" w:eastAsia="宋体" w:hint="default"/>
                <w:sz w:val="21"/>
                <w:szCs w:val="21"/>
              </w:rPr>
            </w:r>
          </w:p>
        </w:tc>
      </w:tr>
      <w:tr>
        <w:trPr>
          <w:trHeight w:val="488"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tabs>
                <w:tab w:pos="433" w:val="left" w:leader="none"/>
              </w:tabs>
              <w:spacing w:line="240" w:lineRule="auto" w:before="65"/>
              <w:ind w:left="13" w:right="0"/>
              <w:jc w:val="left"/>
              <w:rPr>
                <w:rFonts w:ascii="宋体" w:hAnsi="宋体" w:cs="宋体" w:eastAsia="宋体" w:hint="default"/>
                <w:sz w:val="21"/>
                <w:szCs w:val="21"/>
              </w:rPr>
            </w:pPr>
            <w:r>
              <w:rPr>
                <w:rFonts w:ascii="宋体" w:hAnsi="宋体" w:cs="宋体" w:eastAsia="宋体" w:hint="default"/>
                <w:sz w:val="21"/>
                <w:szCs w:val="21"/>
              </w:rPr>
              <w:t>金</w:t>
              <w:tab/>
              <w:t>明</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21"/>
                <w:szCs w:val="21"/>
              </w:rPr>
            </w:pPr>
            <w:r>
              <w:rPr>
                <w:rFonts w:ascii="Times New Roman"/>
                <w:spacing w:val="-1"/>
                <w:sz w:val="21"/>
              </w:rPr>
              <w:t>60,176,520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21"/>
                <w:szCs w:val="21"/>
              </w:rPr>
            </w:pPr>
            <w:r>
              <w:rPr>
                <w:rFonts w:ascii="Times New Roman"/>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21"/>
                <w:szCs w:val="21"/>
              </w:rPr>
            </w:pPr>
            <w:r>
              <w:rPr>
                <w:rFonts w:ascii="Times New Roman"/>
                <w:spacing w:val="-1"/>
                <w:sz w:val="21"/>
              </w:rPr>
              <w:t>30,088,260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21"/>
                <w:szCs w:val="21"/>
              </w:rPr>
            </w:pPr>
            <w:r>
              <w:rPr>
                <w:rFonts w:ascii="Times New Roman"/>
                <w:spacing w:val="-1"/>
                <w:sz w:val="21"/>
              </w:rPr>
              <w:t>90,264,780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高管股份锁定</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left="10"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9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13" w:right="150"/>
              <w:jc w:val="left"/>
              <w:rPr>
                <w:rFonts w:ascii="宋体" w:hAnsi="宋体" w:cs="宋体" w:eastAsia="宋体" w:hint="default"/>
                <w:sz w:val="21"/>
                <w:szCs w:val="21"/>
              </w:rPr>
            </w:pPr>
            <w:r>
              <w:rPr>
                <w:rFonts w:ascii="宋体" w:hAnsi="宋体" w:cs="宋体" w:eastAsia="宋体" w:hint="default"/>
                <w:spacing w:val="6"/>
                <w:sz w:val="21"/>
                <w:szCs w:val="21"/>
              </w:rPr>
              <w:t>雅戈尔集团股份有限 </w:t>
            </w:r>
            <w:r>
              <w:rPr>
                <w:rFonts w:ascii="宋体" w:hAnsi="宋体" w:cs="宋体" w:eastAsia="宋体" w:hint="default"/>
                <w:sz w:val="21"/>
                <w:szCs w:val="21"/>
              </w:rPr>
              <w:t>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pacing w:val="-1"/>
                <w:sz w:val="21"/>
              </w:rPr>
              <w:t>40,000,000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pacing w:val="-1"/>
                <w:sz w:val="21"/>
              </w:rPr>
              <w:t>60,000,000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2"/>
              <w:jc w:val="right"/>
              <w:rPr>
                <w:rFonts w:ascii="Times New Roman" w:hAnsi="Times New Roman" w:cs="Times New Roman" w:eastAsia="Times New Roman" w:hint="default"/>
                <w:sz w:val="21"/>
                <w:szCs w:val="21"/>
              </w:rPr>
            </w:pPr>
            <w:r>
              <w:rPr>
                <w:rFonts w:ascii="Times New Roman"/>
                <w:spacing w:val="-1"/>
                <w:sz w:val="21"/>
              </w:rPr>
              <w:t>20,000,000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12" w:lineRule="exact"/>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4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49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6"/>
              <w:ind w:left="13" w:right="0"/>
              <w:jc w:val="left"/>
              <w:rPr>
                <w:rFonts w:ascii="宋体" w:hAnsi="宋体" w:cs="宋体" w:eastAsia="宋体" w:hint="default"/>
                <w:sz w:val="21"/>
                <w:szCs w:val="21"/>
              </w:rPr>
            </w:pPr>
            <w:r>
              <w:rPr>
                <w:rFonts w:ascii="宋体" w:hAnsi="宋体" w:cs="宋体" w:eastAsia="宋体" w:hint="default"/>
                <w:sz w:val="21"/>
                <w:szCs w:val="21"/>
              </w:rPr>
              <w:t>斯坦福大学</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pacing w:val="-1"/>
                <w:sz w:val="21"/>
              </w:rPr>
              <w:t>18,187,384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pacing w:val="-1"/>
                <w:sz w:val="21"/>
              </w:rPr>
              <w:t>27,281,076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2"/>
              <w:jc w:val="right"/>
              <w:rPr>
                <w:rFonts w:ascii="Times New Roman" w:hAnsi="Times New Roman" w:cs="Times New Roman" w:eastAsia="Times New Roman" w:hint="default"/>
                <w:sz w:val="21"/>
                <w:szCs w:val="21"/>
              </w:rPr>
            </w:pPr>
            <w:r>
              <w:rPr>
                <w:rFonts w:ascii="Times New Roman"/>
                <w:spacing w:val="-1"/>
                <w:sz w:val="21"/>
              </w:rPr>
              <w:t>9,093,692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12" w:lineRule="exact"/>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4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851"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54" w:lineRule="exact"/>
              <w:ind w:left="13" w:right="0"/>
              <w:jc w:val="left"/>
              <w:rPr>
                <w:rFonts w:ascii="宋体" w:hAnsi="宋体" w:cs="宋体" w:eastAsia="宋体" w:hint="default"/>
                <w:sz w:val="21"/>
                <w:szCs w:val="21"/>
              </w:rPr>
            </w:pPr>
            <w:r>
              <w:rPr>
                <w:rFonts w:ascii="宋体" w:hAnsi="宋体" w:cs="宋体" w:eastAsia="宋体" w:hint="default"/>
                <w:spacing w:val="6"/>
                <w:sz w:val="21"/>
                <w:szCs w:val="21"/>
              </w:rPr>
              <w:t>中国农业银行—大成</w:t>
            </w:r>
            <w:r>
              <w:rPr>
                <w:rFonts w:ascii="宋体" w:hAnsi="宋体" w:cs="宋体" w:eastAsia="宋体" w:hint="default"/>
                <w:sz w:val="21"/>
                <w:szCs w:val="21"/>
              </w:rPr>
            </w:r>
          </w:p>
          <w:p>
            <w:pPr>
              <w:pStyle w:val="TableParagraph"/>
              <w:spacing w:line="244" w:lineRule="auto" w:before="6"/>
              <w:ind w:left="13" w:right="150"/>
              <w:jc w:val="left"/>
              <w:rPr>
                <w:rFonts w:ascii="宋体" w:hAnsi="宋体" w:cs="宋体" w:eastAsia="宋体" w:hint="default"/>
                <w:sz w:val="21"/>
                <w:szCs w:val="21"/>
              </w:rPr>
            </w:pPr>
            <w:r>
              <w:rPr>
                <w:rFonts w:ascii="宋体" w:hAnsi="宋体" w:cs="宋体" w:eastAsia="宋体" w:hint="default"/>
                <w:spacing w:val="6"/>
                <w:sz w:val="21"/>
                <w:szCs w:val="21"/>
              </w:rPr>
              <w:t>景阳领先股票型证券 </w:t>
            </w:r>
            <w:r>
              <w:rPr>
                <w:rFonts w:ascii="宋体" w:hAnsi="宋体" w:cs="宋体" w:eastAsia="宋体" w:hint="default"/>
                <w:sz w:val="21"/>
                <w:szCs w:val="21"/>
              </w:rPr>
              <w:t>投资基金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1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86" w:lineRule="exact" w:before="118"/>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57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13" w:right="0"/>
              <w:jc w:val="left"/>
              <w:rPr>
                <w:rFonts w:ascii="宋体" w:hAnsi="宋体" w:cs="宋体" w:eastAsia="宋体" w:hint="default"/>
                <w:sz w:val="21"/>
                <w:szCs w:val="21"/>
              </w:rPr>
            </w:pPr>
            <w:r>
              <w:rPr>
                <w:rFonts w:ascii="宋体" w:hAnsi="宋体" w:cs="宋体" w:eastAsia="宋体" w:hint="default"/>
                <w:sz w:val="21"/>
                <w:szCs w:val="21"/>
              </w:rPr>
              <w:t>景福证券投资基金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2,000,000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3,000,000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1,000,000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64" w:lineRule="exact"/>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85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80" w:lineRule="exact"/>
              <w:ind w:left="13" w:right="150"/>
              <w:jc w:val="both"/>
              <w:rPr>
                <w:rFonts w:ascii="宋体" w:hAnsi="宋体" w:cs="宋体" w:eastAsia="宋体" w:hint="default"/>
                <w:sz w:val="21"/>
                <w:szCs w:val="21"/>
              </w:rPr>
            </w:pPr>
            <w:r>
              <w:rPr>
                <w:rFonts w:ascii="宋体" w:hAnsi="宋体" w:cs="宋体" w:eastAsia="宋体" w:hint="default"/>
                <w:spacing w:val="6"/>
                <w:sz w:val="21"/>
                <w:szCs w:val="21"/>
              </w:rPr>
              <w:t>中国农业银行—大成 积极成长股票型证券 </w:t>
            </w:r>
            <w:r>
              <w:rPr>
                <w:rFonts w:ascii="宋体" w:hAnsi="宋体" w:cs="宋体" w:eastAsia="宋体" w:hint="default"/>
                <w:sz w:val="21"/>
                <w:szCs w:val="21"/>
              </w:rPr>
              <w:t>投资基金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2,250,000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750,000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before="11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85" w:lineRule="exact" w:before="118"/>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57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80" w:lineRule="exact"/>
              <w:ind w:left="13" w:right="150"/>
              <w:jc w:val="left"/>
              <w:rPr>
                <w:rFonts w:ascii="宋体" w:hAnsi="宋体" w:cs="宋体" w:eastAsia="宋体" w:hint="default"/>
                <w:sz w:val="21"/>
                <w:szCs w:val="21"/>
              </w:rPr>
            </w:pPr>
            <w:r>
              <w:rPr>
                <w:rFonts w:ascii="宋体" w:hAnsi="宋体" w:cs="宋体" w:eastAsia="宋体" w:hint="default"/>
                <w:spacing w:val="6"/>
                <w:sz w:val="21"/>
                <w:szCs w:val="21"/>
              </w:rPr>
              <w:t>大成价值增长证券投 </w:t>
            </w:r>
            <w:r>
              <w:rPr>
                <w:rFonts w:ascii="宋体" w:hAnsi="宋体" w:cs="宋体" w:eastAsia="宋体" w:hint="default"/>
                <w:sz w:val="21"/>
                <w:szCs w:val="21"/>
              </w:rPr>
              <w:t>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3,000,000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4,500,000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1,500,000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64" w:lineRule="exact"/>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69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44" w:lineRule="auto" w:before="39"/>
              <w:ind w:left="13" w:right="150"/>
              <w:jc w:val="left"/>
              <w:rPr>
                <w:rFonts w:ascii="宋体" w:hAnsi="宋体" w:cs="宋体" w:eastAsia="宋体" w:hint="default"/>
                <w:sz w:val="21"/>
                <w:szCs w:val="21"/>
              </w:rPr>
            </w:pPr>
            <w:r>
              <w:rPr>
                <w:rFonts w:ascii="宋体" w:hAnsi="宋体" w:cs="宋体" w:eastAsia="宋体" w:hint="default"/>
                <w:spacing w:val="6"/>
                <w:sz w:val="21"/>
                <w:szCs w:val="21"/>
              </w:rPr>
              <w:t>中国银行—大成蓝筹 </w:t>
            </w:r>
            <w:r>
              <w:rPr>
                <w:rFonts w:ascii="宋体" w:hAnsi="宋体" w:cs="宋体" w:eastAsia="宋体" w:hint="default"/>
                <w:sz w:val="21"/>
                <w:szCs w:val="21"/>
              </w:rPr>
              <w:t>稳健证券投资基金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8,000,000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4,000,000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before="3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85" w:lineRule="exact" w:before="39"/>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85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80" w:lineRule="exact"/>
              <w:ind w:left="13" w:right="149"/>
              <w:jc w:val="left"/>
              <w:rPr>
                <w:rFonts w:ascii="宋体" w:hAnsi="宋体" w:cs="宋体" w:eastAsia="宋体" w:hint="default"/>
                <w:sz w:val="21"/>
                <w:szCs w:val="21"/>
              </w:rPr>
            </w:pPr>
            <w:r>
              <w:rPr>
                <w:rFonts w:ascii="宋体" w:hAnsi="宋体" w:cs="宋体" w:eastAsia="宋体" w:hint="default"/>
                <w:spacing w:val="6"/>
                <w:sz w:val="21"/>
                <w:szCs w:val="21"/>
              </w:rPr>
              <w:t>中国银行—大成财富 </w:t>
            </w:r>
            <w:r>
              <w:rPr>
                <w:rFonts w:ascii="宋体" w:hAnsi="宋体" w:cs="宋体" w:eastAsia="宋体" w:hint="default"/>
                <w:spacing w:val="4"/>
                <w:sz w:val="21"/>
                <w:szCs w:val="21"/>
              </w:rPr>
              <w:t>管理 </w:t>
            </w:r>
            <w:r>
              <w:rPr>
                <w:rFonts w:ascii="宋体" w:hAnsi="宋体" w:cs="宋体" w:eastAsia="宋体" w:hint="default"/>
                <w:sz w:val="21"/>
                <w:szCs w:val="21"/>
              </w:rPr>
              <w:t>2020</w:t>
            </w:r>
            <w:r>
              <w:rPr>
                <w:rFonts w:ascii="宋体" w:hAnsi="宋体" w:cs="宋体" w:eastAsia="宋体" w:hint="default"/>
                <w:spacing w:val="10"/>
                <w:sz w:val="21"/>
                <w:szCs w:val="21"/>
              </w:rPr>
              <w:t> </w:t>
            </w:r>
            <w:r>
              <w:rPr>
                <w:rFonts w:ascii="宋体" w:hAnsi="宋体" w:cs="宋体" w:eastAsia="宋体" w:hint="default"/>
                <w:spacing w:val="8"/>
                <w:sz w:val="21"/>
                <w:szCs w:val="21"/>
              </w:rPr>
              <w:t>生命周期</w:t>
            </w:r>
            <w:r>
              <w:rPr>
                <w:rFonts w:ascii="宋体" w:hAnsi="宋体" w:cs="宋体" w:eastAsia="宋体" w:hint="default"/>
                <w:sz w:val="21"/>
                <w:szCs w:val="21"/>
              </w:rPr>
            </w:r>
          </w:p>
          <w:p>
            <w:pPr>
              <w:pStyle w:val="TableParagraph"/>
              <w:spacing w:line="254" w:lineRule="exact"/>
              <w:ind w:left="13"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before="11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85" w:lineRule="exact" w:before="118"/>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69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44" w:lineRule="auto" w:before="39"/>
              <w:ind w:left="13" w:right="150"/>
              <w:jc w:val="left"/>
              <w:rPr>
                <w:rFonts w:ascii="宋体" w:hAnsi="宋体" w:cs="宋体" w:eastAsia="宋体" w:hint="default"/>
                <w:sz w:val="21"/>
                <w:szCs w:val="21"/>
              </w:rPr>
            </w:pPr>
            <w:r>
              <w:rPr>
                <w:rFonts w:ascii="宋体" w:hAnsi="宋体" w:cs="宋体" w:eastAsia="宋体" w:hint="default"/>
                <w:spacing w:val="6"/>
                <w:sz w:val="21"/>
                <w:szCs w:val="21"/>
              </w:rPr>
              <w:t>中国银行—大成优选 </w:t>
            </w:r>
            <w:r>
              <w:rPr>
                <w:rFonts w:ascii="宋体" w:hAnsi="宋体" w:cs="宋体" w:eastAsia="宋体" w:hint="default"/>
                <w:sz w:val="21"/>
                <w:szCs w:val="21"/>
              </w:rPr>
              <w:t>股票型证券投资基金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2,500,000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3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86" w:lineRule="exact" w:before="39"/>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851"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54" w:lineRule="exact"/>
              <w:ind w:left="13" w:right="0"/>
              <w:jc w:val="left"/>
              <w:rPr>
                <w:rFonts w:ascii="宋体" w:hAnsi="宋体" w:cs="宋体" w:eastAsia="宋体" w:hint="default"/>
                <w:sz w:val="21"/>
                <w:szCs w:val="21"/>
              </w:rPr>
            </w:pPr>
            <w:r>
              <w:rPr>
                <w:rFonts w:ascii="宋体" w:hAnsi="宋体" w:cs="宋体" w:eastAsia="宋体" w:hint="default"/>
                <w:spacing w:val="6"/>
                <w:sz w:val="21"/>
                <w:szCs w:val="21"/>
              </w:rPr>
              <w:t>中国光大银行—大成</w:t>
            </w:r>
            <w:r>
              <w:rPr>
                <w:rFonts w:ascii="宋体" w:hAnsi="宋体" w:cs="宋体" w:eastAsia="宋体" w:hint="default"/>
                <w:sz w:val="21"/>
                <w:szCs w:val="21"/>
              </w:rPr>
            </w:r>
          </w:p>
          <w:p>
            <w:pPr>
              <w:pStyle w:val="TableParagraph"/>
              <w:spacing w:line="244" w:lineRule="auto" w:before="6"/>
              <w:ind w:left="13" w:right="150"/>
              <w:jc w:val="left"/>
              <w:rPr>
                <w:rFonts w:ascii="宋体" w:hAnsi="宋体" w:cs="宋体" w:eastAsia="宋体" w:hint="default"/>
                <w:sz w:val="21"/>
                <w:szCs w:val="21"/>
              </w:rPr>
            </w:pPr>
            <w:r>
              <w:rPr>
                <w:rFonts w:ascii="宋体" w:hAnsi="宋体" w:cs="宋体" w:eastAsia="宋体" w:hint="default"/>
                <w:spacing w:val="6"/>
                <w:sz w:val="21"/>
                <w:szCs w:val="21"/>
              </w:rPr>
              <w:t>策略回报股票型证券 </w:t>
            </w:r>
            <w:r>
              <w:rPr>
                <w:rFonts w:ascii="宋体" w:hAnsi="宋体" w:cs="宋体" w:eastAsia="宋体" w:hint="default"/>
                <w:sz w:val="21"/>
                <w:szCs w:val="21"/>
              </w:rPr>
              <w:t>投资基金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750,000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250,000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1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86" w:lineRule="exact" w:before="118"/>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294" w:hRule="exact"/>
        </w:trPr>
        <w:tc>
          <w:tcPr>
            <w:tcW w:w="2131" w:type="dxa"/>
            <w:tcBorders>
              <w:top w:val="single" w:sz="4" w:space="0" w:color="000000"/>
              <w:left w:val="single" w:sz="12" w:space="0" w:color="000000"/>
              <w:bottom w:val="nil" w:sz="6" w:space="0" w:color="auto"/>
              <w:right w:val="single" w:sz="4" w:space="0" w:color="000000"/>
            </w:tcBorders>
          </w:tcPr>
          <w:p>
            <w:pPr>
              <w:pStyle w:val="TableParagraph"/>
              <w:spacing w:line="254" w:lineRule="exact"/>
              <w:ind w:left="13" w:right="0"/>
              <w:jc w:val="left"/>
              <w:rPr>
                <w:rFonts w:ascii="宋体" w:hAnsi="宋体" w:cs="宋体" w:eastAsia="宋体" w:hint="default"/>
                <w:sz w:val="21"/>
                <w:szCs w:val="21"/>
              </w:rPr>
            </w:pPr>
            <w:r>
              <w:rPr>
                <w:rFonts w:ascii="宋体" w:hAnsi="宋体" w:cs="宋体" w:eastAsia="宋体" w:hint="default"/>
                <w:spacing w:val="6"/>
                <w:sz w:val="21"/>
                <w:szCs w:val="21"/>
              </w:rPr>
              <w:t>中国农业银行—富国</w:t>
            </w:r>
            <w:r>
              <w:rPr>
                <w:rFonts w:ascii="宋体" w:hAnsi="宋体" w:cs="宋体" w:eastAsia="宋体" w:hint="default"/>
                <w:sz w:val="21"/>
                <w:szCs w:val="21"/>
              </w:rPr>
            </w:r>
          </w:p>
        </w:tc>
        <w:tc>
          <w:tcPr>
            <w:tcW w:w="1306" w:type="dxa"/>
            <w:tcBorders>
              <w:top w:val="single" w:sz="4" w:space="0" w:color="000000"/>
              <w:left w:val="single" w:sz="4" w:space="0" w:color="000000"/>
              <w:bottom w:val="nil" w:sz="6" w:space="0" w:color="auto"/>
              <w:right w:val="single" w:sz="4" w:space="0" w:color="000000"/>
            </w:tcBorders>
          </w:tcPr>
          <w:p>
            <w:pPr/>
          </w:p>
        </w:tc>
        <w:tc>
          <w:tcPr>
            <w:tcW w:w="1142" w:type="dxa"/>
            <w:tcBorders>
              <w:top w:val="single" w:sz="4" w:space="0" w:color="000000"/>
              <w:left w:val="single" w:sz="4" w:space="0" w:color="000000"/>
              <w:bottom w:val="nil" w:sz="6" w:space="0" w:color="auto"/>
              <w:right w:val="single" w:sz="4" w:space="0" w:color="000000"/>
            </w:tcBorders>
          </w:tcPr>
          <w:p>
            <w:pPr/>
          </w:p>
        </w:tc>
        <w:tc>
          <w:tcPr>
            <w:tcW w:w="1142" w:type="dxa"/>
            <w:tcBorders>
              <w:top w:val="single" w:sz="4" w:space="0" w:color="000000"/>
              <w:left w:val="single" w:sz="4" w:space="0" w:color="000000"/>
              <w:bottom w:val="nil" w:sz="6" w:space="0" w:color="auto"/>
              <w:right w:val="single" w:sz="4" w:space="0" w:color="000000"/>
            </w:tcBorders>
          </w:tcPr>
          <w:p>
            <w:pPr/>
          </w:p>
        </w:tc>
        <w:tc>
          <w:tcPr>
            <w:tcW w:w="1306" w:type="dxa"/>
            <w:tcBorders>
              <w:top w:val="single" w:sz="4" w:space="0" w:color="000000"/>
              <w:left w:val="single" w:sz="4" w:space="0" w:color="000000"/>
              <w:bottom w:val="nil" w:sz="6" w:space="0" w:color="auto"/>
              <w:right w:val="single" w:sz="4" w:space="0" w:color="000000"/>
            </w:tcBorders>
          </w:tcPr>
          <w:p>
            <w:pPr/>
          </w:p>
        </w:tc>
        <w:tc>
          <w:tcPr>
            <w:tcW w:w="1370" w:type="dxa"/>
            <w:tcBorders>
              <w:top w:val="single" w:sz="4" w:space="0" w:color="000000"/>
              <w:left w:val="single" w:sz="4" w:space="0" w:color="000000"/>
              <w:bottom w:val="nil" w:sz="6" w:space="0" w:color="auto"/>
              <w:right w:val="single" w:sz="4" w:space="0" w:color="000000"/>
            </w:tcBorders>
          </w:tcPr>
          <w:p>
            <w:pPr/>
          </w:p>
        </w:tc>
        <w:tc>
          <w:tcPr>
            <w:tcW w:w="1434" w:type="dxa"/>
            <w:tcBorders>
              <w:top w:val="single" w:sz="4" w:space="0" w:color="000000"/>
              <w:left w:val="single" w:sz="4" w:space="0" w:color="000000"/>
              <w:bottom w:val="nil" w:sz="6" w:space="0" w:color="auto"/>
              <w:right w:val="single" w:sz="12" w:space="0" w:color="000000"/>
            </w:tcBorders>
          </w:tcPr>
          <w:p>
            <w:pPr/>
          </w:p>
        </w:tc>
      </w:tr>
      <w:tr>
        <w:trPr>
          <w:trHeight w:val="560" w:hRule="exact"/>
        </w:trPr>
        <w:tc>
          <w:tcPr>
            <w:tcW w:w="2131" w:type="dxa"/>
            <w:tcBorders>
              <w:top w:val="nil" w:sz="6" w:space="0" w:color="auto"/>
              <w:left w:val="single" w:sz="12" w:space="0" w:color="000000"/>
              <w:bottom w:val="nil" w:sz="6" w:space="0" w:color="auto"/>
              <w:right w:val="single" w:sz="4" w:space="0" w:color="000000"/>
            </w:tcBorders>
          </w:tcPr>
          <w:p>
            <w:pPr>
              <w:pStyle w:val="TableParagraph"/>
              <w:spacing w:line="245" w:lineRule="exact"/>
              <w:ind w:left="13" w:right="0"/>
              <w:jc w:val="left"/>
              <w:rPr>
                <w:rFonts w:ascii="宋体" w:hAnsi="宋体" w:cs="宋体" w:eastAsia="宋体" w:hint="default"/>
                <w:sz w:val="21"/>
                <w:szCs w:val="21"/>
              </w:rPr>
            </w:pPr>
            <w:r>
              <w:rPr>
                <w:rFonts w:ascii="宋体" w:hAnsi="宋体" w:cs="宋体" w:eastAsia="宋体" w:hint="default"/>
                <w:spacing w:val="6"/>
                <w:sz w:val="21"/>
                <w:szCs w:val="21"/>
              </w:rPr>
              <w:t>天瑞强势地区精选混</w:t>
            </w:r>
            <w:r>
              <w:rPr>
                <w:rFonts w:ascii="宋体" w:hAnsi="宋体" w:cs="宋体" w:eastAsia="宋体" w:hint="default"/>
                <w:sz w:val="21"/>
                <w:szCs w:val="21"/>
              </w:rPr>
            </w:r>
          </w:p>
          <w:p>
            <w:pPr>
              <w:pStyle w:val="TableParagraph"/>
              <w:spacing w:line="240" w:lineRule="auto" w:before="4"/>
              <w:ind w:left="13" w:right="0"/>
              <w:jc w:val="left"/>
              <w:rPr>
                <w:rFonts w:ascii="宋体" w:hAnsi="宋体" w:cs="宋体" w:eastAsia="宋体" w:hint="default"/>
                <w:sz w:val="21"/>
                <w:szCs w:val="21"/>
              </w:rPr>
            </w:pPr>
            <w:r>
              <w:rPr>
                <w:rFonts w:ascii="宋体" w:hAnsi="宋体" w:cs="宋体" w:eastAsia="宋体" w:hint="default"/>
                <w:spacing w:val="6"/>
                <w:sz w:val="21"/>
                <w:szCs w:val="21"/>
              </w:rPr>
              <w:t>合型开放式证券投资</w:t>
            </w:r>
            <w:r>
              <w:rPr>
                <w:rFonts w:ascii="宋体" w:hAnsi="宋体" w:cs="宋体" w:eastAsia="宋体" w:hint="default"/>
                <w:sz w:val="21"/>
                <w:szCs w:val="21"/>
              </w:rPr>
            </w:r>
          </w:p>
        </w:tc>
        <w:tc>
          <w:tcPr>
            <w:tcW w:w="1306"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21"/>
                <w:szCs w:val="21"/>
              </w:rPr>
            </w:pPr>
            <w:r>
              <w:rPr>
                <w:rFonts w:ascii="Times New Roman"/>
                <w:spacing w:val="-1"/>
                <w:sz w:val="21"/>
              </w:rPr>
              <w:t>6,200,000</w:t>
            </w:r>
          </w:p>
        </w:tc>
        <w:tc>
          <w:tcPr>
            <w:tcW w:w="1142"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21"/>
                <w:szCs w:val="21"/>
              </w:rPr>
            </w:pPr>
            <w:r>
              <w:rPr>
                <w:rFonts w:ascii="Times New Roman"/>
                <w:spacing w:val="-1"/>
                <w:sz w:val="21"/>
              </w:rPr>
              <w:t>9,300,000</w:t>
            </w:r>
          </w:p>
        </w:tc>
        <w:tc>
          <w:tcPr>
            <w:tcW w:w="1142"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22"/>
              <w:jc w:val="right"/>
              <w:rPr>
                <w:rFonts w:ascii="Times New Roman" w:hAnsi="Times New Roman" w:cs="Times New Roman" w:eastAsia="Times New Roman" w:hint="default"/>
                <w:sz w:val="21"/>
                <w:szCs w:val="21"/>
              </w:rPr>
            </w:pPr>
            <w:r>
              <w:rPr>
                <w:rFonts w:ascii="Times New Roman"/>
                <w:spacing w:val="-1"/>
                <w:sz w:val="21"/>
              </w:rPr>
              <w:t>3,100,000</w:t>
            </w:r>
          </w:p>
        </w:tc>
        <w:tc>
          <w:tcPr>
            <w:tcW w:w="1306"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nil" w:sz="6" w:space="0" w:color="auto"/>
              <w:left w:val="single" w:sz="4" w:space="0" w:color="000000"/>
              <w:bottom w:val="nil" w:sz="6" w:space="0" w:color="auto"/>
              <w:right w:val="single" w:sz="12" w:space="0" w:color="000000"/>
            </w:tcBorders>
          </w:tcPr>
          <w:p>
            <w:pPr>
              <w:pStyle w:val="TableParagraph"/>
              <w:spacing w:line="255" w:lineRule="exact"/>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276" w:hRule="exact"/>
        </w:trPr>
        <w:tc>
          <w:tcPr>
            <w:tcW w:w="2131" w:type="dxa"/>
            <w:tcBorders>
              <w:top w:val="nil" w:sz="6" w:space="0" w:color="auto"/>
              <w:left w:val="single" w:sz="12" w:space="0" w:color="000000"/>
              <w:bottom w:val="single" w:sz="4" w:space="0" w:color="000000"/>
              <w:right w:val="single" w:sz="4" w:space="0" w:color="000000"/>
            </w:tcBorders>
          </w:tcPr>
          <w:p>
            <w:pPr>
              <w:pStyle w:val="TableParagraph"/>
              <w:spacing w:line="245" w:lineRule="exact"/>
              <w:ind w:left="1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306" w:type="dxa"/>
            <w:tcBorders>
              <w:top w:val="nil" w:sz="6" w:space="0" w:color="auto"/>
              <w:left w:val="single" w:sz="4" w:space="0" w:color="000000"/>
              <w:bottom w:val="single" w:sz="4" w:space="0" w:color="000000"/>
              <w:right w:val="single" w:sz="4" w:space="0" w:color="000000"/>
            </w:tcBorders>
          </w:tcPr>
          <w:p>
            <w:pPr/>
          </w:p>
        </w:tc>
        <w:tc>
          <w:tcPr>
            <w:tcW w:w="1142" w:type="dxa"/>
            <w:tcBorders>
              <w:top w:val="nil" w:sz="6" w:space="0" w:color="auto"/>
              <w:left w:val="single" w:sz="4" w:space="0" w:color="000000"/>
              <w:bottom w:val="single" w:sz="4" w:space="0" w:color="000000"/>
              <w:right w:val="single" w:sz="4" w:space="0" w:color="000000"/>
            </w:tcBorders>
          </w:tcPr>
          <w:p>
            <w:pPr/>
          </w:p>
        </w:tc>
        <w:tc>
          <w:tcPr>
            <w:tcW w:w="1142" w:type="dxa"/>
            <w:tcBorders>
              <w:top w:val="nil" w:sz="6" w:space="0" w:color="auto"/>
              <w:left w:val="single" w:sz="4" w:space="0" w:color="000000"/>
              <w:bottom w:val="single" w:sz="4" w:space="0" w:color="000000"/>
              <w:right w:val="single" w:sz="4" w:space="0" w:color="000000"/>
            </w:tcBorders>
          </w:tcPr>
          <w:p>
            <w:pPr/>
          </w:p>
        </w:tc>
        <w:tc>
          <w:tcPr>
            <w:tcW w:w="1306" w:type="dxa"/>
            <w:tcBorders>
              <w:top w:val="nil" w:sz="6" w:space="0" w:color="auto"/>
              <w:left w:val="single" w:sz="4" w:space="0" w:color="000000"/>
              <w:bottom w:val="single" w:sz="4" w:space="0" w:color="000000"/>
              <w:right w:val="single" w:sz="4" w:space="0" w:color="000000"/>
            </w:tcBorders>
          </w:tcPr>
          <w:p>
            <w:pPr/>
          </w:p>
        </w:tc>
        <w:tc>
          <w:tcPr>
            <w:tcW w:w="1370" w:type="dxa"/>
            <w:tcBorders>
              <w:top w:val="nil" w:sz="6" w:space="0" w:color="auto"/>
              <w:left w:val="single" w:sz="4" w:space="0" w:color="000000"/>
              <w:bottom w:val="single" w:sz="4" w:space="0" w:color="000000"/>
              <w:right w:val="single" w:sz="4" w:space="0" w:color="000000"/>
            </w:tcBorders>
          </w:tcPr>
          <w:p>
            <w:pPr/>
          </w:p>
        </w:tc>
        <w:tc>
          <w:tcPr>
            <w:tcW w:w="1434" w:type="dxa"/>
            <w:tcBorders>
              <w:top w:val="nil" w:sz="6" w:space="0" w:color="auto"/>
              <w:left w:val="single" w:sz="4" w:space="0" w:color="000000"/>
              <w:bottom w:val="single" w:sz="4" w:space="0" w:color="000000"/>
              <w:right w:val="single" w:sz="12" w:space="0" w:color="000000"/>
            </w:tcBorders>
          </w:tcPr>
          <w:p>
            <w:pPr/>
          </w:p>
        </w:tc>
      </w:tr>
      <w:tr>
        <w:trPr>
          <w:trHeight w:val="851"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54" w:lineRule="exact"/>
              <w:ind w:left="13" w:right="0"/>
              <w:jc w:val="left"/>
              <w:rPr>
                <w:rFonts w:ascii="宋体" w:hAnsi="宋体" w:cs="宋体" w:eastAsia="宋体" w:hint="default"/>
                <w:sz w:val="21"/>
                <w:szCs w:val="21"/>
              </w:rPr>
            </w:pPr>
            <w:r>
              <w:rPr>
                <w:rFonts w:ascii="宋体" w:hAnsi="宋体" w:cs="宋体" w:eastAsia="宋体" w:hint="default"/>
                <w:spacing w:val="6"/>
                <w:sz w:val="21"/>
                <w:szCs w:val="21"/>
              </w:rPr>
              <w:t>中国建设银行—富国</w:t>
            </w:r>
            <w:r>
              <w:rPr>
                <w:rFonts w:ascii="宋体" w:hAnsi="宋体" w:cs="宋体" w:eastAsia="宋体" w:hint="default"/>
                <w:sz w:val="21"/>
                <w:szCs w:val="21"/>
              </w:rPr>
            </w:r>
          </w:p>
          <w:p>
            <w:pPr>
              <w:pStyle w:val="TableParagraph"/>
              <w:spacing w:line="244" w:lineRule="auto" w:before="6"/>
              <w:ind w:left="13" w:right="150"/>
              <w:jc w:val="left"/>
              <w:rPr>
                <w:rFonts w:ascii="宋体" w:hAnsi="宋体" w:cs="宋体" w:eastAsia="宋体" w:hint="default"/>
                <w:sz w:val="21"/>
                <w:szCs w:val="21"/>
              </w:rPr>
            </w:pPr>
            <w:r>
              <w:rPr>
                <w:rFonts w:ascii="宋体" w:hAnsi="宋体" w:cs="宋体" w:eastAsia="宋体" w:hint="default"/>
                <w:spacing w:val="6"/>
                <w:sz w:val="21"/>
                <w:szCs w:val="21"/>
              </w:rPr>
              <w:t>天博创新主题股票型 </w:t>
            </w:r>
            <w:r>
              <w:rPr>
                <w:rFonts w:ascii="宋体" w:hAnsi="宋体" w:cs="宋体" w:eastAsia="宋体" w:hint="default"/>
                <w:sz w:val="21"/>
                <w:szCs w:val="21"/>
              </w:rPr>
              <w:t>证券投资基金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3,000,000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1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86" w:lineRule="exact" w:before="118"/>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85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80" w:lineRule="exact"/>
              <w:ind w:left="13" w:right="144"/>
              <w:jc w:val="both"/>
              <w:rPr>
                <w:rFonts w:ascii="宋体" w:hAnsi="宋体" w:cs="宋体" w:eastAsia="宋体" w:hint="default"/>
                <w:sz w:val="21"/>
                <w:szCs w:val="21"/>
              </w:rPr>
            </w:pPr>
            <w:r>
              <w:rPr>
                <w:rFonts w:ascii="宋体" w:hAnsi="宋体" w:cs="宋体" w:eastAsia="宋体" w:hint="default"/>
                <w:spacing w:val="6"/>
                <w:sz w:val="21"/>
                <w:szCs w:val="21"/>
              </w:rPr>
              <w:t>中国农业银行—富国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6"/>
                <w:sz w:val="21"/>
                <w:szCs w:val="21"/>
              </w:rPr>
              <w:t>天成红利灵活配置混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5"/>
                <w:sz w:val="21"/>
                <w:szCs w:val="21"/>
              </w:rPr>
              <w:t>合型证券投资基金</w:t>
            </w:r>
            <w:r>
              <w:rPr>
                <w:rFonts w:ascii="宋体" w:hAnsi="宋体" w:cs="宋体" w:eastAsia="宋体" w:hint="default"/>
                <w:sz w:val="21"/>
                <w:szCs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before="11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85" w:lineRule="exact" w:before="118"/>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581" w:hRule="exact"/>
        </w:trPr>
        <w:tc>
          <w:tcPr>
            <w:tcW w:w="213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9"/>
              <w:ind w:left="13" w:right="0"/>
              <w:jc w:val="left"/>
              <w:rPr>
                <w:rFonts w:ascii="宋体" w:hAnsi="宋体" w:cs="宋体" w:eastAsia="宋体" w:hint="default"/>
                <w:sz w:val="21"/>
                <w:szCs w:val="21"/>
              </w:rPr>
            </w:pPr>
            <w:r>
              <w:rPr>
                <w:rFonts w:ascii="宋体" w:hAnsi="宋体" w:cs="宋体" w:eastAsia="宋体" w:hint="default"/>
                <w:sz w:val="21"/>
                <w:szCs w:val="21"/>
              </w:rPr>
              <w:t>汉盛证券投资基金</w:t>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2,500,000</w:t>
            </w:r>
          </w:p>
        </w:tc>
        <w:tc>
          <w:tcPr>
            <w:tcW w:w="11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3,750,000</w:t>
            </w:r>
          </w:p>
        </w:tc>
        <w:tc>
          <w:tcPr>
            <w:tcW w:w="11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1,250,000</w:t>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12"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12" w:space="0" w:color="000000"/>
              <w:right w:val="single" w:sz="12" w:space="0" w:color="000000"/>
            </w:tcBorders>
          </w:tcPr>
          <w:p>
            <w:pPr>
              <w:pStyle w:val="TableParagraph"/>
              <w:spacing w:line="264" w:lineRule="exact"/>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bl>
    <w:p>
      <w:pPr>
        <w:spacing w:after="0" w:line="269" w:lineRule="exact"/>
        <w:jc w:val="center"/>
        <w:rPr>
          <w:rFonts w:ascii="宋体" w:hAnsi="宋体" w:cs="宋体" w:eastAsia="宋体" w:hint="default"/>
          <w:sz w:val="21"/>
          <w:szCs w:val="21"/>
        </w:rPr>
        <w:sectPr>
          <w:pgSz w:w="11910" w:h="16840"/>
          <w:pgMar w:header="748" w:footer="714" w:top="980" w:bottom="900" w:left="920" w:right="9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2131"/>
        <w:gridCol w:w="1306"/>
        <w:gridCol w:w="1142"/>
        <w:gridCol w:w="1142"/>
        <w:gridCol w:w="1306"/>
        <w:gridCol w:w="1370"/>
        <w:gridCol w:w="1434"/>
      </w:tblGrid>
      <w:tr>
        <w:trPr>
          <w:trHeight w:val="1140" w:hRule="exact"/>
        </w:trPr>
        <w:tc>
          <w:tcPr>
            <w:tcW w:w="2131" w:type="dxa"/>
            <w:tcBorders>
              <w:top w:val="single" w:sz="12" w:space="0" w:color="000000"/>
              <w:left w:val="single" w:sz="12" w:space="0" w:color="000000"/>
              <w:bottom w:val="single" w:sz="4" w:space="0" w:color="000000"/>
              <w:right w:val="single" w:sz="4" w:space="0" w:color="000000"/>
            </w:tcBorders>
          </w:tcPr>
          <w:p>
            <w:pPr>
              <w:pStyle w:val="TableParagraph"/>
              <w:spacing w:line="280" w:lineRule="exact" w:before="1"/>
              <w:ind w:left="13" w:right="150"/>
              <w:jc w:val="left"/>
              <w:rPr>
                <w:rFonts w:ascii="宋体" w:hAnsi="宋体" w:cs="宋体" w:eastAsia="宋体" w:hint="default"/>
                <w:sz w:val="21"/>
                <w:szCs w:val="21"/>
              </w:rPr>
            </w:pPr>
            <w:r>
              <w:rPr>
                <w:rFonts w:ascii="宋体" w:hAnsi="宋体" w:cs="宋体" w:eastAsia="宋体" w:hint="default"/>
                <w:spacing w:val="6"/>
                <w:sz w:val="21"/>
                <w:szCs w:val="21"/>
              </w:rPr>
              <w:t>招商银行股份有限公 司—富国天合稳健优</w:t>
            </w:r>
            <w:r>
              <w:rPr>
                <w:rFonts w:ascii="宋体" w:hAnsi="宋体" w:cs="宋体" w:eastAsia="宋体" w:hint="default"/>
                <w:sz w:val="21"/>
                <w:szCs w:val="21"/>
              </w:rPr>
            </w:r>
          </w:p>
          <w:p>
            <w:pPr>
              <w:pStyle w:val="TableParagraph"/>
              <w:spacing w:line="280" w:lineRule="exact"/>
              <w:ind w:left="13" w:right="150"/>
              <w:jc w:val="left"/>
              <w:rPr>
                <w:rFonts w:ascii="宋体" w:hAnsi="宋体" w:cs="宋体" w:eastAsia="宋体" w:hint="default"/>
                <w:sz w:val="21"/>
                <w:szCs w:val="21"/>
              </w:rPr>
            </w:pPr>
            <w:r>
              <w:rPr>
                <w:rFonts w:ascii="宋体" w:hAnsi="宋体" w:cs="宋体" w:eastAsia="宋体" w:hint="default"/>
                <w:spacing w:val="6"/>
                <w:sz w:val="21"/>
                <w:szCs w:val="21"/>
              </w:rPr>
              <w:t>选股票型证券投资基 </w:t>
            </w:r>
            <w:r>
              <w:rPr>
                <w:rFonts w:ascii="宋体" w:hAnsi="宋体" w:cs="宋体" w:eastAsia="宋体" w:hint="default"/>
                <w:sz w:val="21"/>
                <w:szCs w:val="21"/>
              </w:rPr>
              <w:t>金</w:t>
            </w:r>
          </w:p>
        </w:tc>
        <w:tc>
          <w:tcPr>
            <w:tcW w:w="13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3,000,000</w:t>
            </w:r>
          </w:p>
        </w:tc>
        <w:tc>
          <w:tcPr>
            <w:tcW w:w="11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4,500,000</w:t>
            </w:r>
          </w:p>
        </w:tc>
        <w:tc>
          <w:tcPr>
            <w:tcW w:w="11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1,500,000</w:t>
            </w:r>
          </w:p>
        </w:tc>
        <w:tc>
          <w:tcPr>
            <w:tcW w:w="13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85" w:lineRule="exact"/>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57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54" w:lineRule="exact"/>
              <w:ind w:left="13" w:right="0"/>
              <w:jc w:val="left"/>
              <w:rPr>
                <w:rFonts w:ascii="宋体" w:hAnsi="宋体" w:cs="宋体" w:eastAsia="宋体" w:hint="default"/>
                <w:sz w:val="21"/>
                <w:szCs w:val="21"/>
              </w:rPr>
            </w:pPr>
            <w:r>
              <w:rPr>
                <w:rFonts w:ascii="宋体" w:hAnsi="宋体" w:cs="宋体" w:eastAsia="宋体" w:hint="default"/>
                <w:spacing w:val="6"/>
                <w:sz w:val="21"/>
                <w:szCs w:val="21"/>
              </w:rPr>
              <w:t>交通银行—富国天益</w:t>
            </w:r>
            <w:r>
              <w:rPr>
                <w:rFonts w:ascii="宋体" w:hAnsi="宋体" w:cs="宋体" w:eastAsia="宋体" w:hint="default"/>
                <w:sz w:val="21"/>
                <w:szCs w:val="21"/>
              </w:rPr>
            </w:r>
          </w:p>
          <w:p>
            <w:pPr>
              <w:pStyle w:val="TableParagraph"/>
              <w:spacing w:line="240" w:lineRule="auto" w:before="6"/>
              <w:ind w:left="13" w:right="0"/>
              <w:jc w:val="left"/>
              <w:rPr>
                <w:rFonts w:ascii="宋体" w:hAnsi="宋体" w:cs="宋体" w:eastAsia="宋体" w:hint="default"/>
                <w:sz w:val="21"/>
                <w:szCs w:val="21"/>
              </w:rPr>
            </w:pPr>
            <w:r>
              <w:rPr>
                <w:rFonts w:ascii="宋体" w:hAnsi="宋体" w:cs="宋体" w:eastAsia="宋体" w:hint="default"/>
                <w:spacing w:val="-5"/>
                <w:sz w:val="21"/>
                <w:szCs w:val="21"/>
              </w:rPr>
              <w:t>价值证券投资基金</w:t>
            </w:r>
            <w:r>
              <w:rPr>
                <w:rFonts w:ascii="宋体" w:hAnsi="宋体" w:cs="宋体" w:eastAsia="宋体" w:hint="default"/>
                <w:sz w:val="21"/>
                <w:szCs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6,200,000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9,300,000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3,100,000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65" w:lineRule="exact"/>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851"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54" w:lineRule="exact"/>
              <w:ind w:left="13" w:right="0"/>
              <w:jc w:val="left"/>
              <w:rPr>
                <w:rFonts w:ascii="宋体" w:hAnsi="宋体" w:cs="宋体" w:eastAsia="宋体" w:hint="default"/>
                <w:sz w:val="21"/>
                <w:szCs w:val="21"/>
              </w:rPr>
            </w:pPr>
            <w:r>
              <w:rPr>
                <w:rFonts w:ascii="宋体" w:hAnsi="宋体" w:cs="宋体" w:eastAsia="宋体" w:hint="default"/>
                <w:spacing w:val="6"/>
                <w:sz w:val="21"/>
                <w:szCs w:val="21"/>
              </w:rPr>
              <w:t>中国工商银行—富国</w:t>
            </w:r>
            <w:r>
              <w:rPr>
                <w:rFonts w:ascii="宋体" w:hAnsi="宋体" w:cs="宋体" w:eastAsia="宋体" w:hint="default"/>
                <w:sz w:val="21"/>
                <w:szCs w:val="21"/>
              </w:rPr>
            </w:r>
          </w:p>
          <w:p>
            <w:pPr>
              <w:pStyle w:val="TableParagraph"/>
              <w:spacing w:line="244" w:lineRule="auto" w:before="6"/>
              <w:ind w:left="13" w:right="101"/>
              <w:jc w:val="left"/>
              <w:rPr>
                <w:rFonts w:ascii="宋体" w:hAnsi="宋体" w:cs="宋体" w:eastAsia="宋体" w:hint="default"/>
                <w:sz w:val="21"/>
                <w:szCs w:val="21"/>
              </w:rPr>
            </w:pPr>
            <w:r>
              <w:rPr>
                <w:rFonts w:ascii="宋体" w:hAnsi="宋体" w:cs="宋体" w:eastAsia="宋体" w:hint="default"/>
                <w:spacing w:val="6"/>
                <w:sz w:val="21"/>
                <w:szCs w:val="21"/>
              </w:rPr>
              <w:t>天惠精选成长混合型 </w:t>
            </w:r>
            <w:r>
              <w:rPr>
                <w:rFonts w:ascii="宋体" w:hAnsi="宋体" w:cs="宋体" w:eastAsia="宋体" w:hint="default"/>
                <w:sz w:val="21"/>
                <w:szCs w:val="21"/>
              </w:rPr>
              <w:t>证券投资基金（LOF）</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3,750,000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1,250,000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1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86" w:lineRule="exact" w:before="118"/>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57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80" w:lineRule="exact"/>
              <w:ind w:left="13" w:right="150"/>
              <w:jc w:val="left"/>
              <w:rPr>
                <w:rFonts w:ascii="宋体" w:hAnsi="宋体" w:cs="宋体" w:eastAsia="宋体" w:hint="default"/>
                <w:sz w:val="21"/>
                <w:szCs w:val="21"/>
              </w:rPr>
            </w:pPr>
            <w:r>
              <w:rPr>
                <w:rFonts w:ascii="宋体" w:hAnsi="宋体" w:cs="宋体" w:eastAsia="宋体" w:hint="default"/>
                <w:spacing w:val="6"/>
                <w:sz w:val="21"/>
                <w:szCs w:val="21"/>
              </w:rPr>
              <w:t>交通银行—汉兴证券 </w:t>
            </w:r>
            <w:r>
              <w:rPr>
                <w:rFonts w:ascii="宋体" w:hAnsi="宋体" w:cs="宋体" w:eastAsia="宋体" w:hint="default"/>
                <w:sz w:val="21"/>
                <w:szCs w:val="21"/>
              </w:rPr>
              <w:t>投资基金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3,200,000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4,800,000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1,600,000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64" w:lineRule="exact"/>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57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80" w:lineRule="exact"/>
              <w:ind w:left="13" w:right="150"/>
              <w:jc w:val="left"/>
              <w:rPr>
                <w:rFonts w:ascii="宋体" w:hAnsi="宋体" w:cs="宋体" w:eastAsia="宋体" w:hint="default"/>
                <w:sz w:val="21"/>
                <w:szCs w:val="21"/>
              </w:rPr>
            </w:pPr>
            <w:r>
              <w:rPr>
                <w:rFonts w:ascii="宋体" w:hAnsi="宋体" w:cs="宋体" w:eastAsia="宋体" w:hint="default"/>
                <w:spacing w:val="6"/>
                <w:sz w:val="21"/>
                <w:szCs w:val="21"/>
              </w:rPr>
              <w:t>中国工商银行—金泰 </w:t>
            </w:r>
            <w:r>
              <w:rPr>
                <w:rFonts w:ascii="宋体" w:hAnsi="宋体" w:cs="宋体" w:eastAsia="宋体" w:hint="default"/>
                <w:sz w:val="21"/>
                <w:szCs w:val="21"/>
              </w:rPr>
              <w:t>证券投资基金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1,000,000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1,500,000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500,000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64" w:lineRule="exact"/>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57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9"/>
              <w:ind w:left="13" w:right="0"/>
              <w:jc w:val="left"/>
              <w:rPr>
                <w:rFonts w:ascii="宋体" w:hAnsi="宋体" w:cs="宋体" w:eastAsia="宋体" w:hint="default"/>
                <w:sz w:val="21"/>
                <w:szCs w:val="21"/>
              </w:rPr>
            </w:pPr>
            <w:r>
              <w:rPr>
                <w:rFonts w:ascii="宋体" w:hAnsi="宋体" w:cs="宋体" w:eastAsia="宋体" w:hint="default"/>
                <w:sz w:val="21"/>
                <w:szCs w:val="21"/>
              </w:rPr>
              <w:t>金鑫证券投资基金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2,000,000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3,000,000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1,000,000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64" w:lineRule="exact"/>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85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80" w:lineRule="exact"/>
              <w:ind w:left="13" w:right="150"/>
              <w:jc w:val="both"/>
              <w:rPr>
                <w:rFonts w:ascii="宋体" w:hAnsi="宋体" w:cs="宋体" w:eastAsia="宋体" w:hint="default"/>
                <w:sz w:val="21"/>
                <w:szCs w:val="21"/>
              </w:rPr>
            </w:pPr>
            <w:r>
              <w:rPr>
                <w:rFonts w:ascii="宋体" w:hAnsi="宋体" w:cs="宋体" w:eastAsia="宋体" w:hint="default"/>
                <w:spacing w:val="6"/>
                <w:sz w:val="21"/>
                <w:szCs w:val="21"/>
              </w:rPr>
              <w:t>中国建设银行—国泰 金马稳健回报证券投 </w:t>
            </w:r>
            <w:r>
              <w:rPr>
                <w:rFonts w:ascii="宋体" w:hAnsi="宋体" w:cs="宋体" w:eastAsia="宋体" w:hint="default"/>
                <w:sz w:val="21"/>
                <w:szCs w:val="21"/>
              </w:rPr>
              <w:t>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3,500,000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before="11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85" w:lineRule="exact" w:before="118"/>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85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80" w:lineRule="exact"/>
              <w:ind w:left="13" w:right="150"/>
              <w:jc w:val="left"/>
              <w:rPr>
                <w:rFonts w:ascii="宋体" w:hAnsi="宋体" w:cs="宋体" w:eastAsia="宋体" w:hint="default"/>
                <w:sz w:val="21"/>
                <w:szCs w:val="21"/>
              </w:rPr>
            </w:pPr>
            <w:r>
              <w:rPr>
                <w:rFonts w:ascii="宋体" w:hAnsi="宋体" w:cs="宋体" w:eastAsia="宋体" w:hint="default"/>
                <w:spacing w:val="6"/>
                <w:sz w:val="21"/>
                <w:szCs w:val="21"/>
              </w:rPr>
              <w:t>中国银行—国泰金鹏 蓝筹价值混合证券投</w:t>
            </w:r>
            <w:r>
              <w:rPr>
                <w:rFonts w:ascii="宋体" w:hAnsi="宋体" w:cs="宋体" w:eastAsia="宋体" w:hint="default"/>
                <w:sz w:val="21"/>
                <w:szCs w:val="21"/>
              </w:rPr>
            </w:r>
          </w:p>
          <w:p>
            <w:pPr>
              <w:pStyle w:val="TableParagraph"/>
              <w:spacing w:line="254" w:lineRule="exact"/>
              <w:ind w:left="13"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2,250,000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750,000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before="11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85" w:lineRule="exact" w:before="118"/>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851"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54" w:lineRule="exact"/>
              <w:ind w:left="13" w:right="0"/>
              <w:jc w:val="left"/>
              <w:rPr>
                <w:rFonts w:ascii="宋体" w:hAnsi="宋体" w:cs="宋体" w:eastAsia="宋体" w:hint="default"/>
                <w:sz w:val="21"/>
                <w:szCs w:val="21"/>
              </w:rPr>
            </w:pPr>
            <w:r>
              <w:rPr>
                <w:rFonts w:ascii="宋体" w:hAnsi="宋体" w:cs="宋体" w:eastAsia="宋体" w:hint="default"/>
                <w:spacing w:val="6"/>
                <w:sz w:val="21"/>
                <w:szCs w:val="21"/>
              </w:rPr>
              <w:t>中国农业银行—国泰</w:t>
            </w:r>
            <w:r>
              <w:rPr>
                <w:rFonts w:ascii="宋体" w:hAnsi="宋体" w:cs="宋体" w:eastAsia="宋体" w:hint="default"/>
                <w:sz w:val="21"/>
                <w:szCs w:val="21"/>
              </w:rPr>
            </w:r>
          </w:p>
          <w:p>
            <w:pPr>
              <w:pStyle w:val="TableParagraph"/>
              <w:spacing w:line="244" w:lineRule="auto" w:before="6"/>
              <w:ind w:left="13" w:right="150"/>
              <w:jc w:val="left"/>
              <w:rPr>
                <w:rFonts w:ascii="宋体" w:hAnsi="宋体" w:cs="宋体" w:eastAsia="宋体" w:hint="default"/>
                <w:sz w:val="21"/>
                <w:szCs w:val="21"/>
              </w:rPr>
            </w:pPr>
            <w:r>
              <w:rPr>
                <w:rFonts w:ascii="宋体" w:hAnsi="宋体" w:cs="宋体" w:eastAsia="宋体" w:hint="default"/>
                <w:spacing w:val="6"/>
                <w:sz w:val="21"/>
                <w:szCs w:val="21"/>
              </w:rPr>
              <w:t>金牛创新成长股票型 </w:t>
            </w:r>
            <w:r>
              <w:rPr>
                <w:rFonts w:ascii="宋体" w:hAnsi="宋体" w:cs="宋体" w:eastAsia="宋体" w:hint="default"/>
                <w:sz w:val="21"/>
                <w:szCs w:val="21"/>
              </w:rPr>
              <w:t>证券投资基金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2,500,000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1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86" w:lineRule="exact" w:before="118"/>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584"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80" w:lineRule="exact" w:before="7"/>
              <w:ind w:left="13" w:right="150"/>
              <w:jc w:val="left"/>
              <w:rPr>
                <w:rFonts w:ascii="宋体" w:hAnsi="宋体" w:cs="宋体" w:eastAsia="宋体" w:hint="default"/>
                <w:sz w:val="21"/>
                <w:szCs w:val="21"/>
              </w:rPr>
            </w:pPr>
            <w:r>
              <w:rPr>
                <w:rFonts w:ascii="宋体" w:hAnsi="宋体" w:cs="宋体" w:eastAsia="宋体" w:hint="default"/>
                <w:spacing w:val="6"/>
                <w:sz w:val="21"/>
                <w:szCs w:val="21"/>
              </w:rPr>
              <w:t>全国社保基金一一一 </w:t>
            </w:r>
            <w:r>
              <w:rPr>
                <w:rFonts w:ascii="宋体" w:hAnsi="宋体" w:cs="宋体" w:eastAsia="宋体" w:hint="default"/>
                <w:sz w:val="21"/>
                <w:szCs w:val="21"/>
              </w:rPr>
              <w:t>组合</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1"/>
              <w:jc w:val="right"/>
              <w:rPr>
                <w:rFonts w:ascii="Times New Roman" w:hAnsi="Times New Roman" w:cs="Times New Roman" w:eastAsia="Times New Roman" w:hint="default"/>
                <w:sz w:val="21"/>
                <w:szCs w:val="21"/>
              </w:rPr>
            </w:pPr>
            <w:r>
              <w:rPr>
                <w:rFonts w:ascii="Times New Roman"/>
                <w:spacing w:val="-1"/>
                <w:sz w:val="21"/>
              </w:rPr>
              <w:t>3,000,000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1"/>
              <w:jc w:val="right"/>
              <w:rPr>
                <w:rFonts w:ascii="Times New Roman" w:hAnsi="Times New Roman" w:cs="Times New Roman" w:eastAsia="Times New Roman" w:hint="default"/>
                <w:sz w:val="21"/>
                <w:szCs w:val="21"/>
              </w:rPr>
            </w:pPr>
            <w:r>
              <w:rPr>
                <w:rFonts w:ascii="Times New Roman"/>
                <w:spacing w:val="-1"/>
                <w:sz w:val="21"/>
              </w:rPr>
              <w:t>4,500,000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2"/>
              <w:jc w:val="right"/>
              <w:rPr>
                <w:rFonts w:ascii="Times New Roman" w:hAnsi="Times New Roman" w:cs="Times New Roman" w:eastAsia="Times New Roman" w:hint="default"/>
                <w:sz w:val="21"/>
                <w:szCs w:val="21"/>
              </w:rPr>
            </w:pPr>
            <w:r>
              <w:rPr>
                <w:rFonts w:ascii="Times New Roman"/>
                <w:spacing w:val="-1"/>
                <w:sz w:val="21"/>
              </w:rPr>
              <w:t>1,500,000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1"/>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71" w:lineRule="exact"/>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851"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80" w:lineRule="exact"/>
              <w:ind w:left="13" w:right="150"/>
              <w:jc w:val="left"/>
              <w:rPr>
                <w:rFonts w:ascii="宋体" w:hAnsi="宋体" w:cs="宋体" w:eastAsia="宋体" w:hint="default"/>
                <w:sz w:val="21"/>
                <w:szCs w:val="21"/>
              </w:rPr>
            </w:pPr>
            <w:r>
              <w:rPr>
                <w:rFonts w:ascii="宋体" w:hAnsi="宋体" w:cs="宋体" w:eastAsia="宋体" w:hint="default"/>
                <w:spacing w:val="6"/>
                <w:sz w:val="21"/>
                <w:szCs w:val="21"/>
              </w:rPr>
              <w:t>中国建设银行—国泰 金鼎价值精选混合型</w:t>
            </w:r>
            <w:r>
              <w:rPr>
                <w:rFonts w:ascii="宋体" w:hAnsi="宋体" w:cs="宋体" w:eastAsia="宋体" w:hint="default"/>
                <w:sz w:val="21"/>
                <w:szCs w:val="21"/>
              </w:rPr>
            </w:r>
          </w:p>
          <w:p>
            <w:pPr>
              <w:pStyle w:val="TableParagraph"/>
              <w:spacing w:line="254" w:lineRule="exact"/>
              <w:ind w:left="13"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5,250,000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1,750,000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before="11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85" w:lineRule="exact" w:before="118"/>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57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53" w:lineRule="exact"/>
              <w:ind w:left="13" w:right="0"/>
              <w:jc w:val="left"/>
              <w:rPr>
                <w:rFonts w:ascii="宋体" w:hAnsi="宋体" w:cs="宋体" w:eastAsia="宋体" w:hint="default"/>
                <w:sz w:val="21"/>
                <w:szCs w:val="21"/>
              </w:rPr>
            </w:pPr>
            <w:r>
              <w:rPr>
                <w:rFonts w:ascii="宋体" w:hAnsi="宋体" w:cs="宋体" w:eastAsia="宋体" w:hint="default"/>
                <w:spacing w:val="6"/>
                <w:sz w:val="21"/>
                <w:szCs w:val="21"/>
              </w:rPr>
              <w:t>交通银行—国泰金鹰</w:t>
            </w:r>
            <w:r>
              <w:rPr>
                <w:rFonts w:ascii="宋体" w:hAnsi="宋体" w:cs="宋体" w:eastAsia="宋体" w:hint="default"/>
                <w:sz w:val="21"/>
                <w:szCs w:val="21"/>
              </w:rPr>
            </w:r>
          </w:p>
          <w:p>
            <w:pPr>
              <w:pStyle w:val="TableParagraph"/>
              <w:spacing w:line="240" w:lineRule="auto" w:before="6"/>
              <w:ind w:left="13" w:right="0"/>
              <w:jc w:val="left"/>
              <w:rPr>
                <w:rFonts w:ascii="宋体" w:hAnsi="宋体" w:cs="宋体" w:eastAsia="宋体" w:hint="default"/>
                <w:sz w:val="21"/>
                <w:szCs w:val="21"/>
              </w:rPr>
            </w:pPr>
            <w:r>
              <w:rPr>
                <w:rFonts w:ascii="宋体" w:hAnsi="宋体" w:cs="宋体" w:eastAsia="宋体" w:hint="default"/>
                <w:spacing w:val="-5"/>
                <w:sz w:val="21"/>
                <w:szCs w:val="21"/>
              </w:rPr>
              <w:t>增长证券投资基金</w:t>
            </w:r>
            <w:r>
              <w:rPr>
                <w:rFonts w:ascii="宋体" w:hAnsi="宋体" w:cs="宋体" w:eastAsia="宋体" w:hint="default"/>
                <w:sz w:val="21"/>
                <w:szCs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750,000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250,000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64" w:lineRule="exact"/>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85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53" w:lineRule="exact"/>
              <w:ind w:left="13" w:right="0"/>
              <w:jc w:val="left"/>
              <w:rPr>
                <w:rFonts w:ascii="宋体" w:hAnsi="宋体" w:cs="宋体" w:eastAsia="宋体" w:hint="default"/>
                <w:sz w:val="21"/>
                <w:szCs w:val="21"/>
              </w:rPr>
            </w:pPr>
            <w:r>
              <w:rPr>
                <w:rFonts w:ascii="宋体" w:hAnsi="宋体" w:cs="宋体" w:eastAsia="宋体" w:hint="default"/>
                <w:spacing w:val="6"/>
                <w:sz w:val="21"/>
                <w:szCs w:val="21"/>
              </w:rPr>
              <w:t>上海浦东发展银行—</w:t>
            </w:r>
            <w:r>
              <w:rPr>
                <w:rFonts w:ascii="宋体" w:hAnsi="宋体" w:cs="宋体" w:eastAsia="宋体" w:hint="default"/>
                <w:sz w:val="21"/>
                <w:szCs w:val="21"/>
              </w:rPr>
            </w:r>
          </w:p>
          <w:p>
            <w:pPr>
              <w:pStyle w:val="TableParagraph"/>
              <w:spacing w:line="244" w:lineRule="auto" w:before="6"/>
              <w:ind w:left="13" w:right="150"/>
              <w:jc w:val="left"/>
              <w:rPr>
                <w:rFonts w:ascii="宋体" w:hAnsi="宋体" w:cs="宋体" w:eastAsia="宋体" w:hint="default"/>
                <w:sz w:val="21"/>
                <w:szCs w:val="21"/>
              </w:rPr>
            </w:pPr>
            <w:r>
              <w:rPr>
                <w:rFonts w:ascii="宋体" w:hAnsi="宋体" w:cs="宋体" w:eastAsia="宋体" w:hint="default"/>
                <w:spacing w:val="6"/>
                <w:sz w:val="21"/>
                <w:szCs w:val="21"/>
              </w:rPr>
              <w:t>国泰金龙行业精选证 </w:t>
            </w:r>
            <w:r>
              <w:rPr>
                <w:rFonts w:ascii="宋体" w:hAnsi="宋体" w:cs="宋体" w:eastAsia="宋体" w:hint="default"/>
                <w:sz w:val="21"/>
                <w:szCs w:val="21"/>
              </w:rPr>
              <w:t>券投资基金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750,000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250,000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1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86" w:lineRule="exact" w:before="117"/>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85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80" w:lineRule="exact"/>
              <w:ind w:left="13" w:right="150"/>
              <w:jc w:val="both"/>
              <w:rPr>
                <w:rFonts w:ascii="宋体" w:hAnsi="宋体" w:cs="宋体" w:eastAsia="宋体" w:hint="default"/>
                <w:sz w:val="21"/>
                <w:szCs w:val="21"/>
              </w:rPr>
            </w:pPr>
            <w:r>
              <w:rPr>
                <w:rFonts w:ascii="宋体" w:hAnsi="宋体" w:cs="宋体" w:eastAsia="宋体" w:hint="default"/>
                <w:spacing w:val="6"/>
                <w:sz w:val="21"/>
                <w:szCs w:val="21"/>
              </w:rPr>
              <w:t>中国人民财产保险股 份有限公司—传统— </w:t>
            </w:r>
            <w:r>
              <w:rPr>
                <w:rFonts w:ascii="宋体" w:hAnsi="宋体" w:cs="宋体" w:eastAsia="宋体" w:hint="default"/>
                <w:sz w:val="21"/>
                <w:szCs w:val="21"/>
              </w:rPr>
              <w:t>普通保险产品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2"/>
                <w:sz w:val="21"/>
              </w:rPr>
              <w:t>11,500,000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17,250,000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5,750,000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before="11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85" w:lineRule="exact" w:before="118"/>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851"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80" w:lineRule="exact"/>
              <w:ind w:left="13" w:right="150"/>
              <w:jc w:val="left"/>
              <w:rPr>
                <w:rFonts w:ascii="宋体" w:hAnsi="宋体" w:cs="宋体" w:eastAsia="宋体" w:hint="default"/>
                <w:sz w:val="21"/>
                <w:szCs w:val="21"/>
              </w:rPr>
            </w:pPr>
            <w:r>
              <w:rPr>
                <w:rFonts w:ascii="宋体" w:hAnsi="宋体" w:cs="宋体" w:eastAsia="宋体" w:hint="default"/>
                <w:spacing w:val="6"/>
                <w:sz w:val="21"/>
                <w:szCs w:val="21"/>
              </w:rPr>
              <w:t>中国人民人寿保险股 份有限公司—万能—</w:t>
            </w:r>
            <w:r>
              <w:rPr>
                <w:rFonts w:ascii="宋体" w:hAnsi="宋体" w:cs="宋体" w:eastAsia="宋体" w:hint="default"/>
                <w:sz w:val="21"/>
                <w:szCs w:val="21"/>
              </w:rPr>
            </w:r>
          </w:p>
          <w:p>
            <w:pPr>
              <w:pStyle w:val="TableParagraph"/>
              <w:spacing w:line="254" w:lineRule="exact"/>
              <w:ind w:left="13" w:right="0"/>
              <w:jc w:val="left"/>
              <w:rPr>
                <w:rFonts w:ascii="宋体" w:hAnsi="宋体" w:cs="宋体" w:eastAsia="宋体" w:hint="default"/>
                <w:sz w:val="21"/>
                <w:szCs w:val="21"/>
              </w:rPr>
            </w:pPr>
            <w:r>
              <w:rPr>
                <w:rFonts w:ascii="宋体" w:hAnsi="宋体" w:cs="宋体" w:eastAsia="宋体" w:hint="default"/>
                <w:sz w:val="21"/>
                <w:szCs w:val="21"/>
              </w:rPr>
              <w:t>个险万能</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before="11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85" w:lineRule="exact" w:before="118"/>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850" w:hRule="exact"/>
        </w:trPr>
        <w:tc>
          <w:tcPr>
            <w:tcW w:w="2131" w:type="dxa"/>
            <w:tcBorders>
              <w:top w:val="single" w:sz="4" w:space="0" w:color="000000"/>
              <w:left w:val="single" w:sz="12" w:space="0" w:color="000000"/>
              <w:bottom w:val="single" w:sz="4" w:space="0" w:color="000000"/>
              <w:right w:val="single" w:sz="4" w:space="0" w:color="000000"/>
            </w:tcBorders>
          </w:tcPr>
          <w:p>
            <w:pPr>
              <w:pStyle w:val="TableParagraph"/>
              <w:spacing w:line="253" w:lineRule="exact"/>
              <w:ind w:left="13" w:right="0"/>
              <w:jc w:val="left"/>
              <w:rPr>
                <w:rFonts w:ascii="宋体" w:hAnsi="宋体" w:cs="宋体" w:eastAsia="宋体" w:hint="default"/>
                <w:sz w:val="21"/>
                <w:szCs w:val="21"/>
              </w:rPr>
            </w:pPr>
            <w:r>
              <w:rPr>
                <w:rFonts w:ascii="宋体" w:hAnsi="宋体" w:cs="宋体" w:eastAsia="宋体" w:hint="default"/>
                <w:spacing w:val="6"/>
                <w:sz w:val="21"/>
                <w:szCs w:val="21"/>
              </w:rPr>
              <w:t>中国人民人寿保险股</w:t>
            </w:r>
            <w:r>
              <w:rPr>
                <w:rFonts w:ascii="宋体" w:hAnsi="宋体" w:cs="宋体" w:eastAsia="宋体" w:hint="default"/>
                <w:sz w:val="21"/>
                <w:szCs w:val="21"/>
              </w:rPr>
            </w:r>
          </w:p>
          <w:p>
            <w:pPr>
              <w:pStyle w:val="TableParagraph"/>
              <w:spacing w:line="244" w:lineRule="auto" w:before="6"/>
              <w:ind w:left="13" w:right="150"/>
              <w:jc w:val="left"/>
              <w:rPr>
                <w:rFonts w:ascii="宋体" w:hAnsi="宋体" w:cs="宋体" w:eastAsia="宋体" w:hint="default"/>
                <w:sz w:val="21"/>
                <w:szCs w:val="21"/>
              </w:rPr>
            </w:pPr>
            <w:r>
              <w:rPr>
                <w:rFonts w:ascii="宋体" w:hAnsi="宋体" w:cs="宋体" w:eastAsia="宋体" w:hint="default"/>
                <w:spacing w:val="6"/>
                <w:sz w:val="21"/>
                <w:szCs w:val="21"/>
              </w:rPr>
              <w:t>份有限公司—自有资 </w:t>
            </w:r>
            <w:r>
              <w:rPr>
                <w:rFonts w:ascii="宋体" w:hAnsi="宋体" w:cs="宋体" w:eastAsia="宋体" w:hint="default"/>
                <w:sz w:val="21"/>
                <w:szCs w:val="21"/>
              </w:rPr>
              <w:t>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11,250,000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3,750,000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1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434" w:type="dxa"/>
            <w:tcBorders>
              <w:top w:val="single" w:sz="4" w:space="0" w:color="000000"/>
              <w:left w:val="single" w:sz="4" w:space="0" w:color="000000"/>
              <w:bottom w:val="single" w:sz="4" w:space="0" w:color="000000"/>
              <w:right w:val="single" w:sz="12" w:space="0" w:color="000000"/>
            </w:tcBorders>
          </w:tcPr>
          <w:p>
            <w:pPr>
              <w:pStyle w:val="TableParagraph"/>
              <w:spacing w:line="286" w:lineRule="exact" w:before="117"/>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31</w:t>
            </w:r>
          </w:p>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638" w:hRule="exact"/>
        </w:trPr>
        <w:tc>
          <w:tcPr>
            <w:tcW w:w="2131" w:type="dxa"/>
            <w:tcBorders>
              <w:top w:val="single" w:sz="4" w:space="0" w:color="000000"/>
              <w:left w:val="single" w:sz="12" w:space="0" w:color="000000"/>
              <w:bottom w:val="single" w:sz="12" w:space="0" w:color="000000"/>
              <w:right w:val="single" w:sz="4" w:space="0" w:color="000000"/>
            </w:tcBorders>
          </w:tcPr>
          <w:p>
            <w:pPr>
              <w:pStyle w:val="TableParagraph"/>
              <w:tabs>
                <w:tab w:pos="434" w:val="left" w:leader="none"/>
              </w:tabs>
              <w:spacing w:line="240" w:lineRule="auto" w:before="135"/>
              <w:ind w:left="1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1,521,571,524</w:t>
            </w:r>
            <w:r>
              <w:rPr>
                <w:rFonts w:ascii="Times New Roman"/>
                <w:sz w:val="21"/>
              </w:rPr>
            </w:r>
          </w:p>
        </w:tc>
        <w:tc>
          <w:tcPr>
            <w:tcW w:w="11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728,233,933</w:t>
            </w:r>
          </w:p>
        </w:tc>
        <w:tc>
          <w:tcPr>
            <w:tcW w:w="11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760,785,762</w:t>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1,554,123,353</w:t>
            </w:r>
          </w:p>
        </w:tc>
        <w:tc>
          <w:tcPr>
            <w:tcW w:w="13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5"/>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3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35"/>
              <w:ind w:left="9"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after="0" w:line="240" w:lineRule="auto"/>
        <w:jc w:val="center"/>
        <w:rPr>
          <w:rFonts w:ascii="宋体" w:hAnsi="宋体" w:cs="宋体" w:eastAsia="宋体" w:hint="default"/>
          <w:sz w:val="21"/>
          <w:szCs w:val="21"/>
        </w:rPr>
        <w:sectPr>
          <w:pgSz w:w="11910" w:h="16840"/>
          <w:pgMar w:header="748" w:footer="714" w:top="980" w:bottom="900" w:left="920" w:right="900"/>
        </w:sectPr>
      </w:pPr>
    </w:p>
    <w:p>
      <w:pPr>
        <w:spacing w:line="240" w:lineRule="auto" w:before="0"/>
        <w:rPr>
          <w:rFonts w:ascii="Times New Roman" w:hAnsi="Times New Roman" w:cs="Times New Roman" w:eastAsia="Times New Roman" w:hint="default"/>
          <w:sz w:val="20"/>
          <w:szCs w:val="20"/>
        </w:rPr>
      </w:pPr>
    </w:p>
    <w:p>
      <w:pPr>
        <w:pStyle w:val="Heading1"/>
        <w:tabs>
          <w:tab w:pos="3111" w:val="left" w:leader="none"/>
        </w:tabs>
        <w:spacing w:line="240" w:lineRule="auto" w:before="170"/>
        <w:ind w:left="1831" w:right="638"/>
        <w:jc w:val="left"/>
        <w:rPr>
          <w:b w:val="0"/>
          <w:bCs w:val="0"/>
        </w:rPr>
      </w:pPr>
      <w:bookmarkStart w:name="_TOC_250007" w:id="4"/>
      <w:r>
        <w:rPr>
          <w:w w:val="95"/>
        </w:rPr>
        <w:t>第四节</w:t>
        <w:tab/>
      </w:r>
      <w:r>
        <w:rPr/>
        <w:t>董事、监事、高级管理人员和员工的情况</w:t>
      </w:r>
      <w:bookmarkEnd w:id="4"/>
      <w:r>
        <w:rPr>
          <w:b w:val="0"/>
          <w:bCs w:val="0"/>
        </w:rPr>
      </w:r>
    </w:p>
    <w:p>
      <w:pPr>
        <w:pStyle w:val="BodyText"/>
        <w:spacing w:line="240" w:lineRule="auto" w:before="217"/>
        <w:ind w:left="960" w:right="638"/>
        <w:jc w:val="left"/>
      </w:pPr>
      <w:r>
        <w:rPr/>
        <w:t>一、公司董事、监事和高级管理人员情况</w:t>
      </w:r>
    </w:p>
    <w:p>
      <w:pPr>
        <w:pStyle w:val="BodyText"/>
        <w:spacing w:line="240" w:lineRule="auto" w:before="154"/>
        <w:ind w:left="884" w:right="638"/>
        <w:jc w:val="left"/>
      </w:pPr>
      <w:r>
        <w:rPr>
          <w:rFonts w:ascii="Times New Roman" w:hAnsi="Times New Roman" w:cs="Times New Roman" w:eastAsia="Times New Roman" w:hint="default"/>
        </w:rPr>
        <w:t>1</w:t>
      </w:r>
      <w:r>
        <w:rPr/>
        <w:t>、基本情况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spacing w:before="35"/>
        <w:ind w:left="0" w:right="107" w:firstLine="0"/>
        <w:jc w:val="right"/>
        <w:rPr>
          <w:rFonts w:ascii="宋体" w:hAnsi="宋体" w:cs="宋体" w:eastAsia="宋体" w:hint="default"/>
          <w:sz w:val="21"/>
          <w:szCs w:val="21"/>
        </w:rPr>
      </w:pPr>
      <w:r>
        <w:rPr/>
        <w:pict>
          <v:shape style="position:absolute;margin-left:47.400002pt;margin-top:-49.825905pt;width:501.4pt;height:315.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0"/>
                    <w:gridCol w:w="551"/>
                    <w:gridCol w:w="518"/>
                    <w:gridCol w:w="1426"/>
                    <w:gridCol w:w="2522"/>
                    <w:gridCol w:w="1260"/>
                    <w:gridCol w:w="1440"/>
                    <w:gridCol w:w="1406"/>
                  </w:tblGrid>
                  <w:tr>
                    <w:trPr>
                      <w:trHeight w:val="707" w:hRule="exact"/>
                    </w:trPr>
                    <w:tc>
                      <w:tcPr>
                        <w:tcW w:w="86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5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5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b/>
                            <w:bCs/>
                            <w:sz w:val="21"/>
                            <w:szCs w:val="21"/>
                          </w:rPr>
                          <w:t>性别</w:t>
                        </w:r>
                        <w:r>
                          <w:rPr>
                            <w:rFonts w:ascii="宋体" w:hAnsi="宋体" w:cs="宋体" w:eastAsia="宋体" w:hint="default"/>
                            <w:sz w:val="21"/>
                            <w:szCs w:val="21"/>
                          </w:rPr>
                        </w:r>
                      </w:p>
                    </w:tc>
                    <w:tc>
                      <w:tcPr>
                        <w:tcW w:w="142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64"/>
                          <w:ind w:left="496" w:right="286" w:hanging="210"/>
                          <w:jc w:val="left"/>
                          <w:rPr>
                            <w:rFonts w:ascii="宋体" w:hAnsi="宋体" w:cs="宋体" w:eastAsia="宋体" w:hint="default"/>
                            <w:sz w:val="21"/>
                            <w:szCs w:val="21"/>
                          </w:rPr>
                        </w:pPr>
                        <w:r>
                          <w:rPr>
                            <w:rFonts w:ascii="宋体" w:hAnsi="宋体" w:cs="宋体" w:eastAsia="宋体" w:hint="default"/>
                            <w:b/>
                            <w:bCs/>
                            <w:sz w:val="21"/>
                            <w:szCs w:val="21"/>
                          </w:rPr>
                          <w:t>股份公司</w:t>
                        </w:r>
                        <w:r>
                          <w:rPr>
                            <w:rFonts w:ascii="宋体" w:hAnsi="宋体" w:cs="宋体" w:eastAsia="宋体" w:hint="default"/>
                            <w:b/>
                            <w:bCs/>
                            <w:w w:val="99"/>
                            <w:sz w:val="21"/>
                            <w:szCs w:val="21"/>
                          </w:rPr>
                          <w:t> </w:t>
                        </w:r>
                        <w:r>
                          <w:rPr>
                            <w:rFonts w:ascii="宋体" w:hAnsi="宋体" w:cs="宋体" w:eastAsia="宋体" w:hint="default"/>
                            <w:b/>
                            <w:bCs/>
                            <w:sz w:val="21"/>
                            <w:szCs w:val="21"/>
                          </w:rPr>
                          <w:t>任职</w:t>
                        </w:r>
                        <w:r>
                          <w:rPr>
                            <w:rFonts w:ascii="宋体" w:hAnsi="宋体" w:cs="宋体" w:eastAsia="宋体" w:hint="default"/>
                            <w:sz w:val="21"/>
                            <w:szCs w:val="21"/>
                          </w:rPr>
                        </w:r>
                      </w:p>
                    </w:tc>
                    <w:tc>
                      <w:tcPr>
                        <w:tcW w:w="25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b/>
                            <w:bCs/>
                            <w:sz w:val="21"/>
                            <w:szCs w:val="21"/>
                          </w:rPr>
                          <w:t>任期起止日期</w:t>
                        </w:r>
                        <w:r>
                          <w:rPr>
                            <w:rFonts w:ascii="宋体" w:hAnsi="宋体" w:cs="宋体" w:eastAsia="宋体" w:hint="default"/>
                            <w:sz w:val="21"/>
                            <w:szCs w:val="21"/>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before="36"/>
                          <w:ind w:right="0"/>
                          <w:jc w:val="center"/>
                          <w:rPr>
                            <w:rFonts w:ascii="宋体" w:hAnsi="宋体" w:cs="宋体" w:eastAsia="宋体" w:hint="default"/>
                            <w:sz w:val="21"/>
                            <w:szCs w:val="21"/>
                          </w:rPr>
                        </w:pPr>
                        <w:r>
                          <w:rPr>
                            <w:rFonts w:ascii="宋体" w:hAnsi="宋体" w:cs="宋体" w:eastAsia="宋体" w:hint="default"/>
                            <w:b/>
                            <w:bCs/>
                            <w:sz w:val="21"/>
                            <w:szCs w:val="21"/>
                          </w:rPr>
                          <w:t>年末持股数</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before="36"/>
                          <w:ind w:right="0"/>
                          <w:jc w:val="center"/>
                          <w:rPr>
                            <w:rFonts w:ascii="宋体" w:hAnsi="宋体" w:cs="宋体" w:eastAsia="宋体" w:hint="default"/>
                            <w:sz w:val="21"/>
                            <w:szCs w:val="21"/>
                          </w:rPr>
                        </w:pPr>
                        <w:r>
                          <w:rPr>
                            <w:rFonts w:ascii="宋体" w:hAnsi="宋体" w:cs="宋体" w:eastAsia="宋体" w:hint="default"/>
                            <w:b/>
                            <w:bCs/>
                            <w:sz w:val="21"/>
                            <w:szCs w:val="21"/>
                          </w:rPr>
                          <w:t>年初持股数</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1406" w:type="dxa"/>
                        <w:tcBorders>
                          <w:top w:val="single" w:sz="12" w:space="0" w:color="000000"/>
                          <w:left w:val="single" w:sz="4" w:space="0" w:color="000000"/>
                          <w:bottom w:val="single" w:sz="4" w:space="0" w:color="000000"/>
                          <w:right w:val="single" w:sz="12" w:space="0" w:color="000000"/>
                        </w:tcBorders>
                      </w:tcPr>
                      <w:p>
                        <w:pPr>
                          <w:pStyle w:val="TableParagraph"/>
                          <w:spacing w:line="272" w:lineRule="exact" w:before="64"/>
                          <w:ind w:left="482" w:right="272" w:hanging="212"/>
                          <w:jc w:val="left"/>
                          <w:rPr>
                            <w:rFonts w:ascii="宋体" w:hAnsi="宋体" w:cs="宋体" w:eastAsia="宋体" w:hint="default"/>
                            <w:sz w:val="21"/>
                            <w:szCs w:val="21"/>
                          </w:rPr>
                        </w:pPr>
                        <w:r>
                          <w:rPr>
                            <w:rFonts w:ascii="宋体" w:hAnsi="宋体" w:cs="宋体" w:eastAsia="宋体" w:hint="default"/>
                            <w:b/>
                            <w:bCs/>
                            <w:sz w:val="21"/>
                            <w:szCs w:val="21"/>
                          </w:rPr>
                          <w:t>增减变动</w:t>
                        </w:r>
                        <w:r>
                          <w:rPr>
                            <w:rFonts w:ascii="宋体" w:hAnsi="宋体" w:cs="宋体" w:eastAsia="宋体" w:hint="default"/>
                            <w:b/>
                            <w:bCs/>
                            <w:w w:val="99"/>
                            <w:sz w:val="21"/>
                            <w:szCs w:val="21"/>
                          </w:rPr>
                          <w:t> </w:t>
                        </w:r>
                        <w:r>
                          <w:rPr>
                            <w:rFonts w:ascii="宋体" w:hAnsi="宋体" w:cs="宋体" w:eastAsia="宋体" w:hint="default"/>
                            <w:b/>
                            <w:bCs/>
                            <w:sz w:val="21"/>
                            <w:szCs w:val="21"/>
                          </w:rPr>
                          <w:t>原因</w:t>
                        </w:r>
                        <w:r>
                          <w:rPr>
                            <w:rFonts w:ascii="宋体" w:hAnsi="宋体" w:cs="宋体" w:eastAsia="宋体" w:hint="default"/>
                            <w:sz w:val="21"/>
                            <w:szCs w:val="21"/>
                          </w:rPr>
                        </w:r>
                      </w:p>
                    </w:tc>
                  </w:tr>
                  <w:tr>
                    <w:trPr>
                      <w:trHeight w:val="690" w:hRule="exact"/>
                    </w:trPr>
                    <w:tc>
                      <w:tcPr>
                        <w:tcW w:w="8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张近东</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48</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1,951,811,430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1,301,207,620</w:t>
                        </w:r>
                      </w:p>
                    </w:tc>
                    <w:tc>
                      <w:tcPr>
                        <w:tcW w:w="1406" w:type="dxa"/>
                        <w:tcBorders>
                          <w:top w:val="single" w:sz="4" w:space="0" w:color="000000"/>
                          <w:left w:val="single" w:sz="4" w:space="0" w:color="000000"/>
                          <w:bottom w:val="single" w:sz="4" w:space="0" w:color="000000"/>
                          <w:right w:val="single" w:sz="12" w:space="0" w:color="000000"/>
                        </w:tcBorders>
                      </w:tcPr>
                      <w:p>
                        <w:pPr>
                          <w:pStyle w:val="TableParagraph"/>
                          <w:spacing w:line="272" w:lineRule="exact" w:before="60"/>
                          <w:ind w:left="-1" w:right="-4"/>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年度利润 </w:t>
                        </w:r>
                        <w:r>
                          <w:rPr>
                            <w:rFonts w:ascii="宋体" w:hAnsi="宋体" w:cs="宋体" w:eastAsia="宋体" w:hint="default"/>
                            <w:sz w:val="21"/>
                            <w:szCs w:val="21"/>
                          </w:rPr>
                          <w:t>分配方案实施</w:t>
                        </w:r>
                      </w:p>
                    </w:tc>
                  </w:tr>
                  <w:tr>
                    <w:trPr>
                      <w:trHeight w:val="356" w:hRule="exact"/>
                    </w:trPr>
                    <w:tc>
                      <w:tcPr>
                        <w:tcW w:w="8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孙为民</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1"/>
                            <w:szCs w:val="21"/>
                          </w:rPr>
                        </w:pPr>
                        <w:r>
                          <w:rPr>
                            <w:rFonts w:ascii="Times New Roman"/>
                            <w:sz w:val="21"/>
                          </w:rPr>
                          <w:t>48</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06" w:type="dxa"/>
                        <w:tcBorders>
                          <w:top w:val="single" w:sz="4" w:space="0" w:color="000000"/>
                          <w:left w:val="single" w:sz="4" w:space="0" w:color="000000"/>
                          <w:bottom w:val="single" w:sz="4" w:space="0" w:color="000000"/>
                          <w:right w:val="single" w:sz="12" w:space="0" w:color="000000"/>
                        </w:tcBorders>
                      </w:tcPr>
                      <w:p>
                        <w:pPr/>
                      </w:p>
                    </w:tc>
                  </w:tr>
                  <w:tr>
                    <w:trPr>
                      <w:trHeight w:val="732" w:hRule="exact"/>
                    </w:trPr>
                    <w:tc>
                      <w:tcPr>
                        <w:tcW w:w="8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421" w:val="left" w:leader="none"/>
                          </w:tabs>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w:t>
                          <w:tab/>
                          <w:t>明</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120,353,040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80,235,360</w:t>
                        </w:r>
                      </w:p>
                    </w:tc>
                    <w:tc>
                      <w:tcPr>
                        <w:tcW w:w="1406" w:type="dxa"/>
                        <w:tcBorders>
                          <w:top w:val="single" w:sz="4" w:space="0" w:color="000000"/>
                          <w:left w:val="single" w:sz="4" w:space="0" w:color="000000"/>
                          <w:bottom w:val="single" w:sz="4" w:space="0" w:color="000000"/>
                          <w:right w:val="single" w:sz="12" w:space="0" w:color="000000"/>
                        </w:tcBorders>
                      </w:tcPr>
                      <w:p>
                        <w:pPr>
                          <w:pStyle w:val="TableParagraph"/>
                          <w:spacing w:line="274" w:lineRule="exact" w:before="79"/>
                          <w:ind w:left="-1" w:right="-4"/>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年度利润 </w:t>
                        </w:r>
                        <w:r>
                          <w:rPr>
                            <w:rFonts w:ascii="宋体" w:hAnsi="宋体" w:cs="宋体" w:eastAsia="宋体" w:hint="default"/>
                            <w:sz w:val="21"/>
                            <w:szCs w:val="21"/>
                          </w:rPr>
                          <w:t>分配方案实施</w:t>
                        </w:r>
                      </w:p>
                    </w:tc>
                  </w:tr>
                  <w:tr>
                    <w:trPr>
                      <w:trHeight w:val="358" w:hRule="exact"/>
                    </w:trPr>
                    <w:tc>
                      <w:tcPr>
                        <w:tcW w:w="8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孟祥胜</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1"/>
                            <w:szCs w:val="21"/>
                          </w:rPr>
                        </w:pPr>
                        <w:r>
                          <w:rPr>
                            <w:rFonts w:ascii="Times New Roman"/>
                            <w:sz w:val="21"/>
                          </w:rPr>
                          <w:t>39</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06" w:type="dxa"/>
                        <w:tcBorders>
                          <w:top w:val="single" w:sz="4" w:space="0" w:color="000000"/>
                          <w:left w:val="single" w:sz="4" w:space="0" w:color="000000"/>
                          <w:bottom w:val="single" w:sz="4" w:space="0" w:color="000000"/>
                          <w:right w:val="single" w:sz="12" w:space="0" w:color="000000"/>
                        </w:tcBorders>
                      </w:tcPr>
                      <w:p>
                        <w:pPr/>
                      </w:p>
                    </w:tc>
                  </w:tr>
                  <w:tr>
                    <w:trPr>
                      <w:trHeight w:val="571" w:hRule="exact"/>
                    </w:trPr>
                    <w:tc>
                      <w:tcPr>
                        <w:tcW w:w="860" w:type="dxa"/>
                        <w:tcBorders>
                          <w:top w:val="single" w:sz="4" w:space="0" w:color="000000"/>
                          <w:left w:val="single" w:sz="12" w:space="0" w:color="000000"/>
                          <w:bottom w:val="single" w:sz="4" w:space="0" w:color="000000"/>
                          <w:right w:val="single" w:sz="4" w:space="0" w:color="000000"/>
                        </w:tcBorders>
                      </w:tcPr>
                      <w:p>
                        <w:pPr>
                          <w:pStyle w:val="TableParagraph"/>
                          <w:tabs>
                            <w:tab w:pos="421" w:val="left" w:leader="none"/>
                          </w:tabs>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任</w:t>
                          <w:tab/>
                          <w:t>峻</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Times New Roman" w:hAnsi="Times New Roman" w:cs="Times New Roman" w:eastAsia="Times New Roman" w:hint="default"/>
                            <w:sz w:val="21"/>
                            <w:szCs w:val="21"/>
                          </w:rPr>
                        </w:pPr>
                        <w:r>
                          <w:rPr>
                            <w:rFonts w:ascii="Times New Roman"/>
                            <w:sz w:val="21"/>
                          </w:rPr>
                          <w:t>34</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1" w:right="154"/>
                          <w:jc w:val="left"/>
                          <w:rPr>
                            <w:rFonts w:ascii="宋体" w:hAnsi="宋体" w:cs="宋体" w:eastAsia="宋体" w:hint="default"/>
                            <w:sz w:val="21"/>
                            <w:szCs w:val="21"/>
                          </w:rPr>
                        </w:pPr>
                        <w:r>
                          <w:rPr>
                            <w:rFonts w:ascii="宋体" w:hAnsi="宋体" w:cs="宋体" w:eastAsia="宋体" w:hint="default"/>
                            <w:sz w:val="21"/>
                            <w:szCs w:val="21"/>
                          </w:rPr>
                          <w:t>董事、副总裁 董秘</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21"/>
                            <w:szCs w:val="21"/>
                          </w:rPr>
                        </w:pPr>
                        <w:r>
                          <w:rPr>
                            <w:rFonts w:ascii="Times New Roman"/>
                            <w:sz w:val="21"/>
                          </w:rPr>
                          <w:t>0</w:t>
                        </w:r>
                      </w:p>
                    </w:tc>
                    <w:tc>
                      <w:tcPr>
                        <w:tcW w:w="1406" w:type="dxa"/>
                        <w:tcBorders>
                          <w:top w:val="single" w:sz="4" w:space="0" w:color="000000"/>
                          <w:left w:val="single" w:sz="4" w:space="0" w:color="000000"/>
                          <w:bottom w:val="single" w:sz="4" w:space="0" w:color="000000"/>
                          <w:right w:val="single" w:sz="12" w:space="0" w:color="000000"/>
                        </w:tcBorders>
                      </w:tcPr>
                      <w:p>
                        <w:pPr/>
                      </w:p>
                    </w:tc>
                  </w:tr>
                  <w:tr>
                    <w:trPr>
                      <w:trHeight w:val="356" w:hRule="exact"/>
                    </w:trPr>
                    <w:tc>
                      <w:tcPr>
                        <w:tcW w:w="860" w:type="dxa"/>
                        <w:tcBorders>
                          <w:top w:val="single" w:sz="4" w:space="0" w:color="000000"/>
                          <w:left w:val="single" w:sz="12" w:space="0" w:color="000000"/>
                          <w:bottom w:val="single" w:sz="4" w:space="0" w:color="000000"/>
                          <w:right w:val="single" w:sz="4" w:space="0" w:color="000000"/>
                        </w:tcBorders>
                      </w:tcPr>
                      <w:p>
                        <w:pPr>
                          <w:pStyle w:val="TableParagraph"/>
                          <w:tabs>
                            <w:tab w:pos="421" w:val="left" w:leader="none"/>
                          </w:tabs>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李</w:t>
                          <w:tab/>
                          <w:t>东</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1"/>
                            <w:szCs w:val="21"/>
                          </w:rPr>
                        </w:pPr>
                        <w:r>
                          <w:rPr>
                            <w:rFonts w:ascii="Times New Roman"/>
                            <w:sz w:val="21"/>
                          </w:rPr>
                          <w:t>50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06" w:type="dxa"/>
                        <w:tcBorders>
                          <w:top w:val="single" w:sz="4" w:space="0" w:color="000000"/>
                          <w:left w:val="single" w:sz="4" w:space="0" w:color="000000"/>
                          <w:bottom w:val="single" w:sz="4" w:space="0" w:color="000000"/>
                          <w:right w:val="single" w:sz="12" w:space="0" w:color="000000"/>
                        </w:tcBorders>
                      </w:tcPr>
                      <w:p>
                        <w:pPr/>
                      </w:p>
                    </w:tc>
                  </w:tr>
                  <w:tr>
                    <w:trPr>
                      <w:trHeight w:val="358" w:hRule="exact"/>
                    </w:trPr>
                    <w:tc>
                      <w:tcPr>
                        <w:tcW w:w="8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沈坤荣</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1"/>
                            <w:szCs w:val="21"/>
                          </w:rPr>
                        </w:pPr>
                        <w:r>
                          <w:rPr>
                            <w:rFonts w:ascii="Times New Roman"/>
                            <w:sz w:val="21"/>
                          </w:rPr>
                          <w:t>48</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06" w:type="dxa"/>
                        <w:tcBorders>
                          <w:top w:val="single" w:sz="4" w:space="0" w:color="000000"/>
                          <w:left w:val="single" w:sz="4" w:space="0" w:color="000000"/>
                          <w:bottom w:val="single" w:sz="4" w:space="0" w:color="000000"/>
                          <w:right w:val="single" w:sz="12" w:space="0" w:color="000000"/>
                        </w:tcBorders>
                      </w:tcPr>
                      <w:p>
                        <w:pPr/>
                      </w:p>
                    </w:tc>
                  </w:tr>
                  <w:tr>
                    <w:trPr>
                      <w:trHeight w:val="356" w:hRule="exact"/>
                    </w:trPr>
                    <w:tc>
                      <w:tcPr>
                        <w:tcW w:w="8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孙剑平</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1"/>
                            <w:szCs w:val="21"/>
                          </w:rPr>
                        </w:pPr>
                        <w:r>
                          <w:rPr>
                            <w:rFonts w:ascii="Times New Roman"/>
                            <w:sz w:val="21"/>
                          </w:rPr>
                          <w:t>58</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06" w:type="dxa"/>
                        <w:tcBorders>
                          <w:top w:val="single" w:sz="4" w:space="0" w:color="000000"/>
                          <w:left w:val="single" w:sz="4" w:space="0" w:color="000000"/>
                          <w:bottom w:val="single" w:sz="4" w:space="0" w:color="000000"/>
                          <w:right w:val="single" w:sz="12" w:space="0" w:color="000000"/>
                        </w:tcBorders>
                      </w:tcPr>
                      <w:p>
                        <w:pPr/>
                      </w:p>
                    </w:tc>
                  </w:tr>
                  <w:tr>
                    <w:trPr>
                      <w:trHeight w:val="358" w:hRule="exact"/>
                    </w:trPr>
                    <w:tc>
                      <w:tcPr>
                        <w:tcW w:w="8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戴新民</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1"/>
                            <w:szCs w:val="21"/>
                          </w:rPr>
                        </w:pPr>
                        <w:r>
                          <w:rPr>
                            <w:rFonts w:ascii="Times New Roman"/>
                            <w:sz w:val="21"/>
                          </w:rPr>
                          <w:t>49</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06" w:type="dxa"/>
                        <w:tcBorders>
                          <w:top w:val="single" w:sz="4" w:space="0" w:color="000000"/>
                          <w:left w:val="single" w:sz="4" w:space="0" w:color="000000"/>
                          <w:bottom w:val="single" w:sz="4" w:space="0" w:color="000000"/>
                          <w:right w:val="single" w:sz="12" w:space="0" w:color="000000"/>
                        </w:tcBorders>
                      </w:tcPr>
                      <w:p>
                        <w:pPr/>
                      </w:p>
                    </w:tc>
                  </w:tr>
                  <w:tr>
                    <w:trPr>
                      <w:trHeight w:val="356" w:hRule="exact"/>
                    </w:trPr>
                    <w:tc>
                      <w:tcPr>
                        <w:tcW w:w="8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李建颖</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1"/>
                            <w:szCs w:val="21"/>
                          </w:rPr>
                        </w:pPr>
                        <w:r>
                          <w:rPr>
                            <w:rFonts w:ascii="Times New Roman"/>
                            <w:sz w:val="21"/>
                          </w:rPr>
                          <w:t>42</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06" w:type="dxa"/>
                        <w:tcBorders>
                          <w:top w:val="single" w:sz="4" w:space="0" w:color="000000"/>
                          <w:left w:val="single" w:sz="4" w:space="0" w:color="000000"/>
                          <w:bottom w:val="single" w:sz="4" w:space="0" w:color="000000"/>
                          <w:right w:val="single" w:sz="12" w:space="0" w:color="000000"/>
                        </w:tcBorders>
                      </w:tcPr>
                      <w:p>
                        <w:pPr/>
                      </w:p>
                    </w:tc>
                  </w:tr>
                  <w:tr>
                    <w:trPr>
                      <w:trHeight w:val="358" w:hRule="exact"/>
                    </w:trPr>
                    <w:tc>
                      <w:tcPr>
                        <w:tcW w:w="8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汪晓玲</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1"/>
                            <w:szCs w:val="21"/>
                          </w:rPr>
                        </w:pPr>
                        <w:r>
                          <w:rPr>
                            <w:rFonts w:ascii="Times New Roman"/>
                            <w:sz w:val="21"/>
                          </w:rPr>
                          <w:t>38</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06" w:type="dxa"/>
                        <w:tcBorders>
                          <w:top w:val="single" w:sz="4" w:space="0" w:color="000000"/>
                          <w:left w:val="single" w:sz="4" w:space="0" w:color="000000"/>
                          <w:bottom w:val="single" w:sz="4" w:space="0" w:color="000000"/>
                          <w:right w:val="single" w:sz="12" w:space="0" w:color="000000"/>
                        </w:tcBorders>
                      </w:tcPr>
                      <w:p>
                        <w:pPr/>
                      </w:p>
                    </w:tc>
                  </w:tr>
                  <w:tr>
                    <w:trPr>
                      <w:trHeight w:val="356" w:hRule="exact"/>
                    </w:trPr>
                    <w:tc>
                      <w:tcPr>
                        <w:tcW w:w="8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肖忠祥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1"/>
                            <w:szCs w:val="21"/>
                          </w:rPr>
                        </w:pPr>
                        <w:r>
                          <w:rPr>
                            <w:rFonts w:ascii="Times New Roman"/>
                            <w:sz w:val="21"/>
                          </w:rPr>
                          <w:t>40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06" w:type="dxa"/>
                        <w:tcBorders>
                          <w:top w:val="single" w:sz="4" w:space="0" w:color="000000"/>
                          <w:left w:val="single" w:sz="4" w:space="0" w:color="000000"/>
                          <w:bottom w:val="single" w:sz="4" w:space="0" w:color="000000"/>
                          <w:right w:val="single" w:sz="12" w:space="0" w:color="000000"/>
                        </w:tcBorders>
                      </w:tcPr>
                      <w:p>
                        <w:pPr/>
                      </w:p>
                    </w:tc>
                  </w:tr>
                  <w:tr>
                    <w:trPr>
                      <w:trHeight w:val="368" w:hRule="exact"/>
                    </w:trPr>
                    <w:tc>
                      <w:tcPr>
                        <w:tcW w:w="860" w:type="dxa"/>
                        <w:tcBorders>
                          <w:top w:val="single" w:sz="4" w:space="0" w:color="000000"/>
                          <w:left w:val="single" w:sz="12" w:space="0" w:color="000000"/>
                          <w:bottom w:val="single" w:sz="12" w:space="0" w:color="000000"/>
                          <w:right w:val="single" w:sz="4" w:space="0" w:color="000000"/>
                        </w:tcBorders>
                      </w:tcPr>
                      <w:p>
                        <w:pPr>
                          <w:pStyle w:val="TableParagraph"/>
                          <w:tabs>
                            <w:tab w:pos="421" w:val="left" w:leader="none"/>
                          </w:tabs>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朱</w:t>
                          <w:tab/>
                          <w:t>华</w:t>
                        </w:r>
                      </w:p>
                    </w:tc>
                    <w:tc>
                      <w:tcPr>
                        <w:tcW w:w="5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1"/>
                            <w:szCs w:val="21"/>
                          </w:rPr>
                        </w:pPr>
                        <w:r>
                          <w:rPr>
                            <w:rFonts w:ascii="Times New Roman"/>
                            <w:sz w:val="21"/>
                          </w:rPr>
                          <w:t>46</w:t>
                        </w:r>
                      </w:p>
                    </w:tc>
                    <w:tc>
                      <w:tcPr>
                        <w:tcW w:w="5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left="-1"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25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0</w:t>
                        </w:r>
                      </w:p>
                    </w:tc>
                    <w:tc>
                      <w:tcPr>
                        <w:tcW w:w="1406" w:type="dxa"/>
                        <w:tcBorders>
                          <w:top w:val="single" w:sz="4" w:space="0" w:color="000000"/>
                          <w:left w:val="single" w:sz="4" w:space="0" w:color="000000"/>
                          <w:bottom w:val="single" w:sz="12" w:space="0" w:color="000000"/>
                          <w:right w:val="single" w:sz="12" w:space="0" w:color="000000"/>
                        </w:tcBorders>
                      </w:tcPr>
                      <w:p>
                        <w:pP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0" w:right="107"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line="338" w:lineRule="auto" w:before="35"/>
        <w:ind w:left="599" w:right="638" w:firstLine="482"/>
        <w:jc w:val="left"/>
        <w:rPr>
          <w:rFonts w:ascii="宋体" w:hAnsi="宋体" w:cs="宋体" w:eastAsia="宋体" w:hint="default"/>
          <w:sz w:val="21"/>
          <w:szCs w:val="21"/>
        </w:rPr>
      </w:pPr>
      <w:r>
        <w:rPr>
          <w:rFonts w:ascii="宋体" w:hAnsi="宋体" w:cs="宋体" w:eastAsia="宋体" w:hint="default"/>
          <w:sz w:val="21"/>
          <w:szCs w:val="21"/>
        </w:rPr>
        <w:t>注：董事、监事、高级管理人员持有股票期权情况详见下文第</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3"/>
          <w:sz w:val="21"/>
          <w:szCs w:val="21"/>
        </w:rPr>
        <w:t> </w:t>
      </w:r>
      <w:r>
        <w:rPr>
          <w:rFonts w:ascii="宋体" w:hAnsi="宋体" w:cs="宋体" w:eastAsia="宋体" w:hint="default"/>
          <w:spacing w:val="-3"/>
          <w:sz w:val="21"/>
          <w:szCs w:val="21"/>
        </w:rPr>
        <w:t>点“公司董事、监事、高级管</w:t>
      </w:r>
      <w:r>
        <w:rPr>
          <w:rFonts w:ascii="宋体" w:hAnsi="宋体" w:cs="宋体" w:eastAsia="宋体" w:hint="default"/>
          <w:sz w:val="21"/>
          <w:szCs w:val="21"/>
        </w:rPr>
        <w:t> </w:t>
      </w:r>
      <w:r>
        <w:rPr>
          <w:rFonts w:ascii="宋体" w:hAnsi="宋体" w:cs="宋体" w:eastAsia="宋体" w:hint="default"/>
          <w:spacing w:val="-5"/>
          <w:sz w:val="21"/>
          <w:szCs w:val="21"/>
        </w:rPr>
        <w:t>理人员报告期内被授予的股票期权及相关行权情况”。</w:t>
      </w:r>
    </w:p>
    <w:p>
      <w:pPr>
        <w:pStyle w:val="BodyText"/>
        <w:spacing w:line="240" w:lineRule="auto" w:before="163"/>
        <w:ind w:left="1082" w:right="638"/>
        <w:jc w:val="left"/>
      </w:pPr>
      <w:r>
        <w:rPr>
          <w:rFonts w:ascii="Times New Roman" w:hAnsi="Times New Roman" w:cs="Times New Roman" w:eastAsia="Times New Roman" w:hint="default"/>
        </w:rPr>
        <w:t>2</w:t>
      </w:r>
      <w:r>
        <w:rPr/>
        <w:t>、公司的董事、监事不存在在股东单位任职的情况。</w:t>
      </w:r>
    </w:p>
    <w:p>
      <w:pPr>
        <w:pStyle w:val="BodyText"/>
        <w:spacing w:line="240" w:lineRule="auto" w:before="135"/>
        <w:ind w:left="1080" w:right="0"/>
        <w:jc w:val="left"/>
      </w:pPr>
      <w:r>
        <w:rPr>
          <w:rFonts w:ascii="Times New Roman" w:hAnsi="Times New Roman" w:cs="Times New Roman" w:eastAsia="Times New Roman" w:hint="default"/>
          <w:spacing w:val="-10"/>
        </w:rPr>
        <w:t>3</w:t>
      </w:r>
      <w:r>
        <w:rPr>
          <w:spacing w:val="-10"/>
        </w:rPr>
        <w:t>、现任董事、监事、高级管理人员的主要工作经历和在其他单位的任职或兼职情况：</w:t>
      </w:r>
      <w:r>
        <w:rPr/>
      </w:r>
    </w:p>
    <w:p>
      <w:pPr>
        <w:pStyle w:val="BodyText"/>
        <w:spacing w:line="240" w:lineRule="auto" w:before="135"/>
        <w:ind w:left="1080" w:right="638"/>
        <w:jc w:val="left"/>
      </w:pPr>
      <w:r>
        <w:rPr/>
        <w:t>（</w:t>
      </w:r>
      <w:r>
        <w:rPr>
          <w:rFonts w:ascii="Times New Roman" w:hAnsi="Times New Roman" w:cs="Times New Roman" w:eastAsia="Times New Roman" w:hint="default"/>
        </w:rPr>
        <w:t>1</w:t>
      </w:r>
      <w:r>
        <w:rPr/>
        <w:t>）董事</w:t>
      </w:r>
    </w:p>
    <w:p>
      <w:pPr>
        <w:pStyle w:val="BodyText"/>
        <w:spacing w:line="352" w:lineRule="auto" w:before="135"/>
        <w:ind w:left="599" w:right="652" w:firstLine="480"/>
        <w:jc w:val="both"/>
      </w:pPr>
      <w:r>
        <w:rPr/>
        <w:t>张近东先生 公司实际控制人，</w:t>
      </w:r>
      <w:r>
        <w:rPr>
          <w:rFonts w:ascii="Times New Roman" w:hAnsi="Times New Roman" w:cs="Times New Roman" w:eastAsia="Times New Roman" w:hint="default"/>
        </w:rPr>
        <w:t>48</w:t>
      </w:r>
      <w:r>
        <w:rPr>
          <w:rFonts w:ascii="Times New Roman" w:hAnsi="Times New Roman" w:cs="Times New Roman" w:eastAsia="Times New Roman" w:hint="default"/>
          <w:spacing w:val="1"/>
        </w:rPr>
        <w:t> </w:t>
      </w:r>
      <w:r>
        <w:rPr/>
        <w:t>岁，汉族，本科学历，曾任江苏苏宁交家电有 </w:t>
      </w:r>
      <w:r>
        <w:rPr>
          <w:spacing w:val="-3"/>
        </w:rPr>
        <w:t>限公司董事长兼总经理、中国人民政治协商会议第十届全国委员会委员、中华全国工商</w:t>
      </w:r>
      <w:r>
        <w:rPr>
          <w:spacing w:val="-98"/>
        </w:rPr>
        <w:t> </w:t>
      </w:r>
      <w:r>
        <w:rPr>
          <w:spacing w:val="-98"/>
        </w:rPr>
      </w:r>
      <w:r>
        <w:rPr>
          <w:spacing w:val="-3"/>
        </w:rPr>
        <w:t>业联合会常委，现任苏宁电器股份有限公司董事长、中国人民政治协商会议第十一届全</w:t>
      </w:r>
      <w:r>
        <w:rPr>
          <w:spacing w:val="-98"/>
        </w:rPr>
        <w:t> </w:t>
      </w:r>
      <w:r>
        <w:rPr>
          <w:spacing w:val="-98"/>
        </w:rPr>
      </w:r>
      <w:r>
        <w:rPr>
          <w:spacing w:val="-3"/>
        </w:rPr>
        <w:t>国委员会委员、中华全国工商业联合会副主席、江苏省第十一届人民代表大会代表。无</w:t>
      </w:r>
      <w:r>
        <w:rPr>
          <w:spacing w:val="-96"/>
        </w:rPr>
        <w:t> </w:t>
      </w:r>
      <w:r>
        <w:rPr>
          <w:spacing w:val="-96"/>
        </w:rPr>
      </w:r>
      <w:r>
        <w:rPr/>
        <w:t>在其他单位任职或兼职情况。</w:t>
      </w:r>
    </w:p>
    <w:p>
      <w:pPr>
        <w:pStyle w:val="BodyText"/>
        <w:tabs>
          <w:tab w:pos="2527" w:val="left" w:leader="none"/>
        </w:tabs>
        <w:spacing w:line="240" w:lineRule="auto" w:before="41"/>
        <w:ind w:left="1081" w:right="638"/>
        <w:jc w:val="left"/>
      </w:pPr>
      <w:r>
        <w:rPr/>
        <w:t>孙为民先生</w:t>
        <w:tab/>
      </w:r>
      <w:r>
        <w:rPr>
          <w:rFonts w:ascii="Times New Roman" w:hAnsi="Times New Roman" w:cs="Times New Roman" w:eastAsia="Times New Roman" w:hint="default"/>
        </w:rPr>
        <w:t>48</w:t>
      </w:r>
      <w:r>
        <w:rPr>
          <w:rFonts w:ascii="Times New Roman" w:hAnsi="Times New Roman" w:cs="Times New Roman" w:eastAsia="Times New Roman" w:hint="default"/>
          <w:spacing w:val="58"/>
        </w:rPr>
        <w:t> </w:t>
      </w:r>
      <w:r>
        <w:rPr/>
        <w:t>岁，汉族，硕士学历，曾在南京理工大学执教，曾任苏宁交家电</w:t>
      </w:r>
    </w:p>
    <w:p>
      <w:pPr>
        <w:pStyle w:val="BodyText"/>
        <w:spacing w:line="357" w:lineRule="auto" w:before="135"/>
        <w:ind w:left="600" w:right="562"/>
        <w:jc w:val="both"/>
      </w:pPr>
      <w:r>
        <w:rPr>
          <w:spacing w:val="-3"/>
        </w:rPr>
        <w:t>（集团）有限公司副总裁，苏宁电器股份有限公司总裁，现任苏宁电器股份有限公司副</w:t>
      </w:r>
      <w:r>
        <w:rPr>
          <w:spacing w:val="-96"/>
        </w:rPr>
        <w:t> </w:t>
      </w:r>
      <w:r>
        <w:rPr>
          <w:spacing w:val="-96"/>
        </w:rPr>
      </w:r>
      <w:r>
        <w:rPr>
          <w:spacing w:val="-3"/>
        </w:rPr>
        <w:t>董事长、中国连锁经营协会副会长、清华大学中国零售研究院专家委员、中国电子商会</w:t>
      </w:r>
      <w:r>
        <w:rPr>
          <w:spacing w:val="-96"/>
        </w:rPr>
        <w:t> </w:t>
      </w:r>
      <w:r>
        <w:rPr>
          <w:spacing w:val="-96"/>
        </w:rPr>
      </w:r>
      <w:r>
        <w:rPr/>
        <w:t>副会长、南京市政协常委、南京市鼓楼区人大常委、北京苏宁电器有限公司法人代表、</w:t>
      </w:r>
    </w:p>
    <w:p>
      <w:pPr>
        <w:spacing w:after="0" w:line="357" w:lineRule="auto"/>
        <w:jc w:val="both"/>
        <w:sectPr>
          <w:pgSz w:w="11910" w:h="16840"/>
          <w:pgMar w:header="748" w:footer="714" w:top="980" w:bottom="900" w:left="840" w:right="780"/>
        </w:sectPr>
      </w:pPr>
    </w:p>
    <w:p>
      <w:pPr>
        <w:spacing w:line="240" w:lineRule="auto" w:before="7"/>
        <w:rPr>
          <w:rFonts w:ascii="宋体" w:hAnsi="宋体" w:cs="宋体" w:eastAsia="宋体" w:hint="default"/>
          <w:sz w:val="29"/>
          <w:szCs w:val="29"/>
        </w:rPr>
      </w:pPr>
    </w:p>
    <w:p>
      <w:pPr>
        <w:pStyle w:val="BodyText"/>
        <w:spacing w:line="357" w:lineRule="auto" w:before="26"/>
        <w:ind w:right="233"/>
        <w:jc w:val="both"/>
      </w:pPr>
      <w:r>
        <w:rPr>
          <w:spacing w:val="-3"/>
        </w:rPr>
        <w:t>陕西苏宁电器有限责任公司法人代表、深圳市苏宁电器有限公司法人代表、江苏苏宁地</w:t>
      </w:r>
      <w:r>
        <w:rPr>
          <w:spacing w:val="-98"/>
        </w:rPr>
        <w:t> </w:t>
      </w:r>
      <w:r>
        <w:rPr>
          <w:spacing w:val="-98"/>
        </w:rPr>
      </w:r>
      <w:r>
        <w:rPr/>
        <w:t>铁商业管理有限公司法人代表。</w:t>
      </w:r>
    </w:p>
    <w:p>
      <w:pPr>
        <w:pStyle w:val="BodyText"/>
        <w:tabs>
          <w:tab w:pos="1103" w:val="left" w:leader="none"/>
          <w:tab w:pos="2067" w:val="left" w:leader="none"/>
        </w:tabs>
        <w:spacing w:line="352" w:lineRule="auto" w:before="36"/>
        <w:ind w:right="142" w:firstLine="480"/>
        <w:jc w:val="left"/>
      </w:pPr>
      <w:r>
        <w:rPr/>
        <w:t>金</w:t>
        <w:tab/>
        <w:t>明先生</w:t>
        <w:tab/>
      </w:r>
      <w:r>
        <w:rPr>
          <w:rFonts w:ascii="Times New Roman" w:hAnsi="Times New Roman" w:cs="Times New Roman" w:eastAsia="Times New Roman" w:hint="default"/>
        </w:rPr>
        <w:t>40 </w:t>
      </w:r>
      <w:r>
        <w:rPr>
          <w:rFonts w:ascii="Times New Roman" w:hAnsi="Times New Roman" w:cs="Times New Roman" w:eastAsia="Times New Roman" w:hint="default"/>
          <w:spacing w:val="1"/>
        </w:rPr>
        <w:t> </w:t>
      </w:r>
      <w:r>
        <w:rPr/>
        <w:t>岁，汉族，本科学历，曾任苏宁交家电（集团）有限公司营销管 理中心总监，苏宁电器股份有限公司副总裁，现任苏宁电器股份有限公司董事、总裁、 </w:t>
      </w:r>
      <w:r>
        <w:rPr>
          <w:spacing w:val="-3"/>
        </w:rPr>
        <w:t>南京电子商务协会理事长、江苏苏宁贸易有限公司法人代表、南京苏宁工程设备销售有</w:t>
      </w:r>
      <w:r>
        <w:rPr>
          <w:spacing w:val="-98"/>
        </w:rPr>
        <w:t> </w:t>
      </w:r>
      <w:r>
        <w:rPr>
          <w:spacing w:val="-98"/>
        </w:rPr>
      </w:r>
      <w:r>
        <w:rPr>
          <w:spacing w:val="-3"/>
        </w:rPr>
        <w:t>限公司法人代表、江苏松桥电器有限公司法人代表、江苏苏宁中央空调工程有限公司法</w:t>
      </w:r>
      <w:r>
        <w:rPr>
          <w:spacing w:val="-98"/>
        </w:rPr>
        <w:t> </w:t>
      </w:r>
      <w:r>
        <w:rPr>
          <w:spacing w:val="-98"/>
        </w:rPr>
      </w:r>
      <w:r>
        <w:rPr>
          <w:spacing w:val="-3"/>
        </w:rPr>
        <w:t>人代表、江苏酷博睿电器有限公司法人代表、南京苏宁电器有限公司法人代表、香港苏</w:t>
      </w:r>
      <w:r>
        <w:rPr>
          <w:spacing w:val="-96"/>
        </w:rPr>
        <w:t> </w:t>
      </w:r>
      <w:r>
        <w:rPr>
          <w:spacing w:val="-96"/>
        </w:rPr>
      </w:r>
      <w:r>
        <w:rPr/>
        <w:t>宁电器有限公司董事、</w:t>
      </w:r>
      <w:r>
        <w:rPr>
          <w:rFonts w:ascii="Times New Roman" w:hAnsi="Times New Roman" w:cs="Times New Roman" w:eastAsia="Times New Roman" w:hint="default"/>
        </w:rPr>
        <w:t>GRANDA MAGIC LIMITED  </w:t>
      </w:r>
      <w:r>
        <w:rPr>
          <w:spacing w:val="-4"/>
        </w:rPr>
        <w:t>董事、</w:t>
      </w:r>
      <w:r>
        <w:rPr>
          <w:rFonts w:ascii="Times New Roman" w:hAnsi="Times New Roman" w:cs="Times New Roman" w:eastAsia="Times New Roman" w:hint="default"/>
          <w:spacing w:val="-4"/>
        </w:rPr>
        <w:t>GREAT </w:t>
      </w:r>
      <w:r>
        <w:rPr>
          <w:rFonts w:ascii="Times New Roman" w:hAnsi="Times New Roman" w:cs="Times New Roman" w:eastAsia="Times New Roman" w:hint="default"/>
        </w:rPr>
        <w:t>ELITE LIMITED</w:t>
      </w:r>
      <w:r>
        <w:rPr>
          <w:rFonts w:ascii="Times New Roman" w:hAnsi="Times New Roman" w:cs="Times New Roman" w:eastAsia="Times New Roman" w:hint="default"/>
          <w:spacing w:val="-10"/>
        </w:rPr>
        <w:t> </w:t>
      </w:r>
      <w:r>
        <w:rPr/>
        <w:t>董</w:t>
      </w:r>
    </w:p>
    <w:p>
      <w:pPr>
        <w:pStyle w:val="BodyText"/>
        <w:spacing w:line="357" w:lineRule="auto" w:before="11"/>
        <w:ind w:right="232"/>
        <w:jc w:val="both"/>
      </w:pPr>
      <w:r>
        <w:rPr>
          <w:spacing w:val="-3"/>
        </w:rPr>
        <w:t>事、香港苏宁采购有限公司董事、香港苏宁镭射电器有限公司董事、香港港宁广告有限</w:t>
      </w:r>
      <w:r>
        <w:rPr>
          <w:spacing w:val="-96"/>
        </w:rPr>
        <w:t> </w:t>
      </w:r>
      <w:r>
        <w:rPr>
          <w:spacing w:val="-96"/>
        </w:rPr>
      </w:r>
      <w:r>
        <w:rPr>
          <w:spacing w:val="-3"/>
        </w:rPr>
        <w:t>公司董事、超霸发展有限公司董事、南京白下苏宁电器有限公司法人代表、江苏法迪欧</w:t>
      </w:r>
      <w:r>
        <w:rPr>
          <w:spacing w:val="-96"/>
        </w:rPr>
        <w:t> </w:t>
      </w:r>
      <w:r>
        <w:rPr>
          <w:spacing w:val="-96"/>
        </w:rPr>
      </w:r>
      <w:r>
        <w:rPr>
          <w:spacing w:val="-3"/>
        </w:rPr>
        <w:t>电器有限公司法人代表、江苏苏宁易购电子商务有限公司法人代表，南京苏宁易付宝网</w:t>
      </w:r>
      <w:r>
        <w:rPr>
          <w:spacing w:val="-98"/>
        </w:rPr>
        <w:t> </w:t>
      </w:r>
      <w:r>
        <w:rPr>
          <w:spacing w:val="-98"/>
        </w:rPr>
      </w:r>
      <w:r>
        <w:rPr/>
        <w:t>络科技有限公司法人代表。</w:t>
      </w:r>
    </w:p>
    <w:p>
      <w:pPr>
        <w:pStyle w:val="BodyText"/>
        <w:spacing w:line="348" w:lineRule="auto" w:before="36"/>
        <w:ind w:right="232" w:firstLine="480"/>
        <w:jc w:val="both"/>
      </w:pPr>
      <w:r>
        <w:rPr/>
        <w:t>孟祥胜先生 </w:t>
      </w:r>
      <w:r>
        <w:rPr>
          <w:rFonts w:ascii="Times New Roman" w:hAnsi="Times New Roman" w:cs="Times New Roman" w:eastAsia="Times New Roman" w:hint="default"/>
        </w:rPr>
        <w:t>39</w:t>
      </w:r>
      <w:r>
        <w:rPr>
          <w:rFonts w:ascii="Times New Roman" w:hAnsi="Times New Roman" w:cs="Times New Roman" w:eastAsia="Times New Roman" w:hint="default"/>
          <w:spacing w:val="3"/>
        </w:rPr>
        <w:t> </w:t>
      </w:r>
      <w:r>
        <w:rPr/>
        <w:t>岁，汉族，本科学历，曾任海尔药业浙江市场部经理、南京东方 </w:t>
      </w:r>
      <w:r>
        <w:rPr>
          <w:spacing w:val="-3"/>
        </w:rPr>
        <w:t>智业管理咨询顾问公司管理顾问，现任苏宁电器股份有限公司董事、副总裁。无在其他</w:t>
      </w:r>
      <w:r>
        <w:rPr>
          <w:spacing w:val="-96"/>
        </w:rPr>
        <w:t> </w:t>
      </w:r>
      <w:r>
        <w:rPr>
          <w:spacing w:val="-96"/>
        </w:rPr>
      </w:r>
      <w:r>
        <w:rPr/>
        <w:t>单位任职或兼职情况。</w:t>
      </w:r>
    </w:p>
    <w:p>
      <w:pPr>
        <w:pStyle w:val="BodyText"/>
        <w:tabs>
          <w:tab w:pos="1099" w:val="left" w:leader="none"/>
          <w:tab w:pos="2059" w:val="left" w:leader="none"/>
        </w:tabs>
        <w:spacing w:line="338" w:lineRule="auto" w:before="46"/>
        <w:ind w:right="112" w:firstLine="480"/>
        <w:jc w:val="left"/>
      </w:pPr>
      <w:r>
        <w:rPr/>
        <w:t>任</w:t>
        <w:tab/>
        <w:t>峻先生</w:t>
        <w:tab/>
      </w:r>
      <w:r>
        <w:rPr>
          <w:rFonts w:ascii="Times New Roman" w:hAnsi="Times New Roman" w:cs="Times New Roman" w:eastAsia="Times New Roman" w:hint="default"/>
        </w:rPr>
        <w:t>34</w:t>
      </w:r>
      <w:r>
        <w:rPr>
          <w:rFonts w:ascii="Times New Roman" w:hAnsi="Times New Roman" w:cs="Times New Roman" w:eastAsia="Times New Roman" w:hint="default"/>
          <w:spacing w:val="1"/>
        </w:rPr>
        <w:t> </w:t>
      </w:r>
      <w:r>
        <w:rPr>
          <w:spacing w:val="-2"/>
        </w:rPr>
        <w:t>岁，汉族，本科学历，现任苏宁电器股份有限公司董事、副总裁、</w:t>
      </w:r>
      <w:r>
        <w:rPr>
          <w:spacing w:val="-1"/>
        </w:rPr>
        <w:t> </w:t>
      </w:r>
      <w:r>
        <w:rPr/>
        <w:t>董事会秘书。无在其他单位任职或兼职情况。</w:t>
      </w:r>
    </w:p>
    <w:p>
      <w:pPr>
        <w:pStyle w:val="BodyText"/>
        <w:tabs>
          <w:tab w:pos="1103" w:val="left" w:leader="none"/>
          <w:tab w:pos="2067" w:val="left" w:leader="none"/>
        </w:tabs>
        <w:spacing w:line="348" w:lineRule="auto" w:before="55"/>
        <w:ind w:right="142" w:firstLine="480"/>
        <w:jc w:val="left"/>
      </w:pPr>
      <w:r>
        <w:rPr/>
        <w:t>李</w:t>
        <w:tab/>
        <w:t>东先生</w:t>
        <w:tab/>
      </w:r>
      <w:r>
        <w:rPr>
          <w:rFonts w:ascii="Times New Roman" w:hAnsi="Times New Roman" w:cs="Times New Roman" w:eastAsia="Times New Roman" w:hint="default"/>
        </w:rPr>
        <w:t>50 </w:t>
      </w:r>
      <w:r>
        <w:rPr>
          <w:rFonts w:ascii="Times New Roman" w:hAnsi="Times New Roman" w:cs="Times New Roman" w:eastAsia="Times New Roman" w:hint="default"/>
          <w:spacing w:val="1"/>
        </w:rPr>
        <w:t> </w:t>
      </w:r>
      <w:r>
        <w:rPr/>
        <w:t>岁，汉族，管理学博士，曾在石油部地球物理勘查局、金陵石化 等单位任职，现任江苏省注册管理顾问师协会理事长，东南大学经济管理学院副院长、 博士生导师，本公司董事。</w:t>
      </w:r>
    </w:p>
    <w:p>
      <w:pPr>
        <w:pStyle w:val="BodyText"/>
        <w:tabs>
          <w:tab w:pos="2065" w:val="left" w:leader="none"/>
        </w:tabs>
        <w:spacing w:line="348" w:lineRule="auto" w:before="46"/>
        <w:ind w:right="142" w:firstLine="480"/>
        <w:jc w:val="left"/>
      </w:pPr>
      <w:r>
        <w:rPr/>
        <w:t>沈坤荣先生</w:t>
        <w:tab/>
      </w:r>
      <w:r>
        <w:rPr>
          <w:rFonts w:ascii="Times New Roman" w:hAnsi="Times New Roman" w:cs="Times New Roman" w:eastAsia="Times New Roman" w:hint="default"/>
        </w:rPr>
        <w:t>48 </w:t>
      </w:r>
      <w:r>
        <w:rPr>
          <w:rFonts w:ascii="Times New Roman" w:hAnsi="Times New Roman" w:cs="Times New Roman" w:eastAsia="Times New Roman" w:hint="default"/>
          <w:spacing w:val="1"/>
        </w:rPr>
        <w:t> </w:t>
      </w:r>
      <w:r>
        <w:rPr/>
        <w:t>岁，汉族，研究生学历，曾任中国社科院博士后，南京大学经济 系教授、博导，美国斯坦福大学高级研究学者，现任南京大学经济学院副院长、教授、 博导，江苏交通经济研究会会长，本公司独立董事。</w:t>
      </w:r>
    </w:p>
    <w:p>
      <w:pPr>
        <w:pStyle w:val="BodyText"/>
        <w:spacing w:line="348" w:lineRule="auto" w:before="46"/>
        <w:ind w:right="233" w:firstLine="480"/>
        <w:jc w:val="both"/>
      </w:pPr>
      <w:r>
        <w:rPr/>
        <w:t>孙剑平先生 </w:t>
      </w:r>
      <w:r>
        <w:rPr>
          <w:rFonts w:ascii="Times New Roman" w:hAnsi="Times New Roman" w:cs="Times New Roman" w:eastAsia="Times New Roman" w:hint="default"/>
        </w:rPr>
        <w:t>58</w:t>
      </w:r>
      <w:r>
        <w:rPr>
          <w:rFonts w:ascii="Times New Roman" w:hAnsi="Times New Roman" w:cs="Times New Roman" w:eastAsia="Times New Roman" w:hint="default"/>
          <w:spacing w:val="3"/>
        </w:rPr>
        <w:t> </w:t>
      </w:r>
      <w:r>
        <w:rPr/>
        <w:t>岁，汉族，研究生学历，曾任南京理工大学经济学系主任、人文 </w:t>
      </w:r>
      <w:r>
        <w:rPr>
          <w:spacing w:val="-3"/>
        </w:rPr>
        <w:t>学院副院长，现任南京理工大学人力资源管理研究中心主任、教授、博士生导师，本公</w:t>
      </w:r>
      <w:r>
        <w:rPr>
          <w:spacing w:val="-98"/>
        </w:rPr>
        <w:t> </w:t>
      </w:r>
      <w:r>
        <w:rPr>
          <w:spacing w:val="-98"/>
        </w:rPr>
      </w:r>
      <w:r>
        <w:rPr/>
        <w:t>司独立董事。</w:t>
      </w:r>
    </w:p>
    <w:p>
      <w:pPr>
        <w:pStyle w:val="BodyText"/>
        <w:tabs>
          <w:tab w:pos="2065" w:val="left" w:leader="none"/>
        </w:tabs>
        <w:spacing w:line="338" w:lineRule="auto" w:before="46"/>
        <w:ind w:right="233" w:firstLine="480"/>
        <w:jc w:val="left"/>
      </w:pPr>
      <w:r>
        <w:rPr/>
        <w:t>戴新民先生</w:t>
        <w:tab/>
      </w:r>
      <w:r>
        <w:rPr>
          <w:rFonts w:ascii="Times New Roman" w:hAnsi="Times New Roman" w:cs="Times New Roman" w:eastAsia="Times New Roman" w:hint="default"/>
        </w:rPr>
        <w:t>49 </w:t>
      </w:r>
      <w:r>
        <w:rPr>
          <w:rFonts w:ascii="Times New Roman" w:hAnsi="Times New Roman" w:cs="Times New Roman" w:eastAsia="Times New Roman" w:hint="default"/>
          <w:spacing w:val="1"/>
        </w:rPr>
        <w:t> </w:t>
      </w:r>
      <w:r>
        <w:rPr/>
        <w:t>岁，汉族，本科学历，注册会计师，曾任安徽工业大学管理学院 教师，现任南京理工大学经济管理学院会计系教授，本公司独立董事。</w:t>
      </w:r>
    </w:p>
    <w:p>
      <w:pPr>
        <w:pStyle w:val="BodyText"/>
        <w:spacing w:line="240" w:lineRule="auto" w:before="55"/>
        <w:ind w:left="620" w:right="217"/>
        <w:jc w:val="left"/>
      </w:pPr>
      <w:r>
        <w:rPr/>
        <w:t>（</w:t>
      </w:r>
      <w:r>
        <w:rPr>
          <w:rFonts w:ascii="Times New Roman" w:hAnsi="Times New Roman" w:cs="Times New Roman" w:eastAsia="Times New Roman" w:hint="default"/>
        </w:rPr>
        <w:t>2</w:t>
      </w:r>
      <w:r>
        <w:rPr/>
        <w:t>）监事</w:t>
      </w:r>
    </w:p>
    <w:p>
      <w:pPr>
        <w:pStyle w:val="BodyText"/>
        <w:tabs>
          <w:tab w:pos="2013" w:val="left" w:leader="none"/>
        </w:tabs>
        <w:spacing w:line="338" w:lineRule="auto" w:before="135"/>
        <w:ind w:left="139" w:right="232" w:firstLine="480"/>
        <w:jc w:val="left"/>
      </w:pPr>
      <w:r>
        <w:rPr>
          <w:spacing w:val="-7"/>
        </w:rPr>
        <w:t>李建颖女士</w:t>
        <w:tab/>
      </w:r>
      <w:r>
        <w:rPr>
          <w:rFonts w:ascii="Times New Roman" w:hAnsi="Times New Roman" w:cs="Times New Roman" w:eastAsia="Times New Roman" w:hint="default"/>
        </w:rPr>
        <w:t>42</w:t>
      </w:r>
      <w:r>
        <w:rPr>
          <w:rFonts w:ascii="Times New Roman" w:hAnsi="Times New Roman" w:cs="Times New Roman" w:eastAsia="Times New Roman" w:hint="default"/>
          <w:spacing w:val="15"/>
        </w:rPr>
        <w:t> </w:t>
      </w:r>
      <w:r>
        <w:rPr>
          <w:spacing w:val="-12"/>
        </w:rPr>
        <w:t>岁，汉族，本科学历，曾在南京市紫金无线电厂任职，现任苏宁电器 股份有限公司结算管理中心总监，公司监事会主席。无在其他单位任职或兼职情况。</w:t>
      </w:r>
      <w:r>
        <w:rPr/>
      </w:r>
    </w:p>
    <w:p>
      <w:pPr>
        <w:spacing w:after="0" w:line="338" w:lineRule="auto"/>
        <w:jc w:val="left"/>
        <w:sectPr>
          <w:footerReference w:type="default" r:id="rId11"/>
          <w:pgSz w:w="11910" w:h="16840"/>
          <w:pgMar w:footer="714" w:header="748" w:top="980" w:bottom="900" w:left="1300" w:right="1200"/>
          <w:pgNumType w:start="15"/>
        </w:sectPr>
      </w:pPr>
    </w:p>
    <w:p>
      <w:pPr>
        <w:spacing w:line="240" w:lineRule="auto" w:before="7"/>
        <w:rPr>
          <w:rFonts w:ascii="宋体" w:hAnsi="宋体" w:cs="宋体" w:eastAsia="宋体" w:hint="default"/>
          <w:sz w:val="29"/>
          <w:szCs w:val="29"/>
        </w:rPr>
      </w:pPr>
    </w:p>
    <w:p>
      <w:pPr>
        <w:pStyle w:val="BodyText"/>
        <w:tabs>
          <w:tab w:pos="1685" w:val="left" w:leader="none"/>
          <w:tab w:pos="2104" w:val="left" w:leader="none"/>
        </w:tabs>
        <w:spacing w:line="345" w:lineRule="auto" w:before="26"/>
        <w:ind w:left="240" w:right="235" w:firstLine="480"/>
        <w:jc w:val="right"/>
      </w:pPr>
      <w:r>
        <w:rPr>
          <w:spacing w:val="-7"/>
        </w:rPr>
        <w:t>汪晓玲女士</w:t>
        <w:tab/>
      </w:r>
      <w:r>
        <w:rPr>
          <w:rFonts w:ascii="Times New Roman" w:hAnsi="Times New Roman" w:cs="Times New Roman" w:eastAsia="Times New Roman" w:hint="default"/>
        </w:rPr>
        <w:t>38</w:t>
      </w:r>
      <w:r>
        <w:rPr>
          <w:rFonts w:ascii="Times New Roman" w:hAnsi="Times New Roman" w:cs="Times New Roman" w:eastAsia="Times New Roman" w:hint="default"/>
          <w:spacing w:val="2"/>
        </w:rPr>
        <w:t> </w:t>
      </w:r>
      <w:r>
        <w:rPr>
          <w:spacing w:val="-12"/>
        </w:rPr>
        <w:t>岁，汉族，本科学历，曾任南京新闻发展公司办公室主任，现任苏宁</w:t>
      </w:r>
      <w:r>
        <w:rPr>
          <w:spacing w:val="-9"/>
        </w:rPr>
        <w:t> 电器股份有限公司财务支持中心常务副总监、公司监事。无在其他单位任职或兼职情况。</w:t>
      </w:r>
      <w:r>
        <w:rPr>
          <w:spacing w:val="-109"/>
        </w:rPr>
        <w:t> </w:t>
      </w:r>
      <w:r>
        <w:rPr>
          <w:spacing w:val="-109"/>
        </w:rPr>
      </w:r>
      <w:r>
        <w:rPr/>
        <w:t>肖忠祥先生</w:t>
        <w:tab/>
      </w:r>
      <w:r>
        <w:rPr>
          <w:rFonts w:ascii="Times New Roman" w:hAnsi="Times New Roman" w:cs="Times New Roman" w:eastAsia="Times New Roman" w:hint="default"/>
        </w:rPr>
        <w:t>40 </w:t>
      </w:r>
      <w:r>
        <w:rPr>
          <w:rFonts w:ascii="Times New Roman" w:hAnsi="Times New Roman" w:cs="Times New Roman" w:eastAsia="Times New Roman" w:hint="default"/>
          <w:spacing w:val="1"/>
        </w:rPr>
        <w:t> </w:t>
      </w:r>
      <w:r>
        <w:rPr/>
        <w:t>岁，汉族，本科学历，曾任南京无线电八厂会计、苏宁电器股份 </w:t>
      </w:r>
      <w:r>
        <w:rPr>
          <w:spacing w:val="-3"/>
        </w:rPr>
        <w:t>有限公司财务部经理，现任公司财务规划中心副总监、会计机构负责人、公司监事。无</w:t>
      </w:r>
    </w:p>
    <w:p>
      <w:pPr>
        <w:pStyle w:val="BodyText"/>
        <w:spacing w:line="240" w:lineRule="auto" w:before="48"/>
        <w:ind w:left="221" w:right="6143"/>
        <w:jc w:val="center"/>
      </w:pPr>
      <w:r>
        <w:rPr/>
        <w:t>在其他单位任职或兼职情况。</w:t>
      </w:r>
    </w:p>
    <w:p>
      <w:pPr>
        <w:pStyle w:val="BodyText"/>
        <w:spacing w:line="240" w:lineRule="auto" w:before="154"/>
        <w:ind w:left="720" w:right="2202"/>
        <w:jc w:val="left"/>
      </w:pPr>
      <w:r>
        <w:rPr/>
        <w:t>（</w:t>
      </w:r>
      <w:r>
        <w:rPr>
          <w:rFonts w:ascii="Times New Roman" w:hAnsi="Times New Roman" w:cs="Times New Roman" w:eastAsia="Times New Roman" w:hint="default"/>
        </w:rPr>
        <w:t>3</w:t>
      </w:r>
      <w:r>
        <w:rPr/>
        <w:t>）高级管理人员</w:t>
      </w:r>
    </w:p>
    <w:p>
      <w:pPr>
        <w:pStyle w:val="BodyText"/>
        <w:tabs>
          <w:tab w:pos="1199" w:val="left" w:leader="none"/>
          <w:tab w:pos="2159" w:val="left" w:leader="none"/>
        </w:tabs>
        <w:spacing w:line="357" w:lineRule="auto" w:before="135"/>
        <w:ind w:left="720" w:right="3882"/>
        <w:jc w:val="left"/>
      </w:pPr>
      <w:r>
        <w:rPr/>
        <w:t>金</w:t>
        <w:tab/>
        <w:t>明先生</w:t>
        <w:tab/>
        <w:t>总裁</w:t>
      </w:r>
      <w:r>
        <w:rPr>
          <w:spacing w:val="-120"/>
        </w:rPr>
        <w:t>。</w:t>
      </w:r>
      <w:r>
        <w:rPr/>
        <w:t>（简历见前述董事介绍）</w:t>
      </w:r>
      <w:r>
        <w:rPr/>
        <w:t> 孟祥胜先生</w:t>
        <w:tab/>
        <w:t>副总裁</w:t>
      </w:r>
      <w:r>
        <w:rPr>
          <w:spacing w:val="-120"/>
        </w:rPr>
        <w:t>。</w:t>
      </w:r>
      <w:r>
        <w:rPr/>
        <w:t>（简历见前述董事介绍）</w:t>
      </w:r>
    </w:p>
    <w:p>
      <w:pPr>
        <w:pStyle w:val="BodyText"/>
        <w:tabs>
          <w:tab w:pos="1199" w:val="left" w:leader="none"/>
          <w:tab w:pos="2159" w:val="left" w:leader="none"/>
        </w:tabs>
        <w:spacing w:line="240" w:lineRule="auto" w:before="36"/>
        <w:ind w:left="720" w:right="2202"/>
        <w:jc w:val="left"/>
      </w:pPr>
      <w:r>
        <w:rPr/>
        <w:t>任</w:t>
        <w:tab/>
        <w:t>峻先生</w:t>
        <w:tab/>
        <w:t>副总裁、董事会秘书</w:t>
      </w:r>
      <w:r>
        <w:rPr>
          <w:spacing w:val="-120"/>
        </w:rPr>
        <w:t>。</w:t>
      </w:r>
      <w:r>
        <w:rPr/>
        <w:t>（简历见前述董事介绍）</w:t>
      </w:r>
    </w:p>
    <w:p>
      <w:pPr>
        <w:pStyle w:val="BodyText"/>
        <w:tabs>
          <w:tab w:pos="1203" w:val="left" w:leader="none"/>
          <w:tab w:pos="2167" w:val="left" w:leader="none"/>
        </w:tabs>
        <w:spacing w:line="338" w:lineRule="auto" w:before="154"/>
        <w:ind w:left="240" w:right="253" w:firstLine="480"/>
        <w:jc w:val="left"/>
      </w:pPr>
      <w:r>
        <w:rPr/>
        <w:t>朱</w:t>
        <w:tab/>
        <w:t>华女士</w:t>
        <w:tab/>
      </w:r>
      <w:r>
        <w:rPr>
          <w:rFonts w:ascii="Times New Roman" w:hAnsi="Times New Roman" w:cs="Times New Roman" w:eastAsia="Times New Roman" w:hint="default"/>
        </w:rPr>
        <w:t>46 </w:t>
      </w:r>
      <w:r>
        <w:rPr>
          <w:rFonts w:ascii="Times New Roman" w:hAnsi="Times New Roman" w:cs="Times New Roman" w:eastAsia="Times New Roman" w:hint="default"/>
          <w:spacing w:val="1"/>
        </w:rPr>
        <w:t> </w:t>
      </w:r>
      <w:r>
        <w:rPr/>
        <w:t>岁，汉族，大专学历，曾任中外合作乐富来实业有限公司财务部 经理，现任公司财务负责人。无在其他单位任职或兼职情况。</w:t>
      </w:r>
    </w:p>
    <w:p>
      <w:pPr>
        <w:pStyle w:val="BodyText"/>
        <w:spacing w:line="240" w:lineRule="auto" w:before="55"/>
        <w:ind w:left="720" w:right="2202"/>
        <w:jc w:val="left"/>
      </w:pPr>
      <w:r>
        <w:rPr>
          <w:rFonts w:ascii="Times New Roman" w:hAnsi="Times New Roman" w:cs="Times New Roman" w:eastAsia="Times New Roman" w:hint="default"/>
        </w:rPr>
        <w:t>4</w:t>
      </w:r>
      <w:r>
        <w:rPr/>
        <w:t>、年度报酬情况：</w:t>
      </w:r>
    </w:p>
    <w:p>
      <w:pPr>
        <w:pStyle w:val="BodyText"/>
        <w:spacing w:line="240" w:lineRule="auto" w:before="135"/>
        <w:ind w:left="720" w:right="2202"/>
        <w:jc w:val="left"/>
      </w:pPr>
      <w:r>
        <w:rPr/>
        <w:t>（</w:t>
      </w:r>
      <w:r>
        <w:rPr>
          <w:rFonts w:ascii="Times New Roman" w:hAnsi="Times New Roman" w:cs="Times New Roman" w:eastAsia="Times New Roman" w:hint="default"/>
        </w:rPr>
        <w:t>1</w:t>
      </w:r>
      <w:r>
        <w:rPr/>
        <w:t>）薪酬决策程序及确定依据</w:t>
      </w:r>
    </w:p>
    <w:p>
      <w:pPr>
        <w:pStyle w:val="BodyText"/>
        <w:spacing w:line="348" w:lineRule="auto" w:before="135"/>
        <w:ind w:left="240" w:right="251" w:firstLine="480"/>
        <w:jc w:val="both"/>
      </w:pPr>
      <w:r>
        <w:rPr/>
        <w:t>① 公司 </w:t>
      </w:r>
      <w:r>
        <w:rPr>
          <w:rFonts w:ascii="Times New Roman" w:hAnsi="Times New Roman" w:cs="Times New Roman" w:eastAsia="Times New Roman" w:hint="default"/>
        </w:rPr>
        <w:t>2009</w:t>
      </w:r>
      <w:r>
        <w:rPr>
          <w:rFonts w:ascii="Times New Roman" w:hAnsi="Times New Roman" w:cs="Times New Roman" w:eastAsia="Times New Roman" w:hint="default"/>
          <w:spacing w:val="-34"/>
        </w:rPr>
        <w:t> </w:t>
      </w:r>
      <w:r>
        <w:rPr>
          <w:spacing w:val="-4"/>
        </w:rPr>
        <w:t>年年度股东大会审议通过《关于调整公司董事、高级管理人员薪酬及</w:t>
      </w:r>
      <w:r>
        <w:rPr/>
        <w:t> </w:t>
      </w:r>
      <w:r>
        <w:rPr>
          <w:spacing w:val="-4"/>
        </w:rPr>
        <w:t>津贴的议案》及《关于调整公司监事薪酬的议案》，对公司董事、高级管理人员及公司</w:t>
      </w:r>
      <w:r>
        <w:rPr>
          <w:spacing w:val="-87"/>
        </w:rPr>
        <w:t> </w:t>
      </w:r>
      <w:r>
        <w:rPr>
          <w:spacing w:val="-87"/>
        </w:rPr>
      </w:r>
      <w:r>
        <w:rPr/>
        <w:t>监事李建颖女士、汪晓玲女士自</w:t>
      </w:r>
      <w:r>
        <w:rPr>
          <w:spacing w:val="-60"/>
        </w:rPr>
        <w:t> </w:t>
      </w:r>
      <w:r>
        <w:rPr>
          <w:rFonts w:ascii="Times New Roman" w:hAnsi="Times New Roman" w:cs="Times New Roman" w:eastAsia="Times New Roman" w:hint="default"/>
        </w:rPr>
        <w:t>2010 </w:t>
      </w:r>
      <w:r>
        <w:rPr/>
        <w:t>年起的薪酬及津贴进行调整；</w:t>
      </w:r>
    </w:p>
    <w:p>
      <w:pPr>
        <w:pStyle w:val="BodyText"/>
        <w:spacing w:line="338" w:lineRule="auto" w:before="16"/>
        <w:ind w:left="240" w:right="237" w:firstLine="480"/>
        <w:jc w:val="left"/>
      </w:pPr>
      <w:r>
        <w:rPr/>
        <w:t>② 经公司 </w:t>
      </w:r>
      <w:r>
        <w:rPr>
          <w:rFonts w:ascii="Times New Roman" w:hAnsi="Times New Roman" w:cs="Times New Roman" w:eastAsia="Times New Roman" w:hint="default"/>
        </w:rPr>
        <w:t>2010</w:t>
      </w:r>
      <w:r>
        <w:rPr>
          <w:rFonts w:ascii="Times New Roman" w:hAnsi="Times New Roman" w:cs="Times New Roman" w:eastAsia="Times New Roman" w:hint="default"/>
          <w:spacing w:val="-37"/>
        </w:rPr>
        <w:t> </w:t>
      </w:r>
      <w:r>
        <w:rPr>
          <w:spacing w:val="-4"/>
        </w:rPr>
        <w:t>年第一次职工代表大会审议通过，对公司职工代表监事肖忠祥先生</w:t>
      </w:r>
      <w:r>
        <w:rPr/>
        <w:t> 的年薪自</w:t>
      </w:r>
      <w:r>
        <w:rPr>
          <w:spacing w:val="-60"/>
        </w:rPr>
        <w:t> </w:t>
      </w:r>
      <w:r>
        <w:rPr>
          <w:rFonts w:ascii="Times New Roman" w:hAnsi="Times New Roman" w:cs="Times New Roman" w:eastAsia="Times New Roman" w:hint="default"/>
        </w:rPr>
        <w:t>2010 </w:t>
      </w:r>
      <w:r>
        <w:rPr/>
        <w:t>年起的薪酬及津贴进行调整。</w:t>
      </w:r>
    </w:p>
    <w:p>
      <w:pPr>
        <w:pStyle w:val="BodyText"/>
        <w:tabs>
          <w:tab w:pos="7319" w:val="left" w:leader="none"/>
        </w:tabs>
        <w:spacing w:line="338" w:lineRule="auto" w:before="27"/>
        <w:ind w:left="240" w:right="253" w:firstLine="480"/>
        <w:jc w:val="left"/>
        <w:rPr>
          <w:sz w:val="21"/>
          <w:szCs w:val="21"/>
        </w:rPr>
      </w:pPr>
      <w:r>
        <w:rPr/>
        <w:t>（</w:t>
      </w:r>
      <w:r>
        <w:rPr>
          <w:rFonts w:ascii="Times New Roman" w:hAnsi="Times New Roman" w:cs="Times New Roman" w:eastAsia="Times New Roman" w:hint="default"/>
        </w:rPr>
        <w:t>2</w:t>
      </w:r>
      <w:r>
        <w:rPr/>
        <w:t>）报告期内，公司董事、监事、高级管理人员从公司获得的报酬（包括基本工 资、各项奖金、福利、住房津贴及其他津贴）分别是：</w:t>
        <w:tab/>
      </w:r>
      <w:r>
        <w:rPr>
          <w:sz w:val="21"/>
          <w:szCs w:val="21"/>
        </w:rPr>
        <w:t>（单位：万元）</w:t>
      </w:r>
    </w:p>
    <w:p>
      <w:pPr>
        <w:spacing w:line="240" w:lineRule="auto" w:before="3"/>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2612"/>
        <w:gridCol w:w="2209"/>
        <w:gridCol w:w="2074"/>
        <w:gridCol w:w="2350"/>
      </w:tblGrid>
      <w:tr>
        <w:trPr>
          <w:trHeight w:val="846" w:hRule="exact"/>
        </w:trPr>
        <w:tc>
          <w:tcPr>
            <w:tcW w:w="261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姓名</w:t>
            </w:r>
          </w:p>
        </w:tc>
        <w:tc>
          <w:tcPr>
            <w:tcW w:w="2209" w:type="dxa"/>
            <w:tcBorders>
              <w:top w:val="single" w:sz="12"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实际报酬总额</w:t>
            </w:r>
          </w:p>
          <w:p>
            <w:pPr>
              <w:pStyle w:val="TableParagraph"/>
              <w:spacing w:line="274" w:lineRule="exact"/>
              <w:ind w:left="103" w:right="-4"/>
              <w:jc w:val="center"/>
              <w:rPr>
                <w:rFonts w:ascii="宋体" w:hAnsi="宋体" w:cs="宋体" w:eastAsia="宋体" w:hint="default"/>
                <w:sz w:val="21"/>
                <w:szCs w:val="21"/>
              </w:rPr>
            </w:pPr>
            <w:r>
              <w:rPr>
                <w:rFonts w:ascii="宋体" w:hAnsi="宋体" w:cs="宋体" w:eastAsia="宋体" w:hint="default"/>
                <w:sz w:val="21"/>
                <w:szCs w:val="21"/>
              </w:rPr>
              <w:t>（单位：万元，税前）</w:t>
            </w:r>
          </w:p>
        </w:tc>
        <w:tc>
          <w:tcPr>
            <w:tcW w:w="2074" w:type="dxa"/>
            <w:tcBorders>
              <w:top w:val="single" w:sz="12" w:space="0" w:color="000000"/>
              <w:left w:val="single" w:sz="4" w:space="0" w:color="000000"/>
              <w:bottom w:val="single" w:sz="4" w:space="0" w:color="000000"/>
              <w:right w:val="single" w:sz="4" w:space="0" w:color="000000"/>
            </w:tcBorders>
          </w:tcPr>
          <w:p>
            <w:pPr>
              <w:pStyle w:val="TableParagraph"/>
              <w:spacing w:line="249" w:lineRule="exact"/>
              <w:ind w:left="401" w:right="0" w:firstLine="52"/>
              <w:jc w:val="left"/>
              <w:rPr>
                <w:rFonts w:ascii="宋体" w:hAnsi="宋体" w:cs="宋体" w:eastAsia="宋体" w:hint="default"/>
                <w:sz w:val="21"/>
                <w:szCs w:val="21"/>
              </w:rPr>
            </w:pPr>
            <w:r>
              <w:rPr>
                <w:rFonts w:ascii="宋体" w:hAnsi="宋体" w:cs="宋体" w:eastAsia="宋体" w:hint="default"/>
                <w:sz w:val="21"/>
                <w:szCs w:val="21"/>
              </w:rPr>
              <w:t>较</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pStyle w:val="TableParagraph"/>
              <w:spacing w:line="274" w:lineRule="exact" w:before="17"/>
              <w:ind w:left="611" w:right="400" w:hanging="210"/>
              <w:jc w:val="left"/>
              <w:rPr>
                <w:rFonts w:ascii="宋体" w:hAnsi="宋体" w:cs="宋体" w:eastAsia="宋体" w:hint="default"/>
                <w:sz w:val="21"/>
                <w:szCs w:val="21"/>
              </w:rPr>
            </w:pPr>
            <w:r>
              <w:rPr>
                <w:rFonts w:ascii="宋体" w:hAnsi="宋体" w:cs="宋体" w:eastAsia="宋体" w:hint="default"/>
                <w:sz w:val="21"/>
                <w:szCs w:val="21"/>
              </w:rPr>
              <w:t>实际报酬总额 增减变动</w:t>
            </w:r>
          </w:p>
        </w:tc>
        <w:tc>
          <w:tcPr>
            <w:tcW w:w="2350" w:type="dxa"/>
            <w:tcBorders>
              <w:top w:val="single" w:sz="12" w:space="0" w:color="000000"/>
              <w:left w:val="single" w:sz="4" w:space="0" w:color="000000"/>
              <w:bottom w:val="single" w:sz="4" w:space="0" w:color="000000"/>
              <w:right w:val="single" w:sz="12" w:space="0" w:color="000000"/>
            </w:tcBorders>
          </w:tcPr>
          <w:p>
            <w:pPr>
              <w:pStyle w:val="TableParagraph"/>
              <w:spacing w:line="272" w:lineRule="exact" w:before="134"/>
              <w:ind w:left="329" w:right="108" w:hanging="210"/>
              <w:jc w:val="left"/>
              <w:rPr>
                <w:rFonts w:ascii="宋体" w:hAnsi="宋体" w:cs="宋体" w:eastAsia="宋体" w:hint="default"/>
                <w:sz w:val="21"/>
                <w:szCs w:val="21"/>
              </w:rPr>
            </w:pPr>
            <w:r>
              <w:rPr>
                <w:rFonts w:ascii="宋体" w:hAnsi="宋体" w:cs="宋体" w:eastAsia="宋体" w:hint="default"/>
                <w:sz w:val="21"/>
                <w:szCs w:val="21"/>
              </w:rPr>
              <w:t>是否在股东单位或其他 关联单位领取薪酬</w:t>
            </w:r>
          </w:p>
        </w:tc>
      </w:tr>
      <w:tr>
        <w:trPr>
          <w:trHeight w:val="397"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right="7"/>
              <w:jc w:val="center"/>
              <w:rPr>
                <w:rFonts w:ascii="宋体" w:hAnsi="宋体" w:cs="宋体" w:eastAsia="宋体" w:hint="default"/>
                <w:sz w:val="21"/>
                <w:szCs w:val="21"/>
              </w:rPr>
            </w:pPr>
            <w:r>
              <w:rPr>
                <w:rFonts w:ascii="宋体" w:hAnsi="宋体" w:cs="宋体" w:eastAsia="宋体" w:hint="default"/>
                <w:sz w:val="21"/>
                <w:szCs w:val="21"/>
              </w:rPr>
              <w:t>张近东</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180.00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30.00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3"/>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97"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right="7"/>
              <w:jc w:val="center"/>
              <w:rPr>
                <w:rFonts w:ascii="宋体" w:hAnsi="宋体" w:cs="宋体" w:eastAsia="宋体" w:hint="default"/>
                <w:sz w:val="21"/>
                <w:szCs w:val="21"/>
              </w:rPr>
            </w:pPr>
            <w:r>
              <w:rPr>
                <w:rFonts w:ascii="宋体" w:hAnsi="宋体" w:cs="宋体" w:eastAsia="宋体" w:hint="default"/>
                <w:sz w:val="21"/>
                <w:szCs w:val="21"/>
              </w:rPr>
              <w:t>孙为民</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20.00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3"/>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97"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tabs>
                <w:tab w:pos="419" w:val="left" w:leader="none"/>
              </w:tabs>
              <w:spacing w:line="240" w:lineRule="auto" w:before="23"/>
              <w:ind w:right="7"/>
              <w:jc w:val="center"/>
              <w:rPr>
                <w:rFonts w:ascii="宋体" w:hAnsi="宋体" w:cs="宋体" w:eastAsia="宋体" w:hint="default"/>
                <w:sz w:val="21"/>
                <w:szCs w:val="21"/>
              </w:rPr>
            </w:pPr>
            <w:r>
              <w:rPr>
                <w:rFonts w:ascii="宋体" w:hAnsi="宋体" w:cs="宋体" w:eastAsia="宋体" w:hint="default"/>
                <w:sz w:val="21"/>
                <w:szCs w:val="21"/>
              </w:rPr>
              <w:t>金</w:t>
              <w:tab/>
              <w:t>明</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21"/>
                <w:szCs w:val="21"/>
              </w:rPr>
            </w:pPr>
            <w:r>
              <w:rPr>
                <w:rFonts w:ascii="Times New Roman"/>
                <w:spacing w:val="-1"/>
                <w:sz w:val="21"/>
              </w:rPr>
              <w:t>80.00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20.00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3"/>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97"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right="7"/>
              <w:jc w:val="center"/>
              <w:rPr>
                <w:rFonts w:ascii="宋体" w:hAnsi="宋体" w:cs="宋体" w:eastAsia="宋体" w:hint="default"/>
                <w:sz w:val="21"/>
                <w:szCs w:val="21"/>
              </w:rPr>
            </w:pPr>
            <w:r>
              <w:rPr>
                <w:rFonts w:ascii="宋体" w:hAnsi="宋体" w:cs="宋体" w:eastAsia="宋体" w:hint="default"/>
                <w:sz w:val="21"/>
                <w:szCs w:val="21"/>
              </w:rPr>
              <w:t>孟祥胜</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21"/>
                <w:szCs w:val="21"/>
              </w:rPr>
            </w:pPr>
            <w:r>
              <w:rPr>
                <w:rFonts w:ascii="Times New Roman"/>
                <w:spacing w:val="-1"/>
                <w:sz w:val="21"/>
              </w:rPr>
              <w:t>80.00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20.00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3"/>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96"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tabs>
                <w:tab w:pos="419" w:val="left" w:leader="none"/>
              </w:tabs>
              <w:spacing w:line="240" w:lineRule="auto" w:before="23"/>
              <w:ind w:right="7"/>
              <w:jc w:val="center"/>
              <w:rPr>
                <w:rFonts w:ascii="宋体" w:hAnsi="宋体" w:cs="宋体" w:eastAsia="宋体" w:hint="default"/>
                <w:sz w:val="21"/>
                <w:szCs w:val="21"/>
              </w:rPr>
            </w:pPr>
            <w:r>
              <w:rPr>
                <w:rFonts w:ascii="宋体" w:hAnsi="宋体" w:cs="宋体" w:eastAsia="宋体" w:hint="default"/>
                <w:sz w:val="21"/>
                <w:szCs w:val="21"/>
              </w:rPr>
              <w:t>任</w:t>
              <w:tab/>
              <w:t>峻</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21"/>
                <w:szCs w:val="21"/>
              </w:rPr>
            </w:pPr>
            <w:r>
              <w:rPr>
                <w:rFonts w:ascii="Times New Roman"/>
                <w:spacing w:val="-1"/>
                <w:sz w:val="21"/>
              </w:rPr>
              <w:t>60.00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30.00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3"/>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97"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tabs>
                <w:tab w:pos="421" w:val="left" w:leader="none"/>
              </w:tabs>
              <w:spacing w:line="240" w:lineRule="auto" w:before="23"/>
              <w:ind w:right="8"/>
              <w:jc w:val="center"/>
              <w:rPr>
                <w:rFonts w:ascii="宋体" w:hAnsi="宋体" w:cs="宋体" w:eastAsia="宋体" w:hint="default"/>
                <w:sz w:val="21"/>
                <w:szCs w:val="21"/>
              </w:rPr>
            </w:pPr>
            <w:r>
              <w:rPr>
                <w:rFonts w:ascii="宋体" w:hAnsi="宋体" w:cs="宋体" w:eastAsia="宋体" w:hint="default"/>
                <w:sz w:val="21"/>
                <w:szCs w:val="21"/>
              </w:rPr>
              <w:t>李</w:t>
              <w:tab/>
              <w:t>东</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8.00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3.00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3"/>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97"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right="7"/>
              <w:jc w:val="center"/>
              <w:rPr>
                <w:rFonts w:ascii="宋体" w:hAnsi="宋体" w:cs="宋体" w:eastAsia="宋体" w:hint="default"/>
                <w:sz w:val="21"/>
                <w:szCs w:val="21"/>
              </w:rPr>
            </w:pPr>
            <w:r>
              <w:rPr>
                <w:rFonts w:ascii="宋体" w:hAnsi="宋体" w:cs="宋体" w:eastAsia="宋体" w:hint="default"/>
                <w:sz w:val="21"/>
                <w:szCs w:val="21"/>
              </w:rPr>
              <w:t>沈坤荣</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8.00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3.00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3"/>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97"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right="7"/>
              <w:jc w:val="center"/>
              <w:rPr>
                <w:rFonts w:ascii="宋体" w:hAnsi="宋体" w:cs="宋体" w:eastAsia="宋体" w:hint="default"/>
                <w:sz w:val="21"/>
                <w:szCs w:val="21"/>
              </w:rPr>
            </w:pPr>
            <w:r>
              <w:rPr>
                <w:rFonts w:ascii="宋体" w:hAnsi="宋体" w:cs="宋体" w:eastAsia="宋体" w:hint="default"/>
                <w:sz w:val="21"/>
                <w:szCs w:val="21"/>
              </w:rPr>
              <w:t>孙剑平</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8.00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3.00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3"/>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97"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right="7"/>
              <w:jc w:val="center"/>
              <w:rPr>
                <w:rFonts w:ascii="宋体" w:hAnsi="宋体" w:cs="宋体" w:eastAsia="宋体" w:hint="default"/>
                <w:sz w:val="21"/>
                <w:szCs w:val="21"/>
              </w:rPr>
            </w:pPr>
            <w:r>
              <w:rPr>
                <w:rFonts w:ascii="宋体" w:hAnsi="宋体" w:cs="宋体" w:eastAsia="宋体" w:hint="default"/>
                <w:sz w:val="21"/>
                <w:szCs w:val="21"/>
              </w:rPr>
              <w:t>戴新民</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8.00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3.00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3"/>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8" w:hRule="exact"/>
        </w:trPr>
        <w:tc>
          <w:tcPr>
            <w:tcW w:w="261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3"/>
              <w:ind w:right="7"/>
              <w:jc w:val="center"/>
              <w:rPr>
                <w:rFonts w:ascii="宋体" w:hAnsi="宋体" w:cs="宋体" w:eastAsia="宋体" w:hint="default"/>
                <w:sz w:val="21"/>
                <w:szCs w:val="21"/>
              </w:rPr>
            </w:pPr>
            <w:r>
              <w:rPr>
                <w:rFonts w:ascii="宋体" w:hAnsi="宋体" w:cs="宋体" w:eastAsia="宋体" w:hint="default"/>
                <w:sz w:val="21"/>
                <w:szCs w:val="21"/>
              </w:rPr>
              <w:t>李建颖</w:t>
            </w:r>
          </w:p>
        </w:tc>
        <w:tc>
          <w:tcPr>
            <w:tcW w:w="22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21"/>
                <w:szCs w:val="21"/>
              </w:rPr>
            </w:pPr>
            <w:r>
              <w:rPr>
                <w:rFonts w:ascii="Times New Roman"/>
                <w:spacing w:val="-1"/>
                <w:sz w:val="21"/>
              </w:rPr>
              <w:t>30.00</w:t>
            </w:r>
          </w:p>
        </w:tc>
        <w:tc>
          <w:tcPr>
            <w:tcW w:w="20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15.00</w:t>
            </w:r>
          </w:p>
        </w:tc>
        <w:tc>
          <w:tcPr>
            <w:tcW w:w="235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3"/>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1910" w:h="16840"/>
          <w:pgMar w:header="748" w:footer="714" w:top="980" w:bottom="900" w:left="1200" w:right="11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2612"/>
        <w:gridCol w:w="2209"/>
        <w:gridCol w:w="2074"/>
        <w:gridCol w:w="2350"/>
      </w:tblGrid>
      <w:tr>
        <w:trPr>
          <w:trHeight w:val="388" w:hRule="exact"/>
        </w:trPr>
        <w:tc>
          <w:tcPr>
            <w:tcW w:w="261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汪晓玲</w:t>
            </w:r>
          </w:p>
        </w:tc>
        <w:tc>
          <w:tcPr>
            <w:tcW w:w="22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21"/>
                <w:szCs w:val="21"/>
              </w:rPr>
            </w:pPr>
            <w:r>
              <w:rPr>
                <w:rFonts w:ascii="Times New Roman"/>
                <w:spacing w:val="-1"/>
                <w:sz w:val="21"/>
              </w:rPr>
              <w:t>15.00</w:t>
            </w:r>
          </w:p>
        </w:tc>
        <w:tc>
          <w:tcPr>
            <w:tcW w:w="20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21"/>
                <w:szCs w:val="21"/>
              </w:rPr>
            </w:pPr>
            <w:r>
              <w:rPr>
                <w:rFonts w:ascii="Times New Roman"/>
                <w:spacing w:val="-1"/>
                <w:sz w:val="21"/>
              </w:rPr>
              <w:t>5.00</w:t>
            </w:r>
          </w:p>
        </w:tc>
        <w:tc>
          <w:tcPr>
            <w:tcW w:w="235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4"/>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97"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3"/>
              <w:ind w:right="7"/>
              <w:jc w:val="center"/>
              <w:rPr>
                <w:rFonts w:ascii="宋体" w:hAnsi="宋体" w:cs="宋体" w:eastAsia="宋体" w:hint="default"/>
                <w:sz w:val="21"/>
                <w:szCs w:val="21"/>
              </w:rPr>
            </w:pPr>
            <w:r>
              <w:rPr>
                <w:rFonts w:ascii="宋体" w:hAnsi="宋体" w:cs="宋体" w:eastAsia="宋体" w:hint="default"/>
                <w:sz w:val="21"/>
                <w:szCs w:val="21"/>
              </w:rPr>
              <w:t>肖忠祥</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15.00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3.00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3"/>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97"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tabs>
                <w:tab w:pos="419" w:val="left" w:leader="none"/>
              </w:tabs>
              <w:spacing w:line="240" w:lineRule="auto" w:before="23"/>
              <w:ind w:right="7"/>
              <w:jc w:val="center"/>
              <w:rPr>
                <w:rFonts w:ascii="宋体" w:hAnsi="宋体" w:cs="宋体" w:eastAsia="宋体" w:hint="default"/>
                <w:sz w:val="21"/>
                <w:szCs w:val="21"/>
              </w:rPr>
            </w:pPr>
            <w:r>
              <w:rPr>
                <w:rFonts w:ascii="宋体" w:hAnsi="宋体" w:cs="宋体" w:eastAsia="宋体" w:hint="default"/>
                <w:sz w:val="21"/>
                <w:szCs w:val="21"/>
              </w:rPr>
              <w:t>朱</w:t>
              <w:tab/>
              <w:t>华</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21"/>
                <w:szCs w:val="21"/>
              </w:rPr>
            </w:pPr>
            <w:r>
              <w:rPr>
                <w:rFonts w:ascii="Times New Roman"/>
                <w:spacing w:val="-1"/>
                <w:sz w:val="21"/>
              </w:rPr>
              <w:t>30.00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15.00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3"/>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7" w:hRule="exact"/>
        </w:trPr>
        <w:tc>
          <w:tcPr>
            <w:tcW w:w="2612" w:type="dxa"/>
            <w:tcBorders>
              <w:top w:val="single" w:sz="4" w:space="0" w:color="000000"/>
              <w:left w:val="single" w:sz="12" w:space="0" w:color="000000"/>
              <w:bottom w:val="single" w:sz="12" w:space="0" w:color="000000"/>
              <w:right w:val="single" w:sz="4" w:space="0" w:color="000000"/>
            </w:tcBorders>
          </w:tcPr>
          <w:p>
            <w:pPr>
              <w:pStyle w:val="TableParagraph"/>
              <w:tabs>
                <w:tab w:pos="419" w:val="left" w:leader="none"/>
              </w:tabs>
              <w:spacing w:line="240" w:lineRule="auto" w:before="23"/>
              <w:ind w:right="7"/>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622.00</w:t>
            </w:r>
          </w:p>
        </w:tc>
        <w:tc>
          <w:tcPr>
            <w:tcW w:w="20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170.00</w:t>
            </w:r>
          </w:p>
        </w:tc>
        <w:tc>
          <w:tcPr>
            <w:tcW w:w="235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3"/>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93" w:lineRule="exact"/>
        <w:ind w:left="720" w:right="119"/>
        <w:jc w:val="left"/>
      </w:pPr>
      <w:r>
        <w:rPr>
          <w:rFonts w:ascii="Times New Roman" w:hAnsi="Times New Roman" w:cs="Times New Roman" w:eastAsia="Times New Roman" w:hint="default"/>
        </w:rPr>
        <w:t>5</w:t>
      </w:r>
      <w:r>
        <w:rPr/>
        <w:t>、报告期内董事、监事、高级管理人员获授股票期权及相关行权情况</w:t>
      </w:r>
    </w:p>
    <w:p>
      <w:pPr>
        <w:pStyle w:val="BodyText"/>
        <w:spacing w:line="240" w:lineRule="auto" w:before="135"/>
        <w:ind w:left="720" w:right="2202"/>
        <w:jc w:val="left"/>
      </w:pPr>
      <w:r>
        <w:rPr/>
        <w:t>（</w:t>
      </w:r>
      <w:r>
        <w:rPr>
          <w:rFonts w:ascii="Times New Roman" w:hAnsi="Times New Roman" w:cs="Times New Roman" w:eastAsia="Times New Roman" w:hint="default"/>
        </w:rPr>
        <w:t>1</w:t>
      </w:r>
      <w:r>
        <w:rPr/>
        <w:t>）授予股票数量</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629"/>
        <w:gridCol w:w="1040"/>
        <w:gridCol w:w="2718"/>
        <w:gridCol w:w="1487"/>
        <w:gridCol w:w="1795"/>
        <w:gridCol w:w="1546"/>
      </w:tblGrid>
      <w:tr>
        <w:trPr>
          <w:trHeight w:val="872" w:hRule="exact"/>
        </w:trPr>
        <w:tc>
          <w:tcPr>
            <w:tcW w:w="62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19"/>
              <w:ind w:left="194" w:right="203"/>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0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05"/>
              <w:jc w:val="right"/>
              <w:rPr>
                <w:rFonts w:ascii="宋体" w:hAnsi="宋体" w:cs="宋体" w:eastAsia="宋体" w:hint="default"/>
                <w:sz w:val="21"/>
                <w:szCs w:val="21"/>
              </w:rPr>
            </w:pPr>
            <w:r>
              <w:rPr>
                <w:rFonts w:ascii="宋体" w:hAnsi="宋体" w:cs="宋体" w:eastAsia="宋体" w:hint="default"/>
                <w:b/>
                <w:bCs/>
                <w:w w:val="95"/>
                <w:sz w:val="21"/>
                <w:szCs w:val="21"/>
              </w:rPr>
              <w:t>姓名</w:t>
            </w:r>
            <w:r>
              <w:rPr>
                <w:rFonts w:ascii="宋体" w:hAnsi="宋体" w:cs="宋体" w:eastAsia="宋体" w:hint="default"/>
                <w:sz w:val="21"/>
                <w:szCs w:val="21"/>
              </w:rPr>
            </w:r>
          </w:p>
        </w:tc>
        <w:tc>
          <w:tcPr>
            <w:tcW w:w="27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tabs>
                <w:tab w:pos="1616" w:val="left" w:leader="none"/>
              </w:tabs>
              <w:spacing w:line="240" w:lineRule="auto"/>
              <w:ind w:left="880" w:right="0"/>
              <w:jc w:val="left"/>
              <w:rPr>
                <w:rFonts w:ascii="宋体" w:hAnsi="宋体" w:cs="宋体" w:eastAsia="宋体" w:hint="default"/>
                <w:sz w:val="21"/>
                <w:szCs w:val="21"/>
              </w:rPr>
            </w:pPr>
            <w:r>
              <w:rPr>
                <w:rFonts w:ascii="宋体" w:hAnsi="宋体" w:cs="宋体" w:eastAsia="宋体" w:hint="default"/>
                <w:b/>
                <w:bCs/>
                <w:w w:val="95"/>
                <w:sz w:val="21"/>
                <w:szCs w:val="21"/>
              </w:rPr>
              <w:t>职</w:t>
              <w:tab/>
            </w:r>
            <w:r>
              <w:rPr>
                <w:rFonts w:ascii="宋体" w:hAnsi="宋体" w:cs="宋体" w:eastAsia="宋体" w:hint="default"/>
                <w:b/>
                <w:bCs/>
                <w:sz w:val="21"/>
                <w:szCs w:val="21"/>
              </w:rPr>
              <w:t>务</w:t>
            </w:r>
            <w:r>
              <w:rPr>
                <w:rFonts w:ascii="宋体" w:hAnsi="宋体" w:cs="宋体" w:eastAsia="宋体" w:hint="default"/>
                <w:sz w:val="21"/>
                <w:szCs w:val="21"/>
              </w:rPr>
            </w:r>
          </w:p>
        </w:tc>
        <w:tc>
          <w:tcPr>
            <w:tcW w:w="1487"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before="9"/>
              <w:ind w:left="527" w:right="317" w:hanging="212"/>
              <w:jc w:val="left"/>
              <w:rPr>
                <w:rFonts w:ascii="宋体" w:hAnsi="宋体" w:cs="宋体" w:eastAsia="宋体" w:hint="default"/>
                <w:sz w:val="21"/>
                <w:szCs w:val="21"/>
              </w:rPr>
            </w:pPr>
            <w:r>
              <w:rPr>
                <w:rFonts w:ascii="宋体" w:hAnsi="宋体" w:cs="宋体" w:eastAsia="宋体" w:hint="default"/>
                <w:b/>
                <w:bCs/>
                <w:sz w:val="21"/>
                <w:szCs w:val="21"/>
              </w:rPr>
              <w:t>获授期权</w:t>
            </w:r>
            <w:r>
              <w:rPr>
                <w:rFonts w:ascii="宋体" w:hAnsi="宋体" w:cs="宋体" w:eastAsia="宋体" w:hint="default"/>
                <w:b/>
                <w:bCs/>
                <w:w w:val="99"/>
                <w:sz w:val="21"/>
                <w:szCs w:val="21"/>
              </w:rPr>
              <w:t> </w:t>
            </w:r>
            <w:r>
              <w:rPr>
                <w:rFonts w:ascii="宋体" w:hAnsi="宋体" w:cs="宋体" w:eastAsia="宋体" w:hint="default"/>
                <w:b/>
                <w:bCs/>
                <w:sz w:val="21"/>
                <w:szCs w:val="21"/>
              </w:rPr>
              <w:t>数量</w:t>
            </w:r>
            <w:r>
              <w:rPr>
                <w:rFonts w:ascii="宋体" w:hAnsi="宋体" w:cs="宋体" w:eastAsia="宋体" w:hint="default"/>
                <w:sz w:val="21"/>
                <w:szCs w:val="21"/>
              </w:rPr>
            </w:r>
          </w:p>
          <w:p>
            <w:pPr>
              <w:pStyle w:val="TableParagraph"/>
              <w:spacing w:line="247" w:lineRule="exact"/>
              <w:ind w:left="316" w:right="0"/>
              <w:jc w:val="left"/>
              <w:rPr>
                <w:rFonts w:ascii="宋体" w:hAnsi="宋体" w:cs="宋体" w:eastAsia="宋体" w:hint="default"/>
                <w:sz w:val="21"/>
                <w:szCs w:val="21"/>
              </w:rPr>
            </w:pPr>
            <w:r>
              <w:rPr>
                <w:rFonts w:ascii="宋体" w:hAnsi="宋体" w:cs="宋体" w:eastAsia="宋体" w:hint="default"/>
                <w:b/>
                <w:bCs/>
                <w:sz w:val="21"/>
                <w:szCs w:val="21"/>
              </w:rPr>
              <w:t>（万份）</w:t>
            </w:r>
            <w:r>
              <w:rPr>
                <w:rFonts w:ascii="宋体" w:hAnsi="宋体" w:cs="宋体" w:eastAsia="宋体" w:hint="default"/>
                <w:sz w:val="21"/>
                <w:szCs w:val="21"/>
              </w:rPr>
            </w:r>
          </w:p>
        </w:tc>
        <w:tc>
          <w:tcPr>
            <w:tcW w:w="1795" w:type="dxa"/>
            <w:tcBorders>
              <w:top w:val="single" w:sz="12" w:space="0" w:color="000000"/>
              <w:left w:val="single" w:sz="4" w:space="0" w:color="000000"/>
              <w:bottom w:val="single" w:sz="4" w:space="0" w:color="000000"/>
              <w:right w:val="single" w:sz="4" w:space="0" w:color="000000"/>
            </w:tcBorders>
          </w:tcPr>
          <w:p>
            <w:pPr>
              <w:pStyle w:val="TableParagraph"/>
              <w:spacing w:line="257" w:lineRule="exact"/>
              <w:ind w:left="157" w:right="0"/>
              <w:jc w:val="left"/>
              <w:rPr>
                <w:rFonts w:ascii="宋体" w:hAnsi="宋体" w:cs="宋体" w:eastAsia="宋体" w:hint="default"/>
                <w:sz w:val="21"/>
                <w:szCs w:val="21"/>
              </w:rPr>
            </w:pPr>
            <w:r>
              <w:rPr>
                <w:rFonts w:ascii="宋体" w:hAnsi="宋体" w:cs="宋体" w:eastAsia="宋体" w:hint="default"/>
                <w:b/>
                <w:bCs/>
                <w:sz w:val="21"/>
                <w:szCs w:val="21"/>
              </w:rPr>
              <w:t>期权数量占本激</w:t>
            </w:r>
            <w:r>
              <w:rPr>
                <w:rFonts w:ascii="宋体" w:hAnsi="宋体" w:cs="宋体" w:eastAsia="宋体" w:hint="default"/>
                <w:sz w:val="21"/>
                <w:szCs w:val="21"/>
              </w:rPr>
            </w:r>
          </w:p>
          <w:p>
            <w:pPr>
              <w:pStyle w:val="TableParagraph"/>
              <w:spacing w:line="272" w:lineRule="exact" w:before="27"/>
              <w:ind w:left="261" w:right="155" w:hanging="105"/>
              <w:jc w:val="left"/>
              <w:rPr>
                <w:rFonts w:ascii="宋体" w:hAnsi="宋体" w:cs="宋体" w:eastAsia="宋体" w:hint="default"/>
                <w:sz w:val="21"/>
                <w:szCs w:val="21"/>
              </w:rPr>
            </w:pPr>
            <w:r>
              <w:rPr>
                <w:rFonts w:ascii="宋体" w:hAnsi="宋体" w:cs="宋体" w:eastAsia="宋体" w:hint="default"/>
                <w:b/>
                <w:bCs/>
                <w:sz w:val="21"/>
                <w:szCs w:val="21"/>
              </w:rPr>
              <w:t>励计划期权总量</w:t>
            </w:r>
            <w:r>
              <w:rPr>
                <w:rFonts w:ascii="宋体" w:hAnsi="宋体" w:cs="宋体" w:eastAsia="宋体" w:hint="default"/>
                <w:b/>
                <w:bCs/>
                <w:w w:val="99"/>
                <w:sz w:val="21"/>
                <w:szCs w:val="21"/>
              </w:rPr>
              <w:t> </w:t>
            </w:r>
            <w:r>
              <w:rPr>
                <w:rFonts w:ascii="宋体" w:hAnsi="宋体" w:cs="宋体" w:eastAsia="宋体" w:hint="default"/>
                <w:b/>
                <w:bCs/>
                <w:sz w:val="21"/>
                <w:szCs w:val="21"/>
              </w:rPr>
              <w:t>的比例（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546" w:type="dxa"/>
            <w:tcBorders>
              <w:top w:val="single" w:sz="12" w:space="0" w:color="000000"/>
              <w:left w:val="single" w:sz="4" w:space="0" w:color="000000"/>
              <w:bottom w:val="single" w:sz="4" w:space="0" w:color="000000"/>
              <w:right w:val="single" w:sz="12" w:space="0" w:color="000000"/>
            </w:tcBorders>
          </w:tcPr>
          <w:p>
            <w:pPr>
              <w:pStyle w:val="TableParagraph"/>
              <w:spacing w:line="257" w:lineRule="exact"/>
              <w:ind w:left="103" w:right="-12" w:firstLine="33"/>
              <w:jc w:val="left"/>
              <w:rPr>
                <w:rFonts w:ascii="宋体" w:hAnsi="宋体" w:cs="宋体" w:eastAsia="宋体" w:hint="default"/>
                <w:sz w:val="21"/>
                <w:szCs w:val="21"/>
              </w:rPr>
            </w:pPr>
            <w:r>
              <w:rPr>
                <w:rFonts w:ascii="宋体" w:hAnsi="宋体" w:cs="宋体" w:eastAsia="宋体" w:hint="default"/>
                <w:b/>
                <w:bCs/>
                <w:sz w:val="21"/>
                <w:szCs w:val="21"/>
              </w:rPr>
              <w:t>标的股票占授</w:t>
            </w:r>
            <w:r>
              <w:rPr>
                <w:rFonts w:ascii="宋体" w:hAnsi="宋体" w:cs="宋体" w:eastAsia="宋体" w:hint="default"/>
                <w:sz w:val="21"/>
                <w:szCs w:val="21"/>
              </w:rPr>
            </w:r>
          </w:p>
          <w:p>
            <w:pPr>
              <w:pStyle w:val="TableParagraph"/>
              <w:spacing w:line="272" w:lineRule="exact" w:before="27"/>
              <w:ind w:left="103" w:right="-12" w:firstLine="33"/>
              <w:jc w:val="left"/>
              <w:rPr>
                <w:rFonts w:ascii="宋体" w:hAnsi="宋体" w:cs="宋体" w:eastAsia="宋体" w:hint="default"/>
                <w:sz w:val="21"/>
                <w:szCs w:val="21"/>
              </w:rPr>
            </w:pPr>
            <w:r>
              <w:rPr>
                <w:rFonts w:ascii="宋体" w:hAnsi="宋体" w:cs="宋体" w:eastAsia="宋体" w:hint="default"/>
                <w:b/>
                <w:bCs/>
                <w:sz w:val="21"/>
                <w:szCs w:val="21"/>
              </w:rPr>
              <w:t>予时公司总股</w:t>
            </w:r>
            <w:r>
              <w:rPr>
                <w:rFonts w:ascii="宋体" w:hAnsi="宋体" w:cs="宋体" w:eastAsia="宋体" w:hint="default"/>
                <w:b/>
                <w:bCs/>
                <w:w w:val="99"/>
                <w:sz w:val="21"/>
                <w:szCs w:val="21"/>
              </w:rPr>
              <w:t> </w:t>
            </w:r>
            <w:r>
              <w:rPr>
                <w:rFonts w:ascii="宋体" w:hAnsi="宋体" w:cs="宋体" w:eastAsia="宋体" w:hint="default"/>
                <w:b/>
                <w:bCs/>
                <w:spacing w:val="-6"/>
                <w:sz w:val="21"/>
                <w:szCs w:val="21"/>
              </w:rPr>
              <w:t>本的比例（</w:t>
            </w:r>
            <w:r>
              <w:rPr>
                <w:rFonts w:ascii="Times New Roman" w:hAnsi="Times New Roman" w:cs="Times New Roman" w:eastAsia="Times New Roman" w:hint="default"/>
                <w:b/>
                <w:bCs/>
                <w:spacing w:val="-6"/>
                <w:sz w:val="21"/>
                <w:szCs w:val="21"/>
              </w:rPr>
              <w:t>%</w:t>
            </w:r>
            <w:r>
              <w:rPr>
                <w:rFonts w:ascii="宋体" w:hAnsi="宋体" w:cs="宋体" w:eastAsia="宋体" w:hint="default"/>
                <w:b/>
                <w:bCs/>
                <w:spacing w:val="-6"/>
                <w:sz w:val="21"/>
                <w:szCs w:val="21"/>
              </w:rPr>
              <w:t>）</w:t>
            </w:r>
            <w:r>
              <w:rPr>
                <w:rFonts w:ascii="宋体" w:hAnsi="宋体" w:cs="宋体" w:eastAsia="宋体" w:hint="default"/>
                <w:spacing w:val="-6"/>
                <w:sz w:val="21"/>
                <w:szCs w:val="21"/>
              </w:rPr>
            </w:r>
          </w:p>
        </w:tc>
      </w:tr>
      <w:tr>
        <w:trPr>
          <w:trHeight w:val="384" w:hRule="exact"/>
        </w:trPr>
        <w:tc>
          <w:tcPr>
            <w:tcW w:w="6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247" w:right="0"/>
              <w:jc w:val="left"/>
              <w:rPr>
                <w:rFonts w:ascii="Times New Roman" w:hAnsi="Times New Roman" w:cs="Times New Roman" w:eastAsia="Times New Roman" w:hint="default"/>
                <w:sz w:val="21"/>
                <w:szCs w:val="21"/>
              </w:rPr>
            </w:pPr>
            <w:r>
              <w:rPr>
                <w:rFonts w:ascii="Times New Roman"/>
                <w:sz w:val="21"/>
              </w:rPr>
              <w:t>1</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8"/>
              <w:jc w:val="right"/>
              <w:rPr>
                <w:rFonts w:ascii="宋体" w:hAnsi="宋体" w:cs="宋体" w:eastAsia="宋体" w:hint="default"/>
                <w:sz w:val="21"/>
                <w:szCs w:val="21"/>
              </w:rPr>
            </w:pPr>
            <w:r>
              <w:rPr>
                <w:rFonts w:ascii="宋体" w:hAnsi="宋体" w:cs="宋体" w:eastAsia="宋体" w:hint="default"/>
                <w:sz w:val="21"/>
                <w:szCs w:val="21"/>
              </w:rPr>
              <w:t>孙为民</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300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3.5423%</w:t>
            </w:r>
          </w:p>
        </w:tc>
        <w:tc>
          <w:tcPr>
            <w:tcW w:w="15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left="391" w:right="0"/>
              <w:jc w:val="left"/>
              <w:rPr>
                <w:rFonts w:ascii="Times New Roman" w:hAnsi="Times New Roman" w:cs="Times New Roman" w:eastAsia="Times New Roman" w:hint="default"/>
                <w:sz w:val="21"/>
                <w:szCs w:val="21"/>
              </w:rPr>
            </w:pPr>
            <w:r>
              <w:rPr>
                <w:rFonts w:ascii="Times New Roman"/>
                <w:sz w:val="21"/>
              </w:rPr>
              <w:t>0.0429%</w:t>
            </w:r>
          </w:p>
        </w:tc>
      </w:tr>
      <w:tr>
        <w:trPr>
          <w:trHeight w:val="385" w:hRule="exact"/>
        </w:trPr>
        <w:tc>
          <w:tcPr>
            <w:tcW w:w="6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247" w:right="0"/>
              <w:jc w:val="left"/>
              <w:rPr>
                <w:rFonts w:ascii="Times New Roman" w:hAnsi="Times New Roman" w:cs="Times New Roman" w:eastAsia="Times New Roman" w:hint="default"/>
                <w:sz w:val="21"/>
                <w:szCs w:val="21"/>
              </w:rPr>
            </w:pPr>
            <w:r>
              <w:rPr>
                <w:rFonts w:ascii="Times New Roman"/>
                <w:sz w:val="21"/>
              </w:rPr>
              <w:t>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51"/>
              <w:jc w:val="right"/>
              <w:rPr>
                <w:rFonts w:ascii="宋体" w:hAnsi="宋体" w:cs="宋体" w:eastAsia="宋体" w:hint="default"/>
                <w:sz w:val="21"/>
                <w:szCs w:val="21"/>
              </w:rPr>
            </w:pPr>
            <w:r>
              <w:rPr>
                <w:rFonts w:ascii="宋体" w:hAnsi="宋体" w:cs="宋体" w:eastAsia="宋体" w:hint="default"/>
                <w:sz w:val="21"/>
                <w:szCs w:val="21"/>
              </w:rPr>
              <w:t>金 明</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300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3.5423%</w:t>
            </w:r>
          </w:p>
        </w:tc>
        <w:tc>
          <w:tcPr>
            <w:tcW w:w="15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left="391" w:right="0"/>
              <w:jc w:val="left"/>
              <w:rPr>
                <w:rFonts w:ascii="Times New Roman" w:hAnsi="Times New Roman" w:cs="Times New Roman" w:eastAsia="Times New Roman" w:hint="default"/>
                <w:sz w:val="21"/>
                <w:szCs w:val="21"/>
              </w:rPr>
            </w:pPr>
            <w:r>
              <w:rPr>
                <w:rFonts w:ascii="Times New Roman"/>
                <w:sz w:val="21"/>
              </w:rPr>
              <w:t>0.0429%</w:t>
            </w:r>
          </w:p>
        </w:tc>
      </w:tr>
      <w:tr>
        <w:trPr>
          <w:trHeight w:val="385" w:hRule="exact"/>
        </w:trPr>
        <w:tc>
          <w:tcPr>
            <w:tcW w:w="6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247" w:right="0"/>
              <w:jc w:val="left"/>
              <w:rPr>
                <w:rFonts w:ascii="Times New Roman" w:hAnsi="Times New Roman" w:cs="Times New Roman" w:eastAsia="Times New Roman" w:hint="default"/>
                <w:sz w:val="21"/>
                <w:szCs w:val="21"/>
              </w:rPr>
            </w:pPr>
            <w:r>
              <w:rPr>
                <w:rFonts w:ascii="Times New Roman"/>
                <w:sz w:val="21"/>
              </w:rPr>
              <w:t>3</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8"/>
              <w:jc w:val="right"/>
              <w:rPr>
                <w:rFonts w:ascii="宋体" w:hAnsi="宋体" w:cs="宋体" w:eastAsia="宋体" w:hint="default"/>
                <w:sz w:val="21"/>
                <w:szCs w:val="21"/>
              </w:rPr>
            </w:pPr>
            <w:r>
              <w:rPr>
                <w:rFonts w:ascii="宋体" w:hAnsi="宋体" w:cs="宋体" w:eastAsia="宋体" w:hint="default"/>
                <w:sz w:val="21"/>
                <w:szCs w:val="21"/>
              </w:rPr>
              <w:t>孟祥胜</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280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3.3062%</w:t>
            </w:r>
          </w:p>
        </w:tc>
        <w:tc>
          <w:tcPr>
            <w:tcW w:w="15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left="391" w:right="0"/>
              <w:jc w:val="left"/>
              <w:rPr>
                <w:rFonts w:ascii="Times New Roman" w:hAnsi="Times New Roman" w:cs="Times New Roman" w:eastAsia="Times New Roman" w:hint="default"/>
                <w:sz w:val="21"/>
                <w:szCs w:val="21"/>
              </w:rPr>
            </w:pPr>
            <w:r>
              <w:rPr>
                <w:rFonts w:ascii="Times New Roman"/>
                <w:sz w:val="21"/>
              </w:rPr>
              <w:t>0.0400%</w:t>
            </w:r>
          </w:p>
        </w:tc>
      </w:tr>
      <w:tr>
        <w:trPr>
          <w:trHeight w:val="385" w:hRule="exact"/>
        </w:trPr>
        <w:tc>
          <w:tcPr>
            <w:tcW w:w="6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247" w:right="0"/>
              <w:jc w:val="left"/>
              <w:rPr>
                <w:rFonts w:ascii="Times New Roman" w:hAnsi="Times New Roman" w:cs="Times New Roman" w:eastAsia="Times New Roman" w:hint="default"/>
                <w:sz w:val="21"/>
                <w:szCs w:val="21"/>
              </w:rPr>
            </w:pPr>
            <w:r>
              <w:rPr>
                <w:rFonts w:ascii="Times New Roman"/>
                <w:sz w:val="21"/>
              </w:rPr>
              <w:t>4</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7"/>
              <w:ind w:right="198"/>
              <w:jc w:val="right"/>
              <w:rPr>
                <w:rFonts w:ascii="宋体" w:hAnsi="宋体" w:cs="宋体" w:eastAsia="宋体" w:hint="default"/>
                <w:sz w:val="21"/>
                <w:szCs w:val="21"/>
              </w:rPr>
            </w:pPr>
            <w:r>
              <w:rPr>
                <w:rFonts w:ascii="宋体" w:hAnsi="宋体" w:cs="宋体" w:eastAsia="宋体" w:hint="default"/>
                <w:sz w:val="21"/>
                <w:szCs w:val="21"/>
              </w:rPr>
              <w:t>任</w:t>
              <w:tab/>
              <w:t>峻</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董事、副总裁、董事会秘书</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280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3.3062%</w:t>
            </w:r>
          </w:p>
        </w:tc>
        <w:tc>
          <w:tcPr>
            <w:tcW w:w="15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left="391" w:right="0"/>
              <w:jc w:val="left"/>
              <w:rPr>
                <w:rFonts w:ascii="Times New Roman" w:hAnsi="Times New Roman" w:cs="Times New Roman" w:eastAsia="Times New Roman" w:hint="default"/>
                <w:sz w:val="21"/>
                <w:szCs w:val="21"/>
              </w:rPr>
            </w:pPr>
            <w:r>
              <w:rPr>
                <w:rFonts w:ascii="Times New Roman"/>
                <w:sz w:val="21"/>
              </w:rPr>
              <w:t>0.0400%</w:t>
            </w:r>
          </w:p>
        </w:tc>
      </w:tr>
      <w:tr>
        <w:trPr>
          <w:trHeight w:val="396" w:hRule="exact"/>
        </w:trPr>
        <w:tc>
          <w:tcPr>
            <w:tcW w:w="62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5"/>
              <w:ind w:left="247" w:right="0"/>
              <w:jc w:val="left"/>
              <w:rPr>
                <w:rFonts w:ascii="Times New Roman" w:hAnsi="Times New Roman" w:cs="Times New Roman" w:eastAsia="Times New Roman" w:hint="default"/>
                <w:sz w:val="21"/>
                <w:szCs w:val="21"/>
              </w:rPr>
            </w:pPr>
            <w:r>
              <w:rPr>
                <w:rFonts w:ascii="Times New Roman"/>
                <w:sz w:val="21"/>
              </w:rPr>
              <w:t>5</w:t>
            </w:r>
          </w:p>
        </w:tc>
        <w:tc>
          <w:tcPr>
            <w:tcW w:w="1040" w:type="dxa"/>
            <w:tcBorders>
              <w:top w:val="single" w:sz="4" w:space="0" w:color="000000"/>
              <w:left w:val="single" w:sz="4" w:space="0" w:color="000000"/>
              <w:bottom w:val="single" w:sz="12" w:space="0" w:color="000000"/>
              <w:right w:val="single" w:sz="4" w:space="0" w:color="000000"/>
            </w:tcBorders>
          </w:tcPr>
          <w:p>
            <w:pPr>
              <w:pStyle w:val="TableParagraph"/>
              <w:tabs>
                <w:tab w:pos="421" w:val="left" w:leader="none"/>
              </w:tabs>
              <w:spacing w:line="240" w:lineRule="auto" w:before="17"/>
              <w:ind w:right="198"/>
              <w:jc w:val="right"/>
              <w:rPr>
                <w:rFonts w:ascii="宋体" w:hAnsi="宋体" w:cs="宋体" w:eastAsia="宋体" w:hint="default"/>
                <w:sz w:val="21"/>
                <w:szCs w:val="21"/>
              </w:rPr>
            </w:pPr>
            <w:r>
              <w:rPr>
                <w:rFonts w:ascii="宋体" w:hAnsi="宋体" w:cs="宋体" w:eastAsia="宋体" w:hint="default"/>
                <w:sz w:val="21"/>
                <w:szCs w:val="21"/>
              </w:rPr>
              <w:t>朱</w:t>
              <w:tab/>
              <w:t>华</w:t>
            </w:r>
          </w:p>
        </w:tc>
        <w:tc>
          <w:tcPr>
            <w:tcW w:w="27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14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50</w:t>
            </w:r>
          </w:p>
        </w:tc>
        <w:tc>
          <w:tcPr>
            <w:tcW w:w="17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0.5904%</w:t>
            </w:r>
          </w:p>
        </w:tc>
        <w:tc>
          <w:tcPr>
            <w:tcW w:w="154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5"/>
              <w:ind w:left="391" w:right="0"/>
              <w:jc w:val="left"/>
              <w:rPr>
                <w:rFonts w:ascii="Times New Roman" w:hAnsi="Times New Roman" w:cs="Times New Roman" w:eastAsia="Times New Roman" w:hint="default"/>
                <w:sz w:val="21"/>
                <w:szCs w:val="21"/>
              </w:rPr>
            </w:pPr>
            <w:r>
              <w:rPr>
                <w:rFonts w:ascii="Times New Roman"/>
                <w:sz w:val="21"/>
              </w:rPr>
              <w:t>0.0071%</w:t>
            </w:r>
          </w:p>
        </w:tc>
      </w:tr>
    </w:tbl>
    <w:p>
      <w:pPr>
        <w:pStyle w:val="BodyText"/>
        <w:spacing w:line="293" w:lineRule="exact"/>
        <w:ind w:left="720" w:right="2202"/>
        <w:jc w:val="left"/>
      </w:pPr>
      <w:r>
        <w:rPr/>
        <w:t>（</w:t>
      </w:r>
      <w:r>
        <w:rPr>
          <w:rFonts w:ascii="Times New Roman" w:hAnsi="Times New Roman" w:cs="Times New Roman" w:eastAsia="Times New Roman" w:hint="default"/>
        </w:rPr>
        <w:t>2</w:t>
      </w:r>
      <w:r>
        <w:rPr/>
        <w:t>）股票期权的授权日：</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26 </w:t>
      </w:r>
      <w:r>
        <w:rPr/>
        <w:t>日</w:t>
      </w:r>
    </w:p>
    <w:p>
      <w:pPr>
        <w:pStyle w:val="BodyText"/>
        <w:spacing w:line="240" w:lineRule="auto" w:before="135"/>
        <w:ind w:left="720" w:right="2202"/>
        <w:jc w:val="left"/>
      </w:pPr>
      <w:r>
        <w:rPr/>
        <w:t>（</w:t>
      </w:r>
      <w:r>
        <w:rPr>
          <w:rFonts w:ascii="Times New Roman" w:hAnsi="Times New Roman" w:cs="Times New Roman" w:eastAsia="Times New Roman" w:hint="default"/>
        </w:rPr>
        <w:t>3</w:t>
      </w:r>
      <w:r>
        <w:rPr/>
        <w:t>）股票期权的行权价格：</w:t>
      </w:r>
      <w:r>
        <w:rPr>
          <w:rFonts w:ascii="Times New Roman" w:hAnsi="Times New Roman" w:cs="Times New Roman" w:eastAsia="Times New Roman" w:hint="default"/>
        </w:rPr>
        <w:t>14.50 </w:t>
      </w:r>
      <w:r>
        <w:rPr/>
        <w:t>元</w:t>
      </w:r>
    </w:p>
    <w:p>
      <w:pPr>
        <w:pStyle w:val="BodyText"/>
        <w:spacing w:line="240" w:lineRule="auto" w:before="135"/>
        <w:ind w:left="720" w:right="119"/>
        <w:jc w:val="left"/>
      </w:pPr>
      <w:r>
        <w:rPr/>
        <w:t>（</w:t>
      </w:r>
      <w:r>
        <w:rPr>
          <w:rFonts w:ascii="Times New Roman" w:hAnsi="Times New Roman" w:cs="Times New Roman" w:eastAsia="Times New Roman" w:hint="default"/>
        </w:rPr>
        <w:t>4</w:t>
      </w:r>
      <w:r>
        <w:rPr/>
        <w:t>）报告期内，上述获授的股票期权仍处于等待期，尚未可以行权。</w:t>
      </w:r>
    </w:p>
    <w:p>
      <w:pPr>
        <w:pStyle w:val="BodyText"/>
        <w:spacing w:line="240" w:lineRule="auto" w:before="135"/>
        <w:ind w:left="720" w:right="2202"/>
        <w:jc w:val="left"/>
      </w:pPr>
      <w:r>
        <w:rPr>
          <w:rFonts w:ascii="Times New Roman" w:hAnsi="Times New Roman" w:cs="Times New Roman" w:eastAsia="Times New Roman" w:hint="default"/>
        </w:rPr>
        <w:t>6</w:t>
      </w:r>
      <w:r>
        <w:rPr/>
        <w:t>、报告期内，公司董事、监事和高级管理人员变动情况</w:t>
      </w:r>
    </w:p>
    <w:p>
      <w:pPr>
        <w:pStyle w:val="BodyText"/>
        <w:spacing w:line="240" w:lineRule="auto" w:before="135"/>
        <w:ind w:left="720" w:right="2202"/>
        <w:jc w:val="left"/>
      </w:pPr>
      <w:r>
        <w:rPr/>
        <w:t>（</w:t>
      </w:r>
      <w:r>
        <w:rPr>
          <w:rFonts w:ascii="Times New Roman" w:hAnsi="Times New Roman" w:cs="Times New Roman" w:eastAsia="Times New Roman" w:hint="default"/>
        </w:rPr>
        <w:t>1</w:t>
      </w:r>
      <w:r>
        <w:rPr/>
        <w:t>）董事选举及变动</w:t>
      </w:r>
    </w:p>
    <w:p>
      <w:pPr>
        <w:pStyle w:val="BodyText"/>
        <w:spacing w:line="350" w:lineRule="auto" w:before="135"/>
        <w:ind w:left="240" w:right="119" w:firstLine="480"/>
        <w:jc w:val="left"/>
      </w:pPr>
      <w:r>
        <w:rPr/>
        <w:t>报告期内，公司第三届董事会任期届满，公司于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日召开</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 </w:t>
      </w:r>
      <w:r>
        <w:rPr>
          <w:spacing w:val="-6"/>
        </w:rPr>
        <w:t>一次临时股东大会，审议通过了《关于公司董事会换届选举的议案》：选举张近东先生、</w:t>
      </w:r>
      <w:r>
        <w:rPr>
          <w:spacing w:val="-96"/>
        </w:rPr>
        <w:t> </w:t>
      </w:r>
      <w:r>
        <w:rPr>
          <w:spacing w:val="-96"/>
        </w:rPr>
      </w:r>
      <w:r>
        <w:rPr/>
        <w:t>孙为民先生、金明先生、孟祥胜先生、任峻先生、李东先生为公司第四届董事会董事， 选举沈坤荣先生、孙剑平先生、戴新民先生为公司第四届董事会独立董事。</w:t>
      </w:r>
    </w:p>
    <w:p>
      <w:pPr>
        <w:pStyle w:val="BodyText"/>
        <w:spacing w:line="240" w:lineRule="auto" w:before="43"/>
        <w:ind w:left="720" w:right="119"/>
        <w:jc w:val="left"/>
      </w:pPr>
      <w:r>
        <w:rPr>
          <w:spacing w:val="-6"/>
        </w:rPr>
        <w:t>报告期内，公司于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spacing w:val="-3"/>
        </w:rPr>
        <w:t>日召开的第四届董事会第一次会议审议通过《关</w:t>
      </w:r>
    </w:p>
    <w:p>
      <w:pPr>
        <w:pStyle w:val="BodyText"/>
        <w:spacing w:line="240" w:lineRule="auto" w:before="135"/>
        <w:ind w:left="240" w:right="119"/>
        <w:jc w:val="left"/>
        <w:rPr>
          <w:rFonts w:ascii="Times New Roman" w:hAnsi="Times New Roman" w:cs="Times New Roman" w:eastAsia="Times New Roman" w:hint="default"/>
        </w:rPr>
      </w:pPr>
      <w:r>
        <w:rPr/>
        <w:t>于选举公司董事长的议案</w:t>
      </w:r>
      <w:r>
        <w:rPr>
          <w:spacing w:val="-120"/>
        </w:rPr>
        <w:t>》</w:t>
      </w:r>
      <w:r>
        <w:rPr>
          <w:spacing w:val="-16"/>
        </w:rPr>
        <w:t>：</w:t>
      </w:r>
      <w:r>
        <w:rPr/>
        <w:t>选举张近东先生为公司第四届董事会董事长</w:t>
      </w:r>
      <w:r>
        <w:rPr>
          <w:spacing w:val="-16"/>
        </w:rPr>
        <w:t>；</w:t>
      </w:r>
      <w:r>
        <w:rPr/>
        <w:t>公司于</w:t>
      </w:r>
      <w:r>
        <w:rPr>
          <w:spacing w:val="-60"/>
        </w:rPr>
        <w:t> </w:t>
      </w:r>
      <w:r>
        <w:rPr>
          <w:rFonts w:ascii="Times New Roman" w:hAnsi="Times New Roman" w:cs="Times New Roman" w:eastAsia="Times New Roman" w:hint="default"/>
        </w:rPr>
        <w:t>2010</w:t>
      </w:r>
    </w:p>
    <w:p>
      <w:pPr>
        <w:pStyle w:val="BodyText"/>
        <w:spacing w:line="338" w:lineRule="auto" w:before="135"/>
        <w:ind w:left="240" w:right="119"/>
        <w:jc w:val="left"/>
      </w:pPr>
      <w:r>
        <w:rPr/>
        <w:t>年 </w:t>
      </w:r>
      <w:r>
        <w:rPr>
          <w:rFonts w:ascii="Times New Roman" w:hAnsi="Times New Roman" w:cs="Times New Roman" w:eastAsia="Times New Roman" w:hint="default"/>
          <w:spacing w:val="-5"/>
        </w:rPr>
        <w:t>11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15"/>
        </w:rPr>
        <w:t> </w:t>
      </w:r>
      <w:r>
        <w:rPr/>
        <w:t>日召开的第四届董事会第六次会议审议通过《关于选举公司副董事长的议 </w:t>
      </w:r>
      <w:r>
        <w:rPr>
          <w:spacing w:val="-5"/>
        </w:rPr>
        <w:t>案》：选举孙为民先生为公司第四届董事会副董事长。</w:t>
      </w:r>
    </w:p>
    <w:p>
      <w:pPr>
        <w:pStyle w:val="BodyText"/>
        <w:spacing w:line="338" w:lineRule="auto" w:before="55"/>
        <w:ind w:left="720" w:right="238"/>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）监事选举及变动 报告期内，公司第三届监事会任期届满，为保证监事会的正常运作，公司于</w:t>
      </w:r>
      <w:r>
        <w:rPr>
          <w:spacing w:val="26"/>
        </w:rPr>
        <w:t> </w:t>
      </w:r>
      <w:r>
        <w:rPr>
          <w:rFonts w:ascii="Times New Roman" w:hAnsi="Times New Roman" w:cs="Times New Roman" w:eastAsia="Times New Roman" w:hint="default"/>
        </w:rPr>
        <w:t>2010</w:t>
      </w:r>
    </w:p>
    <w:p>
      <w:pPr>
        <w:pStyle w:val="BodyText"/>
        <w:spacing w:line="338" w:lineRule="auto" w:before="27"/>
        <w:ind w:left="240" w:right="237"/>
        <w:jc w:val="left"/>
      </w:pPr>
      <w:r>
        <w:rPr/>
        <w:t>年</w:t>
      </w:r>
      <w:r>
        <w:rPr>
          <w:spacing w:val="-7"/>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日召开了苏宁电器股份有限公司</w:t>
      </w:r>
      <w:r>
        <w:rPr>
          <w:spacing w:val="-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3"/>
        </w:rPr>
        <w:t> </w:t>
      </w:r>
      <w:r>
        <w:rPr/>
        <w:t>年第二次职工代表大会，推举肖忠祥 同志为公司第四届监事会职工代表监事。</w:t>
      </w:r>
    </w:p>
    <w:p>
      <w:pPr>
        <w:pStyle w:val="BodyText"/>
        <w:spacing w:line="338" w:lineRule="auto" w:before="55"/>
        <w:ind w:left="240" w:right="242"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48"/>
        </w:rPr>
        <w:t> </w:t>
      </w:r>
      <w:r>
        <w:rPr>
          <w:rFonts w:ascii="Times New Roman" w:hAnsi="Times New Roman" w:cs="Times New Roman" w:eastAsia="Times New Roman" w:hint="default"/>
        </w:rPr>
        <w:t>27</w:t>
      </w:r>
      <w:r>
        <w:rPr>
          <w:rFonts w:ascii="Times New Roman" w:hAnsi="Times New Roman" w:cs="Times New Roman" w:eastAsia="Times New Roman" w:hint="default"/>
          <w:spacing w:val="12"/>
        </w:rPr>
        <w:t> </w:t>
      </w:r>
      <w:r>
        <w:rPr/>
        <w:t>日，公司召开</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年第一次临时股东大会，审议通过了《关于公 </w:t>
      </w:r>
      <w:r>
        <w:rPr>
          <w:spacing w:val="-4"/>
        </w:rPr>
        <w:t>司监事会换届选举的议案》：选举李建颖女士、汪晓玲女士为公司第四届监事会监事，</w:t>
      </w:r>
    </w:p>
    <w:p>
      <w:pPr>
        <w:spacing w:after="0" w:line="338" w:lineRule="auto"/>
        <w:jc w:val="left"/>
        <w:sectPr>
          <w:pgSz w:w="11910" w:h="16840"/>
          <w:pgMar w:header="748" w:footer="714" w:top="980" w:bottom="900" w:left="1200" w:right="1180"/>
        </w:sectPr>
      </w:pPr>
    </w:p>
    <w:p>
      <w:pPr>
        <w:spacing w:line="240" w:lineRule="auto" w:before="7"/>
        <w:rPr>
          <w:rFonts w:ascii="宋体" w:hAnsi="宋体" w:cs="宋体" w:eastAsia="宋体" w:hint="default"/>
          <w:sz w:val="29"/>
          <w:szCs w:val="29"/>
        </w:rPr>
      </w:pPr>
    </w:p>
    <w:p>
      <w:pPr>
        <w:pStyle w:val="BodyText"/>
        <w:spacing w:line="240" w:lineRule="auto" w:before="26"/>
        <w:ind w:left="240" w:right="2202"/>
        <w:jc w:val="left"/>
      </w:pPr>
      <w:r>
        <w:rPr/>
        <w:t>并与职工代表监事共同组成第四届监事会。</w:t>
      </w:r>
    </w:p>
    <w:p>
      <w:pPr>
        <w:pStyle w:val="BodyText"/>
        <w:spacing w:line="338" w:lineRule="auto" w:before="154"/>
        <w:ind w:left="240" w:right="239"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27</w:t>
      </w:r>
      <w:r>
        <w:rPr>
          <w:rFonts w:ascii="Times New Roman" w:hAnsi="Times New Roman" w:cs="Times New Roman" w:eastAsia="Times New Roman" w:hint="default"/>
          <w:spacing w:val="-7"/>
        </w:rPr>
        <w:t> </w:t>
      </w:r>
      <w:r>
        <w:rPr/>
        <w:t>日，公司第四届监事会第一次会议审议通过《关于选举监事会主席 </w:t>
      </w:r>
      <w:r>
        <w:rPr>
          <w:spacing w:val="-5"/>
        </w:rPr>
        <w:t>的议案》：选举李建颖女士为公司第四届监事会主席。</w:t>
      </w:r>
    </w:p>
    <w:p>
      <w:pPr>
        <w:pStyle w:val="BodyText"/>
        <w:spacing w:line="240" w:lineRule="auto" w:before="55"/>
        <w:ind w:left="720" w:right="2202"/>
        <w:jc w:val="left"/>
      </w:pPr>
      <w:r>
        <w:rPr/>
        <w:t>（</w:t>
      </w:r>
      <w:r>
        <w:rPr>
          <w:rFonts w:ascii="Times New Roman" w:hAnsi="Times New Roman" w:cs="Times New Roman" w:eastAsia="Times New Roman" w:hint="default"/>
        </w:rPr>
        <w:t>3</w:t>
      </w:r>
      <w:r>
        <w:rPr/>
        <w:t>）高级管理人员聘任及变动</w:t>
      </w:r>
    </w:p>
    <w:p>
      <w:pPr>
        <w:pStyle w:val="BodyText"/>
        <w:spacing w:line="350" w:lineRule="auto" w:before="135"/>
        <w:ind w:left="240" w:right="251" w:firstLine="480"/>
        <w:jc w:val="both"/>
      </w:pPr>
      <w:r>
        <w:rPr>
          <w:spacing w:val="-6"/>
        </w:rPr>
        <w:t>报告期内，公司于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spacing w:val="-3"/>
        </w:rPr>
        <w:t>日召开的第四届董事会第一次会议审议通过《关</w:t>
      </w:r>
      <w:r>
        <w:rPr/>
        <w:t> </w:t>
      </w:r>
      <w:r>
        <w:rPr>
          <w:spacing w:val="-10"/>
        </w:rPr>
        <w:t>于聘任公司总裁的议案》、《关于聘任公司副总裁的议案》、《关于续聘公司财务负责人</w:t>
      </w:r>
      <w:r>
        <w:rPr>
          <w:spacing w:val="-92"/>
        </w:rPr>
        <w:t> </w:t>
      </w:r>
      <w:r>
        <w:rPr>
          <w:spacing w:val="-92"/>
        </w:rPr>
      </w:r>
      <w:r>
        <w:rPr>
          <w:spacing w:val="-4"/>
        </w:rPr>
        <w:t>的议案》：聘请金明先生为公司总裁，聘请孟祥胜先生、任峻先生为公司副总裁，续聘</w:t>
      </w:r>
      <w:r>
        <w:rPr>
          <w:spacing w:val="-85"/>
        </w:rPr>
        <w:t> </w:t>
      </w:r>
      <w:r>
        <w:rPr>
          <w:spacing w:val="-85"/>
        </w:rPr>
      </w:r>
      <w:r>
        <w:rPr/>
        <w:t>朱华女士为公司财务负责人。</w:t>
      </w:r>
    </w:p>
    <w:p>
      <w:pPr>
        <w:pStyle w:val="BodyText"/>
        <w:spacing w:line="240" w:lineRule="auto" w:before="43"/>
        <w:ind w:left="720" w:right="2202"/>
        <w:jc w:val="left"/>
      </w:pPr>
      <w:r>
        <w:rPr/>
        <w:t>二、公司员工情况</w:t>
      </w:r>
    </w:p>
    <w:p>
      <w:pPr>
        <w:pStyle w:val="BodyText"/>
        <w:spacing w:line="240" w:lineRule="auto" w:before="154"/>
        <w:ind w:left="720" w:right="119"/>
        <w:jc w:val="left"/>
      </w:pPr>
      <w:r>
        <w:rPr>
          <w:rFonts w:ascii="Times New Roman" w:hAnsi="Times New Roman" w:cs="Times New Roman" w:eastAsia="Times New Roman" w:hint="default"/>
        </w:rPr>
        <w:t>1</w:t>
      </w:r>
      <w:r>
        <w:rPr/>
        <w:t>、截止到</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日，公司母公司共有在册员工</w:t>
      </w:r>
      <w:r>
        <w:rPr>
          <w:spacing w:val="-60"/>
        </w:rPr>
        <w:t> </w:t>
      </w:r>
      <w:r>
        <w:rPr>
          <w:rFonts w:ascii="Times New Roman" w:hAnsi="Times New Roman" w:cs="Times New Roman" w:eastAsia="Times New Roman" w:hint="default"/>
        </w:rPr>
        <w:t>6398 </w:t>
      </w:r>
      <w:r>
        <w:rPr/>
        <w:t>名。</w:t>
      </w:r>
    </w:p>
    <w:p>
      <w:pPr>
        <w:pStyle w:val="BodyText"/>
        <w:spacing w:line="240" w:lineRule="auto" w:before="135"/>
        <w:ind w:left="720" w:right="2202"/>
        <w:jc w:val="left"/>
      </w:pPr>
      <w:r>
        <w:rPr/>
        <w:t>（</w:t>
      </w:r>
      <w:r>
        <w:rPr>
          <w:rFonts w:ascii="Times New Roman" w:hAnsi="Times New Roman" w:cs="Times New Roman" w:eastAsia="Times New Roman" w:hint="default"/>
        </w:rPr>
        <w:t>1</w:t>
      </w:r>
      <w:r>
        <w:rPr/>
        <w:t>）按专业结构分：</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3082"/>
        <w:gridCol w:w="3082"/>
        <w:gridCol w:w="3082"/>
      </w:tblGrid>
      <w:tr>
        <w:trPr>
          <w:trHeight w:val="359" w:hRule="exact"/>
        </w:trPr>
        <w:tc>
          <w:tcPr>
            <w:tcW w:w="3082" w:type="dxa"/>
            <w:tcBorders>
              <w:top w:val="single" w:sz="12" w:space="0" w:color="000000"/>
              <w:left w:val="single" w:sz="12" w:space="0" w:color="000000"/>
              <w:bottom w:val="single" w:sz="4" w:space="0" w:color="000000"/>
              <w:right w:val="single" w:sz="4" w:space="0" w:color="000000"/>
            </w:tcBorders>
          </w:tcPr>
          <w:p>
            <w:pPr>
              <w:pStyle w:val="TableParagraph"/>
              <w:spacing w:line="274" w:lineRule="exact"/>
              <w:ind w:right="1325"/>
              <w:jc w:val="right"/>
              <w:rPr>
                <w:rFonts w:ascii="宋体" w:hAnsi="宋体" w:cs="宋体" w:eastAsia="宋体" w:hint="default"/>
                <w:sz w:val="21"/>
                <w:szCs w:val="21"/>
              </w:rPr>
            </w:pPr>
            <w:r>
              <w:rPr>
                <w:rFonts w:ascii="宋体" w:hAnsi="宋体" w:cs="宋体" w:eastAsia="宋体" w:hint="default"/>
                <w:sz w:val="21"/>
                <w:szCs w:val="21"/>
              </w:rPr>
              <w:t>分工</w:t>
            </w:r>
          </w:p>
        </w:tc>
        <w:tc>
          <w:tcPr>
            <w:tcW w:w="3082"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3082" w:type="dxa"/>
            <w:tcBorders>
              <w:top w:val="single" w:sz="12" w:space="0" w:color="000000"/>
              <w:left w:val="single" w:sz="4" w:space="0" w:color="000000"/>
              <w:bottom w:val="single" w:sz="4" w:space="0" w:color="000000"/>
              <w:right w:val="single" w:sz="12"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70" w:hRule="exact"/>
        </w:trPr>
        <w:tc>
          <w:tcPr>
            <w:tcW w:w="30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采购体系人员</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599</w:t>
            </w:r>
          </w:p>
        </w:tc>
        <w:tc>
          <w:tcPr>
            <w:tcW w:w="30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left="7" w:right="0"/>
              <w:jc w:val="center"/>
              <w:rPr>
                <w:rFonts w:ascii="Times New Roman" w:hAnsi="Times New Roman" w:cs="Times New Roman" w:eastAsia="Times New Roman" w:hint="default"/>
                <w:sz w:val="21"/>
                <w:szCs w:val="21"/>
              </w:rPr>
            </w:pPr>
            <w:r>
              <w:rPr>
                <w:rFonts w:ascii="Times New Roman"/>
                <w:sz w:val="21"/>
              </w:rPr>
              <w:t>9.36%</w:t>
            </w:r>
          </w:p>
        </w:tc>
      </w:tr>
      <w:tr>
        <w:trPr>
          <w:trHeight w:val="368" w:hRule="exact"/>
        </w:trPr>
        <w:tc>
          <w:tcPr>
            <w:tcW w:w="30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销售体系人员</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543</w:t>
            </w:r>
          </w:p>
        </w:tc>
        <w:tc>
          <w:tcPr>
            <w:tcW w:w="30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left="7" w:right="0"/>
              <w:jc w:val="center"/>
              <w:rPr>
                <w:rFonts w:ascii="Times New Roman" w:hAnsi="Times New Roman" w:cs="Times New Roman" w:eastAsia="Times New Roman" w:hint="default"/>
                <w:sz w:val="21"/>
                <w:szCs w:val="21"/>
              </w:rPr>
            </w:pPr>
            <w:r>
              <w:rPr>
                <w:rFonts w:ascii="Times New Roman"/>
                <w:sz w:val="21"/>
              </w:rPr>
              <w:t>8.49%</w:t>
            </w:r>
          </w:p>
        </w:tc>
      </w:tr>
      <w:tr>
        <w:trPr>
          <w:trHeight w:val="370" w:hRule="exact"/>
        </w:trPr>
        <w:tc>
          <w:tcPr>
            <w:tcW w:w="30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财务体系人员</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977</w:t>
            </w:r>
          </w:p>
        </w:tc>
        <w:tc>
          <w:tcPr>
            <w:tcW w:w="30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left="11" w:right="0"/>
              <w:jc w:val="center"/>
              <w:rPr>
                <w:rFonts w:ascii="Times New Roman" w:hAnsi="Times New Roman" w:cs="Times New Roman" w:eastAsia="Times New Roman" w:hint="default"/>
                <w:sz w:val="21"/>
                <w:szCs w:val="21"/>
              </w:rPr>
            </w:pPr>
            <w:r>
              <w:rPr>
                <w:rFonts w:ascii="Times New Roman"/>
                <w:sz w:val="21"/>
              </w:rPr>
              <w:t>15.27%</w:t>
            </w:r>
          </w:p>
        </w:tc>
      </w:tr>
      <w:tr>
        <w:trPr>
          <w:trHeight w:val="368" w:hRule="exact"/>
        </w:trPr>
        <w:tc>
          <w:tcPr>
            <w:tcW w:w="30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职能体系人员</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1441</w:t>
            </w:r>
          </w:p>
        </w:tc>
        <w:tc>
          <w:tcPr>
            <w:tcW w:w="30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left="11" w:right="0"/>
              <w:jc w:val="center"/>
              <w:rPr>
                <w:rFonts w:ascii="Times New Roman" w:hAnsi="Times New Roman" w:cs="Times New Roman" w:eastAsia="Times New Roman" w:hint="default"/>
                <w:sz w:val="21"/>
                <w:szCs w:val="21"/>
              </w:rPr>
            </w:pPr>
            <w:r>
              <w:rPr>
                <w:rFonts w:ascii="Times New Roman"/>
                <w:sz w:val="21"/>
              </w:rPr>
              <w:t>22.52%</w:t>
            </w:r>
          </w:p>
        </w:tc>
      </w:tr>
      <w:tr>
        <w:trPr>
          <w:trHeight w:val="370" w:hRule="exact"/>
        </w:trPr>
        <w:tc>
          <w:tcPr>
            <w:tcW w:w="30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服务体系人员</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442</w:t>
            </w:r>
          </w:p>
        </w:tc>
        <w:tc>
          <w:tcPr>
            <w:tcW w:w="30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left="7" w:right="0"/>
              <w:jc w:val="center"/>
              <w:rPr>
                <w:rFonts w:ascii="Times New Roman" w:hAnsi="Times New Roman" w:cs="Times New Roman" w:eastAsia="Times New Roman" w:hint="default"/>
                <w:sz w:val="21"/>
                <w:szCs w:val="21"/>
              </w:rPr>
            </w:pPr>
            <w:r>
              <w:rPr>
                <w:rFonts w:ascii="Times New Roman"/>
                <w:sz w:val="21"/>
              </w:rPr>
              <w:t>6.91%</w:t>
            </w:r>
          </w:p>
        </w:tc>
      </w:tr>
      <w:tr>
        <w:trPr>
          <w:trHeight w:val="368" w:hRule="exact"/>
        </w:trPr>
        <w:tc>
          <w:tcPr>
            <w:tcW w:w="30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1286"/>
              <w:jc w:val="right"/>
              <w:rPr>
                <w:rFonts w:ascii="宋体" w:hAnsi="宋体" w:cs="宋体" w:eastAsia="宋体" w:hint="default"/>
                <w:sz w:val="21"/>
                <w:szCs w:val="21"/>
              </w:rPr>
            </w:pPr>
            <w:r>
              <w:rPr>
                <w:rFonts w:ascii="宋体" w:hAnsi="宋体" w:cs="宋体" w:eastAsia="宋体" w:hint="default"/>
                <w:spacing w:val="-1"/>
                <w:sz w:val="21"/>
                <w:szCs w:val="21"/>
              </w:rPr>
              <w:t>管理人员小计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4002</w:t>
            </w:r>
          </w:p>
        </w:tc>
        <w:tc>
          <w:tcPr>
            <w:tcW w:w="30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left="11" w:right="0"/>
              <w:jc w:val="center"/>
              <w:rPr>
                <w:rFonts w:ascii="Times New Roman" w:hAnsi="Times New Roman" w:cs="Times New Roman" w:eastAsia="Times New Roman" w:hint="default"/>
                <w:sz w:val="21"/>
                <w:szCs w:val="21"/>
              </w:rPr>
            </w:pPr>
            <w:r>
              <w:rPr>
                <w:rFonts w:ascii="Times New Roman"/>
                <w:sz w:val="21"/>
              </w:rPr>
              <w:t>62.55%</w:t>
            </w:r>
          </w:p>
        </w:tc>
      </w:tr>
      <w:tr>
        <w:trPr>
          <w:trHeight w:val="370" w:hRule="exact"/>
        </w:trPr>
        <w:tc>
          <w:tcPr>
            <w:tcW w:w="30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终端作业人员</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2396</w:t>
            </w:r>
          </w:p>
        </w:tc>
        <w:tc>
          <w:tcPr>
            <w:tcW w:w="30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left="11" w:right="0"/>
              <w:jc w:val="center"/>
              <w:rPr>
                <w:rFonts w:ascii="Times New Roman" w:hAnsi="Times New Roman" w:cs="Times New Roman" w:eastAsia="Times New Roman" w:hint="default"/>
                <w:sz w:val="21"/>
                <w:szCs w:val="21"/>
              </w:rPr>
            </w:pPr>
            <w:r>
              <w:rPr>
                <w:rFonts w:ascii="Times New Roman"/>
                <w:sz w:val="21"/>
              </w:rPr>
              <w:t>37.45%</w:t>
            </w:r>
          </w:p>
        </w:tc>
      </w:tr>
      <w:tr>
        <w:trPr>
          <w:trHeight w:val="379" w:hRule="exact"/>
        </w:trPr>
        <w:tc>
          <w:tcPr>
            <w:tcW w:w="308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left="93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6398</w:t>
            </w:r>
          </w:p>
        </w:tc>
        <w:tc>
          <w:tcPr>
            <w:tcW w:w="30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7"/>
              <w:ind w:left="8" w:right="0"/>
              <w:jc w:val="center"/>
              <w:rPr>
                <w:rFonts w:ascii="Times New Roman" w:hAnsi="Times New Roman" w:cs="Times New Roman" w:eastAsia="Times New Roman" w:hint="default"/>
                <w:sz w:val="21"/>
                <w:szCs w:val="21"/>
              </w:rPr>
            </w:pPr>
            <w:r>
              <w:rPr>
                <w:rFonts w:ascii="Times New Roman"/>
                <w:sz w:val="21"/>
              </w:rPr>
              <w:t>100.00%</w:t>
            </w:r>
          </w:p>
        </w:tc>
      </w:tr>
    </w:tbl>
    <w:p>
      <w:pPr>
        <w:pStyle w:val="BodyText"/>
        <w:spacing w:line="293" w:lineRule="exact"/>
        <w:ind w:left="720" w:right="2202"/>
        <w:jc w:val="left"/>
      </w:pPr>
      <w:r>
        <w:rPr/>
        <w:t>（</w:t>
      </w:r>
      <w:r>
        <w:rPr>
          <w:rFonts w:ascii="Times New Roman" w:hAnsi="Times New Roman" w:cs="Times New Roman" w:eastAsia="Times New Roman" w:hint="default"/>
        </w:rPr>
        <w:t>2</w:t>
      </w:r>
      <w:r>
        <w:rPr/>
        <w:t>）按受教育程度分：</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597"/>
        <w:gridCol w:w="1828"/>
        <w:gridCol w:w="1825"/>
        <w:gridCol w:w="1825"/>
        <w:gridCol w:w="2140"/>
      </w:tblGrid>
      <w:tr>
        <w:trPr>
          <w:trHeight w:val="360" w:hRule="exact"/>
        </w:trPr>
        <w:tc>
          <w:tcPr>
            <w:tcW w:w="1597" w:type="dxa"/>
            <w:tcBorders>
              <w:top w:val="single" w:sz="12" w:space="0" w:color="000000"/>
              <w:left w:val="single" w:sz="12" w:space="0" w:color="000000"/>
              <w:bottom w:val="single" w:sz="4" w:space="0" w:color="000000"/>
              <w:right w:val="single" w:sz="4" w:space="0" w:color="000000"/>
            </w:tcBorders>
          </w:tcPr>
          <w:p>
            <w:pPr>
              <w:pStyle w:val="TableParagraph"/>
              <w:spacing w:line="274" w:lineRule="exact"/>
              <w:ind w:right="8"/>
              <w:jc w:val="center"/>
              <w:rPr>
                <w:rFonts w:ascii="宋体" w:hAnsi="宋体" w:cs="宋体" w:eastAsia="宋体" w:hint="default"/>
                <w:sz w:val="21"/>
                <w:szCs w:val="21"/>
              </w:rPr>
            </w:pPr>
            <w:r>
              <w:rPr>
                <w:rFonts w:ascii="宋体" w:hAnsi="宋体" w:cs="宋体" w:eastAsia="宋体" w:hint="default"/>
                <w:sz w:val="21"/>
                <w:szCs w:val="21"/>
              </w:rPr>
              <w:t>学历</w:t>
            </w:r>
          </w:p>
        </w:tc>
        <w:tc>
          <w:tcPr>
            <w:tcW w:w="1828"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管理岗位</w:t>
            </w:r>
          </w:p>
        </w:tc>
        <w:tc>
          <w:tcPr>
            <w:tcW w:w="1825"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作业岗位</w:t>
            </w:r>
          </w:p>
        </w:tc>
        <w:tc>
          <w:tcPr>
            <w:tcW w:w="1825"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40" w:type="dxa"/>
            <w:tcBorders>
              <w:top w:val="single" w:sz="12" w:space="0" w:color="000000"/>
              <w:left w:val="single" w:sz="4" w:space="0" w:color="000000"/>
              <w:bottom w:val="single" w:sz="4" w:space="0" w:color="000000"/>
              <w:right w:val="single" w:sz="12" w:space="0" w:color="000000"/>
            </w:tcBorders>
          </w:tcPr>
          <w:p>
            <w:pPr>
              <w:pStyle w:val="TableParagraph"/>
              <w:spacing w:line="274" w:lineRule="exact"/>
              <w:ind w:left="8" w:right="0"/>
              <w:jc w:val="center"/>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68" w:hRule="exact"/>
        </w:trPr>
        <w:tc>
          <w:tcPr>
            <w:tcW w:w="15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本科以上</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2322</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96</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2418</w:t>
            </w:r>
          </w:p>
        </w:tc>
        <w:tc>
          <w:tcPr>
            <w:tcW w:w="21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left="10" w:right="0"/>
              <w:jc w:val="center"/>
              <w:rPr>
                <w:rFonts w:ascii="Times New Roman" w:hAnsi="Times New Roman" w:cs="Times New Roman" w:eastAsia="Times New Roman" w:hint="default"/>
                <w:sz w:val="21"/>
                <w:szCs w:val="21"/>
              </w:rPr>
            </w:pPr>
            <w:r>
              <w:rPr>
                <w:rFonts w:ascii="Times New Roman"/>
                <w:sz w:val="21"/>
              </w:rPr>
              <w:t>37.79%</w:t>
            </w:r>
          </w:p>
        </w:tc>
      </w:tr>
      <w:tr>
        <w:trPr>
          <w:trHeight w:val="370" w:hRule="exact"/>
        </w:trPr>
        <w:tc>
          <w:tcPr>
            <w:tcW w:w="15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1176</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802</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1978</w:t>
            </w:r>
          </w:p>
        </w:tc>
        <w:tc>
          <w:tcPr>
            <w:tcW w:w="21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left="10" w:right="0"/>
              <w:jc w:val="center"/>
              <w:rPr>
                <w:rFonts w:ascii="Times New Roman" w:hAnsi="Times New Roman" w:cs="Times New Roman" w:eastAsia="Times New Roman" w:hint="default"/>
                <w:sz w:val="21"/>
                <w:szCs w:val="21"/>
              </w:rPr>
            </w:pPr>
            <w:r>
              <w:rPr>
                <w:rFonts w:ascii="Times New Roman"/>
                <w:sz w:val="21"/>
              </w:rPr>
              <w:t>30.92%</w:t>
            </w:r>
          </w:p>
        </w:tc>
      </w:tr>
      <w:tr>
        <w:trPr>
          <w:trHeight w:val="368" w:hRule="exact"/>
        </w:trPr>
        <w:tc>
          <w:tcPr>
            <w:tcW w:w="15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中专</w:t>
            </w:r>
            <w:r>
              <w:rPr>
                <w:rFonts w:ascii="Times New Roman" w:hAnsi="Times New Roman" w:cs="Times New Roman" w:eastAsia="Times New Roman" w:hint="default"/>
                <w:sz w:val="21"/>
                <w:szCs w:val="21"/>
              </w:rPr>
              <w:t>/</w:t>
            </w:r>
            <w:r>
              <w:rPr>
                <w:rFonts w:ascii="宋体" w:hAnsi="宋体" w:cs="宋体" w:eastAsia="宋体" w:hint="default"/>
                <w:sz w:val="21"/>
                <w:szCs w:val="21"/>
              </w:rPr>
              <w:t>高中</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222</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1208</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1430</w:t>
            </w:r>
          </w:p>
        </w:tc>
        <w:tc>
          <w:tcPr>
            <w:tcW w:w="21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left="10" w:right="0"/>
              <w:jc w:val="center"/>
              <w:rPr>
                <w:rFonts w:ascii="Times New Roman" w:hAnsi="Times New Roman" w:cs="Times New Roman" w:eastAsia="Times New Roman" w:hint="default"/>
                <w:sz w:val="21"/>
                <w:szCs w:val="21"/>
              </w:rPr>
            </w:pPr>
            <w:r>
              <w:rPr>
                <w:rFonts w:ascii="Times New Roman"/>
                <w:sz w:val="21"/>
              </w:rPr>
              <w:t>22.35%</w:t>
            </w:r>
          </w:p>
        </w:tc>
      </w:tr>
      <w:tr>
        <w:trPr>
          <w:trHeight w:val="370" w:hRule="exact"/>
        </w:trPr>
        <w:tc>
          <w:tcPr>
            <w:tcW w:w="15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10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562</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572</w:t>
            </w:r>
          </w:p>
        </w:tc>
        <w:tc>
          <w:tcPr>
            <w:tcW w:w="21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left="8" w:right="0"/>
              <w:jc w:val="center"/>
              <w:rPr>
                <w:rFonts w:ascii="Times New Roman" w:hAnsi="Times New Roman" w:cs="Times New Roman" w:eastAsia="Times New Roman" w:hint="default"/>
                <w:sz w:val="21"/>
                <w:szCs w:val="21"/>
              </w:rPr>
            </w:pPr>
            <w:r>
              <w:rPr>
                <w:rFonts w:ascii="Times New Roman"/>
                <w:sz w:val="21"/>
              </w:rPr>
              <w:t>8.94%</w:t>
            </w:r>
          </w:p>
        </w:tc>
      </w:tr>
      <w:tr>
        <w:trPr>
          <w:trHeight w:val="379" w:hRule="exact"/>
        </w:trPr>
        <w:tc>
          <w:tcPr>
            <w:tcW w:w="159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3730</w:t>
            </w:r>
          </w:p>
        </w:tc>
        <w:tc>
          <w:tcPr>
            <w:tcW w:w="18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2668</w:t>
            </w:r>
          </w:p>
        </w:tc>
        <w:tc>
          <w:tcPr>
            <w:tcW w:w="18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6398</w:t>
            </w:r>
          </w:p>
        </w:tc>
        <w:tc>
          <w:tcPr>
            <w:tcW w:w="21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7"/>
              <w:ind w:left="7" w:right="0"/>
              <w:jc w:val="center"/>
              <w:rPr>
                <w:rFonts w:ascii="Times New Roman" w:hAnsi="Times New Roman" w:cs="Times New Roman" w:eastAsia="Times New Roman" w:hint="default"/>
                <w:sz w:val="21"/>
                <w:szCs w:val="21"/>
              </w:rPr>
            </w:pPr>
            <w:r>
              <w:rPr>
                <w:rFonts w:ascii="Times New Roman"/>
                <w:sz w:val="21"/>
              </w:rPr>
              <w:t>100.00%</w:t>
            </w:r>
          </w:p>
        </w:tc>
      </w:tr>
    </w:tbl>
    <w:p>
      <w:pPr>
        <w:pStyle w:val="BodyText"/>
        <w:spacing w:line="240" w:lineRule="auto" w:before="81"/>
        <w:ind w:left="722" w:right="2202"/>
        <w:jc w:val="left"/>
      </w:pPr>
      <w:r>
        <w:rPr>
          <w:rFonts w:ascii="Times New Roman" w:hAnsi="Times New Roman" w:cs="Times New Roman" w:eastAsia="Times New Roman" w:hint="default"/>
        </w:rPr>
        <w:t>2</w:t>
      </w:r>
      <w:r>
        <w:rPr/>
        <w:t>、公司不存在需要承担的离退休职工。</w:t>
      </w:r>
    </w:p>
    <w:p>
      <w:pPr>
        <w:spacing w:after="0" w:line="240" w:lineRule="auto"/>
        <w:jc w:val="left"/>
        <w:sectPr>
          <w:pgSz w:w="11910" w:h="16840"/>
          <w:pgMar w:header="748" w:footer="714" w:top="980" w:bottom="900" w:left="1200" w:right="1180"/>
        </w:sectPr>
      </w:pPr>
    </w:p>
    <w:p>
      <w:pPr>
        <w:spacing w:line="240" w:lineRule="auto" w:before="0"/>
        <w:rPr>
          <w:rFonts w:ascii="宋体" w:hAnsi="宋体" w:cs="宋体" w:eastAsia="宋体" w:hint="default"/>
          <w:sz w:val="20"/>
          <w:szCs w:val="20"/>
        </w:rPr>
      </w:pPr>
    </w:p>
    <w:p>
      <w:pPr>
        <w:pStyle w:val="Heading1"/>
        <w:tabs>
          <w:tab w:pos="4332" w:val="left" w:leader="none"/>
        </w:tabs>
        <w:spacing w:line="240" w:lineRule="auto"/>
        <w:ind w:left="3052" w:right="217"/>
        <w:jc w:val="left"/>
        <w:rPr>
          <w:b w:val="0"/>
          <w:bCs w:val="0"/>
        </w:rPr>
      </w:pPr>
      <w:bookmarkStart w:name="_TOC_250006" w:id="5"/>
      <w:r>
        <w:rPr>
          <w:w w:val="95"/>
        </w:rPr>
        <w:t>第五节</w:t>
        <w:tab/>
      </w:r>
      <w:r>
        <w:rPr/>
        <w:t>公司治理结构</w:t>
      </w:r>
      <w:bookmarkEnd w:id="5"/>
      <w:r>
        <w:rPr>
          <w:b w:val="0"/>
          <w:bCs w:val="0"/>
        </w:rPr>
      </w:r>
    </w:p>
    <w:p>
      <w:pPr>
        <w:pStyle w:val="BodyText"/>
        <w:spacing w:line="357" w:lineRule="auto" w:before="217"/>
        <w:ind w:left="560" w:right="217" w:firstLine="60"/>
        <w:jc w:val="left"/>
      </w:pPr>
      <w:r>
        <w:rPr/>
        <w:t>一、公司治理情况 </w:t>
      </w:r>
      <w:r>
        <w:rPr>
          <w:spacing w:val="-14"/>
        </w:rPr>
        <w:t>报告期内，公司严格按照《公司法》、《证券法》、《上市公司治理准则》和《深圳证</w:t>
      </w:r>
      <w:r>
        <w:rPr/>
      </w:r>
    </w:p>
    <w:p>
      <w:pPr>
        <w:pStyle w:val="BodyText"/>
        <w:spacing w:line="357" w:lineRule="auto" w:before="36"/>
        <w:ind w:right="233"/>
        <w:jc w:val="both"/>
      </w:pPr>
      <w:r>
        <w:rPr>
          <w:spacing w:val="-3"/>
        </w:rPr>
        <w:t>券交易所股票上市规则》等有关法律、法规的规定，不断完善公司法人治理结构，健全</w:t>
      </w:r>
      <w:r>
        <w:rPr>
          <w:spacing w:val="-98"/>
        </w:rPr>
        <w:t> </w:t>
      </w:r>
      <w:r>
        <w:rPr>
          <w:spacing w:val="-98"/>
        </w:rPr>
      </w:r>
      <w:r>
        <w:rPr/>
        <w:t>内部控制体系，进一步规范公司运作。</w:t>
      </w:r>
    </w:p>
    <w:p>
      <w:pPr>
        <w:pStyle w:val="BodyText"/>
        <w:spacing w:line="357" w:lineRule="auto" w:before="36"/>
        <w:ind w:right="232" w:firstLine="420"/>
        <w:jc w:val="both"/>
      </w:pPr>
      <w:r>
        <w:rPr>
          <w:spacing w:val="-1"/>
        </w:rPr>
        <w:t>目前，公司整体运作比较规范、治理制度健全、独立性强、信息披露规范，实际情</w:t>
      </w:r>
      <w:r>
        <w:rPr/>
        <w:t> 况与中国证监会有关上市公司治理的规范性文件要求基本符合。</w:t>
      </w:r>
    </w:p>
    <w:p>
      <w:pPr>
        <w:pStyle w:val="BodyText"/>
        <w:spacing w:line="240" w:lineRule="auto" w:before="36"/>
        <w:ind w:left="620" w:right="217"/>
        <w:jc w:val="left"/>
      </w:pPr>
      <w:r>
        <w:rPr>
          <w:rFonts w:ascii="Times New Roman" w:hAnsi="Times New Roman" w:cs="Times New Roman" w:eastAsia="Times New Roman" w:hint="default"/>
        </w:rPr>
        <w:t>1</w:t>
      </w:r>
      <w:r>
        <w:rPr/>
        <w:t>、关于股东与股东大会</w:t>
      </w:r>
    </w:p>
    <w:p>
      <w:pPr>
        <w:pStyle w:val="BodyText"/>
        <w:spacing w:line="350" w:lineRule="auto" w:before="135"/>
        <w:ind w:right="231"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5"/>
        </w:rPr>
        <w:t> </w:t>
      </w:r>
      <w:r>
        <w:rPr>
          <w:spacing w:val="-8"/>
        </w:rPr>
        <w:t>年，公司严格按照公司《章程》、《股东大会议事规则》的规定和要求，规范</w:t>
      </w:r>
      <w:r>
        <w:rPr/>
        <w:t> </w:t>
      </w:r>
      <w:r>
        <w:rPr>
          <w:spacing w:val="-3"/>
        </w:rPr>
        <w:t>股东大会的召集、召开、表决程序，平等对待所有股东，确保股东能充分行使权利。特</w:t>
      </w:r>
      <w:r>
        <w:rPr>
          <w:spacing w:val="-96"/>
        </w:rPr>
        <w:t> </w:t>
      </w:r>
      <w:r>
        <w:rPr>
          <w:spacing w:val="-96"/>
        </w:rPr>
      </w:r>
      <w:r>
        <w:rPr>
          <w:spacing w:val="3"/>
        </w:rPr>
        <w:t>别在审议股票期权激励计划事项的股东大会上采用网络投票与委托独立董事投票的方</w:t>
      </w:r>
      <w:r>
        <w:rPr>
          <w:spacing w:val="-94"/>
        </w:rPr>
        <w:t> </w:t>
      </w:r>
      <w:r>
        <w:rPr>
          <w:spacing w:val="-94"/>
        </w:rPr>
      </w:r>
      <w:r>
        <w:rPr/>
        <w:t>式，有效保证了中小股东的权利。</w:t>
      </w:r>
    </w:p>
    <w:p>
      <w:pPr>
        <w:pStyle w:val="BodyText"/>
        <w:spacing w:line="338" w:lineRule="auto" w:before="43"/>
        <w:ind w:left="620" w:right="217"/>
        <w:jc w:val="left"/>
      </w:pPr>
      <w:r>
        <w:rPr>
          <w:rFonts w:ascii="Times New Roman" w:hAnsi="Times New Roman" w:cs="Times New Roman" w:eastAsia="Times New Roman" w:hint="default"/>
        </w:rPr>
        <w:t>2</w:t>
      </w:r>
      <w:r>
        <w:rPr/>
        <w:t>、关于控股股东与上市公司的关系 </w:t>
      </w:r>
      <w:r>
        <w:rPr>
          <w:spacing w:val="-3"/>
        </w:rPr>
        <w:t>公司控股股东行为规范，能依法行使其权利，并承担相应义务，通过股东大会行使</w:t>
      </w:r>
    </w:p>
    <w:p>
      <w:pPr>
        <w:pStyle w:val="BodyText"/>
        <w:spacing w:line="357" w:lineRule="auto" w:before="55"/>
        <w:ind w:right="232"/>
        <w:jc w:val="both"/>
      </w:pPr>
      <w:r>
        <w:rPr>
          <w:spacing w:val="-3"/>
        </w:rPr>
        <w:t>出资人权利，没有超越公司股东大会直接或间接干预公司的决策和经营活动。公司与控</w:t>
      </w:r>
      <w:r>
        <w:rPr>
          <w:spacing w:val="-98"/>
        </w:rPr>
        <w:t> </w:t>
      </w:r>
      <w:r>
        <w:rPr>
          <w:spacing w:val="-98"/>
        </w:rPr>
      </w:r>
      <w:r>
        <w:rPr>
          <w:spacing w:val="-3"/>
        </w:rPr>
        <w:t>股股东在人员、资产、财务、机构、业务上相互独立，公司董事会、监事会和内部机构</w:t>
      </w:r>
      <w:r>
        <w:rPr>
          <w:spacing w:val="-101"/>
        </w:rPr>
        <w:t> </w:t>
      </w:r>
      <w:r>
        <w:rPr>
          <w:spacing w:val="-101"/>
        </w:rPr>
      </w:r>
      <w:r>
        <w:rPr>
          <w:spacing w:val="-3"/>
        </w:rPr>
        <w:t>能够独立运作。公司与控股股东关联法人之间发生的关联交易，定价公平合理，审批程</w:t>
      </w:r>
      <w:r>
        <w:rPr>
          <w:spacing w:val="-96"/>
        </w:rPr>
        <w:t> </w:t>
      </w:r>
      <w:r>
        <w:rPr>
          <w:spacing w:val="-96"/>
        </w:rPr>
      </w:r>
      <w:r>
        <w:rPr/>
        <w:t>序符合相关法律、法规及公司《章程》的规定。</w:t>
      </w:r>
    </w:p>
    <w:p>
      <w:pPr>
        <w:pStyle w:val="BodyText"/>
        <w:spacing w:line="338" w:lineRule="auto" w:before="36"/>
        <w:ind w:left="620" w:right="217"/>
        <w:jc w:val="left"/>
      </w:pPr>
      <w:r>
        <w:rPr>
          <w:rFonts w:ascii="Times New Roman" w:hAnsi="Times New Roman" w:cs="Times New Roman" w:eastAsia="Times New Roman" w:hint="default"/>
        </w:rPr>
        <w:t>3</w:t>
      </w:r>
      <w:r>
        <w:rPr/>
        <w:t>、关于董事和董事会 </w:t>
      </w:r>
      <w:r>
        <w:rPr>
          <w:spacing w:val="-4"/>
        </w:rPr>
        <w:t>公司严格按照《公司法》、公司《章程》规定的选聘程序选举董事，董事会的人数</w:t>
      </w:r>
    </w:p>
    <w:p>
      <w:pPr>
        <w:pStyle w:val="BodyText"/>
        <w:spacing w:line="357" w:lineRule="auto" w:before="55"/>
        <w:ind w:right="233"/>
        <w:jc w:val="both"/>
      </w:pPr>
      <w:r>
        <w:rPr>
          <w:spacing w:val="-3"/>
        </w:rPr>
        <w:t>及结构符合法律法规和公司《章程》的要求。全体董事严格按照《公司法》和公司《章</w:t>
      </w:r>
      <w:r>
        <w:rPr>
          <w:spacing w:val="-101"/>
        </w:rPr>
        <w:t> </w:t>
      </w:r>
      <w:r>
        <w:rPr>
          <w:spacing w:val="-101"/>
        </w:rPr>
      </w:r>
      <w:r>
        <w:rPr>
          <w:spacing w:val="-9"/>
        </w:rPr>
        <w:t>程》、《董事会议事规则》的规定，规范董事会的召集、召开和表决；认真出席董事会和</w:t>
      </w:r>
      <w:r>
        <w:rPr>
          <w:spacing w:val="-101"/>
        </w:rPr>
        <w:t> </w:t>
      </w:r>
      <w:r>
        <w:rPr>
          <w:spacing w:val="-101"/>
        </w:rPr>
      </w:r>
      <w:r>
        <w:rPr/>
        <w:t>股东大会，积极参加对相关知识的培训，熟悉有关法律法规，勤勉尽责。</w:t>
      </w:r>
    </w:p>
    <w:p>
      <w:pPr>
        <w:pStyle w:val="BodyText"/>
        <w:spacing w:line="338" w:lineRule="auto" w:before="36"/>
        <w:ind w:left="620" w:right="217"/>
        <w:jc w:val="left"/>
      </w:pPr>
      <w:r>
        <w:rPr>
          <w:rFonts w:ascii="Times New Roman" w:hAnsi="Times New Roman" w:cs="Times New Roman" w:eastAsia="Times New Roman" w:hint="default"/>
        </w:rPr>
        <w:t>4</w:t>
      </w:r>
      <w:r>
        <w:rPr/>
        <w:t>、关于监事和监事会 </w:t>
      </w:r>
      <w:r>
        <w:rPr>
          <w:spacing w:val="-4"/>
        </w:rPr>
        <w:t>公司严格按照《公司法》、公司《章程》的规定选举产生监事，监事会的人数及结</w:t>
      </w:r>
    </w:p>
    <w:p>
      <w:pPr>
        <w:pStyle w:val="BodyText"/>
        <w:spacing w:line="357" w:lineRule="auto" w:before="55"/>
        <w:ind w:right="97"/>
        <w:jc w:val="left"/>
      </w:pPr>
      <w:r>
        <w:rPr>
          <w:spacing w:val="-9"/>
        </w:rPr>
        <w:t>构符合法律法规和公司《章程》的要求。全体监事严格按照公司《章程》、《监事会议事</w:t>
      </w:r>
      <w:r>
        <w:rPr>
          <w:spacing w:val="-101"/>
        </w:rPr>
        <w:t> </w:t>
      </w:r>
      <w:r>
        <w:rPr>
          <w:spacing w:val="-101"/>
        </w:rPr>
      </w:r>
      <w:r>
        <w:rPr>
          <w:spacing w:val="-7"/>
        </w:rPr>
        <w:t>规则》的规定，规范监事会的召集、召开和表决，公司监事认真履行职责，诚信、勤勉、</w:t>
      </w:r>
      <w:r>
        <w:rPr>
          <w:spacing w:val="-90"/>
        </w:rPr>
        <w:t> </w:t>
      </w:r>
      <w:r>
        <w:rPr>
          <w:spacing w:val="-90"/>
        </w:rPr>
      </w:r>
      <w:r>
        <w:rPr>
          <w:spacing w:val="-3"/>
        </w:rPr>
        <w:t>尽责地对公司财务以及董事、高级管理人员履行职责的合法、合规性进行监督，维护公</w:t>
      </w:r>
      <w:r>
        <w:rPr>
          <w:spacing w:val="-96"/>
        </w:rPr>
        <w:t> </w:t>
      </w:r>
      <w:r>
        <w:rPr>
          <w:spacing w:val="-96"/>
        </w:rPr>
      </w:r>
      <w:r>
        <w:rPr/>
        <w:t>司及股东的合法权益。</w:t>
      </w:r>
    </w:p>
    <w:p>
      <w:pPr>
        <w:spacing w:after="0" w:line="357" w:lineRule="auto"/>
        <w:jc w:val="left"/>
        <w:sectPr>
          <w:pgSz w:w="11910" w:h="16840"/>
          <w:pgMar w:header="748" w:footer="714" w:top="980" w:bottom="900" w:left="1300" w:right="1200"/>
        </w:sectPr>
      </w:pPr>
    </w:p>
    <w:p>
      <w:pPr>
        <w:spacing w:line="240" w:lineRule="auto" w:before="7"/>
        <w:rPr>
          <w:rFonts w:ascii="宋体" w:hAnsi="宋体" w:cs="宋体" w:eastAsia="宋体" w:hint="default"/>
          <w:sz w:val="29"/>
          <w:szCs w:val="29"/>
        </w:rPr>
      </w:pPr>
    </w:p>
    <w:p>
      <w:pPr>
        <w:pStyle w:val="BodyText"/>
        <w:spacing w:line="338" w:lineRule="auto" w:before="26"/>
        <w:ind w:left="620" w:right="232"/>
        <w:jc w:val="left"/>
      </w:pPr>
      <w:r>
        <w:rPr>
          <w:rFonts w:ascii="Times New Roman" w:hAnsi="Times New Roman" w:cs="Times New Roman" w:eastAsia="Times New Roman" w:hint="default"/>
        </w:rPr>
        <w:t>5</w:t>
      </w:r>
      <w:r>
        <w:rPr/>
        <w:t>、关于绩效评价与激励约束机制 </w:t>
      </w:r>
      <w:r>
        <w:rPr>
          <w:spacing w:val="-3"/>
        </w:rPr>
        <w:t>公司已经建立相对公正、透明的董事、监事和高级管理人员的绩效评价标准和激励</w:t>
      </w:r>
    </w:p>
    <w:p>
      <w:pPr>
        <w:pStyle w:val="BodyText"/>
        <w:spacing w:line="357" w:lineRule="auto" w:before="55"/>
        <w:ind w:right="97"/>
        <w:jc w:val="left"/>
      </w:pPr>
      <w:r>
        <w:rPr>
          <w:spacing w:val="-3"/>
        </w:rPr>
        <w:t>约束机制，并通过首次股票期权激励计划的实施，进一步加强对公司董事、中高层管理</w:t>
      </w:r>
      <w:r>
        <w:rPr>
          <w:spacing w:val="-96"/>
        </w:rPr>
        <w:t> </w:t>
      </w:r>
      <w:r>
        <w:rPr>
          <w:spacing w:val="-96"/>
        </w:rPr>
      </w:r>
      <w:r>
        <w:rPr>
          <w:spacing w:val="-6"/>
        </w:rPr>
        <w:t>人员以及核心业务骨干的激励。公司高管人员的聘任公开、透明，符合法律法规的规定。</w:t>
      </w:r>
    </w:p>
    <w:p>
      <w:pPr>
        <w:pStyle w:val="BodyText"/>
        <w:spacing w:line="338" w:lineRule="auto" w:before="36"/>
        <w:ind w:left="620" w:right="232"/>
        <w:jc w:val="left"/>
      </w:pPr>
      <w:r>
        <w:rPr>
          <w:rFonts w:ascii="Times New Roman" w:hAnsi="Times New Roman" w:cs="Times New Roman" w:eastAsia="Times New Roman" w:hint="default"/>
        </w:rPr>
        <w:t>6</w:t>
      </w:r>
      <w:r>
        <w:rPr/>
        <w:t>、关于相关利益者 </w:t>
      </w:r>
      <w:r>
        <w:rPr>
          <w:spacing w:val="-3"/>
        </w:rPr>
        <w:t>公司能够充分尊重和维护相关利益者的合法权益，积极与相关利益者合作，加强与</w:t>
      </w:r>
    </w:p>
    <w:p>
      <w:pPr>
        <w:pStyle w:val="BodyText"/>
        <w:spacing w:line="357" w:lineRule="auto" w:before="55"/>
        <w:ind w:right="97"/>
        <w:jc w:val="left"/>
      </w:pPr>
      <w:r>
        <w:rPr>
          <w:spacing w:val="-6"/>
        </w:rPr>
        <w:t>各方的沟通和交流，实现股东、员工、社会等各方利益的均衡，以推动公司持续、稳定、</w:t>
      </w:r>
      <w:r>
        <w:rPr>
          <w:spacing w:val="-96"/>
        </w:rPr>
        <w:t> </w:t>
      </w:r>
      <w:r>
        <w:rPr>
          <w:spacing w:val="-96"/>
        </w:rPr>
      </w:r>
      <w:r>
        <w:rPr/>
        <w:t>健康地发展。</w:t>
      </w:r>
    </w:p>
    <w:p>
      <w:pPr>
        <w:pStyle w:val="BodyText"/>
        <w:spacing w:line="338" w:lineRule="auto" w:before="36"/>
        <w:ind w:left="620" w:right="217"/>
        <w:jc w:val="left"/>
      </w:pPr>
      <w:r>
        <w:rPr>
          <w:rFonts w:ascii="Times New Roman" w:hAnsi="Times New Roman" w:cs="Times New Roman" w:eastAsia="Times New Roman" w:hint="default"/>
        </w:rPr>
        <w:t>7</w:t>
      </w:r>
      <w:r>
        <w:rPr/>
        <w:t>、关于信息披露与透明度 </w:t>
      </w:r>
      <w:r>
        <w:rPr>
          <w:spacing w:val="2"/>
        </w:rPr>
        <w:t>公司严格按照《信息披露管理制度》和《投资者关系管理制度》的要求，指定公</w:t>
      </w:r>
      <w:r>
        <w:rPr/>
      </w:r>
    </w:p>
    <w:p>
      <w:pPr>
        <w:pStyle w:val="BodyText"/>
        <w:spacing w:line="357" w:lineRule="auto" w:before="55"/>
        <w:ind w:right="217"/>
        <w:jc w:val="left"/>
      </w:pPr>
      <w:r>
        <w:rPr>
          <w:spacing w:val="2"/>
        </w:rPr>
        <w:t>司董事会秘书负责信息披露工作、接待股东来访和咨询，严格按照有关规定真实、准</w:t>
      </w:r>
      <w:r>
        <w:rPr>
          <w:spacing w:val="-87"/>
        </w:rPr>
        <w:t> </w:t>
      </w:r>
      <w:r>
        <w:rPr>
          <w:spacing w:val="-87"/>
        </w:rPr>
      </w:r>
      <w:r>
        <w:rPr/>
        <w:t>确、完整、及时地披露有关信息，确保公司所有股东能够以平等的机会获得信息。</w:t>
      </w:r>
    </w:p>
    <w:p>
      <w:pPr>
        <w:pStyle w:val="BodyText"/>
        <w:spacing w:line="240" w:lineRule="auto" w:before="36"/>
        <w:ind w:left="620" w:right="217"/>
        <w:jc w:val="left"/>
      </w:pPr>
      <w:r>
        <w:rPr/>
        <w:t>二、公司董事长、独立董事及其他董事履行职责情况</w:t>
      </w:r>
    </w:p>
    <w:p>
      <w:pPr>
        <w:pStyle w:val="BodyText"/>
        <w:spacing w:line="352" w:lineRule="auto" w:before="154"/>
        <w:ind w:right="232" w:firstLine="480"/>
        <w:jc w:val="both"/>
      </w:pPr>
      <w:r>
        <w:rPr>
          <w:rFonts w:ascii="Times New Roman" w:hAnsi="Times New Roman" w:cs="Times New Roman" w:eastAsia="Times New Roman" w:hint="default"/>
          <w:spacing w:val="-7"/>
        </w:rPr>
        <w:t>1</w:t>
      </w:r>
      <w:r>
        <w:rPr>
          <w:spacing w:val="-7"/>
        </w:rPr>
        <w:t>、报告期内，公司全体董事严格按照《公司法》、《深圳证券交易所中小企业板上</w:t>
      </w:r>
      <w:r>
        <w:rPr/>
        <w:t> </w:t>
      </w:r>
      <w:r>
        <w:rPr>
          <w:spacing w:val="-3"/>
        </w:rPr>
        <w:t>市公司规范运作指引》及公司《章程》的规定和要求，履行董事职责，遵守董事行为规</w:t>
      </w:r>
      <w:r>
        <w:rPr>
          <w:spacing w:val="-96"/>
        </w:rPr>
        <w:t> </w:t>
      </w:r>
      <w:r>
        <w:rPr>
          <w:spacing w:val="-96"/>
        </w:rPr>
      </w:r>
      <w:r>
        <w:rPr>
          <w:spacing w:val="-3"/>
        </w:rPr>
        <w:t>范，积极参加监管部门、保荐机构组织的培训，参会、履职意识进一步增强，规范运作</w:t>
      </w:r>
      <w:r>
        <w:rPr>
          <w:spacing w:val="-96"/>
        </w:rPr>
        <w:t> </w:t>
      </w:r>
      <w:r>
        <w:rPr>
          <w:spacing w:val="-96"/>
        </w:rPr>
      </w:r>
      <w:r>
        <w:rPr>
          <w:spacing w:val="-3"/>
        </w:rPr>
        <w:t>水平进一步提高。董事在董事会会议投票表决重大事项或其他对公司有重大影响的事项</w:t>
      </w:r>
      <w:r>
        <w:rPr>
          <w:spacing w:val="-98"/>
        </w:rPr>
        <w:t> </w:t>
      </w:r>
      <w:r>
        <w:rPr>
          <w:spacing w:val="-98"/>
        </w:rPr>
      </w:r>
      <w:r>
        <w:rPr>
          <w:spacing w:val="-3"/>
        </w:rPr>
        <w:t>时，严格遵循公司董事会议事规则的有关审议规定，审慎决策，切实保护公司和投资者</w:t>
      </w:r>
      <w:r>
        <w:rPr>
          <w:spacing w:val="-96"/>
        </w:rPr>
        <w:t> </w:t>
      </w:r>
      <w:r>
        <w:rPr>
          <w:spacing w:val="-96"/>
        </w:rPr>
      </w:r>
      <w:r>
        <w:rPr/>
        <w:t>利益。</w:t>
      </w:r>
    </w:p>
    <w:p>
      <w:pPr>
        <w:pStyle w:val="BodyText"/>
        <w:spacing w:line="352" w:lineRule="auto" w:before="41"/>
        <w:ind w:right="97" w:firstLine="480"/>
        <w:jc w:val="left"/>
      </w:pPr>
      <w:r>
        <w:rPr>
          <w:rFonts w:ascii="Times New Roman" w:hAnsi="Times New Roman" w:cs="Times New Roman" w:eastAsia="Times New Roman" w:hint="default"/>
          <w:spacing w:val="-7"/>
        </w:rPr>
        <w:t>2</w:t>
      </w:r>
      <w:r>
        <w:rPr>
          <w:spacing w:val="-7"/>
        </w:rPr>
        <w:t>、公司董事长张近东先生在履行职责时，严格按照《公司法》、《深圳证券交易所</w:t>
      </w:r>
      <w:r>
        <w:rPr/>
        <w:t> </w:t>
      </w:r>
      <w:r>
        <w:rPr>
          <w:spacing w:val="-6"/>
        </w:rPr>
        <w:t>中小企业板块上市公司规范运作指引》和公司《章程》规定，行使董事长职权。在召集、</w:t>
      </w:r>
      <w:r>
        <w:rPr>
          <w:spacing w:val="-96"/>
        </w:rPr>
        <w:t> </w:t>
      </w:r>
      <w:r>
        <w:rPr>
          <w:spacing w:val="-96"/>
        </w:rPr>
      </w:r>
      <w:r>
        <w:rPr>
          <w:spacing w:val="-3"/>
        </w:rPr>
        <w:t>主持董事会会议时，带头执行董事会集体决策机制，并积极推动公司治理工作的深入开</w:t>
      </w:r>
      <w:r>
        <w:rPr>
          <w:spacing w:val="-98"/>
        </w:rPr>
        <w:t> </w:t>
      </w:r>
      <w:r>
        <w:rPr>
          <w:spacing w:val="-98"/>
        </w:rPr>
      </w:r>
      <w:r>
        <w:rPr>
          <w:spacing w:val="-3"/>
        </w:rPr>
        <w:t>展和内部控制建设的不断完善，督促执行股东大会和董事会的各项决议，确保公司规范</w:t>
      </w:r>
      <w:r>
        <w:rPr>
          <w:spacing w:val="-98"/>
        </w:rPr>
        <w:t> </w:t>
      </w:r>
      <w:r>
        <w:rPr>
          <w:spacing w:val="-98"/>
        </w:rPr>
      </w:r>
      <w:r>
        <w:rPr/>
        <w:t>运作。</w:t>
      </w:r>
    </w:p>
    <w:p>
      <w:pPr>
        <w:pStyle w:val="BodyText"/>
        <w:spacing w:line="355" w:lineRule="auto" w:before="41"/>
        <w:ind w:right="232" w:firstLine="480"/>
        <w:jc w:val="both"/>
      </w:pPr>
      <w:r>
        <w:rPr>
          <w:rFonts w:ascii="Times New Roman" w:hAnsi="Times New Roman" w:cs="Times New Roman" w:eastAsia="Times New Roman" w:hint="default"/>
        </w:rPr>
        <w:t>3</w:t>
      </w:r>
      <w:r>
        <w:rPr/>
        <w:t>、公司独立董事沈坤荣先生、孙剑平先生和戴新民先生，严格按照有关法律、法 </w:t>
      </w:r>
      <w:r>
        <w:rPr>
          <w:spacing w:val="-9"/>
        </w:rPr>
        <w:t>规及公司《章程》、《独立董事制度》的规定履行职责，按时亲自或以通讯方式参加了年</w:t>
      </w:r>
      <w:r>
        <w:rPr>
          <w:spacing w:val="-99"/>
        </w:rPr>
        <w:t> </w:t>
      </w:r>
      <w:r>
        <w:rPr>
          <w:spacing w:val="-99"/>
        </w:rPr>
      </w:r>
      <w:r>
        <w:rPr>
          <w:spacing w:val="-3"/>
        </w:rPr>
        <w:t>内召开的十二次董事会，认真审议各项议案，客观的发表自己的看法及观点，并利用自</w:t>
      </w:r>
      <w:r>
        <w:rPr>
          <w:spacing w:val="-96"/>
        </w:rPr>
        <w:t> </w:t>
      </w:r>
      <w:r>
        <w:rPr>
          <w:spacing w:val="-96"/>
        </w:rPr>
      </w:r>
      <w:r>
        <w:rPr>
          <w:spacing w:val="-3"/>
        </w:rPr>
        <w:t>己的专业知识做出独立、公正的判断。同时各位独立董事还深入公司现场调查，了解公</w:t>
      </w:r>
      <w:r>
        <w:rPr>
          <w:spacing w:val="-96"/>
        </w:rPr>
        <w:t> </w:t>
      </w:r>
      <w:r>
        <w:rPr>
          <w:spacing w:val="-96"/>
        </w:rPr>
      </w:r>
      <w:r>
        <w:rPr>
          <w:spacing w:val="-3"/>
        </w:rPr>
        <w:t>司经营状况和内部控制的建设及董事会决议执行情况，为公司经营和发展提出了合理化</w:t>
      </w:r>
      <w:r>
        <w:rPr>
          <w:spacing w:val="-98"/>
        </w:rPr>
        <w:t> </w:t>
      </w:r>
      <w:r>
        <w:rPr>
          <w:spacing w:val="-98"/>
        </w:rPr>
      </w:r>
      <w:r>
        <w:rPr>
          <w:spacing w:val="-3"/>
        </w:rPr>
        <w:t>的意见和建议；对报告期内对外担保、关联交易、募集资金、续聘审计会计师事务所等</w:t>
      </w:r>
      <w:r>
        <w:rPr>
          <w:spacing w:val="-98"/>
        </w:rPr>
        <w:t> </w:t>
      </w:r>
      <w:r>
        <w:rPr>
          <w:spacing w:val="-98"/>
        </w:rPr>
      </w:r>
      <w:r>
        <w:rPr>
          <w:spacing w:val="-3"/>
        </w:rPr>
        <w:t>事项发表独立意见，在审议股票期权激励计划相关议案时公开征集委托投票权，不受公</w:t>
      </w:r>
    </w:p>
    <w:p>
      <w:pPr>
        <w:spacing w:after="0" w:line="355" w:lineRule="auto"/>
        <w:jc w:val="both"/>
        <w:sectPr>
          <w:pgSz w:w="11910" w:h="16840"/>
          <w:pgMar w:header="748" w:footer="714" w:top="980" w:bottom="900" w:left="1300" w:right="1200"/>
        </w:sectPr>
      </w:pPr>
    </w:p>
    <w:p>
      <w:pPr>
        <w:spacing w:line="240" w:lineRule="auto" w:before="7"/>
        <w:rPr>
          <w:rFonts w:ascii="宋体" w:hAnsi="宋体" w:cs="宋体" w:eastAsia="宋体" w:hint="default"/>
          <w:sz w:val="29"/>
          <w:szCs w:val="29"/>
        </w:rPr>
      </w:pPr>
    </w:p>
    <w:p>
      <w:pPr>
        <w:pStyle w:val="BodyText"/>
        <w:spacing w:line="357" w:lineRule="auto" w:before="26"/>
        <w:ind w:left="720" w:right="144" w:hanging="480"/>
        <w:jc w:val="left"/>
      </w:pPr>
      <w:r>
        <w:rPr/>
        <w:t>司和主要股东的影响，切实维护了中小股东的利益。 报告期内，公司所有独立董事对公司董事会的议案及公司其他事项没有提出异议。 </w:t>
      </w:r>
      <w:r>
        <w:rPr>
          <w:rFonts w:ascii="Times New Roman" w:hAnsi="Times New Roman" w:cs="Times New Roman" w:eastAsia="Times New Roman" w:hint="default"/>
        </w:rPr>
        <w:t>4</w:t>
      </w:r>
      <w:r>
        <w:rPr/>
        <w:t>、公司董事出席董事会的情况：</w:t>
      </w:r>
    </w:p>
    <w:p>
      <w:pPr>
        <w:spacing w:line="240" w:lineRule="auto" w:before="5"/>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042"/>
        <w:gridCol w:w="1441"/>
        <w:gridCol w:w="971"/>
        <w:gridCol w:w="929"/>
        <w:gridCol w:w="1303"/>
        <w:gridCol w:w="1116"/>
        <w:gridCol w:w="1115"/>
        <w:gridCol w:w="1328"/>
      </w:tblGrid>
      <w:tr>
        <w:trPr>
          <w:trHeight w:val="880" w:hRule="exact"/>
        </w:trPr>
        <w:tc>
          <w:tcPr>
            <w:tcW w:w="1042" w:type="dxa"/>
            <w:tcBorders>
              <w:top w:val="single" w:sz="12" w:space="0" w:color="000000"/>
              <w:left w:val="single" w:sz="12" w:space="0" w:color="000000"/>
              <w:bottom w:val="single" w:sz="4" w:space="0" w:color="000000"/>
              <w:right w:val="single" w:sz="4" w:space="0" w:color="000000"/>
            </w:tcBorders>
          </w:tcPr>
          <w:p>
            <w:pPr>
              <w:pStyle w:val="TableParagraph"/>
              <w:spacing w:line="272" w:lineRule="exact" w:before="150"/>
              <w:ind w:left="400" w:right="199" w:hanging="210"/>
              <w:jc w:val="left"/>
              <w:rPr>
                <w:rFonts w:ascii="宋体" w:hAnsi="宋体" w:cs="宋体" w:eastAsia="宋体" w:hint="default"/>
                <w:sz w:val="21"/>
                <w:szCs w:val="21"/>
              </w:rPr>
            </w:pPr>
            <w:r>
              <w:rPr>
                <w:rFonts w:ascii="宋体" w:hAnsi="宋体" w:cs="宋体" w:eastAsia="宋体" w:hint="default"/>
                <w:sz w:val="21"/>
                <w:szCs w:val="21"/>
              </w:rPr>
              <w:t>董事姓 名</w:t>
            </w:r>
          </w:p>
        </w:tc>
        <w:tc>
          <w:tcPr>
            <w:tcW w:w="14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96" w:right="0"/>
              <w:jc w:val="left"/>
              <w:rPr>
                <w:rFonts w:ascii="宋体" w:hAnsi="宋体" w:cs="宋体" w:eastAsia="宋体" w:hint="default"/>
                <w:sz w:val="21"/>
                <w:szCs w:val="21"/>
              </w:rPr>
            </w:pPr>
            <w:r>
              <w:rPr>
                <w:rFonts w:ascii="宋体" w:hAnsi="宋体" w:cs="宋体" w:eastAsia="宋体" w:hint="default"/>
                <w:sz w:val="21"/>
                <w:szCs w:val="21"/>
              </w:rPr>
              <w:t>具体职务</w:t>
            </w:r>
          </w:p>
        </w:tc>
        <w:tc>
          <w:tcPr>
            <w:tcW w:w="971"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5"/>
              <w:ind w:left="269" w:right="163" w:hanging="105"/>
              <w:jc w:val="left"/>
              <w:rPr>
                <w:rFonts w:ascii="宋体" w:hAnsi="宋体" w:cs="宋体" w:eastAsia="宋体" w:hint="default"/>
                <w:sz w:val="21"/>
                <w:szCs w:val="21"/>
              </w:rPr>
            </w:pPr>
            <w:r>
              <w:rPr>
                <w:rFonts w:ascii="宋体" w:hAnsi="宋体" w:cs="宋体" w:eastAsia="宋体" w:hint="default"/>
                <w:sz w:val="21"/>
                <w:szCs w:val="21"/>
              </w:rPr>
              <w:t>应出席 次数</w:t>
            </w:r>
          </w:p>
          <w:p>
            <w:pPr>
              <w:pStyle w:val="TableParagraph"/>
              <w:spacing w:line="249" w:lineRule="exact"/>
              <w:ind w:left="165" w:right="0"/>
              <w:jc w:val="left"/>
              <w:rPr>
                <w:rFonts w:ascii="宋体" w:hAnsi="宋体" w:cs="宋体" w:eastAsia="宋体" w:hint="default"/>
                <w:sz w:val="21"/>
                <w:szCs w:val="21"/>
              </w:rPr>
            </w:pPr>
            <w:r>
              <w:rPr>
                <w:rFonts w:ascii="宋体" w:hAnsi="宋体" w:cs="宋体" w:eastAsia="宋体" w:hint="default"/>
                <w:sz w:val="21"/>
                <w:szCs w:val="21"/>
              </w:rPr>
              <w:t>（次）</w:t>
            </w:r>
          </w:p>
        </w:tc>
        <w:tc>
          <w:tcPr>
            <w:tcW w:w="929"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5"/>
              <w:ind w:left="144" w:right="143"/>
              <w:jc w:val="left"/>
              <w:rPr>
                <w:rFonts w:ascii="宋体" w:hAnsi="宋体" w:cs="宋体" w:eastAsia="宋体" w:hint="default"/>
                <w:sz w:val="21"/>
                <w:szCs w:val="21"/>
              </w:rPr>
            </w:pPr>
            <w:r>
              <w:rPr>
                <w:rFonts w:ascii="宋体" w:hAnsi="宋体" w:cs="宋体" w:eastAsia="宋体" w:hint="default"/>
                <w:sz w:val="21"/>
                <w:szCs w:val="21"/>
              </w:rPr>
              <w:t>现场出 席次数</w:t>
            </w:r>
          </w:p>
          <w:p>
            <w:pPr>
              <w:pStyle w:val="TableParagraph"/>
              <w:spacing w:line="249" w:lineRule="exact"/>
              <w:ind w:left="144" w:right="0"/>
              <w:jc w:val="left"/>
              <w:rPr>
                <w:rFonts w:ascii="宋体" w:hAnsi="宋体" w:cs="宋体" w:eastAsia="宋体" w:hint="default"/>
                <w:sz w:val="21"/>
                <w:szCs w:val="21"/>
              </w:rPr>
            </w:pPr>
            <w:r>
              <w:rPr>
                <w:rFonts w:ascii="宋体" w:hAnsi="宋体" w:cs="宋体" w:eastAsia="宋体" w:hint="default"/>
                <w:sz w:val="21"/>
                <w:szCs w:val="21"/>
              </w:rPr>
              <w:t>（次）</w:t>
            </w:r>
          </w:p>
        </w:tc>
        <w:tc>
          <w:tcPr>
            <w:tcW w:w="1303"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5"/>
              <w:ind w:left="18" w:right="13"/>
              <w:jc w:val="center"/>
              <w:rPr>
                <w:rFonts w:ascii="宋体" w:hAnsi="宋体" w:cs="宋体" w:eastAsia="宋体" w:hint="default"/>
                <w:sz w:val="21"/>
                <w:szCs w:val="21"/>
              </w:rPr>
            </w:pPr>
            <w:r>
              <w:rPr>
                <w:rFonts w:ascii="宋体" w:hAnsi="宋体" w:cs="宋体" w:eastAsia="宋体" w:hint="default"/>
                <w:sz w:val="21"/>
                <w:szCs w:val="21"/>
              </w:rPr>
              <w:t>以通讯方式参 加会议次数</w:t>
            </w:r>
          </w:p>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（次）</w:t>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50"/>
              <w:ind w:left="103" w:right="-2" w:firstLine="28"/>
              <w:jc w:val="left"/>
              <w:rPr>
                <w:rFonts w:ascii="宋体" w:hAnsi="宋体" w:cs="宋体" w:eastAsia="宋体" w:hint="default"/>
                <w:sz w:val="21"/>
                <w:szCs w:val="21"/>
              </w:rPr>
            </w:pPr>
            <w:r>
              <w:rPr>
                <w:rFonts w:ascii="宋体" w:hAnsi="宋体" w:cs="宋体" w:eastAsia="宋体" w:hint="default"/>
                <w:sz w:val="21"/>
                <w:szCs w:val="21"/>
              </w:rPr>
              <w:t>委托出席 </w:t>
            </w:r>
            <w:r>
              <w:rPr>
                <w:rFonts w:ascii="宋体" w:hAnsi="宋体" w:cs="宋体" w:eastAsia="宋体" w:hint="default"/>
                <w:spacing w:val="-10"/>
                <w:sz w:val="21"/>
                <w:szCs w:val="21"/>
              </w:rPr>
              <w:t>次数（次）</w:t>
            </w:r>
          </w:p>
        </w:tc>
        <w:tc>
          <w:tcPr>
            <w:tcW w:w="1115"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before="123"/>
              <w:ind w:right="1"/>
              <w:jc w:val="center"/>
              <w:rPr>
                <w:rFonts w:ascii="宋体" w:hAnsi="宋体" w:cs="宋体" w:eastAsia="宋体" w:hint="default"/>
                <w:sz w:val="21"/>
                <w:szCs w:val="21"/>
              </w:rPr>
            </w:pPr>
            <w:r>
              <w:rPr>
                <w:rFonts w:ascii="宋体" w:hAnsi="宋体" w:cs="宋体" w:eastAsia="宋体" w:hint="default"/>
                <w:sz w:val="21"/>
                <w:szCs w:val="21"/>
              </w:rPr>
              <w:t>缺席次数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（次）</w:t>
            </w:r>
          </w:p>
        </w:tc>
        <w:tc>
          <w:tcPr>
            <w:tcW w:w="1328" w:type="dxa"/>
            <w:tcBorders>
              <w:top w:val="single" w:sz="12" w:space="0" w:color="000000"/>
              <w:left w:val="single" w:sz="4" w:space="0" w:color="000000"/>
              <w:bottom w:val="single" w:sz="4" w:space="0" w:color="000000"/>
              <w:right w:val="single" w:sz="12" w:space="0" w:color="000000"/>
            </w:tcBorders>
          </w:tcPr>
          <w:p>
            <w:pPr>
              <w:pStyle w:val="TableParagraph"/>
              <w:spacing w:line="237" w:lineRule="auto"/>
              <w:ind w:left="134" w:right="122"/>
              <w:jc w:val="center"/>
              <w:rPr>
                <w:rFonts w:ascii="宋体" w:hAnsi="宋体" w:cs="宋体" w:eastAsia="宋体" w:hint="default"/>
                <w:sz w:val="21"/>
                <w:szCs w:val="21"/>
              </w:rPr>
            </w:pPr>
            <w:r>
              <w:rPr>
                <w:rFonts w:ascii="宋体" w:hAnsi="宋体" w:cs="宋体" w:eastAsia="宋体" w:hint="default"/>
                <w:sz w:val="21"/>
                <w:szCs w:val="21"/>
              </w:rPr>
              <w:t>是否连续两 次未亲自出 席会议</w:t>
            </w:r>
          </w:p>
        </w:tc>
      </w:tr>
      <w:tr>
        <w:trPr>
          <w:trHeight w:val="368"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190" w:right="0"/>
              <w:jc w:val="left"/>
              <w:rPr>
                <w:rFonts w:ascii="宋体" w:hAnsi="宋体" w:cs="宋体" w:eastAsia="宋体" w:hint="default"/>
                <w:sz w:val="21"/>
                <w:szCs w:val="21"/>
              </w:rPr>
            </w:pPr>
            <w:r>
              <w:rPr>
                <w:rFonts w:ascii="宋体" w:hAnsi="宋体" w:cs="宋体" w:eastAsia="宋体" w:hint="default"/>
                <w:sz w:val="21"/>
                <w:szCs w:val="21"/>
              </w:rPr>
              <w:t>张近东</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4" w:right="0"/>
              <w:jc w:val="left"/>
              <w:rPr>
                <w:rFonts w:ascii="Times New Roman" w:hAnsi="Times New Roman" w:cs="Times New Roman" w:eastAsia="Times New Roman" w:hint="default"/>
                <w:sz w:val="21"/>
                <w:szCs w:val="21"/>
              </w:rPr>
            </w:pPr>
            <w:r>
              <w:rPr>
                <w:rFonts w:ascii="Times New Roman"/>
                <w:sz w:val="21"/>
              </w:rPr>
              <w:t>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21"/>
                <w:szCs w:val="21"/>
              </w:rPr>
            </w:pPr>
            <w:r>
              <w:rPr>
                <w:rFonts w:ascii="Times New Roman"/>
                <w:sz w:val="21"/>
              </w:rPr>
              <w:t>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9" w:right="0"/>
              <w:jc w:val="left"/>
              <w:rPr>
                <w:rFonts w:ascii="Times New Roman" w:hAnsi="Times New Roman" w:cs="Times New Roman" w:eastAsia="Times New Roman" w:hint="default"/>
                <w:sz w:val="21"/>
                <w:szCs w:val="21"/>
              </w:rPr>
            </w:pPr>
            <w:r>
              <w:rPr>
                <w:rFonts w:ascii="Times New Roman"/>
                <w:sz w:val="21"/>
              </w:rPr>
              <w:t>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9" w:right="0"/>
              <w:jc w:val="left"/>
              <w:rPr>
                <w:rFonts w:ascii="Times New Roman" w:hAnsi="Times New Roman" w:cs="Times New Roman" w:eastAsia="Times New Roman" w:hint="default"/>
                <w:sz w:val="21"/>
                <w:szCs w:val="21"/>
              </w:rPr>
            </w:pPr>
            <w:r>
              <w:rPr>
                <w:rFonts w:ascii="Times New Roman"/>
                <w:sz w:val="21"/>
              </w:rPr>
              <w:t>0</w:t>
            </w:r>
          </w:p>
        </w:tc>
        <w:tc>
          <w:tcPr>
            <w:tcW w:w="13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left="9"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0"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190" w:right="0"/>
              <w:jc w:val="left"/>
              <w:rPr>
                <w:rFonts w:ascii="宋体" w:hAnsi="宋体" w:cs="宋体" w:eastAsia="宋体" w:hint="default"/>
                <w:sz w:val="21"/>
                <w:szCs w:val="21"/>
              </w:rPr>
            </w:pPr>
            <w:r>
              <w:rPr>
                <w:rFonts w:ascii="宋体" w:hAnsi="宋体" w:cs="宋体" w:eastAsia="宋体" w:hint="default"/>
                <w:sz w:val="21"/>
                <w:szCs w:val="21"/>
              </w:rPr>
              <w:t>孙为民</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4" w:right="0"/>
              <w:jc w:val="left"/>
              <w:rPr>
                <w:rFonts w:ascii="Times New Roman" w:hAnsi="Times New Roman" w:cs="Times New Roman" w:eastAsia="Times New Roman" w:hint="default"/>
                <w:sz w:val="21"/>
                <w:szCs w:val="21"/>
              </w:rPr>
            </w:pPr>
            <w:r>
              <w:rPr>
                <w:rFonts w:ascii="Times New Roman"/>
                <w:sz w:val="21"/>
              </w:rPr>
              <w:t>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21"/>
                <w:szCs w:val="21"/>
              </w:rPr>
            </w:pPr>
            <w:r>
              <w:rPr>
                <w:rFonts w:ascii="Times New Roman"/>
                <w:sz w:val="21"/>
              </w:rPr>
              <w:t>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9" w:right="0"/>
              <w:jc w:val="left"/>
              <w:rPr>
                <w:rFonts w:ascii="Times New Roman" w:hAnsi="Times New Roman" w:cs="Times New Roman" w:eastAsia="Times New Roman" w:hint="default"/>
                <w:sz w:val="21"/>
                <w:szCs w:val="21"/>
              </w:rPr>
            </w:pPr>
            <w:r>
              <w:rPr>
                <w:rFonts w:ascii="Times New Roman"/>
                <w:sz w:val="21"/>
              </w:rPr>
              <w:t>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9" w:right="0"/>
              <w:jc w:val="left"/>
              <w:rPr>
                <w:rFonts w:ascii="Times New Roman" w:hAnsi="Times New Roman" w:cs="Times New Roman" w:eastAsia="Times New Roman" w:hint="default"/>
                <w:sz w:val="21"/>
                <w:szCs w:val="21"/>
              </w:rPr>
            </w:pPr>
            <w:r>
              <w:rPr>
                <w:rFonts w:ascii="Times New Roman"/>
                <w:sz w:val="21"/>
              </w:rPr>
              <w:t>0</w:t>
            </w:r>
          </w:p>
        </w:tc>
        <w:tc>
          <w:tcPr>
            <w:tcW w:w="13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left="9"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8"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tabs>
                <w:tab w:pos="611" w:val="left" w:leader="none"/>
              </w:tabs>
              <w:spacing w:line="240" w:lineRule="auto" w:before="9"/>
              <w:ind w:left="190" w:right="0"/>
              <w:jc w:val="left"/>
              <w:rPr>
                <w:rFonts w:ascii="宋体" w:hAnsi="宋体" w:cs="宋体" w:eastAsia="宋体" w:hint="default"/>
                <w:sz w:val="21"/>
                <w:szCs w:val="21"/>
              </w:rPr>
            </w:pPr>
            <w:r>
              <w:rPr>
                <w:rFonts w:ascii="宋体" w:hAnsi="宋体" w:cs="宋体" w:eastAsia="宋体" w:hint="default"/>
                <w:sz w:val="21"/>
                <w:szCs w:val="21"/>
              </w:rPr>
              <w:t>金</w:t>
              <w:tab/>
              <w:t>明</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4" w:right="0"/>
              <w:jc w:val="left"/>
              <w:rPr>
                <w:rFonts w:ascii="Times New Roman" w:hAnsi="Times New Roman" w:cs="Times New Roman" w:eastAsia="Times New Roman" w:hint="default"/>
                <w:sz w:val="21"/>
                <w:szCs w:val="21"/>
              </w:rPr>
            </w:pPr>
            <w:r>
              <w:rPr>
                <w:rFonts w:ascii="Times New Roman"/>
                <w:sz w:val="21"/>
              </w:rPr>
              <w:t>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21"/>
                <w:szCs w:val="21"/>
              </w:rPr>
            </w:pPr>
            <w:r>
              <w:rPr>
                <w:rFonts w:ascii="Times New Roman"/>
                <w:sz w:val="21"/>
              </w:rPr>
              <w:t>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Times New Roman" w:hAnsi="Times New Roman" w:cs="Times New Roman" w:eastAsia="Times New Roman" w:hint="default"/>
                <w:sz w:val="21"/>
                <w:szCs w:val="21"/>
              </w:rPr>
            </w:pPr>
            <w:r>
              <w:rPr>
                <w:rFonts w:ascii="Times New Roman"/>
                <w:spacing w:val="-7"/>
                <w:sz w:val="21"/>
              </w:rPr>
              <w:t>11</w:t>
            </w:r>
            <w:r>
              <w:rPr>
                <w:rFonts w:ascii="Times New Roman"/>
                <w:sz w:val="21"/>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9" w:right="0"/>
              <w:jc w:val="left"/>
              <w:rPr>
                <w:rFonts w:ascii="Times New Roman" w:hAnsi="Times New Roman" w:cs="Times New Roman" w:eastAsia="Times New Roman" w:hint="default"/>
                <w:sz w:val="21"/>
                <w:szCs w:val="21"/>
              </w:rPr>
            </w:pPr>
            <w:r>
              <w:rPr>
                <w:rFonts w:ascii="Times New Roman"/>
                <w:sz w:val="21"/>
              </w:rPr>
              <w:t>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9" w:right="0"/>
              <w:jc w:val="left"/>
              <w:rPr>
                <w:rFonts w:ascii="Times New Roman" w:hAnsi="Times New Roman" w:cs="Times New Roman" w:eastAsia="Times New Roman" w:hint="default"/>
                <w:sz w:val="21"/>
                <w:szCs w:val="21"/>
              </w:rPr>
            </w:pPr>
            <w:r>
              <w:rPr>
                <w:rFonts w:ascii="Times New Roman"/>
                <w:sz w:val="21"/>
              </w:rPr>
              <w:t>0</w:t>
            </w:r>
          </w:p>
        </w:tc>
        <w:tc>
          <w:tcPr>
            <w:tcW w:w="13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left="9"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0"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190" w:right="0"/>
              <w:jc w:val="left"/>
              <w:rPr>
                <w:rFonts w:ascii="宋体" w:hAnsi="宋体" w:cs="宋体" w:eastAsia="宋体" w:hint="default"/>
                <w:sz w:val="21"/>
                <w:szCs w:val="21"/>
              </w:rPr>
            </w:pPr>
            <w:r>
              <w:rPr>
                <w:rFonts w:ascii="宋体" w:hAnsi="宋体" w:cs="宋体" w:eastAsia="宋体" w:hint="default"/>
                <w:sz w:val="21"/>
                <w:szCs w:val="21"/>
              </w:rPr>
              <w:t>孟祥胜</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pacing w:val="-6"/>
                <w:sz w:val="21"/>
                <w:szCs w:val="21"/>
              </w:rPr>
              <w:t>董事、副总裁</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4" w:right="0"/>
              <w:jc w:val="left"/>
              <w:rPr>
                <w:rFonts w:ascii="Times New Roman" w:hAnsi="Times New Roman" w:cs="Times New Roman" w:eastAsia="Times New Roman" w:hint="default"/>
                <w:sz w:val="21"/>
                <w:szCs w:val="21"/>
              </w:rPr>
            </w:pPr>
            <w:r>
              <w:rPr>
                <w:rFonts w:ascii="Times New Roman"/>
                <w:sz w:val="21"/>
              </w:rPr>
              <w:t>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21"/>
                <w:szCs w:val="21"/>
              </w:rPr>
            </w:pPr>
            <w:r>
              <w:rPr>
                <w:rFonts w:ascii="Times New Roman"/>
                <w:sz w:val="21"/>
              </w:rPr>
              <w:t>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9" w:right="0"/>
              <w:jc w:val="left"/>
              <w:rPr>
                <w:rFonts w:ascii="Times New Roman" w:hAnsi="Times New Roman" w:cs="Times New Roman" w:eastAsia="Times New Roman" w:hint="default"/>
                <w:sz w:val="21"/>
                <w:szCs w:val="21"/>
              </w:rPr>
            </w:pPr>
            <w:r>
              <w:rPr>
                <w:rFonts w:ascii="Times New Roman"/>
                <w:sz w:val="21"/>
              </w:rPr>
              <w:t>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9" w:right="0"/>
              <w:jc w:val="left"/>
              <w:rPr>
                <w:rFonts w:ascii="Times New Roman" w:hAnsi="Times New Roman" w:cs="Times New Roman" w:eastAsia="Times New Roman" w:hint="default"/>
                <w:sz w:val="21"/>
                <w:szCs w:val="21"/>
              </w:rPr>
            </w:pPr>
            <w:r>
              <w:rPr>
                <w:rFonts w:ascii="Times New Roman"/>
                <w:sz w:val="21"/>
              </w:rPr>
              <w:t>0</w:t>
            </w:r>
          </w:p>
        </w:tc>
        <w:tc>
          <w:tcPr>
            <w:tcW w:w="13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left="9"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07"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tabs>
                <w:tab w:pos="611" w:val="left" w:leader="none"/>
              </w:tabs>
              <w:spacing w:line="240" w:lineRule="auto" w:before="129"/>
              <w:ind w:left="190" w:right="0"/>
              <w:jc w:val="left"/>
              <w:rPr>
                <w:rFonts w:ascii="宋体" w:hAnsi="宋体" w:cs="宋体" w:eastAsia="宋体" w:hint="default"/>
                <w:sz w:val="21"/>
                <w:szCs w:val="21"/>
              </w:rPr>
            </w:pPr>
            <w:r>
              <w:rPr>
                <w:rFonts w:ascii="宋体" w:hAnsi="宋体" w:cs="宋体" w:eastAsia="宋体" w:hint="default"/>
                <w:sz w:val="21"/>
                <w:szCs w:val="21"/>
              </w:rPr>
              <w:t>任</w:t>
              <w:tab/>
              <w:t>峻</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03" w:right="54"/>
              <w:jc w:val="left"/>
              <w:rPr>
                <w:rFonts w:ascii="宋体" w:hAnsi="宋体" w:cs="宋体" w:eastAsia="宋体" w:hint="default"/>
                <w:sz w:val="21"/>
                <w:szCs w:val="21"/>
              </w:rPr>
            </w:pPr>
            <w:r>
              <w:rPr>
                <w:rFonts w:ascii="宋体" w:hAnsi="宋体" w:cs="宋体" w:eastAsia="宋体" w:hint="default"/>
                <w:spacing w:val="35"/>
                <w:sz w:val="21"/>
                <w:szCs w:val="21"/>
              </w:rPr>
              <w:t>董事、副总</w:t>
            </w:r>
            <w:r>
              <w:rPr>
                <w:rFonts w:ascii="宋体" w:hAnsi="宋体" w:cs="宋体" w:eastAsia="宋体" w:hint="default"/>
                <w:spacing w:val="-61"/>
                <w:sz w:val="21"/>
                <w:szCs w:val="21"/>
              </w:rPr>
              <w:t> </w:t>
            </w:r>
            <w:r>
              <w:rPr>
                <w:rFonts w:ascii="宋体" w:hAnsi="宋体" w:cs="宋体" w:eastAsia="宋体" w:hint="default"/>
                <w:sz w:val="21"/>
                <w:szCs w:val="21"/>
              </w:rPr>
              <w:t>裁、董秘</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374" w:right="0"/>
              <w:jc w:val="left"/>
              <w:rPr>
                <w:rFonts w:ascii="Times New Roman" w:hAnsi="Times New Roman" w:cs="Times New Roman" w:eastAsia="Times New Roman" w:hint="default"/>
                <w:sz w:val="21"/>
                <w:szCs w:val="21"/>
              </w:rPr>
            </w:pPr>
            <w:r>
              <w:rPr>
                <w:rFonts w:ascii="Times New Roman"/>
                <w:sz w:val="21"/>
              </w:rPr>
              <w:t>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
              <w:jc w:val="center"/>
              <w:rPr>
                <w:rFonts w:ascii="Times New Roman" w:hAnsi="Times New Roman" w:cs="Times New Roman" w:eastAsia="Times New Roman" w:hint="default"/>
                <w:sz w:val="21"/>
                <w:szCs w:val="21"/>
              </w:rPr>
            </w:pPr>
            <w:r>
              <w:rPr>
                <w:rFonts w:ascii="Times New Roman"/>
                <w:sz w:val="21"/>
              </w:rPr>
              <w:t>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Times New Roman" w:hAnsi="Times New Roman" w:cs="Times New Roman" w:eastAsia="Times New Roman" w:hint="default"/>
                <w:sz w:val="21"/>
                <w:szCs w:val="21"/>
              </w:rPr>
            </w:pPr>
            <w:r>
              <w:rPr>
                <w:rFonts w:ascii="Times New Roman"/>
                <w:sz w:val="21"/>
              </w:rPr>
              <w:t>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99" w:right="0"/>
              <w:jc w:val="left"/>
              <w:rPr>
                <w:rFonts w:ascii="Times New Roman" w:hAnsi="Times New Roman" w:cs="Times New Roman" w:eastAsia="Times New Roman" w:hint="default"/>
                <w:sz w:val="21"/>
                <w:szCs w:val="21"/>
              </w:rPr>
            </w:pPr>
            <w:r>
              <w:rPr>
                <w:rFonts w:ascii="Times New Roman"/>
                <w:sz w:val="21"/>
              </w:rPr>
              <w:t>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99" w:right="0"/>
              <w:jc w:val="left"/>
              <w:rPr>
                <w:rFonts w:ascii="Times New Roman" w:hAnsi="Times New Roman" w:cs="Times New Roman" w:eastAsia="Times New Roman" w:hint="default"/>
                <w:sz w:val="21"/>
                <w:szCs w:val="21"/>
              </w:rPr>
            </w:pPr>
            <w:r>
              <w:rPr>
                <w:rFonts w:ascii="Times New Roman"/>
                <w:sz w:val="21"/>
              </w:rPr>
              <w:t>0</w:t>
            </w:r>
          </w:p>
        </w:tc>
        <w:tc>
          <w:tcPr>
            <w:tcW w:w="13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9"/>
              <w:ind w:left="9"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0"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tabs>
                <w:tab w:pos="611" w:val="left" w:leader="none"/>
              </w:tabs>
              <w:spacing w:line="240" w:lineRule="auto" w:before="9"/>
              <w:ind w:left="190" w:right="0"/>
              <w:jc w:val="left"/>
              <w:rPr>
                <w:rFonts w:ascii="宋体" w:hAnsi="宋体" w:cs="宋体" w:eastAsia="宋体" w:hint="default"/>
                <w:sz w:val="21"/>
                <w:szCs w:val="21"/>
              </w:rPr>
            </w:pPr>
            <w:r>
              <w:rPr>
                <w:rFonts w:ascii="宋体" w:hAnsi="宋体" w:cs="宋体" w:eastAsia="宋体" w:hint="default"/>
                <w:sz w:val="21"/>
                <w:szCs w:val="21"/>
              </w:rPr>
              <w:t>李</w:t>
              <w:tab/>
              <w:t>东</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4" w:right="0"/>
              <w:jc w:val="left"/>
              <w:rPr>
                <w:rFonts w:ascii="Times New Roman" w:hAnsi="Times New Roman" w:cs="Times New Roman" w:eastAsia="Times New Roman" w:hint="default"/>
                <w:sz w:val="21"/>
                <w:szCs w:val="21"/>
              </w:rPr>
            </w:pPr>
            <w:r>
              <w:rPr>
                <w:rFonts w:ascii="Times New Roman"/>
                <w:sz w:val="21"/>
              </w:rPr>
              <w:t>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21"/>
                <w:szCs w:val="21"/>
              </w:rPr>
            </w:pPr>
            <w:r>
              <w:rPr>
                <w:rFonts w:ascii="Times New Roman"/>
                <w:sz w:val="21"/>
              </w:rPr>
              <w:t>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9" w:right="0"/>
              <w:jc w:val="left"/>
              <w:rPr>
                <w:rFonts w:ascii="Times New Roman" w:hAnsi="Times New Roman" w:cs="Times New Roman" w:eastAsia="Times New Roman" w:hint="default"/>
                <w:sz w:val="21"/>
                <w:szCs w:val="21"/>
              </w:rPr>
            </w:pPr>
            <w:r>
              <w:rPr>
                <w:rFonts w:ascii="Times New Roman"/>
                <w:sz w:val="21"/>
              </w:rPr>
              <w:t>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9" w:right="0"/>
              <w:jc w:val="left"/>
              <w:rPr>
                <w:rFonts w:ascii="Times New Roman" w:hAnsi="Times New Roman" w:cs="Times New Roman" w:eastAsia="Times New Roman" w:hint="default"/>
                <w:sz w:val="21"/>
                <w:szCs w:val="21"/>
              </w:rPr>
            </w:pPr>
            <w:r>
              <w:rPr>
                <w:rFonts w:ascii="Times New Roman"/>
                <w:sz w:val="21"/>
              </w:rPr>
              <w:t>0</w:t>
            </w:r>
          </w:p>
        </w:tc>
        <w:tc>
          <w:tcPr>
            <w:tcW w:w="13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left="9"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8"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190" w:right="0"/>
              <w:jc w:val="left"/>
              <w:rPr>
                <w:rFonts w:ascii="宋体" w:hAnsi="宋体" w:cs="宋体" w:eastAsia="宋体" w:hint="default"/>
                <w:sz w:val="21"/>
                <w:szCs w:val="21"/>
              </w:rPr>
            </w:pPr>
            <w:r>
              <w:rPr>
                <w:rFonts w:ascii="宋体" w:hAnsi="宋体" w:cs="宋体" w:eastAsia="宋体" w:hint="default"/>
                <w:sz w:val="21"/>
                <w:szCs w:val="21"/>
              </w:rPr>
              <w:t>沈坤荣</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4" w:right="0"/>
              <w:jc w:val="left"/>
              <w:rPr>
                <w:rFonts w:ascii="Times New Roman" w:hAnsi="Times New Roman" w:cs="Times New Roman" w:eastAsia="Times New Roman" w:hint="default"/>
                <w:sz w:val="21"/>
                <w:szCs w:val="21"/>
              </w:rPr>
            </w:pPr>
            <w:r>
              <w:rPr>
                <w:rFonts w:ascii="Times New Roman"/>
                <w:sz w:val="21"/>
              </w:rPr>
              <w:t>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21"/>
                <w:szCs w:val="21"/>
              </w:rPr>
            </w:pPr>
            <w:r>
              <w:rPr>
                <w:rFonts w:ascii="Times New Roman"/>
                <w:sz w:val="21"/>
              </w:rPr>
              <w:t>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pacing w:val="-4"/>
                <w:sz w:val="21"/>
              </w:rPr>
              <w:t>11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9" w:right="0"/>
              <w:jc w:val="left"/>
              <w:rPr>
                <w:rFonts w:ascii="Times New Roman" w:hAnsi="Times New Roman" w:cs="Times New Roman" w:eastAsia="Times New Roman" w:hint="default"/>
                <w:sz w:val="21"/>
                <w:szCs w:val="21"/>
              </w:rPr>
            </w:pPr>
            <w:r>
              <w:rPr>
                <w:rFonts w:ascii="Times New Roman"/>
                <w:sz w:val="21"/>
              </w:rPr>
              <w:t>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9" w:right="0"/>
              <w:jc w:val="left"/>
              <w:rPr>
                <w:rFonts w:ascii="Times New Roman" w:hAnsi="Times New Roman" w:cs="Times New Roman" w:eastAsia="Times New Roman" w:hint="default"/>
                <w:sz w:val="21"/>
                <w:szCs w:val="21"/>
              </w:rPr>
            </w:pPr>
            <w:r>
              <w:rPr>
                <w:rFonts w:ascii="Times New Roman"/>
                <w:sz w:val="21"/>
              </w:rPr>
              <w:t>0</w:t>
            </w:r>
          </w:p>
        </w:tc>
        <w:tc>
          <w:tcPr>
            <w:tcW w:w="13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left="9"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0"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190" w:right="0"/>
              <w:jc w:val="left"/>
              <w:rPr>
                <w:rFonts w:ascii="宋体" w:hAnsi="宋体" w:cs="宋体" w:eastAsia="宋体" w:hint="default"/>
                <w:sz w:val="21"/>
                <w:szCs w:val="21"/>
              </w:rPr>
            </w:pPr>
            <w:r>
              <w:rPr>
                <w:rFonts w:ascii="宋体" w:hAnsi="宋体" w:cs="宋体" w:eastAsia="宋体" w:hint="default"/>
                <w:sz w:val="21"/>
                <w:szCs w:val="21"/>
              </w:rPr>
              <w:t>孙剑平</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4" w:right="0"/>
              <w:jc w:val="left"/>
              <w:rPr>
                <w:rFonts w:ascii="Times New Roman" w:hAnsi="Times New Roman" w:cs="Times New Roman" w:eastAsia="Times New Roman" w:hint="default"/>
                <w:sz w:val="21"/>
                <w:szCs w:val="21"/>
              </w:rPr>
            </w:pPr>
            <w:r>
              <w:rPr>
                <w:rFonts w:ascii="Times New Roman"/>
                <w:sz w:val="21"/>
              </w:rPr>
              <w:t>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21"/>
                <w:szCs w:val="21"/>
              </w:rPr>
            </w:pPr>
            <w:r>
              <w:rPr>
                <w:rFonts w:ascii="Times New Roman"/>
                <w:sz w:val="21"/>
              </w:rPr>
              <w:t>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9" w:right="0"/>
              <w:jc w:val="left"/>
              <w:rPr>
                <w:rFonts w:ascii="Times New Roman" w:hAnsi="Times New Roman" w:cs="Times New Roman" w:eastAsia="Times New Roman" w:hint="default"/>
                <w:sz w:val="21"/>
                <w:szCs w:val="21"/>
              </w:rPr>
            </w:pPr>
            <w:r>
              <w:rPr>
                <w:rFonts w:ascii="Times New Roman"/>
                <w:sz w:val="21"/>
              </w:rPr>
              <w:t>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9" w:right="0"/>
              <w:jc w:val="left"/>
              <w:rPr>
                <w:rFonts w:ascii="Times New Roman" w:hAnsi="Times New Roman" w:cs="Times New Roman" w:eastAsia="Times New Roman" w:hint="default"/>
                <w:sz w:val="21"/>
                <w:szCs w:val="21"/>
              </w:rPr>
            </w:pPr>
            <w:r>
              <w:rPr>
                <w:rFonts w:ascii="Times New Roman"/>
                <w:sz w:val="21"/>
              </w:rPr>
              <w:t>0</w:t>
            </w:r>
          </w:p>
        </w:tc>
        <w:tc>
          <w:tcPr>
            <w:tcW w:w="13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left="9"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9" w:hRule="exact"/>
        </w:trPr>
        <w:tc>
          <w:tcPr>
            <w:tcW w:w="104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left="190" w:right="0"/>
              <w:jc w:val="left"/>
              <w:rPr>
                <w:rFonts w:ascii="宋体" w:hAnsi="宋体" w:cs="宋体" w:eastAsia="宋体" w:hint="default"/>
                <w:sz w:val="21"/>
                <w:szCs w:val="21"/>
              </w:rPr>
            </w:pPr>
            <w:r>
              <w:rPr>
                <w:rFonts w:ascii="宋体" w:hAnsi="宋体" w:cs="宋体" w:eastAsia="宋体" w:hint="default"/>
                <w:sz w:val="21"/>
                <w:szCs w:val="21"/>
              </w:rPr>
              <w:t>戴新民</w:t>
            </w: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374" w:right="0"/>
              <w:jc w:val="left"/>
              <w:rPr>
                <w:rFonts w:ascii="Times New Roman" w:hAnsi="Times New Roman" w:cs="Times New Roman" w:eastAsia="Times New Roman" w:hint="default"/>
                <w:sz w:val="21"/>
                <w:szCs w:val="21"/>
              </w:rPr>
            </w:pPr>
            <w:r>
              <w:rPr>
                <w:rFonts w:ascii="Times New Roman"/>
                <w:sz w:val="21"/>
              </w:rPr>
              <w:t>12</w:t>
            </w:r>
          </w:p>
        </w:tc>
        <w:tc>
          <w:tcPr>
            <w:tcW w:w="9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21"/>
                <w:szCs w:val="21"/>
              </w:rPr>
            </w:pPr>
            <w:r>
              <w:rPr>
                <w:rFonts w:ascii="Times New Roman"/>
                <w:sz w:val="21"/>
              </w:rPr>
              <w:t>2</w:t>
            </w:r>
          </w:p>
        </w:tc>
        <w:tc>
          <w:tcPr>
            <w:tcW w:w="13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10</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499" w:right="0"/>
              <w:jc w:val="left"/>
              <w:rPr>
                <w:rFonts w:ascii="Times New Roman" w:hAnsi="Times New Roman" w:cs="Times New Roman" w:eastAsia="Times New Roman" w:hint="default"/>
                <w:sz w:val="21"/>
                <w:szCs w:val="21"/>
              </w:rPr>
            </w:pPr>
            <w:r>
              <w:rPr>
                <w:rFonts w:ascii="Times New Roman"/>
                <w:sz w:val="21"/>
              </w:rPr>
              <w:t>0</w:t>
            </w:r>
          </w:p>
        </w:tc>
        <w:tc>
          <w:tcPr>
            <w:tcW w:w="1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499" w:right="0"/>
              <w:jc w:val="left"/>
              <w:rPr>
                <w:rFonts w:ascii="Times New Roman" w:hAnsi="Times New Roman" w:cs="Times New Roman" w:eastAsia="Times New Roman" w:hint="default"/>
                <w:sz w:val="21"/>
                <w:szCs w:val="21"/>
              </w:rPr>
            </w:pPr>
            <w:r>
              <w:rPr>
                <w:rFonts w:ascii="Times New Roman"/>
                <w:sz w:val="21"/>
              </w:rPr>
              <w:t>0</w:t>
            </w:r>
          </w:p>
        </w:tc>
        <w:tc>
          <w:tcPr>
            <w:tcW w:w="132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left="9"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357" w:lineRule="auto" w:before="81"/>
        <w:ind w:left="720" w:right="252" w:firstLine="2"/>
        <w:jc w:val="left"/>
      </w:pPr>
      <w:r>
        <w:rPr/>
        <w:t>三、公司与控股股东在业务、人员、资产、机构、财务等方面的情况 </w:t>
      </w:r>
      <w:r>
        <w:rPr>
          <w:spacing w:val="-3"/>
        </w:rPr>
        <w:t>因公司控股股东为自然人，故不存在公司与控股股东在业务、人员、资产、机构等</w:t>
      </w:r>
    </w:p>
    <w:p>
      <w:pPr>
        <w:pStyle w:val="BodyText"/>
        <w:spacing w:line="357" w:lineRule="auto" w:before="36"/>
        <w:ind w:left="240" w:right="253"/>
        <w:jc w:val="both"/>
      </w:pPr>
      <w:r>
        <w:rPr>
          <w:spacing w:val="-3"/>
        </w:rPr>
        <w:t>方面的问题，同时公司的控股股东及其关联公司未以任何形式占用公司的货币资金或其</w:t>
      </w:r>
      <w:r>
        <w:rPr>
          <w:spacing w:val="-98"/>
        </w:rPr>
        <w:t> </w:t>
      </w:r>
      <w:r>
        <w:rPr>
          <w:spacing w:val="-98"/>
        </w:rPr>
      </w:r>
      <w:r>
        <w:rPr>
          <w:spacing w:val="-3"/>
        </w:rPr>
        <w:t>他资产，公司具有独立完整的业务及自主经营能力。公司与控股股东关联法人之间发生</w:t>
      </w:r>
      <w:r>
        <w:rPr>
          <w:spacing w:val="-98"/>
        </w:rPr>
        <w:t> </w:t>
      </w:r>
      <w:r>
        <w:rPr>
          <w:spacing w:val="-98"/>
        </w:rPr>
      </w:r>
      <w:r>
        <w:rPr/>
        <w:t>的关联交易，定价公平合理，审批程序符合相关法律、法规及公司《章程》的规定。</w:t>
      </w:r>
    </w:p>
    <w:p>
      <w:pPr>
        <w:pStyle w:val="BodyText"/>
        <w:spacing w:line="240" w:lineRule="auto" w:before="36"/>
        <w:ind w:left="720" w:right="2202"/>
        <w:jc w:val="left"/>
      </w:pPr>
      <w:r>
        <w:rPr/>
        <w:t>四、公司内部控制制度的建立和健全情况</w:t>
      </w:r>
    </w:p>
    <w:p>
      <w:pPr>
        <w:pStyle w:val="BodyText"/>
        <w:spacing w:line="240" w:lineRule="auto" w:before="154"/>
        <w:ind w:left="720" w:right="2202"/>
        <w:jc w:val="left"/>
      </w:pPr>
      <w:r>
        <w:rPr/>
        <w:t>（一）内部控制体系的建设</w:t>
      </w:r>
    </w:p>
    <w:p>
      <w:pPr>
        <w:pStyle w:val="BodyText"/>
        <w:spacing w:line="348" w:lineRule="auto" w:before="154"/>
        <w:ind w:left="240" w:right="144" w:firstLine="480"/>
        <w:jc w:val="left"/>
      </w:pPr>
      <w:r>
        <w:rPr>
          <w:rFonts w:ascii="Times New Roman" w:hAnsi="Times New Roman" w:cs="Times New Roman" w:eastAsia="Times New Roman" w:hint="default"/>
          <w:spacing w:val="-3"/>
        </w:rPr>
        <w:t>2010</w:t>
      </w:r>
      <w:r>
        <w:rPr>
          <w:spacing w:val="-3"/>
        </w:rPr>
        <w:t>年，根据中国证券监督管理委员会、深圳证券交易所、江苏证监局相关法律法</w:t>
      </w:r>
      <w:r>
        <w:rPr/>
        <w:t> </w:t>
      </w:r>
      <w:r>
        <w:rPr>
          <w:spacing w:val="-3"/>
        </w:rPr>
        <w:t>规的规定和指导以及公司内部管理层对内部控制的要求，公司基于前期已经搭建的较为</w:t>
      </w:r>
      <w:r>
        <w:rPr>
          <w:spacing w:val="-98"/>
        </w:rPr>
        <w:t> </w:t>
      </w:r>
      <w:r>
        <w:rPr>
          <w:spacing w:val="-98"/>
        </w:rPr>
      </w:r>
      <w:r>
        <w:rPr>
          <w:spacing w:val="-3"/>
        </w:rPr>
        <w:t>完善的内控管理平台技术，将</w:t>
      </w:r>
      <w:r>
        <w:rPr>
          <w:rFonts w:ascii="Times New Roman" w:hAnsi="Times New Roman" w:cs="Times New Roman" w:eastAsia="Times New Roman" w:hint="default"/>
          <w:spacing w:val="-3"/>
        </w:rPr>
        <w:t>2010</w:t>
      </w:r>
      <w:r>
        <w:rPr>
          <w:spacing w:val="-3"/>
        </w:rPr>
        <w:t>年定位为“企业的内控年”，从组织设立和职责明确</w:t>
      </w:r>
      <w:r>
        <w:rPr/>
        <w:t> 上进一步完善公司内部控制以及风险控制体系，加强和规范公司风险管理、合规管理、 内部控制，提高企业经营管理水平和风险防范能力，促进企业可持续发展。</w:t>
      </w:r>
    </w:p>
    <w:p>
      <w:pPr>
        <w:pStyle w:val="BodyText"/>
        <w:spacing w:line="357" w:lineRule="auto" w:before="46"/>
        <w:ind w:left="240" w:right="134" w:firstLine="480"/>
        <w:jc w:val="both"/>
      </w:pPr>
      <w:r>
        <w:rPr>
          <w:spacing w:val="-15"/>
        </w:rPr>
        <w:t>公司已根据《公司法》、《证券法》、《企业内部控制基本规范》等有关法律、法规和</w:t>
      </w:r>
      <w:r>
        <w:rPr/>
        <w:t> </w:t>
      </w:r>
      <w:r>
        <w:rPr>
          <w:spacing w:val="-3"/>
        </w:rPr>
        <w:t>规章制度要求，不断完善和规范公司内部控制的组织架构，确保股东大会、董事会、监</w:t>
      </w:r>
      <w:r>
        <w:rPr>
          <w:spacing w:val="-98"/>
        </w:rPr>
        <w:t> </w:t>
      </w:r>
      <w:r>
        <w:rPr>
          <w:spacing w:val="-98"/>
        </w:rPr>
      </w:r>
      <w:r>
        <w:rPr>
          <w:spacing w:val="-3"/>
        </w:rPr>
        <w:t>事会、公司管理层等机构的操作规范，运作有效，维护了投资者和公司利益。公司内部</w:t>
      </w:r>
      <w:r>
        <w:rPr>
          <w:spacing w:val="-98"/>
        </w:rPr>
        <w:t> </w:t>
      </w:r>
      <w:r>
        <w:rPr>
          <w:spacing w:val="-98"/>
        </w:rPr>
      </w:r>
      <w:r>
        <w:rPr>
          <w:spacing w:val="-6"/>
        </w:rPr>
        <w:t>控制组织架构由股东大会、董事会、监事会和以总裁为代表的经营团队组成，权责明确。</w:t>
      </w:r>
    </w:p>
    <w:p>
      <w:pPr>
        <w:pStyle w:val="BodyText"/>
        <w:spacing w:line="357" w:lineRule="auto" w:before="36"/>
        <w:ind w:left="240" w:right="252" w:firstLine="480"/>
        <w:jc w:val="left"/>
      </w:pPr>
      <w:r>
        <w:rPr>
          <w:spacing w:val="-3"/>
        </w:rPr>
        <w:t>股东大会行使公司最高权利，依法行使如决定公司的经营方针和投资计划，审议批</w:t>
      </w:r>
      <w:r>
        <w:rPr/>
        <w:t> 准董事会的报告等公司《章程》中明确的职权。</w:t>
      </w:r>
    </w:p>
    <w:p>
      <w:pPr>
        <w:spacing w:after="0" w:line="357" w:lineRule="auto"/>
        <w:jc w:val="left"/>
        <w:sectPr>
          <w:footerReference w:type="default" r:id="rId12"/>
          <w:pgSz w:w="11910" w:h="16840"/>
          <w:pgMar w:footer="714" w:header="748" w:top="980" w:bottom="900" w:left="1200" w:right="1180"/>
          <w:pgNumType w:start="21"/>
        </w:sectPr>
      </w:pPr>
    </w:p>
    <w:p>
      <w:pPr>
        <w:spacing w:line="240" w:lineRule="auto" w:before="7"/>
        <w:rPr>
          <w:rFonts w:ascii="宋体" w:hAnsi="宋体" w:cs="宋体" w:eastAsia="宋体" w:hint="default"/>
          <w:sz w:val="29"/>
          <w:szCs w:val="29"/>
        </w:rPr>
      </w:pPr>
    </w:p>
    <w:p>
      <w:pPr>
        <w:pStyle w:val="BodyText"/>
        <w:spacing w:line="357" w:lineRule="auto" w:before="26"/>
        <w:ind w:right="232" w:firstLine="480"/>
        <w:jc w:val="both"/>
      </w:pPr>
      <w:r>
        <w:rPr>
          <w:spacing w:val="-3"/>
        </w:rPr>
        <w:t>董事会行使公司经营决策权，负责内部控制的建立健全和有效实施；董事会下设提</w:t>
      </w:r>
      <w:r>
        <w:rPr/>
        <w:t> </w:t>
      </w:r>
      <w:r>
        <w:rPr>
          <w:spacing w:val="-3"/>
        </w:rPr>
        <w:t>名、审计以及薪酬与考核委员会，其中审计委员会负责审查企业内部控制、监督内部控</w:t>
      </w:r>
      <w:r>
        <w:rPr>
          <w:spacing w:val="-96"/>
        </w:rPr>
        <w:t> </w:t>
      </w:r>
      <w:r>
        <w:rPr>
          <w:spacing w:val="-96"/>
        </w:rPr>
      </w:r>
      <w:r>
        <w:rPr/>
        <w:t>制的有效实施和内部控制自我评价情况，指导及协调内部审计及其他相关事宜。</w:t>
      </w:r>
    </w:p>
    <w:p>
      <w:pPr>
        <w:pStyle w:val="BodyText"/>
        <w:spacing w:line="357" w:lineRule="auto" w:before="36"/>
        <w:ind w:left="620" w:right="232"/>
        <w:jc w:val="left"/>
      </w:pPr>
      <w:r>
        <w:rPr/>
        <w:t>监事会行使监督权，对董事会建立与实施内部控制进行监督。 </w:t>
      </w:r>
      <w:r>
        <w:rPr>
          <w:spacing w:val="-3"/>
        </w:rPr>
        <w:t>以公司总裁为代表的高级管理人员团队行使执行权，向董事会负责，执行董事会决</w:t>
      </w:r>
    </w:p>
    <w:p>
      <w:pPr>
        <w:pStyle w:val="BodyText"/>
        <w:spacing w:line="240" w:lineRule="auto" w:before="36"/>
        <w:ind w:right="0"/>
        <w:jc w:val="both"/>
      </w:pPr>
      <w:r>
        <w:rPr/>
        <w:t>议，负责对公司内部控制制度的具体制定，并保证该制度的有效执行。</w:t>
      </w:r>
    </w:p>
    <w:p>
      <w:pPr>
        <w:pStyle w:val="BodyText"/>
        <w:spacing w:line="357" w:lineRule="auto" w:before="154"/>
        <w:ind w:left="620" w:right="232"/>
        <w:jc w:val="left"/>
      </w:pPr>
      <w:r>
        <w:rPr/>
        <w:t>（二）公司内部控制制度建设情况及实施情况 </w:t>
      </w:r>
      <w:r>
        <w:rPr>
          <w:spacing w:val="-3"/>
        </w:rPr>
        <w:t>公司已建立了贯穿整个业务流程以及经营管理各层面、各体系的内部控制制度，并</w:t>
      </w:r>
    </w:p>
    <w:p>
      <w:pPr>
        <w:pStyle w:val="BodyText"/>
        <w:spacing w:line="240" w:lineRule="auto" w:before="36"/>
        <w:ind w:right="0"/>
        <w:jc w:val="both"/>
      </w:pPr>
      <w:r>
        <w:rPr>
          <w:spacing w:val="-6"/>
        </w:rPr>
        <w:t>且不断结合新的业务特点、管理要求，进行完善和改进，有效的保证了公司的规范运作。</w:t>
      </w:r>
    </w:p>
    <w:p>
      <w:pPr>
        <w:pStyle w:val="BodyText"/>
        <w:spacing w:line="240" w:lineRule="auto" w:before="154"/>
        <w:ind w:left="620" w:right="217"/>
        <w:jc w:val="left"/>
      </w:pPr>
      <w:r>
        <w:rPr>
          <w:rFonts w:ascii="Times New Roman" w:hAnsi="Times New Roman" w:cs="Times New Roman" w:eastAsia="Times New Roman" w:hint="default"/>
        </w:rPr>
        <w:t>1</w:t>
      </w:r>
      <w:r>
        <w:rPr/>
        <w:t>、管理控制：公司有较为完善的法人治理结构和完备的管理制度，主要包括公司</w:t>
      </w:r>
    </w:p>
    <w:p>
      <w:pPr>
        <w:pStyle w:val="BodyText"/>
        <w:spacing w:line="357" w:lineRule="auto" w:before="135"/>
        <w:ind w:right="229"/>
        <w:jc w:val="both"/>
      </w:pPr>
      <w:r>
        <w:rPr>
          <w:spacing w:val="-10"/>
        </w:rPr>
        <w:t>《章程》、三会议事规则、专门委员会工作细则、《独立董事工作制度》、《总裁工作细</w:t>
      </w:r>
      <w:r>
        <w:rPr>
          <w:spacing w:val="-88"/>
        </w:rPr>
        <w:t> </w:t>
      </w:r>
      <w:r>
        <w:rPr>
          <w:spacing w:val="-88"/>
        </w:rPr>
      </w:r>
      <w:r>
        <w:rPr>
          <w:spacing w:val="-21"/>
        </w:rPr>
        <w:t>则》、《关联交易决策制度》、《募集资金管理制度》、《投资者关系管理制度》、《信息披</w:t>
      </w:r>
      <w:r>
        <w:rPr>
          <w:spacing w:val="-97"/>
        </w:rPr>
        <w:t> </w:t>
      </w:r>
      <w:r>
        <w:rPr>
          <w:spacing w:val="-97"/>
        </w:rPr>
      </w:r>
      <w:r>
        <w:rPr>
          <w:spacing w:val="-9"/>
        </w:rPr>
        <w:t>露管理制度》、《董事、监事、高级管理人员持股变动管理制度》等。公司各项管理制度</w:t>
      </w:r>
      <w:r>
        <w:rPr>
          <w:spacing w:val="-101"/>
        </w:rPr>
        <w:t> </w:t>
      </w:r>
      <w:r>
        <w:rPr>
          <w:spacing w:val="-101"/>
        </w:rPr>
      </w:r>
      <w:r>
        <w:rPr/>
        <w:t>建立之后均能够得到有效地贯彻执行，保证了公司的规范运作，促进公司健康发展。</w:t>
      </w:r>
    </w:p>
    <w:p>
      <w:pPr>
        <w:pStyle w:val="BodyText"/>
        <w:spacing w:line="352" w:lineRule="auto" w:before="36"/>
        <w:ind w:right="232" w:firstLine="480"/>
        <w:jc w:val="both"/>
      </w:pPr>
      <w:r>
        <w:rPr>
          <w:rFonts w:ascii="Times New Roman" w:hAnsi="Times New Roman" w:cs="Times New Roman" w:eastAsia="Times New Roman" w:hint="default"/>
        </w:rPr>
        <w:t>2</w:t>
      </w:r>
      <w:r>
        <w:rPr/>
        <w:t>、经营控制：公司针对各体系、各层级、各岗位制定了明确的工作职责和权限， </w:t>
      </w:r>
      <w:r>
        <w:rPr>
          <w:spacing w:val="-3"/>
        </w:rPr>
        <w:t>同时制定了相应的管理手册，逐步规范和完善各项制度、标准和流程，建立相关部门之</w:t>
      </w:r>
      <w:r>
        <w:rPr>
          <w:spacing w:val="-96"/>
        </w:rPr>
        <w:t> </w:t>
      </w:r>
      <w:r>
        <w:rPr>
          <w:spacing w:val="-96"/>
        </w:rPr>
      </w:r>
      <w:r>
        <w:rPr>
          <w:spacing w:val="-3"/>
        </w:rPr>
        <w:t>间、岗位之间的制衡和监督机制。同时，运用信息系统平台，对上述流程、标准进一步</w:t>
      </w:r>
      <w:r>
        <w:rPr>
          <w:spacing w:val="-96"/>
        </w:rPr>
        <w:t> </w:t>
      </w:r>
      <w:r>
        <w:rPr>
          <w:spacing w:val="-96"/>
        </w:rPr>
      </w:r>
      <w:r>
        <w:rPr>
          <w:spacing w:val="-3"/>
        </w:rPr>
        <w:t>固化、完善。公司持续对总部各部门及分、子公司执行各项制度、流程的情况进行检查</w:t>
      </w:r>
      <w:r>
        <w:rPr>
          <w:spacing w:val="-98"/>
        </w:rPr>
        <w:t> </w:t>
      </w:r>
      <w:r>
        <w:rPr>
          <w:spacing w:val="-98"/>
        </w:rPr>
      </w:r>
      <w:r>
        <w:rPr>
          <w:spacing w:val="-3"/>
        </w:rPr>
        <w:t>和评估。同时，公司通过加强对员工的定期培训和考核，进一步提高员工内控意识，更</w:t>
      </w:r>
      <w:r>
        <w:rPr>
          <w:spacing w:val="-98"/>
        </w:rPr>
        <w:t> </w:t>
      </w:r>
      <w:r>
        <w:rPr>
          <w:spacing w:val="-98"/>
        </w:rPr>
      </w:r>
      <w:r>
        <w:rPr/>
        <w:t>好地促进公司内部控制制度的实施。</w:t>
      </w:r>
    </w:p>
    <w:p>
      <w:pPr>
        <w:pStyle w:val="BodyText"/>
        <w:spacing w:line="345" w:lineRule="auto" w:before="41"/>
        <w:ind w:right="97" w:firstLine="480"/>
        <w:jc w:val="left"/>
      </w:pPr>
      <w:r>
        <w:rPr>
          <w:rFonts w:ascii="Times New Roman" w:hAnsi="Times New Roman" w:cs="Times New Roman" w:eastAsia="Times New Roman" w:hint="default"/>
          <w:spacing w:val="-3"/>
        </w:rPr>
        <w:t>3</w:t>
      </w:r>
      <w:r>
        <w:rPr>
          <w:spacing w:val="-3"/>
        </w:rPr>
        <w:t>、财务控制：公司按照企业会计制度、会计法、税法等国家有关法律法规的规定，</w:t>
      </w:r>
      <w:r>
        <w:rPr/>
        <w:t> </w:t>
      </w:r>
      <w:r>
        <w:rPr>
          <w:spacing w:val="-3"/>
        </w:rPr>
        <w:t>建立了较为完善的财务管理制度，具体包括财务会计制度、发票管理制度等。公司还通</w:t>
      </w:r>
      <w:r>
        <w:rPr>
          <w:spacing w:val="-96"/>
        </w:rPr>
        <w:t> </w:t>
      </w:r>
      <w:r>
        <w:rPr>
          <w:spacing w:val="-96"/>
        </w:rPr>
      </w:r>
      <w:r>
        <w:rPr/>
        <w:t>过 </w:t>
      </w:r>
      <w:r>
        <w:rPr>
          <w:rFonts w:ascii="Times New Roman" w:hAnsi="Times New Roman" w:cs="Times New Roman" w:eastAsia="Times New Roman" w:hint="default"/>
        </w:rPr>
        <w:t>SAP/ERP</w:t>
      </w:r>
      <w:r>
        <w:rPr>
          <w:rFonts w:ascii="Times New Roman" w:hAnsi="Times New Roman" w:cs="Times New Roman" w:eastAsia="Times New Roman" w:hint="default"/>
          <w:spacing w:val="-21"/>
        </w:rPr>
        <w:t> </w:t>
      </w:r>
      <w:r>
        <w:rPr/>
        <w:t>系统，对货币资金、采购与付款、销售与收款、固定资产、存货等建立了 严格内部审批程序，规定了相应的审批权限，并实施有效控制管理。</w:t>
      </w:r>
    </w:p>
    <w:p>
      <w:pPr>
        <w:pStyle w:val="BodyText"/>
        <w:spacing w:line="348" w:lineRule="auto" w:before="48"/>
        <w:ind w:right="233" w:firstLine="480"/>
        <w:jc w:val="both"/>
      </w:pPr>
      <w:r>
        <w:rPr>
          <w:rFonts w:ascii="Times New Roman" w:hAnsi="Times New Roman" w:cs="Times New Roman" w:eastAsia="Times New Roman" w:hint="default"/>
          <w:spacing w:val="-6"/>
        </w:rPr>
        <w:t>4</w:t>
      </w:r>
      <w:r>
        <w:rPr>
          <w:spacing w:val="-6"/>
        </w:rPr>
        <w:t>、投资决策控制：公司制定了《重大投资与财务决策制度》，建立了相应的投资决</w:t>
      </w:r>
      <w:r>
        <w:rPr/>
        <w:t> </w:t>
      </w:r>
      <w:r>
        <w:rPr>
          <w:spacing w:val="-3"/>
        </w:rPr>
        <w:t>策流程和内部审批制度，就公司购买资产、对外投资、对外担保、银行借款事项等进行</w:t>
      </w:r>
      <w:r>
        <w:rPr>
          <w:spacing w:val="-98"/>
        </w:rPr>
        <w:t> </w:t>
      </w:r>
      <w:r>
        <w:rPr>
          <w:spacing w:val="-98"/>
        </w:rPr>
      </w:r>
      <w:r>
        <w:rPr/>
        <w:t>了规范和科学决策。</w:t>
      </w:r>
    </w:p>
    <w:p>
      <w:pPr>
        <w:pStyle w:val="BodyText"/>
        <w:spacing w:line="348" w:lineRule="auto" w:before="46"/>
        <w:ind w:right="124" w:firstLine="480"/>
        <w:jc w:val="left"/>
      </w:pPr>
      <w:r>
        <w:rPr>
          <w:rFonts w:ascii="Times New Roman" w:hAnsi="Times New Roman" w:cs="Times New Roman" w:eastAsia="Times New Roman" w:hint="default"/>
        </w:rPr>
        <w:t>5</w:t>
      </w:r>
      <w:r>
        <w:rPr/>
        <w:t>、信息披露控制：建立了信息披露管理制度、重大信息内部报告制度和相关的保 密制度，明确了重大信息的范围和内容以及未公开重大信息的传递、审核、披露流程， 并明确各相关部门的重大信息报告责任人。</w:t>
      </w:r>
    </w:p>
    <w:p>
      <w:pPr>
        <w:pStyle w:val="BodyText"/>
        <w:spacing w:line="240" w:lineRule="auto" w:before="46"/>
        <w:ind w:left="620" w:right="217"/>
        <w:jc w:val="left"/>
      </w:pPr>
      <w:r>
        <w:rPr>
          <w:rFonts w:ascii="Times New Roman" w:hAnsi="Times New Roman" w:cs="Times New Roman" w:eastAsia="Times New Roman" w:hint="default"/>
        </w:rPr>
        <w:t>6</w:t>
      </w:r>
      <w:r>
        <w:rPr/>
        <w:t>、募集资金管理控制：为规范公司募集资金存放、使用管理，保证募集资金的安</w:t>
      </w:r>
    </w:p>
    <w:p>
      <w:pPr>
        <w:spacing w:after="0" w:line="240" w:lineRule="auto"/>
        <w:jc w:val="left"/>
        <w:sectPr>
          <w:pgSz w:w="11910" w:h="16840"/>
          <w:pgMar w:header="748" w:footer="714" w:top="980" w:bottom="900" w:left="1300" w:right="1200"/>
        </w:sectPr>
      </w:pPr>
    </w:p>
    <w:p>
      <w:pPr>
        <w:spacing w:line="240" w:lineRule="auto" w:before="7"/>
        <w:rPr>
          <w:rFonts w:ascii="宋体" w:hAnsi="宋体" w:cs="宋体" w:eastAsia="宋体" w:hint="default"/>
          <w:sz w:val="29"/>
          <w:szCs w:val="29"/>
        </w:rPr>
      </w:pPr>
    </w:p>
    <w:p>
      <w:pPr>
        <w:pStyle w:val="BodyText"/>
        <w:spacing w:line="357" w:lineRule="auto" w:before="26"/>
        <w:ind w:right="102"/>
        <w:jc w:val="both"/>
      </w:pPr>
      <w:r>
        <w:rPr>
          <w:spacing w:val="-3"/>
        </w:rPr>
        <w:t>全，保障投资者利益，公司制定了《募集资金管理制度》，对募集资金专户存储、募集</w:t>
      </w:r>
      <w:r>
        <w:rPr>
          <w:spacing w:val="-114"/>
        </w:rPr>
        <w:t> </w:t>
      </w:r>
      <w:r>
        <w:rPr>
          <w:spacing w:val="-114"/>
        </w:rPr>
      </w:r>
      <w:r>
        <w:rPr/>
        <w:t>资金使用的审批程序和管理监督等作了明确的规定。公司严格按照制度规定贯彻落实。</w:t>
      </w:r>
    </w:p>
    <w:p>
      <w:pPr>
        <w:pStyle w:val="BodyText"/>
        <w:spacing w:line="352" w:lineRule="auto" w:before="36"/>
        <w:ind w:right="191" w:firstLine="480"/>
        <w:jc w:val="both"/>
      </w:pPr>
      <w:r>
        <w:rPr>
          <w:rFonts w:ascii="Times New Roman" w:hAnsi="Times New Roman" w:cs="Times New Roman" w:eastAsia="Times New Roman" w:hint="default"/>
          <w:spacing w:val="-6"/>
        </w:rPr>
        <w:t>7</w:t>
      </w:r>
      <w:r>
        <w:rPr>
          <w:spacing w:val="-6"/>
        </w:rPr>
        <w:t>、内部审计控制：公司制定了《内部审计制度》，成立了专门的内部审计部门，直</w:t>
      </w:r>
      <w:r>
        <w:rPr/>
        <w:t> </w:t>
      </w:r>
      <w:r>
        <w:rPr>
          <w:spacing w:val="-4"/>
        </w:rPr>
        <w:t>接向董事会审计委员会负责，开展内部审计工作。按照《深圳证券交易所中小企业板上</w:t>
      </w:r>
      <w:r>
        <w:rPr>
          <w:spacing w:val="-93"/>
        </w:rPr>
        <w:t> </w:t>
      </w:r>
      <w:r>
        <w:rPr>
          <w:spacing w:val="-93"/>
        </w:rPr>
      </w:r>
      <w:r>
        <w:rPr>
          <w:spacing w:val="-4"/>
        </w:rPr>
        <w:t>市公司规范运作指引》、公司内审制度等规定，采用必审和抽审、事前控制和事后审计</w:t>
      </w:r>
      <w:r>
        <w:rPr>
          <w:spacing w:val="-88"/>
        </w:rPr>
        <w:t> </w:t>
      </w:r>
      <w:r>
        <w:rPr>
          <w:spacing w:val="-88"/>
        </w:rPr>
      </w:r>
      <w:r>
        <w:rPr>
          <w:spacing w:val="-3"/>
        </w:rPr>
        <w:t>相结合的内审工作方式，充分发挥了内审的检查监督职能。通过内部审计，公司及时发</w:t>
      </w:r>
      <w:r>
        <w:rPr>
          <w:spacing w:val="-96"/>
        </w:rPr>
        <w:t> </w:t>
      </w:r>
      <w:r>
        <w:rPr>
          <w:spacing w:val="-96"/>
        </w:rPr>
      </w:r>
      <w:r>
        <w:rPr>
          <w:spacing w:val="-3"/>
        </w:rPr>
        <w:t>现有关经营活动中存在的问题，提出整改建议，落实整改措施，促进公司强化管理，提</w:t>
      </w:r>
      <w:r>
        <w:rPr>
          <w:spacing w:val="-98"/>
        </w:rPr>
        <w:t> </w:t>
      </w:r>
      <w:r>
        <w:rPr>
          <w:spacing w:val="-98"/>
        </w:rPr>
      </w:r>
      <w:r>
        <w:rPr/>
        <w:t>高内部控制、内部监督的有效性，进一步防范企业经营风险和财务风险。</w:t>
      </w:r>
    </w:p>
    <w:p>
      <w:pPr>
        <w:pStyle w:val="BodyText"/>
        <w:spacing w:line="348" w:lineRule="auto" w:before="41"/>
        <w:ind w:right="84" w:firstLine="480"/>
        <w:jc w:val="left"/>
      </w:pPr>
      <w:r>
        <w:rPr>
          <w:rFonts w:ascii="Times New Roman" w:hAnsi="Times New Roman" w:cs="Times New Roman" w:eastAsia="Times New Roman" w:hint="default"/>
        </w:rPr>
        <w:t>8</w:t>
      </w:r>
      <w:r>
        <w:rPr/>
        <w:t>、人力资源管理控制：公司制定了一系列较为科学、完善的人员聘用、培训、轮 岗、考核、奖惩、晋升等人事管理制度，并借助信息系统进一步固化和完善相关制度、 流程，公司人力资源管理控制得到了贯彻落实。</w:t>
      </w:r>
    </w:p>
    <w:p>
      <w:pPr>
        <w:pStyle w:val="BodyText"/>
        <w:spacing w:line="240" w:lineRule="auto" w:before="46"/>
        <w:ind w:left="620" w:right="84"/>
        <w:jc w:val="left"/>
      </w:pPr>
      <w:r>
        <w:rPr/>
        <w:t>（三）内部控制自我评价</w:t>
      </w:r>
    </w:p>
    <w:p>
      <w:pPr>
        <w:pStyle w:val="BodyText"/>
        <w:spacing w:line="338" w:lineRule="auto" w:before="154"/>
        <w:ind w:left="620" w:right="192"/>
        <w:jc w:val="left"/>
      </w:pPr>
      <w:r>
        <w:rPr>
          <w:rFonts w:ascii="Times New Roman" w:hAnsi="Times New Roman" w:cs="Times New Roman" w:eastAsia="Times New Roman" w:hint="default"/>
        </w:rPr>
        <w:t>1</w:t>
      </w:r>
      <w:r>
        <w:rPr/>
        <w:t>、董事会对公司内部控制的自我评价 </w:t>
      </w:r>
      <w:r>
        <w:rPr>
          <w:spacing w:val="-3"/>
        </w:rPr>
        <w:t>公司已经建立了较为完善的法人治理结构，内部控制体系较为健全，该体系涵盖了</w:t>
      </w:r>
    </w:p>
    <w:p>
      <w:pPr>
        <w:pStyle w:val="BodyText"/>
        <w:spacing w:line="357" w:lineRule="auto" w:before="55"/>
        <w:ind w:right="192"/>
        <w:jc w:val="both"/>
      </w:pPr>
      <w:r>
        <w:rPr>
          <w:spacing w:val="-3"/>
        </w:rPr>
        <w:t>公司经营及管理的各个层面和环节，符合有关法律法规规定，能够有效执行，在关联交</w:t>
      </w:r>
      <w:r>
        <w:rPr>
          <w:spacing w:val="-96"/>
        </w:rPr>
        <w:t> </w:t>
      </w:r>
      <w:r>
        <w:rPr>
          <w:spacing w:val="-96"/>
        </w:rPr>
      </w:r>
      <w:r>
        <w:rPr>
          <w:spacing w:val="-3"/>
        </w:rPr>
        <w:t>易、对外担保、重大投资、信息披露等关键环节发挥了较好的管控作用，能够对公司各</w:t>
      </w:r>
      <w:r>
        <w:rPr>
          <w:spacing w:val="-98"/>
        </w:rPr>
        <w:t> </w:t>
      </w:r>
      <w:r>
        <w:rPr>
          <w:spacing w:val="-98"/>
        </w:rPr>
      </w:r>
      <w:r>
        <w:rPr/>
        <w:t>项业务的健康运行及经营风险的控制提供保证，公司内部控制制度是有效的。</w:t>
      </w:r>
    </w:p>
    <w:p>
      <w:pPr>
        <w:pStyle w:val="BodyText"/>
        <w:spacing w:line="240" w:lineRule="auto" w:before="36"/>
        <w:ind w:left="620" w:right="84"/>
        <w:jc w:val="left"/>
      </w:pPr>
      <w:r>
        <w:rPr/>
        <w:t>公司董事会《关于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年度内部控制的自我评价报告》刊登在</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w:t>
      </w:r>
    </w:p>
    <w:p>
      <w:pPr>
        <w:pStyle w:val="BodyText"/>
        <w:spacing w:line="240" w:lineRule="auto" w:before="135"/>
        <w:ind w:right="84"/>
        <w:jc w:val="left"/>
      </w:pPr>
      <w:r>
        <w:rPr>
          <w:spacing w:val="39"/>
        </w:rPr>
        <w:t>《证券时</w:t>
      </w:r>
      <w:r>
        <w:rPr/>
        <w:t>报</w:t>
      </w:r>
      <w:r>
        <w:rPr>
          <w:spacing w:val="-81"/>
        </w:rPr>
        <w:t> 》、</w:t>
      </w:r>
      <w:r>
        <w:rPr>
          <w:spacing w:val="39"/>
        </w:rPr>
        <w:t>《上海证券</w:t>
      </w:r>
      <w:r>
        <w:rPr/>
        <w:t>报</w:t>
      </w:r>
      <w:r>
        <w:rPr>
          <w:spacing w:val="-81"/>
        </w:rPr>
        <w:t> 》、</w:t>
      </w:r>
      <w:r>
        <w:rPr>
          <w:spacing w:val="39"/>
        </w:rPr>
        <w:t>《中国证券</w:t>
      </w:r>
      <w:r>
        <w:rPr/>
        <w:t>报</w:t>
      </w:r>
      <w:r>
        <w:rPr>
          <w:spacing w:val="-81"/>
        </w:rPr>
        <w:t> 》、</w:t>
      </w:r>
      <w:r>
        <w:rPr>
          <w:spacing w:val="39"/>
        </w:rPr>
        <w:t>《证券日报》及巨潮资讯</w:t>
      </w:r>
      <w:r>
        <w:rPr/>
        <w:t>网</w:t>
      </w:r>
      <w:r>
        <w:rPr>
          <w:spacing w:val="-81"/>
        </w:rPr>
        <w:t> </w:t>
      </w:r>
      <w:r>
        <w:rPr/>
      </w:r>
    </w:p>
    <w:p>
      <w:pPr>
        <w:pStyle w:val="BodyText"/>
        <w:spacing w:line="338" w:lineRule="auto" w:before="154"/>
        <w:ind w:left="620" w:right="2844" w:hanging="480"/>
        <w:jc w:val="left"/>
      </w:pPr>
      <w:hyperlink r:id="rId13">
        <w:r>
          <w:rPr>
            <w:rFonts w:ascii="Times New Roman" w:hAnsi="Times New Roman" w:cs="Times New Roman" w:eastAsia="Times New Roman" w:hint="default"/>
          </w:rPr>
          <w:t>www.cninfo.com</w:t>
        </w:r>
        <w:r>
          <w:rPr/>
          <w:t>上。</w:t>
        </w:r>
      </w:hyperlink>
      <w:r>
        <w:rPr>
          <w:w w:val="99"/>
        </w:rPr>
        <w:t> </w:t>
      </w:r>
      <w:r>
        <w:rPr>
          <w:rFonts w:ascii="Times New Roman" w:hAnsi="Times New Roman" w:cs="Times New Roman" w:eastAsia="Times New Roman" w:hint="default"/>
        </w:rPr>
        <w:t>2</w:t>
      </w:r>
      <w:r>
        <w:rPr/>
        <w:t>、独立董事关于公司内部控制自我评价报告的独立意见</w:t>
      </w:r>
    </w:p>
    <w:p>
      <w:pPr>
        <w:pStyle w:val="BodyText"/>
        <w:spacing w:line="333" w:lineRule="auto"/>
        <w:ind w:right="84" w:firstLine="480"/>
        <w:jc w:val="left"/>
      </w:pPr>
      <w:r>
        <w:rPr/>
        <w:t>公司内部控制重点活动按公司内部控制各项制度的规定进行，公司对控股子公司、 </w:t>
      </w:r>
      <w:r>
        <w:rPr>
          <w:spacing w:val="-3"/>
        </w:rPr>
        <w:t>关联交易、对外担保、募集资金使用、重大投资、信息披露的内部控制严格、充分、有</w:t>
      </w:r>
      <w:r>
        <w:rPr>
          <w:spacing w:val="-101"/>
        </w:rPr>
        <w:t> </w:t>
      </w:r>
      <w:r>
        <w:rPr>
          <w:spacing w:val="-101"/>
        </w:rPr>
      </w:r>
      <w:r>
        <w:rPr/>
        <w:t>效，保证了公司经营管理的正常进行，符合公司的实际情况，具有合理性和有效性。</w:t>
      </w:r>
    </w:p>
    <w:p>
      <w:pPr>
        <w:pStyle w:val="BodyText"/>
        <w:spacing w:line="314" w:lineRule="auto" w:before="29"/>
        <w:ind w:right="176" w:firstLine="480"/>
        <w:jc w:val="left"/>
      </w:pPr>
      <w:r>
        <w:rPr/>
        <w:t>经审阅，我们认为《关于公司 </w:t>
      </w:r>
      <w:r>
        <w:rPr>
          <w:rFonts w:ascii="Times New Roman" w:hAnsi="Times New Roman" w:cs="Times New Roman" w:eastAsia="Times New Roman" w:hint="default"/>
        </w:rPr>
        <w:t>2010</w:t>
      </w:r>
      <w:r>
        <w:rPr>
          <w:rFonts w:ascii="Times New Roman" w:hAnsi="Times New Roman" w:cs="Times New Roman" w:eastAsia="Times New Roman" w:hint="default"/>
          <w:spacing w:val="-32"/>
        </w:rPr>
        <w:t> </w:t>
      </w:r>
      <w:r>
        <w:rPr/>
        <w:t>年度内部控制的自我评价报告》全面、客观、 真实地反映了公司内部控制体系建设和运作的实际情况。</w:t>
      </w:r>
    </w:p>
    <w:p>
      <w:pPr>
        <w:pStyle w:val="BodyText"/>
        <w:spacing w:line="240" w:lineRule="auto" w:before="48"/>
        <w:ind w:left="620" w:right="84"/>
        <w:jc w:val="left"/>
        <w:rPr>
          <w:rFonts w:ascii="Times New Roman" w:hAnsi="Times New Roman" w:cs="Times New Roman" w:eastAsia="Times New Roman" w:hint="default"/>
        </w:rPr>
      </w:pPr>
      <w:r>
        <w:rPr/>
        <w:t>公司独立董事关于公</w:t>
      </w:r>
      <w:r>
        <w:rPr>
          <w:spacing w:val="-101"/>
        </w:rPr>
        <w:t>司</w:t>
      </w:r>
      <w:r>
        <w:rPr/>
        <w:t>《</w:t>
      </w:r>
      <w:r>
        <w:rPr>
          <w:rFonts w:ascii="Times New Roman" w:hAnsi="Times New Roman" w:cs="Times New Roman" w:eastAsia="Times New Roman" w:hint="default"/>
        </w:rPr>
        <w:t>2010 </w:t>
      </w:r>
      <w:r>
        <w:rPr/>
        <w:t>年度内部控制自我评价报告</w:t>
      </w:r>
      <w:r>
        <w:rPr>
          <w:spacing w:val="-101"/>
        </w:rPr>
        <w:t>》</w:t>
      </w:r>
      <w:r>
        <w:rPr/>
        <w:t>的独立意见刊登在</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p>
    <w:p>
      <w:pPr>
        <w:pStyle w:val="BodyText"/>
        <w:spacing w:line="314" w:lineRule="auto" w:before="104"/>
        <w:ind w:left="620" w:right="84" w:hanging="480"/>
        <w:jc w:val="left"/>
      </w:pP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日巨潮资讯网</w:t>
      </w:r>
      <w:hyperlink r:id="rId13">
        <w:r>
          <w:rPr>
            <w:rFonts w:ascii="Times New Roman" w:hAnsi="Times New Roman" w:cs="Times New Roman" w:eastAsia="Times New Roman" w:hint="default"/>
          </w:rPr>
          <w:t>www.cninfo.com</w:t>
        </w:r>
        <w:r>
          <w:rPr/>
          <w:t>上。</w:t>
        </w:r>
      </w:hyperlink>
      <w:r>
        <w:rPr>
          <w:w w:val="99"/>
        </w:rPr>
        <w:t> </w:t>
      </w:r>
      <w:r>
        <w:rPr>
          <w:rFonts w:ascii="Times New Roman" w:hAnsi="Times New Roman" w:cs="Times New Roman" w:eastAsia="Times New Roman" w:hint="default"/>
        </w:rPr>
        <w:t>3</w:t>
      </w:r>
      <w:r>
        <w:rPr/>
        <w:t>、保荐机构对公司内部控制自我评价的核查意见</w:t>
      </w:r>
      <w:r>
        <w:rPr>
          <w:w w:val="99"/>
        </w:rPr>
        <w:t> </w:t>
      </w:r>
      <w:r>
        <w:rPr>
          <w:spacing w:val="-4"/>
          <w:w w:val="99"/>
        </w:rPr>
        <w:t>中信证券股份有限公司（以下简称“中信证券”）作为苏宁电器股份有限公司（以</w:t>
      </w:r>
      <w:r>
        <w:rPr>
          <w:spacing w:val="-4"/>
        </w:rPr>
      </w:r>
    </w:p>
    <w:p>
      <w:pPr>
        <w:pStyle w:val="BodyText"/>
        <w:spacing w:line="240" w:lineRule="auto" w:before="79"/>
        <w:ind w:right="84"/>
        <w:jc w:val="left"/>
      </w:pPr>
      <w:r>
        <w:rPr/>
        <w:t>下简</w:t>
      </w:r>
      <w:r>
        <w:rPr>
          <w:spacing w:val="-6"/>
        </w:rPr>
        <w:t>称</w:t>
      </w:r>
      <w:r>
        <w:rPr/>
        <w:t>“苏宁电器</w:t>
      </w:r>
      <w:r>
        <w:rPr>
          <w:spacing w:val="-6"/>
        </w:rPr>
        <w:t>”或</w:t>
      </w:r>
      <w:r>
        <w:rPr/>
        <w:t>“公司</w:t>
      </w:r>
      <w:r>
        <w:rPr>
          <w:spacing w:val="-120"/>
        </w:rPr>
        <w:t>”</w:t>
      </w:r>
      <w:r>
        <w:rPr>
          <w:spacing w:val="-6"/>
        </w:rPr>
        <w:t>）</w:t>
      </w:r>
      <w:r>
        <w:rPr>
          <w:rFonts w:ascii="Times New Roman" w:hAnsi="Times New Roman" w:cs="Times New Roman" w:eastAsia="Times New Roman" w:hint="default"/>
        </w:rPr>
        <w:t>2009 </w:t>
      </w:r>
      <w:r>
        <w:rPr/>
        <w:t>年非公开发行股票并上市的保荐机构</w:t>
      </w:r>
      <w:r>
        <w:rPr>
          <w:spacing w:val="-6"/>
        </w:rPr>
        <w:t>，</w:t>
      </w:r>
      <w:r>
        <w:rPr/>
        <w:t>根据深圳</w:t>
      </w:r>
    </w:p>
    <w:p>
      <w:pPr>
        <w:spacing w:after="0" w:line="240" w:lineRule="auto"/>
        <w:jc w:val="left"/>
        <w:sectPr>
          <w:pgSz w:w="11910" w:h="16840"/>
          <w:pgMar w:header="748" w:footer="714" w:top="980" w:bottom="900" w:left="1300" w:right="1240"/>
        </w:sectPr>
      </w:pPr>
    </w:p>
    <w:p>
      <w:pPr>
        <w:spacing w:line="240" w:lineRule="auto" w:before="7"/>
        <w:rPr>
          <w:rFonts w:ascii="宋体" w:hAnsi="宋体" w:cs="宋体" w:eastAsia="宋体" w:hint="default"/>
          <w:sz w:val="29"/>
          <w:szCs w:val="29"/>
        </w:rPr>
      </w:pPr>
    </w:p>
    <w:p>
      <w:pPr>
        <w:pStyle w:val="BodyText"/>
        <w:spacing w:line="240" w:lineRule="auto" w:before="26"/>
        <w:ind w:left="160" w:right="0"/>
        <w:jc w:val="left"/>
      </w:pPr>
      <w:r>
        <w:rPr/>
        <w:t>证券交易所《关于做好上市公司</w:t>
      </w:r>
      <w:r>
        <w:rPr>
          <w:spacing w:val="-7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0"/>
        </w:rPr>
        <w:t> </w:t>
      </w:r>
      <w:r>
        <w:rPr/>
        <w:t>年年度报告披露工作的通知》的要求，对《苏宁</w:t>
      </w:r>
    </w:p>
    <w:p>
      <w:pPr>
        <w:pStyle w:val="BodyText"/>
        <w:spacing w:line="338" w:lineRule="auto" w:before="135"/>
        <w:ind w:left="640" w:right="0" w:hanging="480"/>
        <w:jc w:val="left"/>
      </w:pPr>
      <w:r>
        <w:rPr/>
        <w:t>电器股份有限公司董事会关于</w:t>
      </w:r>
      <w:r>
        <w:rPr>
          <w:spacing w:val="-60"/>
        </w:rPr>
        <w:t> </w:t>
      </w:r>
      <w:r>
        <w:rPr>
          <w:rFonts w:ascii="Times New Roman" w:hAnsi="Times New Roman" w:cs="Times New Roman" w:eastAsia="Times New Roman" w:hint="default"/>
        </w:rPr>
        <w:t>2010 </w:t>
      </w:r>
      <w:r>
        <w:rPr/>
        <w:t>年度内部控制的自我评价报告》发表如下意见： </w:t>
      </w:r>
      <w:r>
        <w:rPr>
          <w:spacing w:val="-3"/>
        </w:rPr>
        <w:t>经过现场检查、高管会谈及查阅相关文件，中信证券认为，苏宁电器已经建立了较</w:t>
      </w:r>
    </w:p>
    <w:p>
      <w:pPr>
        <w:pStyle w:val="BodyText"/>
        <w:spacing w:line="240" w:lineRule="auto" w:before="55"/>
        <w:ind w:left="160" w:right="0"/>
        <w:jc w:val="left"/>
      </w:pPr>
      <w:r>
        <w:rPr/>
        <w:t>为完善的法人治理结构，建立了较为完备的有关公司治理及内部控制的各项规章制度。</w:t>
      </w:r>
    </w:p>
    <w:p>
      <w:pPr>
        <w:pStyle w:val="BodyText"/>
        <w:spacing w:line="240" w:lineRule="auto" w:before="154"/>
        <w:ind w:left="160" w:right="0"/>
        <w:jc w:val="left"/>
      </w:pPr>
      <w:r>
        <w:rPr>
          <w:rFonts w:ascii="Times New Roman" w:hAnsi="Times New Roman" w:cs="Times New Roman" w:eastAsia="Times New Roman" w:hint="default"/>
        </w:rPr>
        <w:t>2010 </w:t>
      </w:r>
      <w:r>
        <w:rPr>
          <w:rFonts w:ascii="Times New Roman" w:hAnsi="Times New Roman" w:cs="Times New Roman" w:eastAsia="Times New Roman" w:hint="default"/>
          <w:spacing w:val="18"/>
        </w:rPr>
        <w:t> </w:t>
      </w:r>
      <w:r>
        <w:rPr/>
        <w:t>年度，公司内部控制制度执行情况良好，符合有关法律法规和证券监管部门对上</w:t>
      </w:r>
    </w:p>
    <w:p>
      <w:pPr>
        <w:pStyle w:val="BodyText"/>
        <w:spacing w:line="338" w:lineRule="auto" w:before="135"/>
        <w:ind w:left="160" w:right="233"/>
        <w:jc w:val="both"/>
      </w:pPr>
      <w:r>
        <w:rPr/>
        <w:t>市公司内控制度管理的规范要求。公司对 </w:t>
      </w:r>
      <w:r>
        <w:rPr>
          <w:rFonts w:ascii="Times New Roman" w:hAnsi="Times New Roman" w:cs="Times New Roman" w:eastAsia="Times New Roman" w:hint="default"/>
        </w:rPr>
        <w:t>2010</w:t>
      </w:r>
      <w:r>
        <w:rPr>
          <w:rFonts w:ascii="Times New Roman" w:hAnsi="Times New Roman" w:cs="Times New Roman" w:eastAsia="Times New Roman" w:hint="default"/>
          <w:spacing w:val="-32"/>
        </w:rPr>
        <w:t> </w:t>
      </w:r>
      <w:r>
        <w:rPr/>
        <w:t>年度内部控制的自我评价是较为真实、 客观的。</w:t>
      </w:r>
    </w:p>
    <w:p>
      <w:pPr>
        <w:pStyle w:val="BodyText"/>
        <w:spacing w:line="240" w:lineRule="auto" w:before="55"/>
        <w:ind w:left="640" w:right="0"/>
        <w:jc w:val="left"/>
      </w:pPr>
      <w:r>
        <w:rPr/>
        <w:t>中信证券关于公司《</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年度内部控制自我评价报告》的独立意见刊登在</w:t>
      </w:r>
      <w:r>
        <w:rPr>
          <w:spacing w:val="-6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p>
    <w:p>
      <w:pPr>
        <w:pStyle w:val="BodyText"/>
        <w:spacing w:line="348" w:lineRule="auto" w:before="135"/>
        <w:ind w:left="640" w:right="232" w:hanging="48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日巨潮资讯网</w:t>
      </w:r>
      <w:hyperlink r:id="rId13">
        <w:r>
          <w:rPr>
            <w:rFonts w:ascii="Times New Roman" w:hAnsi="Times New Roman" w:cs="Times New Roman" w:eastAsia="Times New Roman" w:hint="default"/>
          </w:rPr>
          <w:t>www.cninfo.com</w:t>
        </w:r>
        <w:r>
          <w:rPr/>
          <w:t>上。</w:t>
        </w:r>
      </w:hyperlink>
      <w:r>
        <w:rPr>
          <w:w w:val="99"/>
        </w:rPr>
        <w:t> </w:t>
      </w:r>
      <w:r>
        <w:rPr/>
        <w:t>五、公司对高级管理人员的考评和激励机制、相关奖励制度的建立及实施情况</w:t>
      </w:r>
      <w:r>
        <w:rPr>
          <w:w w:val="99"/>
        </w:rPr>
        <w:t> </w:t>
      </w:r>
      <w:r>
        <w:rPr>
          <w:spacing w:val="-3"/>
        </w:rPr>
        <w:t>公司建立了较为健全的考评和激励机制，以公司规范化管理以及经营效益稳步提升</w:t>
      </w:r>
    </w:p>
    <w:p>
      <w:pPr>
        <w:pStyle w:val="BodyText"/>
        <w:spacing w:line="348" w:lineRule="auto" w:before="46"/>
        <w:ind w:left="160" w:right="231"/>
        <w:jc w:val="both"/>
      </w:pPr>
      <w:r>
        <w:rPr>
          <w:spacing w:val="-3"/>
        </w:rPr>
        <w:t>为基础，与公司管理人员签订岗位目标责任书，并以量化的考核指标定期对高级管理人</w:t>
      </w:r>
      <w:r>
        <w:rPr>
          <w:spacing w:val="-98"/>
        </w:rPr>
        <w:t> </w:t>
      </w:r>
      <w:r>
        <w:rPr>
          <w:spacing w:val="-98"/>
        </w:rPr>
      </w:r>
      <w:r>
        <w:rPr/>
        <w:t>员进行业绩考核。经过考评，</w:t>
      </w:r>
      <w:r>
        <w:rPr>
          <w:rFonts w:ascii="Times New Roman" w:hAnsi="Times New Roman" w:cs="Times New Roman" w:eastAsia="Times New Roman" w:hint="default"/>
        </w:rPr>
        <w:t>2010</w:t>
      </w:r>
      <w:r>
        <w:rPr>
          <w:rFonts w:ascii="Times New Roman" w:hAnsi="Times New Roman" w:cs="Times New Roman" w:eastAsia="Times New Roman" w:hint="default"/>
          <w:spacing w:val="58"/>
        </w:rPr>
        <w:t> </w:t>
      </w:r>
      <w:r>
        <w:rPr/>
        <w:t>年度公司高管人员认真履行了工作职责，工作业绩 良好，较好的完成了本年度所确定的各项任务。</w:t>
      </w:r>
    </w:p>
    <w:p>
      <w:pPr>
        <w:pStyle w:val="BodyText"/>
        <w:spacing w:line="352" w:lineRule="auto" w:before="46"/>
        <w:ind w:left="160" w:right="106" w:firstLine="480"/>
        <w:jc w:val="left"/>
      </w:pPr>
      <w:r>
        <w:rPr>
          <w:spacing w:val="-6"/>
        </w:rPr>
        <w:t>此外，报告期内，为进一步完善法人治理结构，建立和完善公司的激励和约束机制，</w:t>
      </w:r>
      <w:r>
        <w:rPr/>
        <w:t> </w:t>
      </w:r>
      <w:r>
        <w:rPr>
          <w:spacing w:val="-4"/>
        </w:rPr>
        <w:t>公司还实施了首次股票期权激励计划，向公司董事（不包括独立董事）、中高层管理人</w:t>
      </w:r>
      <w:r>
        <w:rPr>
          <w:spacing w:val="-85"/>
        </w:rPr>
        <w:t> </w:t>
      </w:r>
      <w:r>
        <w:rPr>
          <w:spacing w:val="-85"/>
        </w:rPr>
      </w:r>
      <w:r>
        <w:rPr/>
        <w:t>员、核心业务人员以及技术骨干合计</w:t>
      </w:r>
      <w:r>
        <w:rPr>
          <w:spacing w:val="-66"/>
        </w:rPr>
        <w:t> </w:t>
      </w:r>
      <w:r>
        <w:rPr>
          <w:rFonts w:ascii="Times New Roman" w:hAnsi="Times New Roman" w:cs="Times New Roman" w:eastAsia="Times New Roman" w:hint="default"/>
        </w:rPr>
        <w:t>248</w:t>
      </w:r>
      <w:r>
        <w:rPr>
          <w:rFonts w:ascii="Times New Roman" w:hAnsi="Times New Roman" w:cs="Times New Roman" w:eastAsia="Times New Roman" w:hint="default"/>
          <w:spacing w:val="-6"/>
        </w:rPr>
        <w:t> </w:t>
      </w:r>
      <w:r>
        <w:rPr/>
        <w:t>人授予了</w:t>
      </w:r>
      <w:r>
        <w:rPr>
          <w:spacing w:val="-66"/>
        </w:rPr>
        <w:t> </w:t>
      </w:r>
      <w:r>
        <w:rPr>
          <w:rFonts w:ascii="Times New Roman" w:hAnsi="Times New Roman" w:cs="Times New Roman" w:eastAsia="Times New Roman" w:hint="default"/>
        </w:rPr>
        <w:t>8,469</w:t>
      </w:r>
      <w:r>
        <w:rPr>
          <w:rFonts w:ascii="Times New Roman" w:hAnsi="Times New Roman" w:cs="Times New Roman" w:eastAsia="Times New Roman" w:hint="default"/>
          <w:spacing w:val="-6"/>
        </w:rPr>
        <w:t> </w:t>
      </w:r>
      <w:r>
        <w:rPr/>
        <w:t>万份股票期权，进一步提高了 </w:t>
      </w:r>
      <w:r>
        <w:rPr>
          <w:spacing w:val="-3"/>
        </w:rPr>
        <w:t>管理人员和技术骨干的归属感，保持个人利益和公司利益的高度一致，为股东创造最大</w:t>
      </w:r>
      <w:r>
        <w:rPr>
          <w:spacing w:val="-98"/>
        </w:rPr>
        <w:t> </w:t>
      </w:r>
      <w:r>
        <w:rPr>
          <w:spacing w:val="-98"/>
        </w:rPr>
      </w:r>
      <w:r>
        <w:rPr/>
        <w:t>化的利益。</w:t>
      </w:r>
    </w:p>
    <w:p>
      <w:pPr>
        <w:pStyle w:val="BodyText"/>
        <w:spacing w:line="240" w:lineRule="auto" w:before="41"/>
        <w:ind w:left="640" w:right="0"/>
        <w:jc w:val="left"/>
      </w:pPr>
      <w:r>
        <w:rPr/>
        <w:t>六、公司内部审计制度的建立和执行情况</w:t>
      </w:r>
    </w:p>
    <w:p>
      <w:pPr>
        <w:spacing w:line="240" w:lineRule="auto" w:before="10"/>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5605"/>
        <w:gridCol w:w="744"/>
        <w:gridCol w:w="2603"/>
      </w:tblGrid>
      <w:tr>
        <w:trPr>
          <w:trHeight w:val="775" w:hRule="exact"/>
        </w:trPr>
        <w:tc>
          <w:tcPr>
            <w:tcW w:w="560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744"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99"/>
              <w:ind w:left="52" w:right="49" w:firstLine="46"/>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p>
        </w:tc>
        <w:tc>
          <w:tcPr>
            <w:tcW w:w="2603" w:type="dxa"/>
            <w:tcBorders>
              <w:top w:val="single" w:sz="12" w:space="0" w:color="000000"/>
              <w:left w:val="single" w:sz="4" w:space="0" w:color="000000"/>
              <w:bottom w:val="single" w:sz="4" w:space="0" w:color="000000"/>
              <w:right w:val="single" w:sz="12" w:space="0" w:color="000000"/>
            </w:tcBorders>
          </w:tcPr>
          <w:p>
            <w:pPr>
              <w:pStyle w:val="TableParagraph"/>
              <w:spacing w:line="272" w:lineRule="exact" w:before="99"/>
              <w:ind w:left="245" w:right="12" w:hanging="224"/>
              <w:jc w:val="left"/>
              <w:rPr>
                <w:rFonts w:ascii="宋体" w:hAnsi="宋体" w:cs="宋体" w:eastAsia="宋体" w:hint="default"/>
                <w:sz w:val="21"/>
                <w:szCs w:val="21"/>
              </w:rPr>
            </w:pPr>
            <w:r>
              <w:rPr>
                <w:rFonts w:ascii="宋体" w:hAnsi="宋体" w:cs="宋体" w:eastAsia="宋体" w:hint="default"/>
                <w:spacing w:val="-3"/>
                <w:sz w:val="21"/>
                <w:szCs w:val="21"/>
              </w:rPr>
              <w:t>备注</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说明（如选择否或不适</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用，请说明具体原因）</w:t>
            </w:r>
          </w:p>
        </w:tc>
      </w:tr>
      <w:tr>
        <w:trPr>
          <w:trHeight w:val="454" w:hRule="exact"/>
        </w:trPr>
        <w:tc>
          <w:tcPr>
            <w:tcW w:w="8952" w:type="dxa"/>
            <w:gridSpan w:val="3"/>
            <w:tcBorders>
              <w:top w:val="single" w:sz="4" w:space="0" w:color="000000"/>
              <w:left w:val="single" w:sz="12" w:space="0" w:color="000000"/>
              <w:bottom w:val="single" w:sz="4" w:space="0" w:color="000000"/>
              <w:right w:val="single" w:sz="12" w:space="0" w:color="000000"/>
            </w:tcBorders>
          </w:tcPr>
          <w:p>
            <w:pPr>
              <w:pStyle w:val="TableParagraph"/>
              <w:spacing w:line="240" w:lineRule="auto" w:before="51"/>
              <w:ind w:left="13"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一、内部审计制度的建立情况以及内审工作指引落实情况</w:t>
            </w:r>
          </w:p>
        </w:tc>
      </w:tr>
      <w:tr>
        <w:trPr>
          <w:trHeight w:val="619"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．公司是否建立内部审计制度，内部审计制度是否经公司董</w:t>
            </w:r>
          </w:p>
          <w:p>
            <w:pPr>
              <w:pStyle w:val="TableParagraph"/>
              <w:spacing w:line="266" w:lineRule="exact"/>
              <w:ind w:left="13" w:right="0"/>
              <w:jc w:val="left"/>
              <w:rPr>
                <w:rFonts w:ascii="宋体" w:hAnsi="宋体" w:cs="宋体" w:eastAsia="宋体" w:hint="default"/>
                <w:sz w:val="21"/>
                <w:szCs w:val="21"/>
              </w:rPr>
            </w:pPr>
            <w:r>
              <w:rPr>
                <w:rFonts w:ascii="宋体" w:hAnsi="宋体" w:cs="宋体" w:eastAsia="宋体" w:hint="default"/>
                <w:sz w:val="21"/>
                <w:szCs w:val="21"/>
              </w:rPr>
              <w:t>事会审议通过</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2603" w:type="dxa"/>
            <w:tcBorders>
              <w:top w:val="single" w:sz="4" w:space="0" w:color="000000"/>
              <w:left w:val="single" w:sz="4" w:space="0" w:color="000000"/>
              <w:bottom w:val="single" w:sz="4" w:space="0" w:color="000000"/>
              <w:right w:val="single" w:sz="12" w:space="0" w:color="000000"/>
            </w:tcBorders>
          </w:tcPr>
          <w:p>
            <w:pPr/>
          </w:p>
        </w:tc>
      </w:tr>
      <w:tr>
        <w:trPr>
          <w:trHeight w:val="629"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．公司董事会是否设立审计委员会，公司是否设立独立于财</w:t>
            </w:r>
          </w:p>
          <w:p>
            <w:pPr>
              <w:pStyle w:val="TableParagraph"/>
              <w:spacing w:line="266" w:lineRule="exact"/>
              <w:ind w:left="13" w:right="0"/>
              <w:jc w:val="left"/>
              <w:rPr>
                <w:rFonts w:ascii="宋体" w:hAnsi="宋体" w:cs="宋体" w:eastAsia="宋体" w:hint="default"/>
                <w:sz w:val="21"/>
                <w:szCs w:val="21"/>
              </w:rPr>
            </w:pPr>
            <w:r>
              <w:rPr>
                <w:rFonts w:ascii="宋体" w:hAnsi="宋体" w:cs="宋体" w:eastAsia="宋体" w:hint="default"/>
                <w:sz w:val="21"/>
                <w:szCs w:val="21"/>
              </w:rPr>
              <w:t>务部门的内部审计部门</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2603" w:type="dxa"/>
            <w:tcBorders>
              <w:top w:val="single" w:sz="4" w:space="0" w:color="000000"/>
              <w:left w:val="single" w:sz="4" w:space="0" w:color="000000"/>
              <w:bottom w:val="single" w:sz="4" w:space="0" w:color="000000"/>
              <w:right w:val="single" w:sz="12" w:space="0" w:color="000000"/>
            </w:tcBorders>
          </w:tcPr>
          <w:p>
            <w:pPr/>
          </w:p>
        </w:tc>
      </w:tr>
      <w:tr>
        <w:trPr>
          <w:trHeight w:val="828"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13" w:right="0"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8"/>
                <w:sz w:val="21"/>
                <w:szCs w:val="21"/>
              </w:rPr>
              <w:t>）</w:t>
            </w:r>
            <w:r>
              <w:rPr>
                <w:rFonts w:ascii="宋体" w:hAnsi="宋体" w:cs="宋体" w:eastAsia="宋体" w:hint="default"/>
                <w:sz w:val="21"/>
                <w:szCs w:val="21"/>
              </w:rPr>
              <w:t>审</w:t>
            </w:r>
            <w:r>
              <w:rPr>
                <w:rFonts w:ascii="宋体" w:hAnsi="宋体" w:cs="宋体" w:eastAsia="宋体" w:hint="default"/>
                <w:spacing w:val="-2"/>
                <w:sz w:val="21"/>
                <w:szCs w:val="21"/>
              </w:rPr>
              <w:t>计</w:t>
            </w:r>
            <w:r>
              <w:rPr>
                <w:rFonts w:ascii="宋体" w:hAnsi="宋体" w:cs="宋体" w:eastAsia="宋体" w:hint="default"/>
                <w:sz w:val="21"/>
                <w:szCs w:val="21"/>
              </w:rPr>
              <w:t>委员会成员是否全部由董事组成</w:t>
            </w:r>
            <w:r>
              <w:rPr>
                <w:rFonts w:ascii="宋体" w:hAnsi="宋体" w:cs="宋体" w:eastAsia="宋体" w:hint="default"/>
                <w:spacing w:val="-8"/>
                <w:sz w:val="21"/>
                <w:szCs w:val="21"/>
              </w:rPr>
              <w:t>，</w:t>
            </w:r>
            <w:r>
              <w:rPr>
                <w:rFonts w:ascii="宋体" w:hAnsi="宋体" w:cs="宋体" w:eastAsia="宋体" w:hint="default"/>
                <w:sz w:val="21"/>
                <w:szCs w:val="21"/>
              </w:rPr>
              <w:t>独立董事占半</w:t>
            </w:r>
          </w:p>
          <w:p>
            <w:pPr>
              <w:pStyle w:val="TableParagraph"/>
              <w:spacing w:line="274" w:lineRule="exact" w:before="17"/>
              <w:ind w:left="13" w:right="110"/>
              <w:jc w:val="left"/>
              <w:rPr>
                <w:rFonts w:ascii="宋体" w:hAnsi="宋体" w:cs="宋体" w:eastAsia="宋体" w:hint="default"/>
                <w:sz w:val="21"/>
                <w:szCs w:val="21"/>
              </w:rPr>
            </w:pPr>
            <w:r>
              <w:rPr>
                <w:rFonts w:ascii="宋体" w:hAnsi="宋体" w:cs="宋体" w:eastAsia="宋体" w:hint="default"/>
                <w:sz w:val="21"/>
                <w:szCs w:val="21"/>
              </w:rPr>
              <w:t>数以上并担任召集人，且至少有一名独立董事为会计专业人 士</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2603" w:type="dxa"/>
            <w:tcBorders>
              <w:top w:val="single" w:sz="4" w:space="0" w:color="000000"/>
              <w:left w:val="single" w:sz="4" w:space="0" w:color="000000"/>
              <w:bottom w:val="single" w:sz="4" w:space="0" w:color="000000"/>
              <w:right w:val="single" w:sz="12" w:space="0" w:color="000000"/>
            </w:tcBorders>
          </w:tcPr>
          <w:p>
            <w:pPr/>
          </w:p>
        </w:tc>
      </w:tr>
      <w:tr>
        <w:trPr>
          <w:trHeight w:val="631"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74" w:lineRule="exact" w:before="29"/>
              <w:ind w:left="13" w:right="20" w:firstLine="21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）内部审计部门是否配置三名以上（含三名）专职人员</w:t>
            </w:r>
            <w:r>
              <w:rPr>
                <w:rFonts w:ascii="宋体" w:hAnsi="宋体" w:cs="宋体" w:eastAsia="宋体" w:hint="default"/>
                <w:sz w:val="21"/>
                <w:szCs w:val="21"/>
              </w:rPr>
              <w:t> 从事内部审计工作</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2603"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8952" w:type="dxa"/>
            <w:gridSpan w:val="3"/>
            <w:tcBorders>
              <w:top w:val="single" w:sz="4" w:space="0" w:color="000000"/>
              <w:left w:val="single" w:sz="12" w:space="0" w:color="000000"/>
              <w:bottom w:val="single" w:sz="4" w:space="0" w:color="000000"/>
              <w:right w:val="single" w:sz="12"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r>
      <w:tr>
        <w:trPr>
          <w:trHeight w:val="475" w:hRule="exact"/>
        </w:trPr>
        <w:tc>
          <w:tcPr>
            <w:tcW w:w="560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．公司是否根据相关规定出具年度内部控制自我评价报告</w:t>
            </w:r>
          </w:p>
        </w:tc>
        <w:tc>
          <w:tcPr>
            <w:tcW w:w="7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2603"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8" w:footer="714" w:top="980" w:bottom="900" w:left="1280" w:right="1200"/>
        </w:sectPr>
      </w:pPr>
    </w:p>
    <w:p>
      <w:pPr>
        <w:spacing w:line="240" w:lineRule="auto" w:before="0"/>
        <w:rPr>
          <w:rFonts w:ascii="宋体" w:hAnsi="宋体" w:cs="宋体" w:eastAsia="宋体" w:hint="default"/>
          <w:sz w:val="20"/>
          <w:szCs w:val="20"/>
        </w:rPr>
      </w:pPr>
      <w:r>
        <w:rPr/>
        <w:pict>
          <v:shape style="position:absolute;margin-left:69.900002pt;margin-top:71.999962pt;width:449.8pt;height:717.3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05"/>
                    <w:gridCol w:w="744"/>
                    <w:gridCol w:w="2603"/>
                  </w:tblGrid>
                  <w:tr>
                    <w:trPr>
                      <w:trHeight w:val="696" w:hRule="exact"/>
                    </w:trPr>
                    <w:tc>
                      <w:tcPr>
                        <w:tcW w:w="5605" w:type="dxa"/>
                        <w:tcBorders>
                          <w:top w:val="single" w:sz="12" w:space="0" w:color="000000"/>
                          <w:left w:val="single" w:sz="12" w:space="0" w:color="000000"/>
                          <w:bottom w:val="single" w:sz="4" w:space="0" w:color="000000"/>
                          <w:right w:val="single" w:sz="4" w:space="0" w:color="000000"/>
                        </w:tcBorders>
                      </w:tcPr>
                      <w:p>
                        <w:pPr>
                          <w:pStyle w:val="TableParagraph"/>
                          <w:spacing w:line="249" w:lineRule="exact"/>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．内部控制自我评价报告结论是否为内部控制有效（如为内</w:t>
                        </w:r>
                      </w:p>
                      <w:p>
                        <w:pPr>
                          <w:pStyle w:val="TableParagraph"/>
                          <w:spacing w:line="266" w:lineRule="exact"/>
                          <w:ind w:left="13" w:right="0"/>
                          <w:jc w:val="left"/>
                          <w:rPr>
                            <w:rFonts w:ascii="宋体" w:hAnsi="宋体" w:cs="宋体" w:eastAsia="宋体" w:hint="default"/>
                            <w:sz w:val="21"/>
                            <w:szCs w:val="21"/>
                          </w:rPr>
                        </w:pPr>
                        <w:r>
                          <w:rPr>
                            <w:rFonts w:ascii="宋体" w:hAnsi="宋体" w:cs="宋体" w:eastAsia="宋体" w:hint="default"/>
                            <w:sz w:val="21"/>
                            <w:szCs w:val="21"/>
                          </w:rPr>
                          <w:t>部控制无效，请说明内部控制存在的重大缺陷）</w:t>
                        </w:r>
                      </w:p>
                    </w:tc>
                    <w:tc>
                      <w:tcPr>
                        <w:tcW w:w="7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8"/>
                          <w:ind w:left="1"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2603" w:type="dxa"/>
                        <w:tcBorders>
                          <w:top w:val="single" w:sz="12" w:space="0" w:color="000000"/>
                          <w:left w:val="single" w:sz="4" w:space="0" w:color="000000"/>
                          <w:bottom w:val="single" w:sz="4" w:space="0" w:color="000000"/>
                          <w:right w:val="single" w:sz="12" w:space="0" w:color="000000"/>
                        </w:tcBorders>
                      </w:tcPr>
                      <w:p>
                        <w:pPr/>
                      </w:p>
                    </w:tc>
                  </w:tr>
                  <w:tr>
                    <w:trPr>
                      <w:trHeight w:val="557"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．本年度是否聘请会计师事务所对内部控制有效性出具审计</w:t>
                        </w:r>
                      </w:p>
                      <w:p>
                        <w:pPr>
                          <w:pStyle w:val="TableParagraph"/>
                          <w:spacing w:line="266" w:lineRule="exact"/>
                          <w:ind w:left="13" w:right="0"/>
                          <w:jc w:val="left"/>
                          <w:rPr>
                            <w:rFonts w:ascii="宋体" w:hAnsi="宋体" w:cs="宋体" w:eastAsia="宋体" w:hint="default"/>
                            <w:sz w:val="21"/>
                            <w:szCs w:val="21"/>
                          </w:rPr>
                        </w:pPr>
                        <w:r>
                          <w:rPr>
                            <w:rFonts w:ascii="宋体" w:hAnsi="宋体" w:cs="宋体" w:eastAsia="宋体" w:hint="default"/>
                            <w:sz w:val="21"/>
                            <w:szCs w:val="21"/>
                          </w:rPr>
                          <w:t>报告</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2603" w:type="dxa"/>
                        <w:vMerge w:val="restart"/>
                        <w:tcBorders>
                          <w:top w:val="single" w:sz="4" w:space="0" w:color="000000"/>
                          <w:left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22" w:right="10"/>
                          <w:jc w:val="both"/>
                          <w:rPr>
                            <w:rFonts w:ascii="宋体" w:hAnsi="宋体" w:cs="宋体" w:eastAsia="宋体" w:hint="default"/>
                            <w:sz w:val="21"/>
                            <w:szCs w:val="21"/>
                          </w:rPr>
                        </w:pPr>
                        <w:r>
                          <w:rPr>
                            <w:rFonts w:ascii="宋体" w:hAnsi="宋体" w:cs="宋体" w:eastAsia="宋体" w:hint="default"/>
                            <w:spacing w:val="2"/>
                            <w:sz w:val="21"/>
                            <w:szCs w:val="21"/>
                          </w:rPr>
                          <w:t>本年度未聘请会计师事务所 对内部控制有效性出具审计 </w:t>
                        </w:r>
                        <w:r>
                          <w:rPr>
                            <w:rFonts w:ascii="宋体" w:hAnsi="宋体" w:cs="宋体" w:eastAsia="宋体" w:hint="default"/>
                            <w:sz w:val="21"/>
                            <w:szCs w:val="21"/>
                          </w:rPr>
                          <w:t>报告</w:t>
                        </w:r>
                      </w:p>
                    </w:tc>
                  </w:tr>
                  <w:tr>
                    <w:trPr>
                      <w:trHeight w:val="1102"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1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．会计师事务所对公司内部控制有效性是否出具标准审计报</w:t>
                        </w:r>
                      </w:p>
                      <w:p>
                        <w:pPr>
                          <w:pStyle w:val="TableParagraph"/>
                          <w:spacing w:line="237" w:lineRule="auto"/>
                          <w:ind w:left="13" w:right="110"/>
                          <w:jc w:val="both"/>
                          <w:rPr>
                            <w:rFonts w:ascii="宋体" w:hAnsi="宋体" w:cs="宋体" w:eastAsia="宋体" w:hint="default"/>
                            <w:sz w:val="21"/>
                            <w:szCs w:val="21"/>
                          </w:rPr>
                        </w:pPr>
                        <w:r>
                          <w:rPr>
                            <w:rFonts w:ascii="宋体" w:hAnsi="宋体" w:cs="宋体" w:eastAsia="宋体" w:hint="default"/>
                            <w:sz w:val="21"/>
                            <w:szCs w:val="21"/>
                          </w:rPr>
                          <w:t>告。如出具非标准审计报告或指出公司非财务报告内部控制 存在重大缺陷的，公司董事会、监事会是否针对所涉及事项 做出专项说明</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603" w:type="dxa"/>
                        <w:vMerge/>
                        <w:tcBorders>
                          <w:left w:val="single" w:sz="4" w:space="0" w:color="000000"/>
                          <w:bottom w:val="single" w:sz="4" w:space="0" w:color="000000"/>
                          <w:right w:val="single" w:sz="12" w:space="0" w:color="000000"/>
                        </w:tcBorders>
                      </w:tcPr>
                      <w:p>
                        <w:pPr/>
                      </w:p>
                    </w:tc>
                  </w:tr>
                  <w:tr>
                    <w:trPr>
                      <w:trHeight w:val="556"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13"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．独立董事、监事会是否出具明确同意意见（如为异议意见</w:t>
                        </w:r>
                      </w:p>
                      <w:p>
                        <w:pPr>
                          <w:pStyle w:val="TableParagraph"/>
                          <w:spacing w:line="266" w:lineRule="exact"/>
                          <w:ind w:left="13" w:right="0"/>
                          <w:jc w:val="left"/>
                          <w:rPr>
                            <w:rFonts w:ascii="宋体" w:hAnsi="宋体" w:cs="宋体" w:eastAsia="宋体" w:hint="default"/>
                            <w:sz w:val="21"/>
                            <w:szCs w:val="21"/>
                          </w:rPr>
                        </w:pPr>
                        <w:r>
                          <w:rPr>
                            <w:rFonts w:ascii="宋体" w:hAnsi="宋体" w:cs="宋体" w:eastAsia="宋体" w:hint="default"/>
                            <w:sz w:val="21"/>
                            <w:szCs w:val="21"/>
                          </w:rPr>
                          <w:t>请说明）</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81" w:lineRule="exact"/>
                          <w:ind w:left="-1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4"/>
                            <w:sz w:val="21"/>
                            <w:szCs w:val="21"/>
                          </w:rPr>
                          <w:t> </w:t>
                        </w:r>
                        <w:r>
                          <w:rPr>
                            <w:rFonts w:ascii="宋体" w:hAnsi="宋体" w:cs="宋体" w:eastAsia="宋体" w:hint="default"/>
                            <w:position w:val="-13"/>
                            <w:sz w:val="21"/>
                            <w:szCs w:val="21"/>
                          </w:rPr>
                          <w:t>是</w:t>
                        </w:r>
                        <w:r>
                          <w:rPr>
                            <w:rFonts w:ascii="宋体" w:hAnsi="宋体" w:cs="宋体" w:eastAsia="宋体" w:hint="default"/>
                            <w:sz w:val="21"/>
                            <w:szCs w:val="21"/>
                          </w:rPr>
                        </w:r>
                      </w:p>
                    </w:tc>
                    <w:tc>
                      <w:tcPr>
                        <w:tcW w:w="2603" w:type="dxa"/>
                        <w:tcBorders>
                          <w:top w:val="single" w:sz="4" w:space="0" w:color="000000"/>
                          <w:left w:val="single" w:sz="4" w:space="0" w:color="000000"/>
                          <w:bottom w:val="single" w:sz="4" w:space="0" w:color="000000"/>
                          <w:right w:val="single" w:sz="12" w:space="0" w:color="000000"/>
                        </w:tcBorders>
                      </w:tcPr>
                      <w:p>
                        <w:pPr/>
                      </w:p>
                    </w:tc>
                  </w:tr>
                  <w:tr>
                    <w:trPr>
                      <w:trHeight w:val="557"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．保荐机构和保荐代表人是否出具明确同意的核查意见（如</w:t>
                        </w:r>
                      </w:p>
                      <w:p>
                        <w:pPr>
                          <w:pStyle w:val="TableParagraph"/>
                          <w:spacing w:line="266" w:lineRule="exact"/>
                          <w:ind w:left="13"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2603" w:type="dxa"/>
                        <w:tcBorders>
                          <w:top w:val="single" w:sz="4" w:space="0" w:color="000000"/>
                          <w:left w:val="single" w:sz="4" w:space="0" w:color="000000"/>
                          <w:bottom w:val="single" w:sz="4" w:space="0" w:color="000000"/>
                          <w:right w:val="single" w:sz="12" w:space="0" w:color="000000"/>
                        </w:tcBorders>
                      </w:tcPr>
                      <w:p>
                        <w:pPr/>
                      </w:p>
                    </w:tc>
                  </w:tr>
                  <w:tr>
                    <w:trPr>
                      <w:trHeight w:val="568" w:hRule="exact"/>
                    </w:trPr>
                    <w:tc>
                      <w:tcPr>
                        <w:tcW w:w="8952" w:type="dxa"/>
                        <w:gridSpan w:val="3"/>
                        <w:tcBorders>
                          <w:top w:val="single" w:sz="4" w:space="0" w:color="000000"/>
                          <w:left w:val="single" w:sz="12" w:space="0" w:color="000000"/>
                          <w:bottom w:val="single" w:sz="4" w:space="0" w:color="000000"/>
                          <w:right w:val="single" w:sz="12" w:space="0" w:color="000000"/>
                        </w:tcBorders>
                      </w:tcPr>
                      <w:p>
                        <w:pPr>
                          <w:pStyle w:val="TableParagraph"/>
                          <w:spacing w:line="240" w:lineRule="auto" w:before="108"/>
                          <w:ind w:left="13"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464"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、审计委员会的主要工作内容与工作成效</w:t>
                        </w:r>
                      </w:p>
                    </w:tc>
                    <w:tc>
                      <w:tcPr>
                        <w:tcW w:w="3347" w:type="dxa"/>
                        <w:gridSpan w:val="2"/>
                        <w:tcBorders>
                          <w:top w:val="single" w:sz="4" w:space="0" w:color="000000"/>
                          <w:left w:val="single" w:sz="4" w:space="0" w:color="000000"/>
                          <w:bottom w:val="single" w:sz="4" w:space="0" w:color="000000"/>
                          <w:right w:val="single" w:sz="12" w:space="0" w:color="000000"/>
                        </w:tcBorders>
                      </w:tcPr>
                      <w:p>
                        <w:pPr/>
                      </w:p>
                    </w:tc>
                  </w:tr>
                  <w:tr>
                    <w:trPr>
                      <w:trHeight w:val="4378"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72" w:lineRule="exact"/>
                          <w:ind w:left="13" w:right="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）说明审计委员会每季度召开会议审议内部审计部门提交</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的工作计划和报告的具体情况</w:t>
                        </w:r>
                      </w:p>
                    </w:tc>
                    <w:tc>
                      <w:tcPr>
                        <w:tcW w:w="3347"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exact"/>
                          <w:ind w:left="23" w:right="0" w:firstLine="210"/>
                          <w:jc w:val="left"/>
                          <w:rPr>
                            <w:rFonts w:ascii="宋体" w:hAnsi="宋体" w:cs="宋体" w:eastAsia="宋体" w:hint="default"/>
                            <w:sz w:val="21"/>
                            <w:szCs w:val="21"/>
                          </w:rPr>
                        </w:pPr>
                        <w:r>
                          <w:rPr>
                            <w:rFonts w:ascii="宋体" w:hAnsi="宋体" w:cs="宋体" w:eastAsia="宋体" w:hint="default"/>
                            <w:spacing w:val="-5"/>
                            <w:sz w:val="21"/>
                            <w:szCs w:val="21"/>
                          </w:rPr>
                          <w:t>第一季度：召开第三届审计委员会</w:t>
                        </w:r>
                      </w:p>
                      <w:p>
                        <w:pPr>
                          <w:pStyle w:val="TableParagraph"/>
                          <w:spacing w:line="232" w:lineRule="auto" w:before="6"/>
                          <w:ind w:left="23" w:right="11"/>
                          <w:jc w:val="both"/>
                          <w:rPr>
                            <w:rFonts w:ascii="宋体" w:hAnsi="宋体" w:cs="宋体" w:eastAsia="宋体" w:hint="default"/>
                            <w:sz w:val="21"/>
                            <w:szCs w:val="21"/>
                          </w:rPr>
                        </w:pPr>
                        <w:r>
                          <w:rPr>
                            <w:rFonts w:ascii="宋体" w:hAnsi="宋体" w:cs="宋体" w:eastAsia="宋体" w:hint="default"/>
                            <w:spacing w:val="-5"/>
                            <w:sz w:val="21"/>
                            <w:szCs w:val="21"/>
                          </w:rPr>
                          <w:t>第十七次会议，审议通过了内部审计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部门提交的《</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年内部审计工作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总结和</w:t>
                        </w:r>
                        <w:r>
                          <w:rPr>
                            <w:rFonts w:ascii="宋体" w:hAnsi="宋体" w:cs="宋体" w:eastAsia="宋体" w:hint="default"/>
                            <w:spacing w:val="-50"/>
                            <w:sz w:val="21"/>
                            <w:szCs w:val="21"/>
                          </w:rPr>
                          <w:t> </w:t>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pacing w:val="-11"/>
                            <w:sz w:val="21"/>
                            <w:szCs w:val="21"/>
                          </w:rPr>
                          <w:t>年内部审计工作计划》</w:t>
                        </w:r>
                        <w:r>
                          <w:rPr>
                            <w:rFonts w:ascii="宋体" w:hAnsi="宋体" w:cs="宋体" w:eastAsia="宋体" w:hint="default"/>
                            <w:sz w:val="21"/>
                            <w:szCs w:val="21"/>
                          </w:rPr>
                        </w:r>
                      </w:p>
                      <w:p>
                        <w:pPr>
                          <w:pStyle w:val="TableParagraph"/>
                          <w:spacing w:line="272" w:lineRule="exact" w:before="12"/>
                          <w:ind w:left="23" w:right="11" w:firstLine="210"/>
                          <w:jc w:val="left"/>
                          <w:rPr>
                            <w:rFonts w:ascii="宋体" w:hAnsi="宋体" w:cs="宋体" w:eastAsia="宋体" w:hint="default"/>
                            <w:sz w:val="21"/>
                            <w:szCs w:val="21"/>
                          </w:rPr>
                        </w:pPr>
                        <w:r>
                          <w:rPr>
                            <w:rFonts w:ascii="宋体" w:hAnsi="宋体" w:cs="宋体" w:eastAsia="宋体" w:hint="default"/>
                            <w:spacing w:val="-5"/>
                            <w:sz w:val="21"/>
                            <w:szCs w:val="21"/>
                          </w:rPr>
                          <w:t>第二季度：召开第三届审计委员会</w:t>
                        </w:r>
                        <w:r>
                          <w:rPr>
                            <w:rFonts w:ascii="宋体" w:hAnsi="宋体" w:cs="宋体" w:eastAsia="宋体" w:hint="default"/>
                            <w:sz w:val="21"/>
                            <w:szCs w:val="21"/>
                          </w:rPr>
                          <w:t> </w:t>
                        </w:r>
                        <w:r>
                          <w:rPr>
                            <w:rFonts w:ascii="宋体" w:hAnsi="宋体" w:cs="宋体" w:eastAsia="宋体" w:hint="default"/>
                            <w:spacing w:val="-5"/>
                            <w:sz w:val="21"/>
                            <w:szCs w:val="21"/>
                          </w:rPr>
                          <w:t>第十九次会议，审议通过了内部审计</w:t>
                        </w:r>
                      </w:p>
                      <w:p>
                        <w:pPr>
                          <w:pStyle w:val="TableParagraph"/>
                          <w:spacing w:line="272" w:lineRule="exact" w:before="1"/>
                          <w:ind w:left="23" w:right="11"/>
                          <w:jc w:val="both"/>
                          <w:rPr>
                            <w:rFonts w:ascii="宋体" w:hAnsi="宋体" w:cs="宋体" w:eastAsia="宋体" w:hint="default"/>
                            <w:sz w:val="21"/>
                            <w:szCs w:val="21"/>
                          </w:rPr>
                        </w:pPr>
                        <w:r>
                          <w:rPr>
                            <w:rFonts w:ascii="宋体" w:hAnsi="宋体" w:cs="宋体" w:eastAsia="宋体" w:hint="default"/>
                            <w:sz w:val="21"/>
                            <w:szCs w:val="21"/>
                          </w:rPr>
                          <w:t>部门提交的《</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年第一季度审计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工作总结报告》；</w:t>
                        </w:r>
                      </w:p>
                      <w:p>
                        <w:pPr>
                          <w:pStyle w:val="TableParagraph"/>
                          <w:spacing w:line="272" w:lineRule="exact" w:before="1"/>
                          <w:ind w:left="23" w:right="10" w:firstLine="210"/>
                          <w:jc w:val="left"/>
                          <w:rPr>
                            <w:rFonts w:ascii="宋体" w:hAnsi="宋体" w:cs="宋体" w:eastAsia="宋体" w:hint="default"/>
                            <w:sz w:val="21"/>
                            <w:szCs w:val="21"/>
                          </w:rPr>
                        </w:pPr>
                        <w:r>
                          <w:rPr>
                            <w:rFonts w:ascii="宋体" w:hAnsi="宋体" w:cs="宋体" w:eastAsia="宋体" w:hint="default"/>
                            <w:spacing w:val="-5"/>
                            <w:sz w:val="21"/>
                            <w:szCs w:val="21"/>
                          </w:rPr>
                          <w:t>第三季度：召开第四届审计委员会</w:t>
                        </w:r>
                        <w:r>
                          <w:rPr>
                            <w:rFonts w:ascii="宋体" w:hAnsi="宋体" w:cs="宋体" w:eastAsia="宋体" w:hint="default"/>
                            <w:sz w:val="21"/>
                            <w:szCs w:val="21"/>
                          </w:rPr>
                          <w:t> </w:t>
                        </w:r>
                        <w:r>
                          <w:rPr>
                            <w:rFonts w:ascii="宋体" w:hAnsi="宋体" w:cs="宋体" w:eastAsia="宋体" w:hint="default"/>
                            <w:spacing w:val="-5"/>
                            <w:sz w:val="21"/>
                            <w:szCs w:val="21"/>
                          </w:rPr>
                          <w:t>第二次会议，审议通过了内部审计部</w:t>
                        </w:r>
                      </w:p>
                      <w:p>
                        <w:pPr>
                          <w:pStyle w:val="TableParagraph"/>
                          <w:spacing w:line="272" w:lineRule="exact" w:before="1"/>
                          <w:ind w:left="23" w:right="10"/>
                          <w:jc w:val="both"/>
                          <w:rPr>
                            <w:rFonts w:ascii="宋体" w:hAnsi="宋体" w:cs="宋体" w:eastAsia="宋体" w:hint="default"/>
                            <w:sz w:val="21"/>
                            <w:szCs w:val="21"/>
                          </w:rPr>
                        </w:pPr>
                        <w:r>
                          <w:rPr>
                            <w:rFonts w:ascii="宋体" w:hAnsi="宋体" w:cs="宋体" w:eastAsia="宋体" w:hint="default"/>
                            <w:sz w:val="21"/>
                            <w:szCs w:val="21"/>
                          </w:rPr>
                          <w:t>门提交的《</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年第二季度审计工</w:t>
                        </w:r>
                        <w:r>
                          <w:rPr>
                            <w:rFonts w:ascii="宋体" w:hAnsi="宋体" w:cs="宋体" w:eastAsia="宋体" w:hint="default"/>
                            <w:spacing w:val="-100"/>
                            <w:sz w:val="21"/>
                            <w:szCs w:val="21"/>
                          </w:rPr>
                          <w:t> </w:t>
                        </w:r>
                        <w:r>
                          <w:rPr>
                            <w:rFonts w:ascii="宋体" w:hAnsi="宋体" w:cs="宋体" w:eastAsia="宋体" w:hint="default"/>
                            <w:spacing w:val="-16"/>
                            <w:sz w:val="21"/>
                            <w:szCs w:val="21"/>
                          </w:rPr>
                          <w:t>作总结报告》；</w:t>
                        </w:r>
                      </w:p>
                      <w:p>
                        <w:pPr>
                          <w:pStyle w:val="TableParagraph"/>
                          <w:spacing w:line="272" w:lineRule="exact" w:before="1"/>
                          <w:ind w:left="23" w:right="11" w:firstLine="210"/>
                          <w:jc w:val="left"/>
                          <w:rPr>
                            <w:rFonts w:ascii="宋体" w:hAnsi="宋体" w:cs="宋体" w:eastAsia="宋体" w:hint="default"/>
                            <w:sz w:val="21"/>
                            <w:szCs w:val="21"/>
                          </w:rPr>
                        </w:pPr>
                        <w:r>
                          <w:rPr>
                            <w:rFonts w:ascii="宋体" w:hAnsi="宋体" w:cs="宋体" w:eastAsia="宋体" w:hint="default"/>
                            <w:spacing w:val="-5"/>
                            <w:sz w:val="21"/>
                            <w:szCs w:val="21"/>
                          </w:rPr>
                          <w:t>第四季度：召开第四届审计委员会</w:t>
                        </w:r>
                        <w:r>
                          <w:rPr>
                            <w:rFonts w:ascii="宋体" w:hAnsi="宋体" w:cs="宋体" w:eastAsia="宋体" w:hint="default"/>
                            <w:sz w:val="21"/>
                            <w:szCs w:val="21"/>
                          </w:rPr>
                          <w:t> </w:t>
                        </w:r>
                        <w:r>
                          <w:rPr>
                            <w:rFonts w:ascii="宋体" w:hAnsi="宋体" w:cs="宋体" w:eastAsia="宋体" w:hint="default"/>
                            <w:spacing w:val="-5"/>
                            <w:sz w:val="21"/>
                            <w:szCs w:val="21"/>
                          </w:rPr>
                          <w:t>第三次会议，审议通过了内部审计部</w:t>
                        </w:r>
                      </w:p>
                      <w:p>
                        <w:pPr>
                          <w:pStyle w:val="TableParagraph"/>
                          <w:spacing w:line="272" w:lineRule="exact" w:before="1"/>
                          <w:ind w:left="23" w:right="100"/>
                          <w:jc w:val="both"/>
                          <w:rPr>
                            <w:rFonts w:ascii="宋体" w:hAnsi="宋体" w:cs="宋体" w:eastAsia="宋体" w:hint="default"/>
                            <w:sz w:val="21"/>
                            <w:szCs w:val="21"/>
                          </w:rPr>
                        </w:pPr>
                        <w:r>
                          <w:rPr>
                            <w:rFonts w:ascii="宋体" w:hAnsi="宋体" w:cs="宋体" w:eastAsia="宋体" w:hint="default"/>
                            <w:sz w:val="21"/>
                            <w:szCs w:val="21"/>
                          </w:rPr>
                          <w:t>门提交的《</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年第三季度审计工 </w:t>
                        </w:r>
                        <w:r>
                          <w:rPr>
                            <w:rFonts w:ascii="宋体" w:hAnsi="宋体" w:cs="宋体" w:eastAsia="宋体" w:hint="default"/>
                            <w:spacing w:val="-16"/>
                            <w:sz w:val="21"/>
                            <w:szCs w:val="21"/>
                          </w:rPr>
                          <w:t>作总结报告》。</w:t>
                        </w:r>
                      </w:p>
                    </w:tc>
                  </w:tr>
                  <w:tr>
                    <w:trPr>
                      <w:trHeight w:val="935"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2" w:lineRule="exact"/>
                          <w:ind w:left="13" w:right="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）说明审计委员会每季度向董事会报告内部审计工作的具</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体情况</w:t>
                        </w:r>
                      </w:p>
                    </w:tc>
                    <w:tc>
                      <w:tcPr>
                        <w:tcW w:w="3347" w:type="dxa"/>
                        <w:gridSpan w:val="2"/>
                        <w:tcBorders>
                          <w:top w:val="single" w:sz="4" w:space="0" w:color="000000"/>
                          <w:left w:val="single" w:sz="4" w:space="0" w:color="000000"/>
                          <w:bottom w:val="single" w:sz="4" w:space="0" w:color="000000"/>
                          <w:right w:val="single" w:sz="12" w:space="0" w:color="000000"/>
                        </w:tcBorders>
                      </w:tcPr>
                      <w:p>
                        <w:pPr>
                          <w:pStyle w:val="TableParagraph"/>
                          <w:spacing w:line="237" w:lineRule="auto" w:before="21"/>
                          <w:ind w:left="23" w:right="11"/>
                          <w:jc w:val="left"/>
                          <w:rPr>
                            <w:rFonts w:ascii="宋体" w:hAnsi="宋体" w:cs="宋体" w:eastAsia="宋体" w:hint="default"/>
                            <w:sz w:val="21"/>
                            <w:szCs w:val="21"/>
                          </w:rPr>
                        </w:pPr>
                        <w:r>
                          <w:rPr>
                            <w:rFonts w:ascii="宋体" w:hAnsi="宋体" w:cs="宋体" w:eastAsia="宋体" w:hint="default"/>
                            <w:sz w:val="21"/>
                            <w:szCs w:val="21"/>
                          </w:rPr>
                          <w:t>审计委员会每季度向董事会汇报内 </w:t>
                        </w:r>
                        <w:r>
                          <w:rPr>
                            <w:rFonts w:ascii="宋体" w:hAnsi="宋体" w:cs="宋体" w:eastAsia="宋体" w:hint="default"/>
                            <w:spacing w:val="-5"/>
                            <w:sz w:val="21"/>
                            <w:szCs w:val="21"/>
                          </w:rPr>
                          <w:t>部审计工作进展情况，以及审计结果</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报告。</w:t>
                        </w:r>
                      </w:p>
                    </w:tc>
                  </w:tr>
                  <w:tr>
                    <w:trPr>
                      <w:trHeight w:val="1217"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35" w:lineRule="auto" w:before="28"/>
                          <w:ind w:left="13" w:right="17"/>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）审计委员会认为公司内部控制存在重大缺陷或重大风险 </w:t>
                        </w:r>
                        <w:r>
                          <w:rPr>
                            <w:rFonts w:ascii="宋体" w:hAnsi="宋体" w:cs="宋体" w:eastAsia="宋体" w:hint="default"/>
                            <w:spacing w:val="3"/>
                            <w:sz w:val="21"/>
                            <w:szCs w:val="21"/>
                          </w:rPr>
                          <w:t>的，说明内部控制存在的重大缺陷或重大风险，并说明是否</w:t>
                        </w:r>
                        <w:r>
                          <w:rPr>
                            <w:rFonts w:ascii="宋体" w:hAnsi="宋体" w:cs="宋体" w:eastAsia="宋体" w:hint="default"/>
                            <w:spacing w:val="3"/>
                            <w:sz w:val="21"/>
                            <w:szCs w:val="21"/>
                          </w:rPr>
                          <w:t> 及时向董事会报告，并提请董事会及时向证券交易所报告并 </w:t>
                        </w:r>
                        <w:r>
                          <w:rPr>
                            <w:rFonts w:ascii="宋体" w:hAnsi="宋体" w:cs="宋体" w:eastAsia="宋体" w:hint="default"/>
                            <w:sz w:val="21"/>
                            <w:szCs w:val="21"/>
                          </w:rPr>
                          <w:t>予以披露（如适用）</w:t>
                        </w:r>
                      </w:p>
                    </w:tc>
                    <w:tc>
                      <w:tcPr>
                        <w:tcW w:w="3347"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03"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）说明审计委员会所做的其他工作</w:t>
                        </w:r>
                      </w:p>
                    </w:tc>
                    <w:tc>
                      <w:tcPr>
                        <w:tcW w:w="3347" w:type="dxa"/>
                        <w:gridSpan w:val="2"/>
                        <w:tcBorders>
                          <w:top w:val="single" w:sz="4" w:space="0" w:color="000000"/>
                          <w:left w:val="single" w:sz="4" w:space="0" w:color="000000"/>
                          <w:bottom w:val="single" w:sz="4" w:space="0" w:color="000000"/>
                          <w:right w:val="single" w:sz="12" w:space="0" w:color="000000"/>
                        </w:tcBorders>
                      </w:tcPr>
                      <w:p>
                        <w:pPr>
                          <w:pStyle w:val="TableParagraph"/>
                          <w:spacing w:line="279" w:lineRule="exact"/>
                          <w:ind w:left="234"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、按照年报审计工作规程，做好</w:t>
                        </w:r>
                        <w:r>
                          <w:rPr>
                            <w:rFonts w:ascii="宋体" w:hAnsi="宋体" w:cs="宋体" w:eastAsia="宋体" w:hint="default"/>
                            <w:sz w:val="21"/>
                            <w:szCs w:val="21"/>
                          </w:rPr>
                        </w:r>
                      </w:p>
                      <w:p>
                        <w:pPr>
                          <w:pStyle w:val="TableParagraph"/>
                          <w:spacing w:line="232" w:lineRule="auto"/>
                          <w:ind w:left="24" w:right="2"/>
                          <w:jc w:val="both"/>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年年报审计的相关工作，对财</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5"/>
                            <w:sz w:val="21"/>
                            <w:szCs w:val="21"/>
                          </w:rPr>
                          <w:t>务报表出具审核意见，对审计机构的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9"/>
                            <w:sz w:val="21"/>
                            <w:szCs w:val="21"/>
                          </w:rPr>
                          <w:t>审计工作进行总结评价，并建议续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聘，提交董事会审议。</w:t>
                        </w:r>
                      </w:p>
                      <w:p>
                        <w:pPr>
                          <w:pStyle w:val="TableParagraph"/>
                          <w:spacing w:line="272" w:lineRule="exact" w:before="27"/>
                          <w:ind w:left="24" w:right="11" w:firstLine="210"/>
                          <w:jc w:val="both"/>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、认真审核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年公司各定期财 务报表。</w:t>
                        </w:r>
                      </w:p>
                      <w:p>
                        <w:pPr>
                          <w:pStyle w:val="TableParagraph"/>
                          <w:spacing w:line="225" w:lineRule="auto"/>
                          <w:ind w:left="24" w:right="47" w:firstLine="21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、与公司年度审计机构协商确定 了公司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年度财务报告的审计工 作时间安排以及审计重点问题。</w:t>
                        </w:r>
                      </w:p>
                    </w:tc>
                  </w:tr>
                  <w:tr>
                    <w:trPr>
                      <w:trHeight w:val="486" w:hRule="exact"/>
                    </w:trPr>
                    <w:tc>
                      <w:tcPr>
                        <w:tcW w:w="560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2"/>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、内部审计部门的主要工作内容与工作成效</w:t>
                        </w:r>
                      </w:p>
                    </w:tc>
                    <w:tc>
                      <w:tcPr>
                        <w:tcW w:w="3347" w:type="dxa"/>
                        <w:gridSpan w:val="2"/>
                        <w:tcBorders>
                          <w:top w:val="single" w:sz="4" w:space="0" w:color="000000"/>
                          <w:left w:val="single" w:sz="4" w:space="0" w:color="000000"/>
                          <w:bottom w:val="single" w:sz="12" w:space="0" w:color="000000"/>
                          <w:right w:val="single" w:sz="12"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35"/>
        <w:ind w:left="0" w:right="216"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748" w:footer="714" w:top="980" w:bottom="900" w:left="1280" w:right="12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5605"/>
        <w:gridCol w:w="3347"/>
      </w:tblGrid>
      <w:tr>
        <w:trPr>
          <w:trHeight w:val="2204" w:hRule="exact"/>
        </w:trPr>
        <w:tc>
          <w:tcPr>
            <w:tcW w:w="560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3"/>
              <w:ind w:left="13" w:right="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）说明内部审计部门每季度向审计委员会报告内部审计计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划的执行情况以及内部审计工作中发现的问题的具体情况</w:t>
            </w:r>
          </w:p>
        </w:tc>
        <w:tc>
          <w:tcPr>
            <w:tcW w:w="3347" w:type="dxa"/>
            <w:tcBorders>
              <w:top w:val="single" w:sz="12" w:space="0" w:color="000000"/>
              <w:left w:val="single" w:sz="4" w:space="0" w:color="000000"/>
              <w:bottom w:val="single" w:sz="4" w:space="0" w:color="000000"/>
              <w:right w:val="single" w:sz="12" w:space="0" w:color="000000"/>
            </w:tcBorders>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pacing w:val="-5"/>
                <w:sz w:val="21"/>
                <w:szCs w:val="21"/>
              </w:rPr>
              <w:t>每个季度，内部审计机构均向审计</w:t>
            </w:r>
          </w:p>
          <w:p>
            <w:pPr>
              <w:pStyle w:val="TableParagraph"/>
              <w:spacing w:line="237" w:lineRule="auto" w:before="1"/>
              <w:ind w:left="23" w:right="11"/>
              <w:jc w:val="left"/>
              <w:rPr>
                <w:rFonts w:ascii="宋体" w:hAnsi="宋体" w:cs="宋体" w:eastAsia="宋体" w:hint="default"/>
                <w:sz w:val="21"/>
                <w:szCs w:val="21"/>
              </w:rPr>
            </w:pPr>
            <w:r>
              <w:rPr>
                <w:rFonts w:ascii="宋体" w:hAnsi="宋体" w:cs="宋体" w:eastAsia="宋体" w:hint="default"/>
                <w:sz w:val="21"/>
                <w:szCs w:val="21"/>
              </w:rPr>
              <w:t>委员会汇报本季度内部审计工作的 </w:t>
            </w:r>
            <w:r>
              <w:rPr>
                <w:rFonts w:ascii="宋体" w:hAnsi="宋体" w:cs="宋体" w:eastAsia="宋体" w:hint="default"/>
                <w:spacing w:val="-5"/>
                <w:sz w:val="21"/>
                <w:szCs w:val="21"/>
              </w:rPr>
              <w:t>进展情况：本季度内开展的财务、综</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5"/>
                <w:sz w:val="21"/>
                <w:szCs w:val="21"/>
              </w:rPr>
              <w:t>合管理等方面的例行审计；针对重要</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5"/>
                <w:sz w:val="21"/>
                <w:szCs w:val="21"/>
              </w:rPr>
              <w:t>岗位离任、募集资金存放与使用情况</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等专项审计，针对审计中发现的问 </w:t>
            </w:r>
            <w:r>
              <w:rPr>
                <w:rFonts w:ascii="宋体" w:hAnsi="宋体" w:cs="宋体" w:eastAsia="宋体" w:hint="default"/>
                <w:spacing w:val="-5"/>
                <w:sz w:val="21"/>
                <w:szCs w:val="21"/>
              </w:rPr>
              <w:t>题，向相关责任部门提出整改意见和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建议等。</w:t>
            </w:r>
          </w:p>
        </w:tc>
      </w:tr>
      <w:tr>
        <w:trPr>
          <w:trHeight w:val="1648"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32" w:lineRule="auto"/>
              <w:ind w:left="13" w:right="-34"/>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）说明内部审计部门本年度按照内审指引及相关规定要求 </w:t>
            </w:r>
            <w:r>
              <w:rPr>
                <w:rFonts w:ascii="宋体" w:hAnsi="宋体" w:cs="宋体" w:eastAsia="宋体" w:hint="default"/>
                <w:spacing w:val="-3"/>
                <w:sz w:val="21"/>
                <w:szCs w:val="21"/>
              </w:rPr>
              <w:t>对重要的对外投资、购买和出售资产、对外担保、关联交易、</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募集资金使用和信息披露事务管理等事项进行审计并出具内</w:t>
            </w:r>
            <w:r>
              <w:rPr>
                <w:rFonts w:ascii="宋体" w:hAnsi="宋体" w:cs="宋体" w:eastAsia="宋体" w:hint="default"/>
                <w:spacing w:val="3"/>
                <w:sz w:val="21"/>
                <w:szCs w:val="21"/>
              </w:rPr>
              <w:t> </w:t>
            </w:r>
            <w:r>
              <w:rPr>
                <w:rFonts w:ascii="宋体" w:hAnsi="宋体" w:cs="宋体" w:eastAsia="宋体" w:hint="default"/>
                <w:sz w:val="21"/>
                <w:szCs w:val="21"/>
              </w:rPr>
              <w:t>部审计报告的具体情况</w:t>
            </w:r>
          </w:p>
        </w:tc>
        <w:tc>
          <w:tcPr>
            <w:tcW w:w="3347"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ind w:left="23" w:right="0" w:firstLine="210"/>
              <w:jc w:val="left"/>
              <w:rPr>
                <w:rFonts w:ascii="宋体" w:hAnsi="宋体" w:cs="宋体" w:eastAsia="宋体" w:hint="default"/>
                <w:sz w:val="21"/>
                <w:szCs w:val="21"/>
              </w:rPr>
            </w:pPr>
            <w:r>
              <w:rPr>
                <w:rFonts w:ascii="宋体" w:hAnsi="宋体" w:cs="宋体" w:eastAsia="宋体" w:hint="default"/>
                <w:spacing w:val="-5"/>
                <w:sz w:val="21"/>
                <w:szCs w:val="21"/>
              </w:rPr>
              <w:t>本年度，公司内部审计部门对有关</w:t>
            </w:r>
          </w:p>
          <w:p>
            <w:pPr>
              <w:pStyle w:val="TableParagraph"/>
              <w:spacing w:line="237" w:lineRule="auto" w:before="1"/>
              <w:ind w:left="23" w:right="11"/>
              <w:jc w:val="both"/>
              <w:rPr>
                <w:rFonts w:ascii="宋体" w:hAnsi="宋体" w:cs="宋体" w:eastAsia="宋体" w:hint="default"/>
                <w:sz w:val="21"/>
                <w:szCs w:val="21"/>
              </w:rPr>
            </w:pPr>
            <w:r>
              <w:rPr>
                <w:rFonts w:ascii="宋体" w:hAnsi="宋体" w:cs="宋体" w:eastAsia="宋体" w:hint="default"/>
                <w:spacing w:val="-5"/>
                <w:sz w:val="21"/>
                <w:szCs w:val="21"/>
              </w:rPr>
              <w:t>重大事项进展情况重点关注，在事项</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5"/>
                <w:sz w:val="21"/>
                <w:szCs w:val="21"/>
              </w:rPr>
              <w:t>发生后及时进行审计，按照《中小企</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5"/>
                <w:sz w:val="21"/>
                <w:szCs w:val="21"/>
              </w:rPr>
              <w:t>业板上市公司内部审计工作指引》中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5"/>
                <w:sz w:val="21"/>
                <w:szCs w:val="21"/>
              </w:rPr>
              <w:t>的具体规定，对审批程序、履行情况</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等方面进行了审计。</w:t>
            </w:r>
          </w:p>
        </w:tc>
      </w:tr>
      <w:tr>
        <w:trPr>
          <w:trHeight w:val="829"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1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）内部审计部门在对内部控制审查过程中发现内部控制存</w:t>
            </w:r>
          </w:p>
          <w:p>
            <w:pPr>
              <w:pStyle w:val="TableParagraph"/>
              <w:spacing w:line="272" w:lineRule="exact" w:before="19"/>
              <w:ind w:left="13" w:right="17"/>
              <w:jc w:val="left"/>
              <w:rPr>
                <w:rFonts w:ascii="宋体" w:hAnsi="宋体" w:cs="宋体" w:eastAsia="宋体" w:hint="default"/>
                <w:sz w:val="21"/>
                <w:szCs w:val="21"/>
              </w:rPr>
            </w:pPr>
            <w:r>
              <w:rPr>
                <w:rFonts w:ascii="宋体" w:hAnsi="宋体" w:cs="宋体" w:eastAsia="宋体" w:hint="default"/>
                <w:spacing w:val="3"/>
                <w:sz w:val="21"/>
                <w:szCs w:val="21"/>
              </w:rPr>
              <w:t>在重大缺陷或重大风险的，说明内部控制存在的重大缺陷或 </w:t>
            </w:r>
            <w:r>
              <w:rPr>
                <w:rFonts w:ascii="宋体" w:hAnsi="宋体" w:cs="宋体" w:eastAsia="宋体" w:hint="default"/>
                <w:sz w:val="21"/>
                <w:szCs w:val="21"/>
              </w:rPr>
              <w:t>重大风险，并说明是否向审计委员会报告（如适用）</w:t>
            </w:r>
          </w:p>
        </w:tc>
        <w:tc>
          <w:tcPr>
            <w:tcW w:w="33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29"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1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）说明内部审计部门是否按照有关规定评价公司与财务报</w:t>
            </w:r>
          </w:p>
          <w:p>
            <w:pPr>
              <w:pStyle w:val="TableParagraph"/>
              <w:spacing w:line="272" w:lineRule="exact" w:before="19"/>
              <w:ind w:left="13" w:right="10"/>
              <w:jc w:val="left"/>
              <w:rPr>
                <w:rFonts w:ascii="宋体" w:hAnsi="宋体" w:cs="宋体" w:eastAsia="宋体" w:hint="default"/>
                <w:sz w:val="21"/>
                <w:szCs w:val="21"/>
              </w:rPr>
            </w:pPr>
            <w:r>
              <w:rPr>
                <w:rFonts w:ascii="宋体" w:hAnsi="宋体" w:cs="宋体" w:eastAsia="宋体" w:hint="default"/>
                <w:spacing w:val="12"/>
                <w:sz w:val="21"/>
                <w:szCs w:val="21"/>
              </w:rPr>
              <w:t>告和信息披露事务相关的内部控制制度建立和实施的有效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性，并向审计委员会提交内部控制评价报告</w:t>
            </w:r>
          </w:p>
        </w:tc>
        <w:tc>
          <w:tcPr>
            <w:tcW w:w="33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29"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130"/>
              <w:ind w:left="13" w:right="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）说明内部审计部门向审计委员会提交下一年度内部审计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工作计划和本年度内部审计工作报告的具体情况</w:t>
            </w:r>
          </w:p>
        </w:tc>
        <w:tc>
          <w:tcPr>
            <w:tcW w:w="3347" w:type="dxa"/>
            <w:tcBorders>
              <w:top w:val="single" w:sz="4" w:space="0" w:color="000000"/>
              <w:left w:val="single" w:sz="4" w:space="0" w:color="000000"/>
              <w:bottom w:val="single" w:sz="4" w:space="0" w:color="000000"/>
              <w:right w:val="single" w:sz="12" w:space="0" w:color="000000"/>
            </w:tcBorders>
          </w:tcPr>
          <w:p>
            <w:pPr>
              <w:pStyle w:val="TableParagraph"/>
              <w:spacing w:line="247" w:lineRule="exact"/>
              <w:ind w:left="233" w:right="0"/>
              <w:jc w:val="left"/>
              <w:rPr>
                <w:rFonts w:ascii="宋体" w:hAnsi="宋体" w:cs="宋体" w:eastAsia="宋体" w:hint="default"/>
                <w:sz w:val="21"/>
                <w:szCs w:val="21"/>
              </w:rPr>
            </w:pPr>
            <w:r>
              <w:rPr>
                <w:rFonts w:ascii="宋体" w:hAnsi="宋体" w:cs="宋体" w:eastAsia="宋体" w:hint="default"/>
                <w:sz w:val="21"/>
                <w:szCs w:val="21"/>
              </w:rPr>
              <w:t>已向审计委员会提交</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年度内</w:t>
            </w:r>
          </w:p>
          <w:p>
            <w:pPr>
              <w:pStyle w:val="TableParagraph"/>
              <w:spacing w:line="274" w:lineRule="exact" w:before="17"/>
              <w:ind w:left="23" w:right="151"/>
              <w:jc w:val="left"/>
              <w:rPr>
                <w:rFonts w:ascii="宋体" w:hAnsi="宋体" w:cs="宋体" w:eastAsia="宋体" w:hint="default"/>
                <w:sz w:val="21"/>
                <w:szCs w:val="21"/>
              </w:rPr>
            </w:pPr>
            <w:r>
              <w:rPr>
                <w:rFonts w:ascii="宋体" w:hAnsi="宋体" w:cs="宋体" w:eastAsia="宋体" w:hint="default"/>
                <w:sz w:val="21"/>
                <w:szCs w:val="21"/>
              </w:rPr>
              <w:t>部审计工作报告以及下一年度内部 审计工作计划。</w:t>
            </w:r>
          </w:p>
        </w:tc>
      </w:tr>
      <w:tr>
        <w:trPr>
          <w:trHeight w:val="556"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1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）说明内部审计工作底稿和内部审计报告的编制和归档是</w:t>
            </w:r>
          </w:p>
          <w:p>
            <w:pPr>
              <w:pStyle w:val="TableParagraph"/>
              <w:spacing w:line="266" w:lineRule="exact"/>
              <w:ind w:left="13" w:right="0"/>
              <w:jc w:val="left"/>
              <w:rPr>
                <w:rFonts w:ascii="宋体" w:hAnsi="宋体" w:cs="宋体" w:eastAsia="宋体" w:hint="default"/>
                <w:sz w:val="21"/>
                <w:szCs w:val="21"/>
              </w:rPr>
            </w:pPr>
            <w:r>
              <w:rPr>
                <w:rFonts w:ascii="宋体" w:hAnsi="宋体" w:cs="宋体" w:eastAsia="宋体" w:hint="default"/>
                <w:sz w:val="21"/>
                <w:szCs w:val="21"/>
              </w:rPr>
              <w:t>否符合相关规定</w:t>
            </w:r>
          </w:p>
        </w:tc>
        <w:tc>
          <w:tcPr>
            <w:tcW w:w="33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102" w:hRule="exact"/>
        </w:trPr>
        <w:tc>
          <w:tcPr>
            <w:tcW w:w="56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）说明内部审计部门所做的其他工作</w:t>
            </w:r>
          </w:p>
        </w:tc>
        <w:tc>
          <w:tcPr>
            <w:tcW w:w="3347"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ind w:left="24" w:right="0" w:firstLine="210"/>
              <w:jc w:val="left"/>
              <w:rPr>
                <w:rFonts w:ascii="宋体" w:hAnsi="宋体" w:cs="宋体" w:eastAsia="宋体" w:hint="default"/>
                <w:sz w:val="21"/>
                <w:szCs w:val="21"/>
              </w:rPr>
            </w:pPr>
            <w:r>
              <w:rPr>
                <w:rFonts w:ascii="宋体" w:hAnsi="宋体" w:cs="宋体" w:eastAsia="宋体" w:hint="default"/>
                <w:spacing w:val="-5"/>
                <w:sz w:val="21"/>
                <w:szCs w:val="21"/>
              </w:rPr>
              <w:t>内部审计机构除开展例行、专项审</w:t>
            </w:r>
          </w:p>
          <w:p>
            <w:pPr>
              <w:pStyle w:val="TableParagraph"/>
              <w:spacing w:line="237" w:lineRule="auto" w:before="2"/>
              <w:ind w:left="24" w:right="11"/>
              <w:jc w:val="both"/>
              <w:rPr>
                <w:rFonts w:ascii="宋体" w:hAnsi="宋体" w:cs="宋体" w:eastAsia="宋体" w:hint="default"/>
                <w:sz w:val="21"/>
                <w:szCs w:val="21"/>
              </w:rPr>
            </w:pPr>
            <w:r>
              <w:rPr>
                <w:rFonts w:ascii="宋体" w:hAnsi="宋体" w:cs="宋体" w:eastAsia="宋体" w:hint="default"/>
                <w:spacing w:val="-5"/>
                <w:sz w:val="21"/>
                <w:szCs w:val="21"/>
              </w:rPr>
              <w:t>计外，还结合审计中发现的问题，进</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5"/>
                <w:sz w:val="21"/>
                <w:szCs w:val="21"/>
              </w:rPr>
              <w:t>行原因分析，提出改进建议，为各业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务部门提供内部控制咨询服务。</w:t>
            </w:r>
          </w:p>
        </w:tc>
      </w:tr>
      <w:tr>
        <w:trPr>
          <w:trHeight w:val="475" w:hRule="exact"/>
        </w:trPr>
        <w:tc>
          <w:tcPr>
            <w:tcW w:w="560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7"/>
              <w:ind w:left="13"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c>
          <w:tcPr>
            <w:tcW w:w="33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pgSz w:w="11910" w:h="16840"/>
          <w:pgMar w:header="748" w:footer="714" w:top="980" w:bottom="900" w:left="1280" w:right="1280"/>
        </w:sectPr>
      </w:pPr>
    </w:p>
    <w:p>
      <w:pPr>
        <w:spacing w:line="240" w:lineRule="auto" w:before="0"/>
        <w:rPr>
          <w:rFonts w:ascii="Times New Roman" w:hAnsi="Times New Roman" w:cs="Times New Roman" w:eastAsia="Times New Roman" w:hint="default"/>
          <w:sz w:val="20"/>
          <w:szCs w:val="20"/>
        </w:rPr>
      </w:pPr>
    </w:p>
    <w:p>
      <w:pPr>
        <w:pStyle w:val="Heading1"/>
        <w:tabs>
          <w:tab w:pos="4252" w:val="left" w:leader="none"/>
        </w:tabs>
        <w:spacing w:line="240" w:lineRule="auto" w:before="170"/>
        <w:ind w:left="2972" w:right="217"/>
        <w:jc w:val="left"/>
        <w:rPr>
          <w:b w:val="0"/>
          <w:bCs w:val="0"/>
        </w:rPr>
      </w:pPr>
      <w:bookmarkStart w:name="_TOC_250005" w:id="6"/>
      <w:r>
        <w:rPr>
          <w:w w:val="95"/>
        </w:rPr>
        <w:t>第六节</w:t>
        <w:tab/>
      </w:r>
      <w:r>
        <w:rPr/>
        <w:t>股东大会情况简介</w:t>
      </w:r>
      <w:bookmarkEnd w:id="6"/>
      <w:r>
        <w:rPr>
          <w:b w:val="0"/>
          <w:bCs w:val="0"/>
        </w:rPr>
      </w:r>
    </w:p>
    <w:p>
      <w:pPr>
        <w:pStyle w:val="BodyText"/>
        <w:spacing w:line="357" w:lineRule="auto" w:before="217"/>
        <w:ind w:left="139" w:right="125" w:firstLine="480"/>
        <w:jc w:val="left"/>
      </w:pPr>
      <w:r>
        <w:rPr/>
        <w:t>报告期内，公司共召开一次年度股东大会和两次临时股东大会。股东大会的通知、 </w:t>
      </w:r>
      <w:r>
        <w:rPr>
          <w:spacing w:val="-15"/>
        </w:rPr>
        <w:t>召开、出席人员的资格、表决程序符合《公司法》、《上市公司股东大会规则》和公司《章</w:t>
      </w:r>
      <w:r>
        <w:rPr>
          <w:spacing w:val="-96"/>
        </w:rPr>
        <w:t> </w:t>
      </w:r>
      <w:r>
        <w:rPr>
          <w:spacing w:val="-96"/>
        </w:rPr>
      </w:r>
      <w:r>
        <w:rPr/>
        <w:t>程》的有关规定。</w:t>
      </w:r>
    </w:p>
    <w:p>
      <w:pPr>
        <w:pStyle w:val="BodyText"/>
        <w:spacing w:line="240" w:lineRule="auto" w:before="36"/>
        <w:ind w:left="619" w:right="217"/>
        <w:jc w:val="left"/>
      </w:pPr>
      <w:r>
        <w:rPr>
          <w:rFonts w:ascii="Times New Roman" w:hAnsi="Times New Roman" w:cs="Times New Roman" w:eastAsia="Times New Roman" w:hint="default"/>
        </w:rPr>
        <w:t>1</w:t>
      </w:r>
      <w:r>
        <w:rPr/>
        <w:t>、公司于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6 </w:t>
      </w:r>
      <w:r>
        <w:rPr/>
        <w:t>日召开</w:t>
      </w:r>
      <w:r>
        <w:rPr>
          <w:spacing w:val="-60"/>
        </w:rPr>
        <w:t> </w:t>
      </w:r>
      <w:r>
        <w:rPr>
          <w:rFonts w:ascii="Times New Roman" w:hAnsi="Times New Roman" w:cs="Times New Roman" w:eastAsia="Times New Roman" w:hint="default"/>
        </w:rPr>
        <w:t>2009 </w:t>
      </w:r>
      <w:r>
        <w:rPr/>
        <w:t>年年度股东大会。</w:t>
      </w:r>
    </w:p>
    <w:p>
      <w:pPr>
        <w:pStyle w:val="BodyText"/>
        <w:spacing w:line="348" w:lineRule="auto" w:before="135"/>
        <w:ind w:right="233" w:firstLine="480"/>
        <w:jc w:val="both"/>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13"/>
        </w:rPr>
        <w:t> </w:t>
      </w:r>
      <w:r>
        <w:rPr>
          <w:spacing w:val="-20"/>
        </w:rPr>
        <w:t>日，公司在巨潮资讯网、《证券时报》、《中国证券报》、《上海证券</w:t>
      </w:r>
      <w:r>
        <w:rPr/>
        <w:t> </w:t>
      </w:r>
      <w:r>
        <w:rPr>
          <w:spacing w:val="-9"/>
        </w:rPr>
        <w:t>报》、《证券日报》上以公告形式发出会议通知，明确了召开股东大会的时间、地点、内</w:t>
      </w:r>
      <w:r>
        <w:rPr>
          <w:spacing w:val="-101"/>
        </w:rPr>
        <w:t> </w:t>
      </w:r>
      <w:r>
        <w:rPr>
          <w:spacing w:val="-101"/>
        </w:rPr>
      </w:r>
      <w:r>
        <w:rPr/>
        <w:t>容及参会方法等。股东大会于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日上午</w:t>
      </w:r>
      <w:r>
        <w:rPr>
          <w:spacing w:val="-5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8"/>
        </w:rPr>
        <w:t> </w:t>
      </w:r>
      <w:r>
        <w:rPr/>
        <w:t>在江苏省南京市山西路</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号</w:t>
      </w:r>
    </w:p>
    <w:p>
      <w:pPr>
        <w:pStyle w:val="BodyText"/>
        <w:spacing w:line="338" w:lineRule="auto" w:before="16"/>
        <w:ind w:right="113"/>
        <w:jc w:val="both"/>
      </w:pPr>
      <w:r>
        <w:rPr/>
        <w:t>索菲特银河大酒店</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4"/>
        </w:rPr>
        <w:t>楼会议室召开，出席本次股东大会的股东及股东代理人共计</w:t>
      </w:r>
      <w:r>
        <w:rPr>
          <w:spacing w:val="-58"/>
        </w:rPr>
        <w:t> </w:t>
      </w:r>
      <w:r>
        <w:rPr>
          <w:rFonts w:ascii="Times New Roman" w:hAnsi="Times New Roman" w:cs="Times New Roman" w:eastAsia="Times New Roman" w:hint="default"/>
        </w:rPr>
        <w:t>38</w:t>
      </w:r>
      <w:r>
        <w:rPr>
          <w:rFonts w:ascii="Times New Roman" w:hAnsi="Times New Roman" w:cs="Times New Roman" w:eastAsia="Times New Roman" w:hint="default"/>
          <w:spacing w:val="2"/>
        </w:rPr>
        <w:t> </w:t>
      </w:r>
      <w:r>
        <w:rPr/>
        <w:t>人， 代表公司股份</w:t>
      </w:r>
      <w:r>
        <w:rPr>
          <w:spacing w:val="-60"/>
        </w:rPr>
        <w:t> </w:t>
      </w:r>
      <w:r>
        <w:rPr>
          <w:rFonts w:ascii="Times New Roman" w:hAnsi="Times New Roman" w:cs="Times New Roman" w:eastAsia="Times New Roman" w:hint="default"/>
        </w:rPr>
        <w:t>2,228,731,174 </w:t>
      </w:r>
      <w:r>
        <w:rPr>
          <w:spacing w:val="-4"/>
        </w:rPr>
        <w:t>股，占公司股本总额的</w:t>
      </w:r>
      <w:r>
        <w:rPr>
          <w:spacing w:val="-60"/>
        </w:rPr>
        <w:t> </w:t>
      </w:r>
      <w:r>
        <w:rPr>
          <w:rFonts w:ascii="Times New Roman" w:hAnsi="Times New Roman" w:cs="Times New Roman" w:eastAsia="Times New Roman" w:hint="default"/>
          <w:spacing w:val="-4"/>
        </w:rPr>
        <w:t>47.78%</w:t>
      </w:r>
      <w:r>
        <w:rPr>
          <w:spacing w:val="-4"/>
        </w:rPr>
        <w:t>。会议的召开符合《公司法》</w:t>
      </w:r>
      <w:r>
        <w:rPr/>
        <w:t> 和公司《章程》的规定。大会以记名表决方式，审议并通过了以下议案：</w:t>
      </w:r>
    </w:p>
    <w:p>
      <w:pPr>
        <w:pStyle w:val="BodyText"/>
        <w:spacing w:line="240" w:lineRule="auto" w:before="55"/>
        <w:ind w:left="620" w:right="217"/>
        <w:jc w:val="left"/>
      </w:pPr>
      <w:r>
        <w:rPr/>
        <w:t>（</w:t>
      </w:r>
      <w:r>
        <w:rPr>
          <w:rFonts w:ascii="Times New Roman" w:hAnsi="Times New Roman" w:cs="Times New Roman" w:eastAsia="Times New Roman" w:hint="default"/>
        </w:rPr>
        <w:t>1</w:t>
      </w:r>
      <w:r>
        <w:rPr>
          <w:spacing w:val="-120"/>
        </w:rPr>
        <w:t>）</w:t>
      </w:r>
      <w:r>
        <w:rPr/>
        <w:t>《</w:t>
      </w:r>
      <w:r>
        <w:rPr>
          <w:rFonts w:ascii="Times New Roman" w:hAnsi="Times New Roman" w:cs="Times New Roman" w:eastAsia="Times New Roman" w:hint="default"/>
        </w:rPr>
        <w:t>2009 </w:t>
      </w:r>
      <w:r>
        <w:rPr/>
        <w:t>年度董事会工作报告</w:t>
      </w:r>
      <w:r>
        <w:rPr>
          <w:spacing w:val="-120"/>
        </w:rPr>
        <w:t>》</w:t>
      </w:r>
      <w:r>
        <w:rPr/>
        <w:t>；</w:t>
      </w:r>
    </w:p>
    <w:p>
      <w:pPr>
        <w:pStyle w:val="BodyText"/>
        <w:spacing w:line="240" w:lineRule="auto" w:before="135"/>
        <w:ind w:left="620" w:right="217"/>
        <w:jc w:val="left"/>
      </w:pPr>
      <w:r>
        <w:rPr/>
        <w:t>（</w:t>
      </w:r>
      <w:r>
        <w:rPr>
          <w:rFonts w:ascii="Times New Roman" w:hAnsi="Times New Roman" w:cs="Times New Roman" w:eastAsia="Times New Roman" w:hint="default"/>
        </w:rPr>
        <w:t>2</w:t>
      </w:r>
      <w:r>
        <w:rPr>
          <w:spacing w:val="-120"/>
        </w:rPr>
        <w:t>）</w:t>
      </w:r>
      <w:r>
        <w:rPr/>
        <w:t>《</w:t>
      </w:r>
      <w:r>
        <w:rPr>
          <w:rFonts w:ascii="Times New Roman" w:hAnsi="Times New Roman" w:cs="Times New Roman" w:eastAsia="Times New Roman" w:hint="default"/>
        </w:rPr>
        <w:t>2009 </w:t>
      </w:r>
      <w:r>
        <w:rPr/>
        <w:t>年度监事会工作报告</w:t>
      </w:r>
      <w:r>
        <w:rPr>
          <w:spacing w:val="-120"/>
        </w:rPr>
        <w:t>》</w:t>
      </w:r>
      <w:r>
        <w:rPr/>
        <w:t>；</w:t>
      </w:r>
    </w:p>
    <w:p>
      <w:pPr>
        <w:pStyle w:val="BodyText"/>
        <w:spacing w:line="240" w:lineRule="auto" w:before="135"/>
        <w:ind w:left="620" w:right="217"/>
        <w:jc w:val="left"/>
      </w:pPr>
      <w:r>
        <w:rPr/>
        <w:t>（</w:t>
      </w:r>
      <w:r>
        <w:rPr>
          <w:rFonts w:ascii="Times New Roman" w:hAnsi="Times New Roman" w:cs="Times New Roman" w:eastAsia="Times New Roman" w:hint="default"/>
        </w:rPr>
        <w:t>3</w:t>
      </w:r>
      <w:r>
        <w:rPr>
          <w:spacing w:val="-120"/>
        </w:rPr>
        <w:t>）</w:t>
      </w:r>
      <w:r>
        <w:rPr/>
        <w:t>《</w:t>
      </w:r>
      <w:r>
        <w:rPr>
          <w:rFonts w:ascii="Times New Roman" w:hAnsi="Times New Roman" w:cs="Times New Roman" w:eastAsia="Times New Roman" w:hint="default"/>
        </w:rPr>
        <w:t>2009 </w:t>
      </w:r>
      <w:r>
        <w:rPr/>
        <w:t>年度财务决算报告</w:t>
      </w:r>
      <w:r>
        <w:rPr>
          <w:spacing w:val="-120"/>
        </w:rPr>
        <w:t>》</w:t>
      </w:r>
      <w:r>
        <w:rPr/>
        <w:t>；</w:t>
      </w:r>
    </w:p>
    <w:p>
      <w:pPr>
        <w:pStyle w:val="BodyText"/>
        <w:spacing w:line="240" w:lineRule="auto" w:before="135"/>
        <w:ind w:left="620" w:right="217"/>
        <w:jc w:val="left"/>
      </w:pPr>
      <w:r>
        <w:rPr/>
        <w:t>（</w:t>
      </w:r>
      <w:r>
        <w:rPr>
          <w:rFonts w:ascii="Times New Roman" w:hAnsi="Times New Roman" w:cs="Times New Roman" w:eastAsia="Times New Roman" w:hint="default"/>
        </w:rPr>
        <w:t>4</w:t>
      </w:r>
      <w:r>
        <w:rPr>
          <w:spacing w:val="-120"/>
        </w:rPr>
        <w:t>）</w:t>
      </w:r>
      <w:r>
        <w:rPr/>
        <w:t>《</w:t>
      </w:r>
      <w:r>
        <w:rPr>
          <w:rFonts w:ascii="Times New Roman" w:hAnsi="Times New Roman" w:cs="Times New Roman" w:eastAsia="Times New Roman" w:hint="default"/>
        </w:rPr>
        <w:t>2009 </w:t>
      </w:r>
      <w:r>
        <w:rPr/>
        <w:t>年年度报告》及《</w:t>
      </w:r>
      <w:r>
        <w:rPr>
          <w:rFonts w:ascii="Times New Roman" w:hAnsi="Times New Roman" w:cs="Times New Roman" w:eastAsia="Times New Roman" w:hint="default"/>
        </w:rPr>
        <w:t>2009 </w:t>
      </w:r>
      <w:r>
        <w:rPr/>
        <w:t>年年度报告摘要</w:t>
      </w:r>
      <w:r>
        <w:rPr>
          <w:spacing w:val="-120"/>
        </w:rPr>
        <w:t>》</w:t>
      </w:r>
      <w:r>
        <w:rPr/>
        <w:t>；</w:t>
      </w:r>
    </w:p>
    <w:p>
      <w:pPr>
        <w:pStyle w:val="BodyText"/>
        <w:spacing w:line="240" w:lineRule="auto" w:before="135"/>
        <w:ind w:left="620" w:right="217"/>
        <w:jc w:val="left"/>
      </w:pPr>
      <w:r>
        <w:rPr/>
        <w:t>（</w:t>
      </w:r>
      <w:r>
        <w:rPr>
          <w:rFonts w:ascii="Times New Roman" w:hAnsi="Times New Roman" w:cs="Times New Roman" w:eastAsia="Times New Roman" w:hint="default"/>
        </w:rPr>
        <w:t>5</w:t>
      </w:r>
      <w:r>
        <w:rPr>
          <w:spacing w:val="-120"/>
        </w:rPr>
        <w:t>）</w:t>
      </w:r>
      <w:r>
        <w:rPr/>
        <w:t>《</w:t>
      </w:r>
      <w:r>
        <w:rPr>
          <w:rFonts w:ascii="Times New Roman" w:hAnsi="Times New Roman" w:cs="Times New Roman" w:eastAsia="Times New Roman" w:hint="default"/>
        </w:rPr>
        <w:t>2009 </w:t>
      </w:r>
      <w:r>
        <w:rPr/>
        <w:t>年度利润分配预案</w:t>
      </w:r>
      <w:r>
        <w:rPr>
          <w:spacing w:val="-120"/>
        </w:rPr>
        <w:t>》</w:t>
      </w:r>
      <w:r>
        <w:rPr/>
        <w:t>；</w:t>
      </w:r>
    </w:p>
    <w:p>
      <w:pPr>
        <w:pStyle w:val="BodyText"/>
        <w:spacing w:line="240" w:lineRule="auto" w:before="135"/>
        <w:ind w:left="620" w:right="217"/>
        <w:jc w:val="left"/>
      </w:pPr>
      <w:r>
        <w:rPr/>
        <w:t>（</w:t>
      </w:r>
      <w:r>
        <w:rPr>
          <w:rFonts w:ascii="Times New Roman" w:hAnsi="Times New Roman" w:cs="Times New Roman" w:eastAsia="Times New Roman" w:hint="default"/>
        </w:rPr>
        <w:t>6</w:t>
      </w:r>
      <w:r>
        <w:rPr>
          <w:spacing w:val="-120"/>
        </w:rPr>
        <w:t>）</w:t>
      </w:r>
      <w:r>
        <w:rPr/>
        <w:t>《关于</w:t>
      </w:r>
      <w:r>
        <w:rPr>
          <w:spacing w:val="-60"/>
        </w:rPr>
        <w:t> </w:t>
      </w:r>
      <w:r>
        <w:rPr>
          <w:rFonts w:ascii="Times New Roman" w:hAnsi="Times New Roman" w:cs="Times New Roman" w:eastAsia="Times New Roman" w:hint="default"/>
        </w:rPr>
        <w:t>2009 </w:t>
      </w:r>
      <w:r>
        <w:rPr/>
        <w:t>年度募集资金存放与使用情况的专项报告</w:t>
      </w:r>
      <w:r>
        <w:rPr>
          <w:spacing w:val="-120"/>
        </w:rPr>
        <w:t>》</w:t>
      </w:r>
      <w:r>
        <w:rPr/>
        <w:t>；</w:t>
      </w:r>
    </w:p>
    <w:p>
      <w:pPr>
        <w:pStyle w:val="BodyText"/>
        <w:spacing w:line="240" w:lineRule="auto" w:before="135"/>
        <w:ind w:left="620" w:right="217"/>
        <w:jc w:val="left"/>
      </w:pPr>
      <w:r>
        <w:rPr/>
        <w:t>（</w:t>
      </w:r>
      <w:r>
        <w:rPr>
          <w:rFonts w:ascii="Times New Roman" w:hAnsi="Times New Roman" w:cs="Times New Roman" w:eastAsia="Times New Roman" w:hint="default"/>
        </w:rPr>
        <w:t>7</w:t>
      </w:r>
      <w:r>
        <w:rPr>
          <w:spacing w:val="-120"/>
        </w:rPr>
        <w:t>）</w:t>
      </w:r>
      <w:r>
        <w:rPr/>
        <w:t>《关于续聘会计师事务所的议案</w:t>
      </w:r>
      <w:r>
        <w:rPr>
          <w:spacing w:val="-120"/>
        </w:rPr>
        <w:t>》</w:t>
      </w:r>
      <w:r>
        <w:rPr/>
        <w:t>；</w:t>
      </w:r>
    </w:p>
    <w:p>
      <w:pPr>
        <w:pStyle w:val="BodyText"/>
        <w:spacing w:line="240" w:lineRule="auto" w:before="135"/>
        <w:ind w:left="620" w:right="217"/>
        <w:jc w:val="left"/>
      </w:pPr>
      <w:r>
        <w:rPr/>
        <w:t>（</w:t>
      </w:r>
      <w:r>
        <w:rPr>
          <w:rFonts w:ascii="Times New Roman" w:hAnsi="Times New Roman" w:cs="Times New Roman" w:eastAsia="Times New Roman" w:hint="default"/>
        </w:rPr>
        <w:t>8</w:t>
      </w:r>
      <w:r>
        <w:rPr>
          <w:spacing w:val="-120"/>
        </w:rPr>
        <w:t>）</w:t>
      </w:r>
      <w:r>
        <w:rPr/>
        <w:t>《关于调整公司董事、高级管理人员薪酬及津贴的议案</w:t>
      </w:r>
      <w:r>
        <w:rPr>
          <w:spacing w:val="-120"/>
        </w:rPr>
        <w:t>》</w:t>
      </w:r>
      <w:r>
        <w:rPr/>
        <w:t>；</w:t>
      </w:r>
    </w:p>
    <w:p>
      <w:pPr>
        <w:pStyle w:val="BodyText"/>
        <w:spacing w:line="240" w:lineRule="auto" w:before="135"/>
        <w:ind w:left="620" w:right="217"/>
        <w:jc w:val="left"/>
      </w:pPr>
      <w:r>
        <w:rPr/>
        <w:t>（</w:t>
      </w:r>
      <w:r>
        <w:rPr>
          <w:rFonts w:ascii="Times New Roman" w:hAnsi="Times New Roman" w:cs="Times New Roman" w:eastAsia="Times New Roman" w:hint="default"/>
        </w:rPr>
        <w:t>9</w:t>
      </w:r>
      <w:r>
        <w:rPr>
          <w:spacing w:val="-120"/>
        </w:rPr>
        <w:t>）</w:t>
      </w:r>
      <w:r>
        <w:rPr/>
        <w:t>《关于调整公司监事薪酬的议案</w:t>
      </w:r>
      <w:r>
        <w:rPr>
          <w:spacing w:val="-120"/>
        </w:rPr>
        <w:t>》</w:t>
      </w:r>
      <w:r>
        <w:rPr/>
        <w:t>；</w:t>
      </w:r>
    </w:p>
    <w:p>
      <w:pPr>
        <w:pStyle w:val="BodyText"/>
        <w:spacing w:line="240" w:lineRule="auto" w:before="135"/>
        <w:ind w:left="620" w:right="217"/>
        <w:jc w:val="left"/>
      </w:pPr>
      <w:r>
        <w:rPr/>
        <w:t>（</w:t>
      </w:r>
      <w:r>
        <w:rPr>
          <w:rFonts w:ascii="Times New Roman" w:hAnsi="Times New Roman" w:cs="Times New Roman" w:eastAsia="Times New Roman" w:hint="default"/>
        </w:rPr>
        <w:t>10</w:t>
      </w:r>
      <w:r>
        <w:rPr>
          <w:spacing w:val="-120"/>
        </w:rPr>
        <w:t>）</w:t>
      </w:r>
      <w:r>
        <w:rPr/>
        <w:t>《关于增加公司经营范围的议案</w:t>
      </w:r>
      <w:r>
        <w:rPr>
          <w:spacing w:val="-120"/>
        </w:rPr>
        <w:t>》</w:t>
      </w:r>
      <w:r>
        <w:rPr/>
        <w:t>；</w:t>
      </w:r>
    </w:p>
    <w:p>
      <w:pPr>
        <w:pStyle w:val="BodyText"/>
        <w:spacing w:line="338" w:lineRule="auto" w:before="135"/>
        <w:ind w:left="620" w:right="232"/>
        <w:jc w:val="left"/>
      </w:pPr>
      <w:r>
        <w:rPr>
          <w:spacing w:val="-13"/>
        </w:rPr>
        <w:t>（</w:t>
      </w:r>
      <w:r>
        <w:rPr>
          <w:rFonts w:ascii="Times New Roman" w:hAnsi="Times New Roman" w:cs="Times New Roman" w:eastAsia="Times New Roman" w:hint="default"/>
          <w:spacing w:val="-13"/>
        </w:rPr>
        <w:t>11</w:t>
      </w:r>
      <w:r>
        <w:rPr>
          <w:spacing w:val="-13"/>
        </w:rPr>
        <w:t>）《关于修改公司</w:t>
      </w:r>
      <w:r>
        <w:rPr>
          <w:rFonts w:ascii="Times New Roman" w:hAnsi="Times New Roman" w:cs="Times New Roman" w:eastAsia="Times New Roman" w:hint="default"/>
          <w:spacing w:val="-13"/>
        </w:rPr>
        <w:t>&lt;</w:t>
      </w:r>
      <w:r>
        <w:rPr>
          <w:spacing w:val="-13"/>
        </w:rPr>
        <w:t>章程</w:t>
      </w:r>
      <w:r>
        <w:rPr>
          <w:rFonts w:ascii="Times New Roman" w:hAnsi="Times New Roman" w:cs="Times New Roman" w:eastAsia="Times New Roman" w:hint="default"/>
          <w:spacing w:val="-13"/>
        </w:rPr>
        <w:t>&gt;</w:t>
      </w:r>
      <w:r>
        <w:rPr>
          <w:spacing w:val="-13"/>
        </w:rPr>
        <w:t>的议案》。</w:t>
      </w:r>
      <w:r>
        <w:rPr>
          <w:spacing w:val="-109"/>
        </w:rPr>
        <w:t> </w:t>
      </w:r>
      <w:r>
        <w:rPr>
          <w:spacing w:val="-109"/>
        </w:rPr>
      </w:r>
      <w:r>
        <w:rPr>
          <w:spacing w:val="-3"/>
        </w:rPr>
        <w:t>江苏世纪同仁律师事务所许成宝律师、徐蓓蓓律师出席本次股东大会进行见证，并</w:t>
      </w:r>
    </w:p>
    <w:p>
      <w:pPr>
        <w:pStyle w:val="BodyText"/>
        <w:spacing w:line="240" w:lineRule="auto" w:before="55"/>
        <w:ind w:right="0"/>
        <w:jc w:val="both"/>
      </w:pPr>
      <w:r>
        <w:rPr/>
        <w:t>出具法律意见书。大会决议分别刊登于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日的巨潮资讯网</w:t>
      </w:r>
      <w:r>
        <w:rPr>
          <w:spacing w:val="-120"/>
        </w:rPr>
        <w:t>、</w:t>
      </w:r>
      <w:r>
        <w:rPr/>
        <w:t>《证券时报</w:t>
      </w:r>
      <w:r>
        <w:rPr>
          <w:spacing w:val="-120"/>
        </w:rPr>
        <w:t>》</w:t>
      </w:r>
      <w:r>
        <w:rPr/>
        <w:t>、</w:t>
      </w:r>
    </w:p>
    <w:p>
      <w:pPr>
        <w:pStyle w:val="BodyText"/>
        <w:spacing w:line="240" w:lineRule="auto" w:before="135"/>
        <w:ind w:right="0"/>
        <w:jc w:val="both"/>
      </w:pPr>
      <w:r>
        <w:rPr/>
        <w:t>《中国证券报</w:t>
      </w:r>
      <w:r>
        <w:rPr>
          <w:spacing w:val="-120"/>
        </w:rPr>
        <w:t>》、</w:t>
      </w:r>
      <w:r>
        <w:rPr/>
        <w:t>《上海证券报</w:t>
      </w:r>
      <w:r>
        <w:rPr>
          <w:spacing w:val="-120"/>
        </w:rPr>
        <w:t>》、</w:t>
      </w:r>
      <w:r>
        <w:rPr/>
        <w:t>《证券日报</w:t>
      </w:r>
      <w:r>
        <w:rPr>
          <w:spacing w:val="-120"/>
        </w:rPr>
        <w:t>》</w:t>
      </w:r>
      <w:r>
        <w:rPr/>
        <w:t>。</w:t>
      </w:r>
    </w:p>
    <w:p>
      <w:pPr>
        <w:pStyle w:val="BodyText"/>
        <w:spacing w:line="240" w:lineRule="auto" w:before="154"/>
        <w:ind w:left="620" w:right="217"/>
        <w:jc w:val="left"/>
      </w:pPr>
      <w:r>
        <w:rPr>
          <w:rFonts w:ascii="Times New Roman" w:hAnsi="Times New Roman" w:cs="Times New Roman" w:eastAsia="Times New Roman" w:hint="default"/>
        </w:rPr>
        <w:t>2</w:t>
      </w:r>
      <w:r>
        <w:rPr/>
        <w:t>、公司于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27 </w:t>
      </w:r>
      <w:r>
        <w:rPr/>
        <w:t>日召开</w:t>
      </w:r>
      <w:r>
        <w:rPr>
          <w:spacing w:val="-60"/>
        </w:rPr>
        <w:t> </w:t>
      </w:r>
      <w:r>
        <w:rPr>
          <w:rFonts w:ascii="Times New Roman" w:hAnsi="Times New Roman" w:cs="Times New Roman" w:eastAsia="Times New Roman" w:hint="default"/>
        </w:rPr>
        <w:t>2010  </w:t>
      </w:r>
      <w:r>
        <w:rPr/>
        <w:t>年第一次临时股东大会。</w:t>
      </w:r>
    </w:p>
    <w:p>
      <w:pPr>
        <w:pStyle w:val="BodyText"/>
        <w:spacing w:line="348" w:lineRule="auto" w:before="135"/>
        <w:ind w:right="232" w:firstLine="480"/>
        <w:jc w:val="both"/>
        <w:rPr>
          <w:rFonts w:ascii="Times New Roman" w:hAnsi="Times New Roman" w:cs="Times New Roman" w:eastAsia="Times New Roman" w:hint="default"/>
        </w:rPr>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spacing w:val="-20"/>
        </w:rPr>
        <w:t>日，公司在巨潮资讯网、《证券时报》、《中国证券报》、《上海证券</w:t>
      </w:r>
      <w:r>
        <w:rPr/>
        <w:t> </w:t>
      </w:r>
      <w:r>
        <w:rPr>
          <w:spacing w:val="-9"/>
        </w:rPr>
        <w:t>报》、《证券日报》上以公告形式分别发出会议通知及提示性公告，明确了召开股东大会</w:t>
      </w:r>
      <w:r>
        <w:rPr>
          <w:spacing w:val="-101"/>
        </w:rPr>
        <w:t> </w:t>
      </w:r>
      <w:r>
        <w:rPr>
          <w:spacing w:val="-101"/>
        </w:rPr>
      </w:r>
      <w:r>
        <w:rPr/>
        <w:t>的时间、地点、内容及参会方法等。股东大会现场会议于</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日上午</w:t>
      </w:r>
      <w:r>
        <w:rPr>
          <w:spacing w:val="-58"/>
        </w:rPr>
        <w:t> </w:t>
      </w:r>
      <w:r>
        <w:rPr>
          <w:rFonts w:ascii="Times New Roman" w:hAnsi="Times New Roman" w:cs="Times New Roman" w:eastAsia="Times New Roman" w:hint="default"/>
        </w:rPr>
        <w:t>10:00</w:t>
      </w:r>
    </w:p>
    <w:p>
      <w:pPr>
        <w:pStyle w:val="BodyText"/>
        <w:spacing w:line="240" w:lineRule="auto" w:before="16"/>
        <w:ind w:right="0"/>
        <w:jc w:val="both"/>
      </w:pPr>
      <w:r>
        <w:rPr/>
        <w:t>在江苏省南京市山西路</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号索菲特银河大酒店</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6"/>
        </w:rPr>
        <w:t>楼会议室召开。参加本次股东大会的股</w:t>
      </w:r>
    </w:p>
    <w:p>
      <w:pPr>
        <w:spacing w:after="0" w:line="240" w:lineRule="auto"/>
        <w:jc w:val="both"/>
        <w:sectPr>
          <w:pgSz w:w="11910" w:h="16840"/>
          <w:pgMar w:header="748" w:footer="714" w:top="980" w:bottom="900" w:left="1300" w:right="1200"/>
        </w:sectPr>
      </w:pPr>
    </w:p>
    <w:p>
      <w:pPr>
        <w:spacing w:line="240" w:lineRule="auto" w:before="7"/>
        <w:rPr>
          <w:rFonts w:ascii="宋体" w:hAnsi="宋体" w:cs="宋体" w:eastAsia="宋体" w:hint="default"/>
          <w:sz w:val="29"/>
          <w:szCs w:val="29"/>
        </w:rPr>
      </w:pPr>
    </w:p>
    <w:p>
      <w:pPr>
        <w:pStyle w:val="BodyText"/>
        <w:spacing w:line="338" w:lineRule="auto" w:before="26"/>
        <w:ind w:right="103"/>
        <w:jc w:val="left"/>
      </w:pPr>
      <w:r>
        <w:rPr/>
        <w:t>东或股东代理人共计</w:t>
      </w:r>
      <w:r>
        <w:rPr>
          <w:spacing w:val="-66"/>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t>人，代表有表决权的股份数</w:t>
      </w:r>
      <w:r>
        <w:rPr>
          <w:spacing w:val="-66"/>
        </w:rPr>
        <w:t> </w:t>
      </w:r>
      <w:r>
        <w:rPr>
          <w:rFonts w:ascii="Times New Roman" w:hAnsi="Times New Roman" w:cs="Times New Roman" w:eastAsia="Times New Roman" w:hint="default"/>
        </w:rPr>
        <w:t>3,351,216,535</w:t>
      </w:r>
      <w:r>
        <w:rPr>
          <w:rFonts w:ascii="Times New Roman" w:hAnsi="Times New Roman" w:cs="Times New Roman" w:eastAsia="Times New Roman" w:hint="default"/>
          <w:spacing w:val="-6"/>
        </w:rPr>
        <w:t> </w:t>
      </w:r>
      <w:r>
        <w:rPr/>
        <w:t>股，占公司股本总额 的</w:t>
      </w:r>
      <w:r>
        <w:rPr>
          <w:spacing w:val="-39"/>
        </w:rPr>
        <w:t> </w:t>
      </w:r>
      <w:r>
        <w:rPr>
          <w:rFonts w:ascii="Times New Roman" w:hAnsi="Times New Roman" w:cs="Times New Roman" w:eastAsia="Times New Roman" w:hint="default"/>
          <w:spacing w:val="-2"/>
        </w:rPr>
        <w:t>47.90%</w:t>
      </w:r>
      <w:r>
        <w:rPr>
          <w:spacing w:val="-2"/>
        </w:rPr>
        <w:t>。会议的召开符合《公司法》和公司《章程》的规定。大会以记名表决方式，</w:t>
      </w:r>
      <w:r>
        <w:rPr>
          <w:spacing w:val="-116"/>
        </w:rPr>
        <w:t> </w:t>
      </w:r>
      <w:r>
        <w:rPr>
          <w:spacing w:val="-116"/>
        </w:rPr>
      </w:r>
      <w:r>
        <w:rPr/>
        <w:t>审议并通过了以下议案：</w:t>
      </w:r>
    </w:p>
    <w:p>
      <w:pPr>
        <w:pStyle w:val="BodyText"/>
        <w:spacing w:line="240" w:lineRule="auto" w:before="55"/>
        <w:ind w:left="620" w:right="217"/>
        <w:jc w:val="left"/>
      </w:pPr>
      <w:r>
        <w:rPr/>
        <w:t>（</w:t>
      </w:r>
      <w:r>
        <w:rPr>
          <w:rFonts w:ascii="Times New Roman" w:hAnsi="Times New Roman" w:cs="Times New Roman" w:eastAsia="Times New Roman" w:hint="default"/>
        </w:rPr>
        <w:t>1</w:t>
      </w:r>
      <w:r>
        <w:rPr>
          <w:spacing w:val="-120"/>
        </w:rPr>
        <w:t>）</w:t>
      </w:r>
      <w:r>
        <w:rPr/>
        <w:t>《关于公司董事会换届选举的议案</w:t>
      </w:r>
      <w:r>
        <w:rPr>
          <w:spacing w:val="-120"/>
        </w:rPr>
        <w:t>》</w:t>
      </w:r>
      <w:r>
        <w:rPr/>
        <w:t>；</w:t>
      </w:r>
    </w:p>
    <w:p>
      <w:pPr>
        <w:pStyle w:val="BodyText"/>
        <w:spacing w:line="240" w:lineRule="auto" w:before="135"/>
        <w:ind w:left="620" w:right="217"/>
        <w:jc w:val="left"/>
      </w:pPr>
      <w:r>
        <w:rPr/>
        <w:t>（</w:t>
      </w:r>
      <w:r>
        <w:rPr>
          <w:rFonts w:ascii="Times New Roman" w:hAnsi="Times New Roman" w:cs="Times New Roman" w:eastAsia="Times New Roman" w:hint="default"/>
        </w:rPr>
        <w:t>2</w:t>
      </w:r>
      <w:r>
        <w:rPr>
          <w:spacing w:val="-120"/>
        </w:rPr>
        <w:t>）</w:t>
      </w:r>
      <w:r>
        <w:rPr/>
        <w:t>《关于设立公司第四届董事会专门委员会的议案</w:t>
      </w:r>
      <w:r>
        <w:rPr>
          <w:spacing w:val="-120"/>
        </w:rPr>
        <w:t>》</w:t>
      </w:r>
      <w:r>
        <w:rPr/>
        <w:t>；</w:t>
      </w:r>
    </w:p>
    <w:p>
      <w:pPr>
        <w:pStyle w:val="BodyText"/>
        <w:spacing w:line="240" w:lineRule="auto" w:before="135"/>
        <w:ind w:left="620" w:right="217"/>
        <w:jc w:val="left"/>
      </w:pPr>
      <w:r>
        <w:rPr/>
        <w:t>（</w:t>
      </w:r>
      <w:r>
        <w:rPr>
          <w:rFonts w:ascii="Times New Roman" w:hAnsi="Times New Roman" w:cs="Times New Roman" w:eastAsia="Times New Roman" w:hint="default"/>
        </w:rPr>
        <w:t>3</w:t>
      </w:r>
      <w:r>
        <w:rPr>
          <w:spacing w:val="-120"/>
        </w:rPr>
        <w:t>）</w:t>
      </w:r>
      <w:r>
        <w:rPr/>
        <w:t>《关于修改公司经营范围的议案</w:t>
      </w:r>
      <w:r>
        <w:rPr>
          <w:spacing w:val="-120"/>
        </w:rPr>
        <w:t>》</w:t>
      </w:r>
      <w:r>
        <w:rPr/>
        <w:t>；</w:t>
      </w:r>
    </w:p>
    <w:p>
      <w:pPr>
        <w:pStyle w:val="BodyText"/>
        <w:spacing w:line="240" w:lineRule="auto" w:before="135"/>
        <w:ind w:left="620" w:right="217"/>
        <w:jc w:val="left"/>
      </w:pPr>
      <w:r>
        <w:rPr/>
        <w:t>（</w:t>
      </w:r>
      <w:r>
        <w:rPr>
          <w:rFonts w:ascii="Times New Roman" w:hAnsi="Times New Roman" w:cs="Times New Roman" w:eastAsia="Times New Roman" w:hint="default"/>
        </w:rPr>
        <w:t>4</w:t>
      </w:r>
      <w:r>
        <w:rPr>
          <w:spacing w:val="-120"/>
        </w:rPr>
        <w:t>）</w:t>
      </w:r>
      <w:r>
        <w:rPr/>
        <w:t>《关于修改公司</w:t>
      </w:r>
      <w:r>
        <w:rPr>
          <w:rFonts w:ascii="Times New Roman" w:hAnsi="Times New Roman" w:cs="Times New Roman" w:eastAsia="Times New Roman" w:hint="default"/>
        </w:rPr>
        <w:t>&lt;</w:t>
      </w:r>
      <w:r>
        <w:rPr/>
        <w:t>章程</w:t>
      </w:r>
      <w:r>
        <w:rPr>
          <w:rFonts w:ascii="Times New Roman" w:hAnsi="Times New Roman" w:cs="Times New Roman" w:eastAsia="Times New Roman" w:hint="default"/>
        </w:rPr>
        <w:t>&gt;</w:t>
      </w:r>
      <w:r>
        <w:rPr/>
        <w:t>的议案</w:t>
      </w:r>
      <w:r>
        <w:rPr>
          <w:spacing w:val="-120"/>
        </w:rPr>
        <w:t>》</w:t>
      </w:r>
      <w:r>
        <w:rPr/>
        <w:t>；</w:t>
      </w:r>
    </w:p>
    <w:p>
      <w:pPr>
        <w:pStyle w:val="BodyText"/>
        <w:spacing w:line="338" w:lineRule="auto" w:before="135"/>
        <w:ind w:left="620" w:right="232"/>
        <w:jc w:val="left"/>
      </w:pPr>
      <w:r>
        <w:rPr>
          <w:spacing w:val="-14"/>
        </w:rPr>
        <w:t>（</w:t>
      </w:r>
      <w:r>
        <w:rPr>
          <w:rFonts w:ascii="Times New Roman" w:hAnsi="Times New Roman" w:cs="Times New Roman" w:eastAsia="Times New Roman" w:hint="default"/>
          <w:spacing w:val="-14"/>
        </w:rPr>
        <w:t>5</w:t>
      </w:r>
      <w:r>
        <w:rPr>
          <w:spacing w:val="-14"/>
        </w:rPr>
        <w:t>）《关于监事会换届选举的议案》。</w:t>
      </w:r>
      <w:r>
        <w:rPr>
          <w:spacing w:val="-108"/>
        </w:rPr>
        <w:t> </w:t>
      </w:r>
      <w:r>
        <w:rPr>
          <w:spacing w:val="-108"/>
        </w:rPr>
      </w:r>
      <w:r>
        <w:rPr>
          <w:spacing w:val="-3"/>
        </w:rPr>
        <w:t>江苏世纪同仁律师事务所许成宝律师、徐蓓蓓律师出席本次股东大会进行见证，并</w:t>
      </w:r>
    </w:p>
    <w:p>
      <w:pPr>
        <w:pStyle w:val="BodyText"/>
        <w:spacing w:line="240" w:lineRule="auto" w:before="55"/>
        <w:ind w:right="97"/>
        <w:jc w:val="left"/>
      </w:pPr>
      <w:r>
        <w:rPr/>
        <w:t>出具法律意见书。大会决议分别刊登于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28 </w:t>
      </w:r>
      <w:r>
        <w:rPr/>
        <w:t>日的巨潮资讯网</w:t>
      </w:r>
      <w:r>
        <w:rPr>
          <w:spacing w:val="-120"/>
        </w:rPr>
        <w:t>、</w:t>
      </w:r>
      <w:r>
        <w:rPr/>
        <w:t>《证券时报</w:t>
      </w:r>
      <w:r>
        <w:rPr>
          <w:spacing w:val="-120"/>
        </w:rPr>
        <w:t>》</w:t>
      </w:r>
      <w:r>
        <w:rPr/>
        <w:t>、</w:t>
      </w:r>
    </w:p>
    <w:p>
      <w:pPr>
        <w:pStyle w:val="BodyText"/>
        <w:spacing w:line="240" w:lineRule="auto" w:before="135"/>
        <w:ind w:right="217"/>
        <w:jc w:val="left"/>
      </w:pPr>
      <w:r>
        <w:rPr/>
        <w:t>《中国证券报</w:t>
      </w:r>
      <w:r>
        <w:rPr>
          <w:spacing w:val="-120"/>
        </w:rPr>
        <w:t>》、</w:t>
      </w:r>
      <w:r>
        <w:rPr/>
        <w:t>《上海证券报</w:t>
      </w:r>
      <w:r>
        <w:rPr>
          <w:spacing w:val="-120"/>
        </w:rPr>
        <w:t>》、</w:t>
      </w:r>
      <w:r>
        <w:rPr/>
        <w:t>《证券日报</w:t>
      </w:r>
      <w:r>
        <w:rPr>
          <w:spacing w:val="-120"/>
        </w:rPr>
        <w:t>》</w:t>
      </w:r>
      <w:r>
        <w:rPr/>
        <w:t>。</w:t>
      </w:r>
    </w:p>
    <w:p>
      <w:pPr>
        <w:pStyle w:val="BodyText"/>
        <w:spacing w:line="240" w:lineRule="auto" w:before="154"/>
        <w:ind w:left="620" w:right="97"/>
        <w:jc w:val="left"/>
      </w:pPr>
      <w:r>
        <w:rPr>
          <w:rFonts w:ascii="Times New Roman" w:hAnsi="Times New Roman" w:cs="Times New Roman" w:eastAsia="Times New Roman" w:hint="default"/>
          <w:spacing w:val="-9"/>
        </w:rPr>
        <w:t>3</w:t>
      </w:r>
      <w:r>
        <w:rPr>
          <w:spacing w:val="-9"/>
        </w:rPr>
        <w:t>、公司于</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日采用现场投票、网络投票与独立董事征集投票相结合</w:t>
      </w:r>
    </w:p>
    <w:p>
      <w:pPr>
        <w:pStyle w:val="BodyText"/>
        <w:spacing w:line="240" w:lineRule="auto" w:before="135"/>
        <w:ind w:right="217"/>
        <w:jc w:val="left"/>
      </w:pPr>
      <w:r>
        <w:rPr/>
        <w:t>的方式，召开 </w:t>
      </w:r>
      <w:r>
        <w:rPr>
          <w:rFonts w:ascii="Times New Roman" w:hAnsi="Times New Roman" w:cs="Times New Roman" w:eastAsia="Times New Roman" w:hint="default"/>
        </w:rPr>
        <w:t>2010 </w:t>
      </w:r>
      <w:r>
        <w:rPr/>
        <w:t>年第二次临时股东大会。</w:t>
      </w:r>
    </w:p>
    <w:p>
      <w:pPr>
        <w:pStyle w:val="BodyText"/>
        <w:spacing w:line="348" w:lineRule="auto" w:before="135"/>
        <w:ind w:right="124"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5"/>
        </w:rPr>
        <w:t> </w:t>
      </w:r>
      <w:r>
        <w:rPr/>
        <w:t>月</w:t>
      </w:r>
      <w:r>
        <w:rPr>
          <w:spacing w:val="-56"/>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spacing w:val="-18"/>
        </w:rPr>
        <w:t>日，公司在巨潮资讯网、《证券时报》、《中国</w:t>
      </w:r>
      <w:r>
        <w:rPr/>
        <w:t> </w:t>
      </w:r>
      <w:r>
        <w:rPr>
          <w:spacing w:val="-12"/>
        </w:rPr>
        <w:t>证券报》、《上海证券报》、《证券日报》上以公告形式分别发出会议通知及提示性公告，</w:t>
      </w:r>
      <w:r>
        <w:rPr/>
        <w:t> 明确了召开股东大会的时间、地点、内容及参会方法等。股东大会现场会议于 </w:t>
      </w:r>
      <w:r>
        <w:rPr>
          <w:rFonts w:ascii="Times New Roman" w:hAnsi="Times New Roman" w:cs="Times New Roman" w:eastAsia="Times New Roman" w:hint="default"/>
        </w:rPr>
        <w:t>2010</w:t>
      </w:r>
      <w:r>
        <w:rPr>
          <w:rFonts w:ascii="Times New Roman" w:hAnsi="Times New Roman" w:cs="Times New Roman" w:eastAsia="Times New Roman" w:hint="default"/>
          <w:spacing w:val="-32"/>
        </w:rPr>
        <w:t> </w:t>
      </w:r>
      <w:r>
        <w:rPr/>
        <w:t>年</w:t>
      </w:r>
    </w:p>
    <w:p>
      <w:pPr>
        <w:pStyle w:val="BodyText"/>
        <w:spacing w:line="240" w:lineRule="auto" w:before="16"/>
        <w:ind w:right="97"/>
        <w:jc w:val="left"/>
      </w:pP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日下午</w:t>
      </w:r>
      <w:r>
        <w:rPr>
          <w:spacing w:val="-58"/>
        </w:rPr>
        <w:t> </w:t>
      </w:r>
      <w:r>
        <w:rPr>
          <w:rFonts w:ascii="Times New Roman" w:hAnsi="Times New Roman" w:cs="Times New Roman" w:eastAsia="Times New Roman" w:hint="default"/>
        </w:rPr>
        <w:t>13:30</w:t>
      </w:r>
      <w:r>
        <w:rPr>
          <w:rFonts w:ascii="Times New Roman" w:hAnsi="Times New Roman" w:cs="Times New Roman" w:eastAsia="Times New Roman" w:hint="default"/>
          <w:spacing w:val="1"/>
        </w:rPr>
        <w:t> </w:t>
      </w:r>
      <w:r>
        <w:rPr/>
        <w:t>在江苏省南京市山西路</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号索菲特银河大酒店</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楼会议室召开。</w:t>
      </w:r>
    </w:p>
    <w:p>
      <w:pPr>
        <w:pStyle w:val="BodyText"/>
        <w:spacing w:line="240" w:lineRule="auto" w:before="135"/>
        <w:ind w:right="217"/>
        <w:jc w:val="left"/>
      </w:pPr>
      <w:r>
        <w:rPr>
          <w:spacing w:val="29"/>
        </w:rPr>
        <w:t>参加本次股东大会的股东或股东代理人共计 </w:t>
      </w:r>
      <w:r>
        <w:rPr>
          <w:rFonts w:ascii="Times New Roman" w:hAnsi="Times New Roman" w:cs="Times New Roman" w:eastAsia="Times New Roman" w:hint="default"/>
        </w:rPr>
        <w:t>464 </w:t>
      </w:r>
      <w:r>
        <w:rPr>
          <w:rFonts w:ascii="Times New Roman" w:hAnsi="Times New Roman" w:cs="Times New Roman" w:eastAsia="Times New Roman" w:hint="default"/>
          <w:spacing w:val="43"/>
        </w:rPr>
        <w:t> </w:t>
      </w:r>
      <w:r>
        <w:rPr>
          <w:spacing w:val="28"/>
        </w:rPr>
        <w:t>人，代表有表决权的股份数</w:t>
      </w:r>
      <w:r>
        <w:rPr>
          <w:spacing w:val="-89"/>
        </w:rPr>
        <w:t> </w:t>
      </w:r>
      <w:r>
        <w:rPr/>
      </w:r>
    </w:p>
    <w:p>
      <w:pPr>
        <w:pStyle w:val="BodyText"/>
        <w:spacing w:line="338" w:lineRule="auto" w:before="135"/>
        <w:ind w:left="139" w:right="217"/>
        <w:jc w:val="left"/>
      </w:pPr>
      <w:r>
        <w:rPr>
          <w:rFonts w:ascii="Times New Roman" w:hAnsi="Times New Roman" w:cs="Times New Roman" w:eastAsia="Times New Roman" w:hint="default"/>
        </w:rPr>
        <w:t>4,385,057,121 </w:t>
      </w:r>
      <w:r>
        <w:rPr/>
        <w:t>股，占公司股本总额的</w:t>
      </w:r>
      <w:r>
        <w:rPr>
          <w:spacing w:val="-52"/>
        </w:rPr>
        <w:t> </w:t>
      </w:r>
      <w:r>
        <w:rPr>
          <w:rFonts w:ascii="Times New Roman" w:hAnsi="Times New Roman" w:cs="Times New Roman" w:eastAsia="Times New Roman" w:hint="default"/>
        </w:rPr>
        <w:t>62.68%</w:t>
      </w:r>
      <w:r>
        <w:rPr/>
        <w:t>。会议的召开符合《公司法》和公司《章 程》的规定。大会以记名表决方式，审议并通过了以下议案：</w:t>
      </w:r>
    </w:p>
    <w:p>
      <w:pPr>
        <w:pStyle w:val="BodyText"/>
        <w:spacing w:line="240" w:lineRule="auto" w:before="55"/>
        <w:ind w:left="619" w:right="217"/>
        <w:jc w:val="left"/>
      </w:pPr>
      <w:r>
        <w:rPr/>
        <w:t>（</w:t>
      </w:r>
      <w:r>
        <w:rPr>
          <w:rFonts w:ascii="Times New Roman" w:hAnsi="Times New Roman" w:cs="Times New Roman" w:eastAsia="Times New Roman" w:hint="default"/>
        </w:rPr>
        <w:t>1</w:t>
      </w:r>
      <w:r>
        <w:rPr>
          <w:spacing w:val="-120"/>
        </w:rPr>
        <w:t>）</w:t>
      </w:r>
      <w:r>
        <w:rPr/>
        <w:t>《关于修改公司</w:t>
      </w:r>
      <w:r>
        <w:rPr>
          <w:rFonts w:ascii="Times New Roman" w:hAnsi="Times New Roman" w:cs="Times New Roman" w:eastAsia="Times New Roman" w:hint="default"/>
        </w:rPr>
        <w:t>&lt;</w:t>
      </w:r>
      <w:r>
        <w:rPr/>
        <w:t>章程</w:t>
      </w:r>
      <w:r>
        <w:rPr>
          <w:rFonts w:ascii="Times New Roman" w:hAnsi="Times New Roman" w:cs="Times New Roman" w:eastAsia="Times New Roman" w:hint="default"/>
        </w:rPr>
        <w:t>&gt;</w:t>
      </w:r>
      <w:r>
        <w:rPr/>
        <w:t>的议案</w:t>
      </w:r>
      <w:r>
        <w:rPr>
          <w:spacing w:val="-120"/>
        </w:rPr>
        <w:t>》</w:t>
      </w:r>
      <w:r>
        <w:rPr/>
        <w:t>；</w:t>
      </w:r>
    </w:p>
    <w:p>
      <w:pPr>
        <w:pStyle w:val="BodyText"/>
        <w:spacing w:line="240" w:lineRule="auto" w:before="135"/>
        <w:ind w:left="619" w:right="217"/>
        <w:jc w:val="left"/>
      </w:pPr>
      <w:r>
        <w:rPr/>
        <w:t>（</w:t>
      </w:r>
      <w:r>
        <w:rPr>
          <w:rFonts w:ascii="Times New Roman" w:hAnsi="Times New Roman" w:cs="Times New Roman" w:eastAsia="Times New Roman" w:hint="default"/>
        </w:rPr>
        <w:t>2</w:t>
      </w:r>
      <w:r>
        <w:rPr>
          <w:spacing w:val="-120"/>
        </w:rPr>
        <w:t>）</w:t>
      </w:r>
      <w:r>
        <w:rPr/>
        <w:t>《关于修改公司</w:t>
      </w:r>
      <w:r>
        <w:rPr>
          <w:rFonts w:ascii="Times New Roman" w:hAnsi="Times New Roman" w:cs="Times New Roman" w:eastAsia="Times New Roman" w:hint="default"/>
        </w:rPr>
        <w:t>&lt;</w:t>
      </w:r>
      <w:r>
        <w:rPr/>
        <w:t>股东大会议事规则</w:t>
      </w:r>
      <w:r>
        <w:rPr>
          <w:rFonts w:ascii="Times New Roman" w:hAnsi="Times New Roman" w:cs="Times New Roman" w:eastAsia="Times New Roman" w:hint="default"/>
        </w:rPr>
        <w:t>&gt;</w:t>
      </w:r>
      <w:r>
        <w:rPr/>
        <w:t>的议案</w:t>
      </w:r>
      <w:r>
        <w:rPr>
          <w:spacing w:val="-120"/>
        </w:rPr>
        <w:t>》</w:t>
      </w:r>
      <w:r>
        <w:rPr/>
        <w:t>；</w:t>
      </w:r>
    </w:p>
    <w:p>
      <w:pPr>
        <w:pStyle w:val="BodyText"/>
        <w:spacing w:line="240" w:lineRule="auto" w:before="135"/>
        <w:ind w:left="619" w:right="217"/>
        <w:jc w:val="left"/>
      </w:pPr>
      <w:r>
        <w:rPr/>
        <w:t>（</w:t>
      </w:r>
      <w:r>
        <w:rPr>
          <w:rFonts w:ascii="Times New Roman" w:hAnsi="Times New Roman" w:cs="Times New Roman" w:eastAsia="Times New Roman" w:hint="default"/>
        </w:rPr>
        <w:t>3</w:t>
      </w:r>
      <w:r>
        <w:rPr>
          <w:spacing w:val="-120"/>
        </w:rPr>
        <w:t>）</w:t>
      </w:r>
      <w:r>
        <w:rPr/>
        <w:t>《苏宁电器股份有限公司</w:t>
      </w:r>
      <w:r>
        <w:rPr>
          <w:spacing w:val="-60"/>
        </w:rPr>
        <w:t> </w:t>
      </w:r>
      <w:r>
        <w:rPr>
          <w:rFonts w:ascii="Times New Roman" w:hAnsi="Times New Roman" w:cs="Times New Roman" w:eastAsia="Times New Roman" w:hint="default"/>
        </w:rPr>
        <w:t>2010 </w:t>
      </w:r>
      <w:r>
        <w:rPr/>
        <w:t>年股票期权激励计划（草案</w:t>
      </w:r>
      <w:r>
        <w:rPr>
          <w:spacing w:val="-120"/>
        </w:rPr>
        <w:t>）</w:t>
      </w:r>
      <w:r>
        <w:rPr/>
        <w:t>》及其摘要；</w:t>
      </w:r>
    </w:p>
    <w:p>
      <w:pPr>
        <w:pStyle w:val="BodyText"/>
        <w:spacing w:line="338" w:lineRule="auto" w:before="135"/>
        <w:ind w:left="619" w:right="217"/>
        <w:jc w:val="left"/>
      </w:pPr>
      <w:r>
        <w:rPr>
          <w:spacing w:val="-10"/>
        </w:rPr>
        <w:t>（</w:t>
      </w:r>
      <w:r>
        <w:rPr>
          <w:rFonts w:ascii="Times New Roman" w:hAnsi="Times New Roman" w:cs="Times New Roman" w:eastAsia="Times New Roman" w:hint="default"/>
          <w:spacing w:val="-10"/>
        </w:rPr>
        <w:t>4</w:t>
      </w:r>
      <w:r>
        <w:rPr>
          <w:spacing w:val="-10"/>
        </w:rPr>
        <w:t>）《关于授权董事会办理股票期权相关事宜的议案》。</w:t>
      </w:r>
      <w:r>
        <w:rPr>
          <w:spacing w:val="-100"/>
        </w:rPr>
        <w:t> </w:t>
      </w:r>
      <w:r>
        <w:rPr>
          <w:spacing w:val="-100"/>
        </w:rPr>
      </w:r>
      <w:r>
        <w:rPr>
          <w:spacing w:val="-3"/>
        </w:rPr>
        <w:t>江苏世纪同仁律师事务所潘岩平律师、徐蓓蓓律师出席本次股东大会进行见证，并</w:t>
      </w:r>
    </w:p>
    <w:p>
      <w:pPr>
        <w:pStyle w:val="BodyText"/>
        <w:spacing w:line="240" w:lineRule="auto" w:before="55"/>
        <w:ind w:left="139" w:right="0"/>
        <w:jc w:val="left"/>
      </w:pPr>
      <w:r>
        <w:rPr/>
        <w:t>出具法律意见书</w:t>
      </w:r>
      <w:r>
        <w:rPr>
          <w:spacing w:val="-82"/>
        </w:rPr>
        <w:t>。</w:t>
      </w:r>
      <w:r>
        <w:rPr/>
        <w:t>大会决议分别刊登于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25 </w:t>
      </w:r>
      <w:r>
        <w:rPr/>
        <w:t>日的巨潮资讯网</w:t>
      </w:r>
      <w:r>
        <w:rPr>
          <w:spacing w:val="-120"/>
        </w:rPr>
        <w:t>、</w:t>
      </w:r>
      <w:r>
        <w:rPr/>
        <w:t>《证券时报</w:t>
      </w:r>
      <w:r>
        <w:rPr>
          <w:spacing w:val="-120"/>
        </w:rPr>
        <w:t>》</w:t>
      </w:r>
      <w:r>
        <w:rPr/>
        <w:t>、</w:t>
      </w:r>
    </w:p>
    <w:p>
      <w:pPr>
        <w:pStyle w:val="BodyText"/>
        <w:spacing w:line="240" w:lineRule="auto" w:before="135"/>
        <w:ind w:right="217"/>
        <w:jc w:val="left"/>
      </w:pPr>
      <w:r>
        <w:rPr/>
        <w:t>《中国证券报</w:t>
      </w:r>
      <w:r>
        <w:rPr>
          <w:spacing w:val="-120"/>
        </w:rPr>
        <w:t>》、</w:t>
      </w:r>
      <w:r>
        <w:rPr/>
        <w:t>《上海证券报</w:t>
      </w:r>
      <w:r>
        <w:rPr>
          <w:spacing w:val="-120"/>
        </w:rPr>
        <w:t>》、</w:t>
      </w:r>
      <w:r>
        <w:rPr/>
        <w:t>《证券日报</w:t>
      </w:r>
      <w:r>
        <w:rPr>
          <w:spacing w:val="-120"/>
        </w:rPr>
        <w:t>》</w:t>
      </w:r>
      <w:r>
        <w:rPr/>
        <w:t>。</w:t>
      </w:r>
    </w:p>
    <w:p>
      <w:pPr>
        <w:spacing w:after="0" w:line="240" w:lineRule="auto"/>
        <w:jc w:val="left"/>
        <w:sectPr>
          <w:pgSz w:w="11910" w:h="16840"/>
          <w:pgMar w:header="748" w:footer="714" w:top="980" w:bottom="900" w:left="1300" w:right="1200"/>
        </w:sectPr>
      </w:pPr>
    </w:p>
    <w:p>
      <w:pPr>
        <w:spacing w:line="240" w:lineRule="auto" w:before="0"/>
        <w:rPr>
          <w:rFonts w:ascii="宋体" w:hAnsi="宋体" w:cs="宋体" w:eastAsia="宋体" w:hint="default"/>
          <w:sz w:val="20"/>
          <w:szCs w:val="20"/>
        </w:rPr>
      </w:pPr>
    </w:p>
    <w:p>
      <w:pPr>
        <w:pStyle w:val="Heading1"/>
        <w:spacing w:line="240" w:lineRule="auto"/>
        <w:ind w:left="383" w:right="0"/>
        <w:jc w:val="center"/>
        <w:rPr>
          <w:b w:val="0"/>
          <w:bCs w:val="0"/>
        </w:rPr>
      </w:pPr>
      <w:bookmarkStart w:name="_TOC_250004" w:id="7"/>
      <w:r>
        <w:rPr/>
        <w:t>第七节</w:t>
      </w:r>
      <w:r>
        <w:rPr>
          <w:spacing w:val="-9"/>
        </w:rPr>
        <w:t> </w:t>
      </w:r>
      <w:r>
        <w:rPr/>
        <w:t>董事会报告</w:t>
      </w:r>
      <w:bookmarkEnd w:id="7"/>
      <w:r>
        <w:rPr>
          <w:b w:val="0"/>
          <w:bCs w:val="0"/>
        </w:rPr>
      </w:r>
    </w:p>
    <w:p>
      <w:pPr>
        <w:pStyle w:val="BodyText"/>
        <w:spacing w:line="350" w:lineRule="auto" w:before="217"/>
        <w:ind w:right="232"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5"/>
        </w:rPr>
        <w:t> </w:t>
      </w:r>
      <w:r>
        <w:rPr/>
        <w:t>年是苏宁电器创立二十周年之际，依托中国改革开发的大好机遇，在全体员 </w:t>
      </w:r>
      <w:r>
        <w:rPr>
          <w:spacing w:val="-3"/>
        </w:rPr>
        <w:t>工的不懈努力之下，苏宁人已经逐步搭建起一个适应中国市场特点、较为成熟有效的经</w:t>
      </w:r>
      <w:r>
        <w:rPr>
          <w:spacing w:val="-98"/>
        </w:rPr>
        <w:t> </w:t>
      </w:r>
      <w:r>
        <w:rPr>
          <w:spacing w:val="-98"/>
        </w:rPr>
      </w:r>
      <w:r>
        <w:rPr>
          <w:spacing w:val="-3"/>
        </w:rPr>
        <w:t>营管理后台，建立了遍布全国的零售网络，具备了为消费者、为供应商提供全面服务的</w:t>
      </w:r>
      <w:r>
        <w:rPr>
          <w:spacing w:val="-96"/>
        </w:rPr>
        <w:t> </w:t>
      </w:r>
      <w:r>
        <w:rPr>
          <w:spacing w:val="-96"/>
        </w:rPr>
      </w:r>
      <w:r>
        <w:rPr/>
        <w:t>能力，苏宁的知名度、美誉度持续提升。</w:t>
      </w:r>
    </w:p>
    <w:p>
      <w:pPr>
        <w:pStyle w:val="BodyText"/>
        <w:spacing w:line="357" w:lineRule="auto" w:before="43"/>
        <w:ind w:right="232" w:firstLine="480"/>
        <w:jc w:val="both"/>
      </w:pPr>
      <w:r>
        <w:rPr>
          <w:spacing w:val="-3"/>
        </w:rPr>
        <w:t>苏宁在发展中不断探索、总结企业发展之道、零售创新之路，提出了“店面数量增</w:t>
      </w:r>
      <w:r>
        <w:rPr/>
        <w:t> </w:t>
      </w:r>
      <w:r>
        <w:rPr>
          <w:spacing w:val="-3"/>
        </w:rPr>
        <w:t>加与质量提升平衡发展、前台扩展与后台建设协同进行、业务运营与资本理性互动、模</w:t>
      </w:r>
      <w:r>
        <w:rPr>
          <w:spacing w:val="-96"/>
        </w:rPr>
        <w:t> </w:t>
      </w:r>
      <w:r>
        <w:rPr>
          <w:spacing w:val="-96"/>
        </w:rPr>
      </w:r>
      <w:r>
        <w:rPr>
          <w:spacing w:val="-3"/>
        </w:rPr>
        <w:t>式变革与组织优化同步开展”为原则的发展模式，得到了社会各界的广泛认同。尤其是</w:t>
      </w:r>
      <w:r>
        <w:rPr>
          <w:spacing w:val="-96"/>
        </w:rPr>
        <w:t> </w:t>
      </w:r>
      <w:r>
        <w:rPr>
          <w:spacing w:val="-96"/>
        </w:rPr>
      </w:r>
      <w:r>
        <w:rPr>
          <w:spacing w:val="-4"/>
        </w:rPr>
        <w:t>公司在物流、信息、人才等后台体系建设的思路与方法，对中国企业的发展提供了良好</w:t>
      </w:r>
      <w:r>
        <w:rPr>
          <w:spacing w:val="-93"/>
        </w:rPr>
        <w:t> </w:t>
      </w:r>
      <w:r>
        <w:rPr>
          <w:spacing w:val="-93"/>
        </w:rPr>
      </w:r>
      <w:r>
        <w:rPr/>
        <w:t>的借鉴。</w:t>
      </w:r>
    </w:p>
    <w:p>
      <w:pPr>
        <w:pStyle w:val="BodyText"/>
        <w:spacing w:line="357" w:lineRule="auto" w:before="36"/>
        <w:ind w:right="97" w:firstLine="480"/>
        <w:jc w:val="left"/>
      </w:pPr>
      <w:r>
        <w:rPr>
          <w:spacing w:val="-3"/>
        </w:rPr>
        <w:t>“执著拼搏”是苏宁的企业精神，正是在这样一个朴素的苏宁人的标准指引下，二</w:t>
      </w:r>
      <w:r>
        <w:rPr/>
        <w:t> </w:t>
      </w:r>
      <w:r>
        <w:rPr>
          <w:spacing w:val="-3"/>
        </w:rPr>
        <w:t>十年来，不论遇到挑战、风险和困难，还是获得成功、赞赏和推崇；不论是摸着石头过</w:t>
      </w:r>
      <w:r>
        <w:rPr>
          <w:spacing w:val="-96"/>
        </w:rPr>
        <w:t> </w:t>
      </w:r>
      <w:r>
        <w:rPr>
          <w:spacing w:val="-96"/>
        </w:rPr>
      </w:r>
      <w:r>
        <w:rPr/>
        <w:t>河一步一步探索连锁发展的规律，还是坚持主业，抵御各种看似有巨大吸引力的诱惑； </w:t>
      </w:r>
      <w:r>
        <w:rPr>
          <w:spacing w:val="-3"/>
        </w:rPr>
        <w:t>苏宁一旦确定目标，就一定会执著的追求，用苏宁人特有的踏实、敬业的风格，用讲求</w:t>
      </w:r>
      <w:r>
        <w:rPr>
          <w:spacing w:val="-98"/>
        </w:rPr>
        <w:t> </w:t>
      </w:r>
      <w:r>
        <w:rPr>
          <w:spacing w:val="-98"/>
        </w:rPr>
      </w:r>
      <w:r>
        <w:rPr>
          <w:spacing w:val="-6"/>
        </w:rPr>
        <w:t>细节，力求把每件小事都做好的态度，一天一天、一点一点的去实现。所以，二十年来，</w:t>
      </w:r>
      <w:r>
        <w:rPr>
          <w:spacing w:val="-96"/>
        </w:rPr>
        <w:t> </w:t>
      </w:r>
      <w:r>
        <w:rPr>
          <w:spacing w:val="-96"/>
        </w:rPr>
      </w:r>
      <w:r>
        <w:rPr>
          <w:spacing w:val="-3"/>
        </w:rPr>
        <w:t>中国大的商业环境、竞争格局在不断变换，但苏宁的战略和发展轨迹却越来越清晰，苏</w:t>
      </w:r>
      <w:r>
        <w:rPr>
          <w:spacing w:val="-96"/>
        </w:rPr>
        <w:t> </w:t>
      </w:r>
      <w:r>
        <w:rPr>
          <w:spacing w:val="-96"/>
        </w:rPr>
      </w:r>
      <w:r>
        <w:rPr>
          <w:spacing w:val="-3"/>
        </w:rPr>
        <w:t>宁的发展基础也越来越夯实。不论从店面数量、规模、经营效率，还是管理理论、企业</w:t>
      </w:r>
      <w:r>
        <w:rPr>
          <w:spacing w:val="-96"/>
        </w:rPr>
        <w:t> </w:t>
      </w:r>
      <w:r>
        <w:rPr>
          <w:spacing w:val="-96"/>
        </w:rPr>
      </w:r>
      <w:r>
        <w:rPr>
          <w:spacing w:val="-3"/>
        </w:rPr>
        <w:t>文化、团队建设，苏宁都已经成为行业的领导者，但追求、探索行业、企业更加长期持</w:t>
      </w:r>
      <w:r>
        <w:rPr>
          <w:spacing w:val="-96"/>
        </w:rPr>
        <w:t> </w:t>
      </w:r>
      <w:r>
        <w:rPr>
          <w:spacing w:val="-96"/>
        </w:rPr>
      </w:r>
      <w:r>
        <w:rPr>
          <w:spacing w:val="-3"/>
        </w:rPr>
        <w:t>续的发展，为中国的内需市场注入更多活力，为消费者、供应商提供更好的服务，苏宁</w:t>
      </w:r>
      <w:r>
        <w:rPr>
          <w:spacing w:val="-98"/>
        </w:rPr>
        <w:t> </w:t>
      </w:r>
      <w:r>
        <w:rPr>
          <w:spacing w:val="-98"/>
        </w:rPr>
      </w:r>
      <w:r>
        <w:rPr/>
        <w:t>还刚刚启程，任重道远。</w:t>
      </w:r>
    </w:p>
    <w:p>
      <w:pPr>
        <w:pStyle w:val="BodyText"/>
        <w:spacing w:line="348" w:lineRule="auto" w:before="36"/>
        <w:ind w:right="124" w:firstLine="480"/>
        <w:jc w:val="left"/>
      </w:pPr>
      <w:r>
        <w:rPr/>
        <w:t>所以，</w:t>
      </w:r>
      <w:r>
        <w:rPr>
          <w:rFonts w:ascii="Times New Roman" w:hAnsi="Times New Roman" w:cs="Times New Roman" w:eastAsia="Times New Roman" w:hint="default"/>
        </w:rPr>
        <w:t>2010 </w:t>
      </w:r>
      <w:r>
        <w:rPr>
          <w:spacing w:val="-5"/>
        </w:rPr>
        <w:t>年是公司发展“承前启后”、具有里程碑意义的一年。从</w:t>
      </w:r>
      <w:r>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7"/>
        </w:rPr>
        <w:t> </w:t>
      </w:r>
      <w:r>
        <w:rPr>
          <w:spacing w:val="-1"/>
        </w:rPr>
        <w:t>年就已 </w:t>
      </w:r>
      <w:r>
        <w:rPr/>
        <w:t>经开始全面部署的、面向未来十年发展的各项准备工作通过一年的理解、细化与积累，</w:t>
      </w:r>
      <w:r>
        <w:rPr/>
        <w:t> 在</w:t>
      </w:r>
      <w:r>
        <w:rPr>
          <w:spacing w:val="-60"/>
        </w:rPr>
        <w:t> </w:t>
      </w:r>
      <w:r>
        <w:rPr>
          <w:rFonts w:ascii="Times New Roman" w:hAnsi="Times New Roman" w:cs="Times New Roman" w:eastAsia="Times New Roman" w:hint="default"/>
        </w:rPr>
        <w:t>2010 </w:t>
      </w:r>
      <w:r>
        <w:rPr/>
        <w:t>年已卓有成效的全面展开，为一个新的十年发展奠定了良好的基础。</w:t>
      </w:r>
    </w:p>
    <w:p>
      <w:pPr>
        <w:pStyle w:val="BodyText"/>
        <w:spacing w:line="348" w:lineRule="auto" w:before="16"/>
        <w:ind w:left="139" w:right="103" w:firstLine="480"/>
        <w:jc w:val="left"/>
      </w:pPr>
      <w:r>
        <w:rPr/>
        <w:t>连锁发展方面，</w:t>
      </w:r>
      <w:r>
        <w:rPr>
          <w:spacing w:val="-47"/>
        </w:rPr>
        <w:t> </w:t>
      </w:r>
      <w:r>
        <w:rPr>
          <w:rFonts w:ascii="Times New Roman" w:hAnsi="Times New Roman" w:cs="Times New Roman" w:eastAsia="Times New Roman" w:hint="default"/>
        </w:rPr>
        <w:t>Expo</w:t>
      </w:r>
      <w:r>
        <w:rPr>
          <w:rFonts w:ascii="Times New Roman" w:hAnsi="Times New Roman" w:cs="Times New Roman" w:eastAsia="Times New Roman" w:hint="default"/>
          <w:spacing w:val="-3"/>
        </w:rPr>
        <w:t> </w:t>
      </w:r>
      <w:r>
        <w:rPr>
          <w:spacing w:val="-5"/>
        </w:rPr>
        <w:t>超级旗舰店、常规店、精品店、县镇店多业态店面同步开发，</w:t>
      </w:r>
      <w:r>
        <w:rPr/>
        <w:t> </w:t>
      </w:r>
      <w:r>
        <w:rPr>
          <w:spacing w:val="-4"/>
        </w:rPr>
        <w:t>进一步细分市场客户，加快三四级市场拓展；“租、建、购、并”多样化开发模式齐头</w:t>
      </w:r>
      <w:r>
        <w:rPr>
          <w:spacing w:val="-89"/>
        </w:rPr>
        <w:t> </w:t>
      </w:r>
      <w:r>
        <w:rPr>
          <w:spacing w:val="-89"/>
        </w:rPr>
      </w:r>
      <w:r>
        <w:rPr/>
        <w:t>并进，推进店面标准化建设，为消费者提供良好购物体验的实体平台进一步完善。</w:t>
      </w:r>
    </w:p>
    <w:p>
      <w:pPr>
        <w:pStyle w:val="BodyText"/>
        <w:spacing w:line="357" w:lineRule="auto" w:before="46"/>
        <w:ind w:left="139" w:right="107" w:firstLine="480"/>
        <w:jc w:val="left"/>
      </w:pPr>
      <w:r>
        <w:rPr>
          <w:spacing w:val="-6"/>
        </w:rPr>
        <w:t>物流方面，批量开发实现突破，选址、建设工作在全国范围内展开；第四代机械化、</w:t>
      </w:r>
      <w:r>
        <w:rPr/>
        <w:t> </w:t>
      </w:r>
      <w:r>
        <w:rPr>
          <w:spacing w:val="-3"/>
        </w:rPr>
        <w:t>信息化物流技术运用已实现标准化，面向未来经营模式和商品拓展的第五代智能化、自</w:t>
      </w:r>
      <w:r>
        <w:rPr>
          <w:spacing w:val="-98"/>
        </w:rPr>
        <w:t> </w:t>
      </w:r>
      <w:r>
        <w:rPr>
          <w:spacing w:val="-98"/>
        </w:rPr>
      </w:r>
      <w:r>
        <w:rPr>
          <w:spacing w:val="-3"/>
        </w:rPr>
        <w:t>动化物流体系进入实质性设计和建设阶段，一个支撑未来十年发展的高效供应链和消费</w:t>
      </w:r>
      <w:r>
        <w:rPr>
          <w:spacing w:val="-98"/>
        </w:rPr>
        <w:t> </w:t>
      </w:r>
      <w:r>
        <w:rPr>
          <w:spacing w:val="-98"/>
        </w:rPr>
      </w:r>
      <w:r>
        <w:rPr/>
        <w:t>者物流服务网络已经初具雏形。</w:t>
      </w:r>
    </w:p>
    <w:p>
      <w:pPr>
        <w:spacing w:after="0" w:line="357" w:lineRule="auto"/>
        <w:jc w:val="left"/>
        <w:sectPr>
          <w:pgSz w:w="11910" w:h="16840"/>
          <w:pgMar w:header="748" w:footer="714" w:top="980" w:bottom="900" w:left="1300" w:right="1200"/>
        </w:sectPr>
      </w:pPr>
    </w:p>
    <w:p>
      <w:pPr>
        <w:spacing w:line="240" w:lineRule="auto" w:before="7"/>
        <w:rPr>
          <w:rFonts w:ascii="宋体" w:hAnsi="宋体" w:cs="宋体" w:eastAsia="宋体" w:hint="default"/>
          <w:sz w:val="29"/>
          <w:szCs w:val="29"/>
        </w:rPr>
      </w:pPr>
    </w:p>
    <w:p>
      <w:pPr>
        <w:pStyle w:val="BodyText"/>
        <w:spacing w:line="357" w:lineRule="auto" w:before="26"/>
        <w:ind w:right="232" w:firstLine="480"/>
        <w:jc w:val="both"/>
      </w:pPr>
      <w:r>
        <w:rPr>
          <w:spacing w:val="-3"/>
        </w:rPr>
        <w:t>营销方面，创新、变革、转型已经进入实质阶段，各项成果渐次体现。从原有相对</w:t>
      </w:r>
      <w:r>
        <w:rPr/>
        <w:t> </w:t>
      </w:r>
      <w:r>
        <w:rPr>
          <w:spacing w:val="-4"/>
        </w:rPr>
        <w:t>简单的谈判、采购、促销模式转变为以商品研究为核心，以客户需求为导向的精细化运</w:t>
      </w:r>
      <w:r>
        <w:rPr>
          <w:spacing w:val="-93"/>
        </w:rPr>
        <w:t> </w:t>
      </w:r>
      <w:r>
        <w:rPr>
          <w:spacing w:val="-93"/>
        </w:rPr>
      </w:r>
      <w:r>
        <w:rPr>
          <w:spacing w:val="-3"/>
        </w:rPr>
        <w:t>营管理体系；大力发展和提升面向消费者、面向供应商的增值服务能力体系；基于强大</w:t>
      </w:r>
      <w:r>
        <w:rPr>
          <w:spacing w:val="-96"/>
        </w:rPr>
        <w:t> </w:t>
      </w:r>
      <w:r>
        <w:rPr>
          <w:spacing w:val="-96"/>
        </w:rPr>
      </w:r>
      <w:r>
        <w:rPr>
          <w:spacing w:val="-3"/>
        </w:rPr>
        <w:t>供应链、物流服务平台之上的多渠道营销模式已经步入正轨，这打开了苏宁未来十年发</w:t>
      </w:r>
      <w:r>
        <w:rPr>
          <w:spacing w:val="-98"/>
        </w:rPr>
        <w:t> </w:t>
      </w:r>
      <w:r>
        <w:rPr>
          <w:spacing w:val="-98"/>
        </w:rPr>
      </w:r>
      <w:r>
        <w:rPr/>
        <w:t>展的新空间。</w:t>
      </w:r>
    </w:p>
    <w:p>
      <w:pPr>
        <w:pStyle w:val="BodyText"/>
        <w:spacing w:line="338" w:lineRule="auto" w:before="36"/>
        <w:ind w:right="96" w:firstLine="482"/>
        <w:jc w:val="left"/>
      </w:pPr>
      <w:r>
        <w:rPr/>
        <w:t>基于上述工作，</w:t>
      </w:r>
      <w:r>
        <w:rPr>
          <w:rFonts w:ascii="Times New Roman" w:hAnsi="Times New Roman" w:cs="Times New Roman" w:eastAsia="Times New Roman" w:hint="default"/>
        </w:rPr>
        <w:t>2010 </w:t>
      </w:r>
      <w:r>
        <w:rPr/>
        <w:t>年公司继续保持稳定经营、快速增长的发展态势，实现了既 </w:t>
      </w:r>
      <w:r>
        <w:rPr>
          <w:spacing w:val="-3"/>
        </w:rPr>
        <w:t>定的发展目标，经营绩效进一步提升。报告期内，公司新进地级以上城市 </w:t>
      </w:r>
      <w:r>
        <w:rPr>
          <w:rFonts w:ascii="Times New Roman" w:hAnsi="Times New Roman" w:cs="Times New Roman" w:eastAsia="Times New Roman" w:hint="default"/>
        </w:rPr>
        <w:t>31</w:t>
      </w:r>
      <w:r>
        <w:rPr>
          <w:rFonts w:ascii="Times New Roman" w:hAnsi="Times New Roman" w:cs="Times New Roman" w:eastAsia="Times New Roman" w:hint="default"/>
          <w:spacing w:val="-28"/>
        </w:rPr>
        <w:t> </w:t>
      </w:r>
      <w:r>
        <w:rPr>
          <w:spacing w:val="-5"/>
        </w:rPr>
        <w:t>个，大陆、</w:t>
      </w:r>
    </w:p>
    <w:p>
      <w:pPr>
        <w:pStyle w:val="BodyText"/>
        <w:spacing w:line="338" w:lineRule="auto" w:before="27"/>
        <w:ind w:left="139" w:right="232"/>
        <w:jc w:val="both"/>
      </w:pPr>
      <w:r>
        <w:rPr/>
        <w:t>香港、日本地区合计新开连锁店 </w:t>
      </w:r>
      <w:r>
        <w:rPr>
          <w:rFonts w:ascii="Times New Roman" w:hAnsi="Times New Roman" w:cs="Times New Roman" w:eastAsia="Times New Roman" w:hint="default"/>
        </w:rPr>
        <w:t>408 </w:t>
      </w:r>
      <w:r>
        <w:rPr/>
        <w:t>家，实现营业总收入 </w:t>
      </w:r>
      <w:r>
        <w:rPr>
          <w:rFonts w:ascii="Times New Roman" w:hAnsi="Times New Roman" w:cs="Times New Roman" w:eastAsia="Times New Roman" w:hint="default"/>
        </w:rPr>
        <w:t>755.05</w:t>
      </w:r>
      <w:r>
        <w:rPr>
          <w:rFonts w:ascii="Times New Roman" w:hAnsi="Times New Roman" w:cs="Times New Roman" w:eastAsia="Times New Roman" w:hint="default"/>
          <w:spacing w:val="-33"/>
        </w:rPr>
        <w:t> </w:t>
      </w:r>
      <w:r>
        <w:rPr/>
        <w:t>亿元，比上年同期增 长</w:t>
      </w:r>
      <w:r>
        <w:rPr>
          <w:spacing w:val="-48"/>
        </w:rPr>
        <w:t> </w:t>
      </w:r>
      <w:r>
        <w:rPr>
          <w:rFonts w:ascii="Times New Roman" w:hAnsi="Times New Roman" w:cs="Times New Roman" w:eastAsia="Times New Roman" w:hint="default"/>
        </w:rPr>
        <w:t>29.51%</w:t>
      </w:r>
      <w:r>
        <w:rPr/>
        <w:t>；实现归属于母公司股东的净利润</w:t>
      </w:r>
      <w:r>
        <w:rPr>
          <w:spacing w:val="-48"/>
        </w:rPr>
        <w:t> </w:t>
      </w:r>
      <w:r>
        <w:rPr>
          <w:rFonts w:ascii="Times New Roman" w:hAnsi="Times New Roman" w:cs="Times New Roman" w:eastAsia="Times New Roman" w:hint="default"/>
        </w:rPr>
        <w:t>40.12</w:t>
      </w:r>
      <w:r>
        <w:rPr>
          <w:rFonts w:ascii="Times New Roman" w:hAnsi="Times New Roman" w:cs="Times New Roman" w:eastAsia="Times New Roman" w:hint="default"/>
          <w:spacing w:val="12"/>
        </w:rPr>
        <w:t> </w:t>
      </w:r>
      <w:r>
        <w:rPr/>
        <w:t>亿元，比上年同期增长</w:t>
      </w:r>
      <w:r>
        <w:rPr>
          <w:spacing w:val="-48"/>
        </w:rPr>
        <w:t> </w:t>
      </w:r>
      <w:r>
        <w:rPr>
          <w:rFonts w:ascii="Times New Roman" w:hAnsi="Times New Roman" w:cs="Times New Roman" w:eastAsia="Times New Roman" w:hint="default"/>
        </w:rPr>
        <w:t>38.82%</w:t>
      </w:r>
      <w:r>
        <w:rPr/>
        <w:t>，经 营效率进一步提升。</w:t>
      </w:r>
    </w:p>
    <w:p>
      <w:pPr>
        <w:pStyle w:val="BodyText"/>
        <w:spacing w:line="240" w:lineRule="auto" w:before="55"/>
        <w:ind w:left="607" w:right="5824"/>
        <w:jc w:val="center"/>
      </w:pPr>
      <w:r>
        <w:rPr/>
        <w:t>一、</w:t>
      </w:r>
      <w:r>
        <w:rPr>
          <w:rFonts w:ascii="Times New Roman" w:hAnsi="Times New Roman" w:cs="Times New Roman" w:eastAsia="Times New Roman" w:hint="default"/>
        </w:rPr>
        <w:t>2010 </w:t>
      </w:r>
      <w:r>
        <w:rPr/>
        <w:t>年重大事件回顾</w:t>
      </w:r>
    </w:p>
    <w:p>
      <w:pPr>
        <w:pStyle w:val="BodyText"/>
        <w:spacing w:line="240" w:lineRule="auto" w:before="135"/>
        <w:ind w:left="620" w:right="217"/>
        <w:jc w:val="left"/>
      </w:pPr>
      <w:r>
        <w:rPr>
          <w:rFonts w:ascii="Times New Roman" w:hAnsi="Times New Roman" w:cs="Times New Roman" w:eastAsia="Times New Roman" w:hint="default"/>
        </w:rPr>
        <w:t>1</w:t>
      </w:r>
      <w:r>
        <w:rPr/>
        <w:t>、连锁发展</w:t>
      </w:r>
    </w:p>
    <w:p>
      <w:pPr>
        <w:pStyle w:val="BodyText"/>
        <w:spacing w:line="240" w:lineRule="auto" w:before="135"/>
        <w:ind w:left="620" w:right="217"/>
        <w:jc w:val="left"/>
      </w:pPr>
      <w:r>
        <w:rPr/>
        <w:t>（</w:t>
      </w:r>
      <w:r>
        <w:rPr>
          <w:rFonts w:ascii="Times New Roman" w:hAnsi="Times New Roman" w:cs="Times New Roman" w:eastAsia="Times New Roman" w:hint="default"/>
        </w:rPr>
        <w:t>1</w:t>
      </w:r>
      <w:r>
        <w:rPr/>
        <w:t>）连锁发展模式创新</w:t>
      </w:r>
    </w:p>
    <w:p>
      <w:pPr>
        <w:pStyle w:val="BodyText"/>
        <w:spacing w:line="338" w:lineRule="auto" w:before="135"/>
        <w:ind w:right="217"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9"/>
        </w:rPr>
        <w:t> </w:t>
      </w:r>
      <w:r>
        <w:rPr/>
        <w:t>年，公司以提升客户购物体验为目标，总结连锁发展经验，在店面业态创新、 标准建设等方面积极探索：</w:t>
      </w:r>
    </w:p>
    <w:p>
      <w:pPr>
        <w:pStyle w:val="BodyText"/>
        <w:tabs>
          <w:tab w:pos="1039" w:val="left" w:leader="none"/>
        </w:tabs>
        <w:spacing w:line="240" w:lineRule="auto" w:before="55"/>
        <w:ind w:left="620" w:right="217"/>
        <w:jc w:val="left"/>
      </w:pPr>
      <w:r>
        <w:rPr>
          <w:rFonts w:ascii="Wingdings" w:hAnsi="Wingdings" w:cs="Wingdings" w:eastAsia="Wingdings" w:hint="default"/>
        </w:rPr>
        <w:t></w:t>
      </w:r>
      <w:r>
        <w:rPr>
          <w:rFonts w:ascii="Times New Roman" w:hAnsi="Times New Roman" w:cs="Times New Roman" w:eastAsia="Times New Roman" w:hint="default"/>
        </w:rPr>
        <w:tab/>
      </w:r>
      <w:r>
        <w:rPr>
          <w:rFonts w:ascii="Times New Roman" w:hAnsi="Times New Roman" w:cs="Times New Roman" w:eastAsia="Times New Roman" w:hint="default"/>
        </w:rPr>
        <w:t>Expo</w:t>
      </w:r>
      <w:r>
        <w:rPr>
          <w:rFonts w:ascii="Times New Roman" w:hAnsi="Times New Roman" w:cs="Times New Roman" w:eastAsia="Times New Roman" w:hint="default"/>
          <w:spacing w:val="-4"/>
        </w:rPr>
        <w:t> </w:t>
      </w:r>
      <w:r>
        <w:rPr/>
        <w:t>旗舰店升级产品展示和服务模式</w:t>
      </w:r>
    </w:p>
    <w:p>
      <w:pPr>
        <w:pStyle w:val="BodyText"/>
        <w:spacing w:line="345" w:lineRule="auto" w:before="135"/>
        <w:ind w:right="232" w:firstLine="480"/>
        <w:jc w:val="both"/>
      </w:pPr>
      <w:r>
        <w:rPr>
          <w:rFonts w:ascii="Times New Roman" w:hAnsi="Times New Roman" w:cs="Times New Roman" w:eastAsia="Times New Roman" w:hint="default"/>
        </w:rPr>
        <w:t>8 </w:t>
      </w:r>
      <w:r>
        <w:rPr/>
        <w:t>月，公司新街口 </w:t>
      </w:r>
      <w:r>
        <w:rPr>
          <w:rFonts w:ascii="Times New Roman" w:hAnsi="Times New Roman" w:cs="Times New Roman" w:eastAsia="Times New Roman" w:hint="default"/>
        </w:rPr>
        <w:t>Expo</w:t>
      </w:r>
      <w:r>
        <w:rPr>
          <w:rFonts w:ascii="Times New Roman" w:hAnsi="Times New Roman" w:cs="Times New Roman" w:eastAsia="Times New Roman" w:hint="default"/>
          <w:spacing w:val="-3"/>
        </w:rPr>
        <w:t> </w:t>
      </w:r>
      <w:r>
        <w:rPr/>
        <w:t>超级旗舰店升级开业，涵盖传统家电、新型家电和关联产 </w:t>
      </w:r>
      <w:r>
        <w:rPr>
          <w:spacing w:val="-3"/>
        </w:rPr>
        <w:t>品十分丰富的产品系列，全开放式展架、深度体验厅与专业导购的全面结合，再立家电</w:t>
      </w:r>
      <w:r>
        <w:rPr>
          <w:spacing w:val="-96"/>
        </w:rPr>
        <w:t> </w:t>
      </w:r>
      <w:r>
        <w:rPr>
          <w:spacing w:val="-96"/>
        </w:rPr>
      </w:r>
      <w:r>
        <w:rPr>
          <w:spacing w:val="-3"/>
        </w:rPr>
        <w:t>零售店面模式新标杆。年内公司共新开以及升级改造了近</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家</w:t>
      </w:r>
      <w:r>
        <w:rPr>
          <w:spacing w:val="-56"/>
        </w:rPr>
        <w:t> </w:t>
      </w:r>
      <w:r>
        <w:rPr>
          <w:rFonts w:ascii="Times New Roman" w:hAnsi="Times New Roman" w:cs="Times New Roman" w:eastAsia="Times New Roman" w:hint="default"/>
        </w:rPr>
        <w:t>Expo</w:t>
      </w:r>
      <w:r>
        <w:rPr>
          <w:rFonts w:ascii="Times New Roman" w:hAnsi="Times New Roman" w:cs="Times New Roman" w:eastAsia="Times New Roman" w:hint="default"/>
          <w:spacing w:val="3"/>
        </w:rPr>
        <w:t> </w:t>
      </w:r>
      <w:r>
        <w:rPr>
          <w:spacing w:val="-8"/>
        </w:rPr>
        <w:t>超级旗舰店，有力</w:t>
      </w:r>
      <w:r>
        <w:rPr/>
        <w:t> 提升了店面竞争能力，销售收入增长明显。</w:t>
      </w:r>
    </w:p>
    <w:p>
      <w:pPr>
        <w:pStyle w:val="BodyText"/>
        <w:tabs>
          <w:tab w:pos="1039" w:val="left" w:leader="none"/>
        </w:tabs>
        <w:spacing w:line="240" w:lineRule="auto" w:before="48"/>
        <w:ind w:left="620" w:right="217"/>
        <w:jc w:val="left"/>
      </w:pPr>
      <w:r>
        <w:rPr>
          <w:rFonts w:ascii="Wingdings" w:hAnsi="Wingdings" w:cs="Wingdings" w:eastAsia="Wingdings" w:hint="default"/>
        </w:rPr>
        <w:t></w:t>
      </w:r>
      <w:r>
        <w:rPr>
          <w:rFonts w:ascii="Times New Roman" w:hAnsi="Times New Roman" w:cs="Times New Roman" w:eastAsia="Times New Roman" w:hint="default"/>
        </w:rPr>
        <w:tab/>
      </w:r>
      <w:r>
        <w:rPr/>
        <w:t>精品店有效展开精准营销</w:t>
      </w:r>
    </w:p>
    <w:p>
      <w:pPr>
        <w:pStyle w:val="BodyText"/>
        <w:spacing w:line="338" w:lineRule="auto" w:before="137"/>
        <w:ind w:right="231" w:firstLine="480"/>
        <w:jc w:val="both"/>
      </w:pPr>
      <w:r>
        <w:rPr/>
        <w:t>针对细分消费群体不同的消费需求，顺应</w:t>
      </w:r>
      <w:r>
        <w:rPr>
          <w:spacing w:val="-66"/>
        </w:rPr>
        <w:t> </w:t>
      </w:r>
      <w:r>
        <w:rPr>
          <w:rFonts w:ascii="Times New Roman" w:hAnsi="Times New Roman" w:cs="Times New Roman" w:eastAsia="Times New Roman" w:hint="default"/>
        </w:rPr>
        <w:t>3C</w:t>
      </w:r>
      <w:r>
        <w:rPr>
          <w:rFonts w:ascii="Times New Roman" w:hAnsi="Times New Roman" w:cs="Times New Roman" w:eastAsia="Times New Roman" w:hint="default"/>
          <w:spacing w:val="-6"/>
        </w:rPr>
        <w:t> </w:t>
      </w:r>
      <w:r>
        <w:rPr/>
        <w:t>产品快速成长和购物中心业态崛起趋 势，公司于 </w:t>
      </w:r>
      <w:r>
        <w:rPr>
          <w:rFonts w:ascii="Times New Roman" w:hAnsi="Times New Roman" w:cs="Times New Roman" w:eastAsia="Times New Roman" w:hint="default"/>
        </w:rPr>
        <w:t>2010 </w:t>
      </w:r>
      <w:r>
        <w:rPr/>
        <w:t>年在北京、上海、深圳地区推进“</w:t>
      </w:r>
      <w:r>
        <w:rPr>
          <w:rFonts w:ascii="Times New Roman" w:hAnsi="Times New Roman" w:cs="Times New Roman" w:eastAsia="Times New Roman" w:hint="default"/>
        </w:rPr>
        <w:t>SUNING</w:t>
      </w:r>
      <w:r>
        <w:rPr>
          <w:rFonts w:ascii="Times New Roman" w:hAnsi="Times New Roman" w:cs="Times New Roman" w:eastAsia="Times New Roman" w:hint="default"/>
          <w:spacing w:val="-3"/>
        </w:rPr>
        <w:t> </w:t>
      </w:r>
      <w:r>
        <w:rPr>
          <w:rFonts w:ascii="Times New Roman" w:hAnsi="Times New Roman" w:cs="Times New Roman" w:eastAsia="Times New Roman" w:hint="default"/>
        </w:rPr>
        <w:t>ELITE</w:t>
      </w:r>
      <w:r>
        <w:rPr/>
        <w:t>”精品店的开设， 以精选优选的商品、全新的陈列方式、创新的</w:t>
      </w:r>
      <w:r>
        <w:rPr>
          <w:spacing w:val="-53"/>
        </w:rPr>
        <w:t> </w:t>
      </w:r>
      <w:r>
        <w:rPr>
          <w:rFonts w:ascii="Times New Roman" w:hAnsi="Times New Roman" w:cs="Times New Roman" w:eastAsia="Times New Roman" w:hint="default"/>
        </w:rPr>
        <w:t>5S</w:t>
      </w:r>
      <w:r>
        <w:rPr>
          <w:rFonts w:ascii="Times New Roman" w:hAnsi="Times New Roman" w:cs="Times New Roman" w:eastAsia="Times New Roman" w:hint="default"/>
          <w:spacing w:val="5"/>
        </w:rPr>
        <w:t> </w:t>
      </w:r>
      <w:r>
        <w:rPr/>
        <w:t>服务、透明的促销让利等举措实践家 电零售行业消费市场细分运营。精品店模式获得中国连锁经营协会颁布的“</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w:t>
      </w:r>
      <w:r>
        <w:rPr>
          <w:spacing w:val="2"/>
        </w:rPr>
        <w:t> </w:t>
      </w:r>
      <w:r>
        <w:rPr>
          <w:spacing w:val="-15"/>
        </w:rPr>
        <w:t>零售创新大奖”。</w:t>
      </w:r>
    </w:p>
    <w:p>
      <w:pPr>
        <w:pStyle w:val="BodyText"/>
        <w:tabs>
          <w:tab w:pos="1039" w:val="left" w:leader="none"/>
        </w:tabs>
        <w:spacing w:line="338" w:lineRule="auto" w:before="55"/>
        <w:ind w:left="620" w:right="232"/>
        <w:jc w:val="left"/>
      </w:pPr>
      <w:r>
        <w:rPr>
          <w:rFonts w:ascii="Wingdings" w:hAnsi="Wingdings" w:cs="Wingdings" w:eastAsia="Wingdings" w:hint="default"/>
        </w:rPr>
        <w:t></w:t>
      </w:r>
      <w:r>
        <w:rPr>
          <w:rFonts w:ascii="Times New Roman" w:hAnsi="Times New Roman" w:cs="Times New Roman" w:eastAsia="Times New Roman" w:hint="default"/>
        </w:rPr>
        <w:tab/>
      </w:r>
      <w:r>
        <w:rPr/>
        <w:t>县镇店深入挖掘新市场潜力 </w:t>
      </w:r>
      <w:r>
        <w:rPr>
          <w:spacing w:val="-3"/>
        </w:rPr>
        <w:t>公司积极响应国家“家电下乡”政策，提前启动三、四级市场，县镇店开发审慎践</w:t>
      </w:r>
    </w:p>
    <w:p>
      <w:pPr>
        <w:pStyle w:val="BodyText"/>
        <w:spacing w:line="357" w:lineRule="auto" w:before="55"/>
        <w:ind w:right="232"/>
        <w:jc w:val="both"/>
      </w:pPr>
      <w:r>
        <w:rPr>
          <w:spacing w:val="-3"/>
        </w:rPr>
        <w:t>行，积累三、四级市场运营中店面布局、商品出样、零售配送、售后服务等各方面的经</w:t>
      </w:r>
      <w:r>
        <w:rPr>
          <w:spacing w:val="-96"/>
        </w:rPr>
        <w:t> </w:t>
      </w:r>
      <w:r>
        <w:rPr>
          <w:spacing w:val="-96"/>
        </w:rPr>
      </w:r>
      <w:r>
        <w:rPr/>
        <w:t>验。</w:t>
      </w:r>
    </w:p>
    <w:p>
      <w:pPr>
        <w:spacing w:after="0" w:line="357" w:lineRule="auto"/>
        <w:jc w:val="both"/>
        <w:sectPr>
          <w:pgSz w:w="11910" w:h="16840"/>
          <w:pgMar w:header="748" w:footer="714" w:top="980" w:bottom="900" w:left="1300" w:right="1200"/>
        </w:sectPr>
      </w:pPr>
    </w:p>
    <w:p>
      <w:pPr>
        <w:spacing w:line="240" w:lineRule="auto" w:before="7"/>
        <w:rPr>
          <w:rFonts w:ascii="宋体" w:hAnsi="宋体" w:cs="宋体" w:eastAsia="宋体" w:hint="default"/>
          <w:sz w:val="29"/>
          <w:szCs w:val="29"/>
        </w:rPr>
      </w:pPr>
    </w:p>
    <w:p>
      <w:pPr>
        <w:pStyle w:val="BodyText"/>
        <w:tabs>
          <w:tab w:pos="1039" w:val="left" w:leader="none"/>
        </w:tabs>
        <w:spacing w:line="240" w:lineRule="auto" w:before="26"/>
        <w:ind w:left="620" w:right="217"/>
        <w:jc w:val="left"/>
      </w:pPr>
      <w:r>
        <w:rPr>
          <w:rFonts w:ascii="Wingdings" w:hAnsi="Wingdings" w:cs="Wingdings" w:eastAsia="Wingdings" w:hint="default"/>
        </w:rPr>
        <w:t></w:t>
      </w:r>
      <w:r>
        <w:rPr>
          <w:rFonts w:ascii="Times New Roman" w:hAnsi="Times New Roman" w:cs="Times New Roman" w:eastAsia="Times New Roman" w:hint="default"/>
        </w:rPr>
        <w:tab/>
      </w:r>
      <w:r>
        <w:rPr/>
        <w:t>自建店打造开店新格局</w:t>
      </w:r>
    </w:p>
    <w:p>
      <w:pPr>
        <w:pStyle w:val="BodyText"/>
        <w:spacing w:line="348" w:lineRule="auto" w:before="137"/>
        <w:ind w:right="202" w:firstLine="480"/>
        <w:jc w:val="both"/>
      </w:pP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10 </w:t>
      </w:r>
      <w:r>
        <w:rPr/>
        <w:t>月，威海苏宁电器广场店顺利开业，开启了公司自建店开发模式序幕， </w:t>
      </w:r>
      <w:r>
        <w:rPr>
          <w:spacing w:val="-3"/>
        </w:rPr>
        <w:t>上海、成都自建店项目也相继开业，这些店面均位于城市核心商圈的核心位置，符合公</w:t>
      </w:r>
      <w:r>
        <w:rPr>
          <w:spacing w:val="-96"/>
        </w:rPr>
        <w:t> </w:t>
      </w:r>
      <w:r>
        <w:rPr>
          <w:spacing w:val="-96"/>
        </w:rPr>
      </w:r>
      <w:r>
        <w:rPr/>
        <w:t>司商品展示和服务的需求，将有效增强企业持续经营能力，提升区域市场竞争力。</w:t>
      </w:r>
    </w:p>
    <w:p>
      <w:pPr>
        <w:pStyle w:val="BodyText"/>
        <w:spacing w:line="240" w:lineRule="auto" w:before="46"/>
        <w:ind w:left="620" w:right="217"/>
        <w:jc w:val="left"/>
      </w:pPr>
      <w:r>
        <w:rPr/>
        <w:t>（</w:t>
      </w:r>
      <w:r>
        <w:rPr>
          <w:rFonts w:ascii="Times New Roman" w:hAnsi="Times New Roman" w:cs="Times New Roman" w:eastAsia="Times New Roman" w:hint="default"/>
        </w:rPr>
        <w:t>2</w:t>
      </w:r>
      <w:r>
        <w:rPr/>
        <w:t>）国际化运营稳步推进</w:t>
      </w:r>
    </w:p>
    <w:p>
      <w:pPr>
        <w:pStyle w:val="ListParagraph"/>
        <w:numPr>
          <w:ilvl w:val="0"/>
          <w:numId w:val="1"/>
        </w:numPr>
        <w:tabs>
          <w:tab w:pos="980" w:val="left" w:leader="none"/>
        </w:tabs>
        <w:spacing w:line="348" w:lineRule="auto" w:before="135" w:after="0"/>
        <w:ind w:left="140" w:right="114"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3"/>
          <w:sz w:val="24"/>
          <w:szCs w:val="24"/>
        </w:rPr>
        <w:t> </w:t>
      </w:r>
      <w:r>
        <w:rPr>
          <w:rFonts w:ascii="宋体" w:hAnsi="宋体" w:cs="宋体" w:eastAsia="宋体" w:hint="default"/>
          <w:spacing w:val="-13"/>
          <w:sz w:val="24"/>
          <w:szCs w:val="24"/>
        </w:rPr>
        <w:t>月，公司与香港</w:t>
      </w:r>
      <w:r>
        <w:rPr>
          <w:rFonts w:ascii="宋体" w:hAnsi="宋体" w:cs="宋体" w:eastAsia="宋体" w:hint="default"/>
          <w:spacing w:val="-57"/>
          <w:sz w:val="24"/>
          <w:szCs w:val="24"/>
        </w:rPr>
        <w:t> </w:t>
      </w:r>
      <w:r>
        <w:rPr>
          <w:rFonts w:ascii="Times New Roman" w:hAnsi="Times New Roman" w:cs="Times New Roman" w:eastAsia="Times New Roman" w:hint="default"/>
          <w:spacing w:val="-1"/>
          <w:sz w:val="24"/>
          <w:szCs w:val="24"/>
        </w:rPr>
        <w:t>Citicall</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Retail</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1"/>
          <w:sz w:val="24"/>
          <w:szCs w:val="24"/>
        </w:rPr>
        <w:t>Management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17"/>
          <w:sz w:val="24"/>
          <w:szCs w:val="24"/>
        </w:rPr>
        <w:t>Limited</w:t>
      </w:r>
      <w:r>
        <w:rPr>
          <w:rFonts w:ascii="宋体" w:hAnsi="宋体" w:cs="宋体" w:eastAsia="宋体" w:hint="default"/>
          <w:spacing w:val="-17"/>
          <w:sz w:val="24"/>
          <w:szCs w:val="24"/>
        </w:rPr>
        <w:t>（以下简称“</w:t>
      </w:r>
      <w:r>
        <w:rPr>
          <w:rFonts w:ascii="Times New Roman" w:hAnsi="Times New Roman" w:cs="Times New Roman" w:eastAsia="Times New Roman" w:hint="default"/>
          <w:spacing w:val="-17"/>
          <w:sz w:val="24"/>
          <w:szCs w:val="24"/>
        </w:rPr>
        <w:t>CRM</w:t>
      </w:r>
      <w:r>
        <w:rPr>
          <w:rFonts w:ascii="宋体" w:hAnsi="宋体" w:cs="宋体" w:eastAsia="宋体" w:hint="default"/>
          <w:spacing w:val="-17"/>
          <w:sz w:val="24"/>
          <w:szCs w:val="24"/>
        </w:rPr>
        <w:t>”）</w:t>
      </w:r>
      <w:r>
        <w:rPr>
          <w:rFonts w:ascii="宋体" w:hAnsi="宋体" w:cs="宋体" w:eastAsia="宋体" w:hint="default"/>
          <w:sz w:val="24"/>
          <w:szCs w:val="24"/>
        </w:rPr>
        <w:t> 完成业务及资产转让交割，正式承接</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CRM</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品牌及其在香港地区的连锁网络及业务。同 期，公司成立香港地区管理中心，在实现新公司稳定经营的同时，迅速适应当地市场， </w:t>
      </w:r>
      <w:r>
        <w:rPr>
          <w:rFonts w:ascii="宋体" w:hAnsi="宋体" w:cs="宋体" w:eastAsia="宋体" w:hint="default"/>
          <w:spacing w:val="-4"/>
          <w:sz w:val="24"/>
          <w:szCs w:val="24"/>
        </w:rPr>
        <w:t>优化店面网络布局，强化管理及销售团队建设，“苏宁镭射”品牌享誉香江，市场份额</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稳步提升。</w:t>
      </w:r>
    </w:p>
    <w:p>
      <w:pPr>
        <w:pStyle w:val="BodyText"/>
        <w:tabs>
          <w:tab w:pos="979" w:val="left" w:leader="none"/>
        </w:tabs>
        <w:spacing w:line="338" w:lineRule="auto" w:before="46"/>
        <w:ind w:right="112" w:firstLine="360"/>
        <w:jc w:val="left"/>
      </w:pPr>
      <w:r>
        <w:rPr>
          <w:rFonts w:ascii="Wingdings" w:hAnsi="Wingdings" w:cs="Wingdings" w:eastAsia="Wingdings" w:hint="default"/>
        </w:rPr>
        <w:t></w:t>
      </w:r>
      <w:r>
        <w:rPr>
          <w:rFonts w:ascii="Times New Roman" w:hAnsi="Times New Roman" w:cs="Times New Roman" w:eastAsia="Times New Roman" w:hint="default"/>
        </w:rPr>
        <w:tab/>
      </w:r>
      <w:r>
        <w:rPr>
          <w:spacing w:val="26"/>
        </w:rPr>
        <w:t>报告期内，公司境外子公司——</w:t>
      </w:r>
      <w:r>
        <w:rPr>
          <w:spacing w:val="-94"/>
        </w:rPr>
        <w:t> </w:t>
      </w:r>
      <w:r>
        <w:rPr>
          <w:rFonts w:ascii="Times New Roman" w:hAnsi="Times New Roman" w:cs="Times New Roman" w:eastAsia="Times New Roman" w:hint="default"/>
        </w:rPr>
        <w:t>GRANDA </w:t>
      </w:r>
      <w:r>
        <w:rPr>
          <w:rFonts w:ascii="Times New Roman" w:hAnsi="Times New Roman" w:cs="Times New Roman" w:eastAsia="Times New Roman" w:hint="default"/>
          <w:spacing w:val="10"/>
        </w:rPr>
        <w:t> </w:t>
      </w:r>
      <w:r>
        <w:rPr>
          <w:rFonts w:ascii="Times New Roman" w:hAnsi="Times New Roman" w:cs="Times New Roman" w:eastAsia="Times New Roman" w:hint="default"/>
        </w:rPr>
        <w:t>MAGIC </w:t>
      </w:r>
      <w:r>
        <w:rPr>
          <w:rFonts w:ascii="Times New Roman" w:hAnsi="Times New Roman" w:cs="Times New Roman" w:eastAsia="Times New Roman" w:hint="default"/>
          <w:spacing w:val="23"/>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33"/>
        </w:rPr>
        <w:t> </w:t>
      </w:r>
      <w:r>
        <w:rPr>
          <w:spacing w:val="22"/>
        </w:rPr>
        <w:t>（以下简称</w:t>
      </w:r>
      <w:r>
        <w:rPr>
          <w:spacing w:val="-92"/>
        </w:rPr>
        <w:t> </w:t>
      </w:r>
      <w:r>
        <w:rPr>
          <w:spacing w:val="-1"/>
          <w:w w:val="99"/>
        </w:rPr>
        <w:t>“</w:t>
      </w:r>
      <w:r>
        <w:rPr>
          <w:rFonts w:ascii="Times New Roman" w:hAnsi="Times New Roman" w:cs="Times New Roman" w:eastAsia="Times New Roman" w:hint="default"/>
          <w:spacing w:val="-1"/>
          <w:w w:val="99"/>
        </w:rPr>
        <w:t>GRANDA</w:t>
      </w:r>
      <w:r>
        <w:rPr>
          <w:rFonts w:ascii="Times New Roman" w:hAnsi="Times New Roman" w:cs="Times New Roman" w:eastAsia="Times New Roman" w:hint="default"/>
          <w:w w:val="99"/>
        </w:rPr>
        <w:t> </w:t>
      </w:r>
      <w:r>
        <w:rPr>
          <w:rFonts w:ascii="Times New Roman" w:hAnsi="Times New Roman" w:cs="Times New Roman" w:eastAsia="Times New Roman" w:hint="default"/>
          <w:spacing w:val="-4"/>
          <w:w w:val="99"/>
        </w:rPr>
        <w:t>MAGIC</w:t>
      </w:r>
      <w:r>
        <w:rPr>
          <w:spacing w:val="-4"/>
          <w:w w:val="99"/>
        </w:rPr>
        <w:t>”）先后通过行使新股预约权及参与定向增发的方式，增加对日本</w:t>
      </w:r>
      <w:r>
        <w:rPr>
          <w:spacing w:val="-115"/>
          <w:w w:val="99"/>
        </w:rPr>
        <w:t> </w:t>
      </w:r>
      <w:r>
        <w:rPr>
          <w:spacing w:val="-115"/>
          <w:w w:val="99"/>
        </w:rPr>
      </w:r>
      <w:r>
        <w:rPr>
          <w:rFonts w:ascii="Times New Roman" w:hAnsi="Times New Roman" w:cs="Times New Roman" w:eastAsia="Times New Roman" w:hint="default"/>
          <w:w w:val="99"/>
        </w:rPr>
        <w:t>LAOX</w:t>
      </w:r>
      <w:r>
        <w:rPr>
          <w:rFonts w:ascii="Times New Roman" w:hAnsi="Times New Roman" w:cs="Times New Roman" w:eastAsia="Times New Roman" w:hint="default"/>
          <w:spacing w:val="1"/>
          <w:w w:val="99"/>
        </w:rPr>
        <w:t> </w:t>
      </w:r>
      <w:r>
        <w:rPr>
          <w:spacing w:val="-4"/>
          <w:w w:val="99"/>
        </w:rPr>
        <w:t>株式会社（以下简称“</w:t>
      </w:r>
      <w:r>
        <w:rPr>
          <w:rFonts w:ascii="Times New Roman" w:hAnsi="Times New Roman" w:cs="Times New Roman" w:eastAsia="Times New Roman" w:hint="default"/>
          <w:spacing w:val="-4"/>
          <w:w w:val="99"/>
        </w:rPr>
        <w:t>LAOX</w:t>
      </w:r>
      <w:r>
        <w:rPr>
          <w:spacing w:val="-4"/>
          <w:w w:val="99"/>
        </w:rPr>
        <w:t>”）的投资；截止报告期末，</w:t>
      </w:r>
      <w:r>
        <w:rPr>
          <w:rFonts w:ascii="Times New Roman" w:hAnsi="Times New Roman" w:cs="Times New Roman" w:eastAsia="Times New Roman" w:hint="default"/>
          <w:spacing w:val="-4"/>
          <w:w w:val="99"/>
        </w:rPr>
        <w:t>GRANDA</w:t>
      </w:r>
      <w:r>
        <w:rPr>
          <w:rFonts w:ascii="Times New Roman" w:hAnsi="Times New Roman" w:cs="Times New Roman" w:eastAsia="Times New Roman" w:hint="default"/>
          <w:spacing w:val="48"/>
          <w:w w:val="99"/>
        </w:rPr>
        <w:t> </w:t>
      </w:r>
      <w:r>
        <w:rPr>
          <w:rFonts w:ascii="Times New Roman" w:hAnsi="Times New Roman" w:cs="Times New Roman" w:eastAsia="Times New Roman" w:hint="default"/>
          <w:spacing w:val="-1"/>
          <w:w w:val="99"/>
        </w:rPr>
        <w:t>MAGIC</w:t>
      </w:r>
      <w:r>
        <w:rPr>
          <w:rFonts w:ascii="Times New Roman" w:hAnsi="Times New Roman" w:cs="Times New Roman" w:eastAsia="Times New Roman" w:hint="default"/>
          <w:spacing w:val="2"/>
          <w:w w:val="99"/>
        </w:rPr>
        <w:t> </w:t>
      </w:r>
      <w:r>
        <w:rPr/>
        <w:t>持</w:t>
      </w:r>
      <w:r>
        <w:rPr>
          <w:spacing w:val="-117"/>
        </w:rPr>
        <w:t> </w:t>
      </w:r>
      <w:r>
        <w:rPr/>
        <w:t>有</w:t>
      </w:r>
      <w:r>
        <w:rPr>
          <w:spacing w:val="-60"/>
        </w:rPr>
        <w:t> </w:t>
      </w:r>
      <w:r>
        <w:rPr>
          <w:rFonts w:ascii="Times New Roman" w:hAnsi="Times New Roman" w:cs="Times New Roman" w:eastAsia="Times New Roman" w:hint="default"/>
        </w:rPr>
        <w:t>LAOX</w:t>
      </w:r>
      <w:r>
        <w:rPr>
          <w:rFonts w:ascii="Times New Roman" w:hAnsi="Times New Roman" w:cs="Times New Roman" w:eastAsia="Times New Roman" w:hint="default"/>
          <w:spacing w:val="1"/>
        </w:rPr>
        <w:t> </w:t>
      </w:r>
      <w:r>
        <w:rPr/>
        <w:t>发行普通股</w:t>
      </w:r>
      <w:r>
        <w:rPr>
          <w:spacing w:val="-60"/>
        </w:rPr>
        <w:t> </w:t>
      </w:r>
      <w:r>
        <w:rPr>
          <w:rFonts w:ascii="Times New Roman" w:hAnsi="Times New Roman" w:cs="Times New Roman" w:eastAsia="Times New Roman" w:hint="default"/>
        </w:rPr>
        <w:t>34.28%</w:t>
      </w:r>
      <w:r>
        <w:rPr/>
        <w:t>（扣除库存股）的股权。通过公司在连锁发展、业务经营 </w:t>
      </w:r>
      <w:r>
        <w:rPr>
          <w:spacing w:val="-6"/>
        </w:rPr>
        <w:t>等方面的指导和协助，</w:t>
      </w:r>
      <w:r>
        <w:rPr>
          <w:rFonts w:ascii="Times New Roman" w:hAnsi="Times New Roman" w:cs="Times New Roman" w:eastAsia="Times New Roman" w:hint="default"/>
          <w:spacing w:val="-6"/>
        </w:rPr>
        <w:t>LAOX</w:t>
      </w:r>
      <w:r>
        <w:rPr>
          <w:rFonts w:ascii="Times New Roman" w:hAnsi="Times New Roman" w:cs="Times New Roman" w:eastAsia="Times New Roman" w:hint="default"/>
          <w:spacing w:val="16"/>
        </w:rPr>
        <w:t> </w:t>
      </w:r>
      <w:r>
        <w:rPr>
          <w:spacing w:val="-6"/>
        </w:rPr>
        <w:t>经营业务已逐步走上正轨，经营效益有所改善。与此同时，</w:t>
      </w:r>
      <w:r>
        <w:rPr>
          <w:spacing w:val="-117"/>
        </w:rPr>
        <w:t> </w:t>
      </w:r>
      <w:r>
        <w:rPr>
          <w:spacing w:val="-117"/>
        </w:rPr>
      </w:r>
      <w:r>
        <w:rPr/>
        <w:t>公司也通过 </w:t>
      </w:r>
      <w:r>
        <w:rPr>
          <w:rFonts w:ascii="Times New Roman" w:hAnsi="Times New Roman" w:cs="Times New Roman" w:eastAsia="Times New Roman" w:hint="default"/>
        </w:rPr>
        <w:t>LAOX</w:t>
      </w:r>
      <w:r>
        <w:rPr>
          <w:rFonts w:ascii="Times New Roman" w:hAnsi="Times New Roman" w:cs="Times New Roman" w:eastAsia="Times New Roman" w:hint="default"/>
          <w:spacing w:val="20"/>
        </w:rPr>
        <w:t> </w:t>
      </w:r>
      <w:r>
        <w:rPr/>
        <w:t>平台，借鉴并引进国际市场先进的零售经验，丰富产品品类，不断 提升企业的核心竞争力。</w:t>
      </w:r>
    </w:p>
    <w:p>
      <w:pPr>
        <w:pStyle w:val="BodyText"/>
        <w:spacing w:line="240" w:lineRule="auto" w:before="55"/>
        <w:ind w:left="620" w:right="217"/>
        <w:jc w:val="left"/>
      </w:pPr>
      <w:r>
        <w:rPr>
          <w:rFonts w:ascii="Times New Roman" w:hAnsi="Times New Roman" w:cs="Times New Roman" w:eastAsia="Times New Roman" w:hint="default"/>
        </w:rPr>
        <w:t>2</w:t>
      </w:r>
      <w:r>
        <w:rPr/>
        <w:t>、推进战略合作与营销创新</w:t>
      </w:r>
    </w:p>
    <w:p>
      <w:pPr>
        <w:pStyle w:val="BodyText"/>
        <w:spacing w:line="240" w:lineRule="auto" w:before="135"/>
        <w:ind w:left="620" w:right="217"/>
        <w:jc w:val="left"/>
      </w:pPr>
      <w:r>
        <w:rPr/>
        <w:t>（</w:t>
      </w:r>
      <w:r>
        <w:rPr>
          <w:rFonts w:ascii="Times New Roman" w:hAnsi="Times New Roman" w:cs="Times New Roman" w:eastAsia="Times New Roman" w:hint="default"/>
        </w:rPr>
        <w:t>1</w:t>
      </w:r>
      <w:r>
        <w:rPr/>
        <w:t>）以商品为核心，实施采购创新</w:t>
      </w:r>
    </w:p>
    <w:p>
      <w:pPr>
        <w:pStyle w:val="BodyText"/>
        <w:spacing w:line="240" w:lineRule="auto" w:before="135"/>
        <w:ind w:left="680" w:right="217"/>
        <w:jc w:val="left"/>
      </w:pPr>
      <w:r>
        <w:rPr>
          <w:rFonts w:ascii="Wingdings" w:hAnsi="Wingdings" w:cs="Wingdings" w:eastAsia="Wingdings" w:hint="default"/>
        </w:rPr>
        <w:t></w:t>
      </w:r>
      <w:r>
        <w:rPr>
          <w:rFonts w:ascii="Wingdings" w:hAnsi="Wingdings" w:cs="Wingdings" w:eastAsia="Wingdings" w:hint="default"/>
          <w:spacing w:val="-120"/>
        </w:rPr>
        <w:t></w:t>
      </w:r>
      <w:r>
        <w:rPr>
          <w:rFonts w:ascii="Times New Roman" w:hAnsi="Times New Roman" w:cs="Times New Roman" w:eastAsia="Times New Roman" w:hint="default"/>
          <w:spacing w:val="-120"/>
        </w:rPr>
      </w:r>
      <w:r>
        <w:rPr/>
        <w:t>细分产品部门，强化商品管理能力</w:t>
      </w:r>
    </w:p>
    <w:p>
      <w:pPr>
        <w:pStyle w:val="BodyText"/>
        <w:spacing w:line="338" w:lineRule="auto" w:before="137"/>
        <w:ind w:right="222" w:firstLine="480"/>
        <w:jc w:val="left"/>
      </w:pPr>
      <w:r>
        <w:rPr>
          <w:spacing w:val="-3"/>
        </w:rPr>
        <w:t>报告期内，公司新增</w:t>
      </w:r>
      <w:r>
        <w:rPr>
          <w:spacing w:val="-51"/>
        </w:rPr>
        <w:t> </w:t>
      </w:r>
      <w:r>
        <w:rPr>
          <w:rFonts w:ascii="Times New Roman" w:hAnsi="Times New Roman" w:cs="Times New Roman" w:eastAsia="Times New Roman" w:hint="default"/>
        </w:rPr>
        <w:t>OA</w:t>
      </w:r>
      <w:r>
        <w:rPr>
          <w:rFonts w:ascii="Times New Roman" w:hAnsi="Times New Roman" w:cs="Times New Roman" w:eastAsia="Times New Roman" w:hint="default"/>
          <w:spacing w:val="8"/>
        </w:rPr>
        <w:t> </w:t>
      </w:r>
      <w:r>
        <w:rPr>
          <w:spacing w:val="-3"/>
        </w:rPr>
        <w:t>办公、运营商、厨卫电器三个品类部门，进一步细化商品</w:t>
      </w:r>
      <w:r>
        <w:rPr/>
        <w:t> 管理，优化供应商及运营商合作模式。</w:t>
      </w:r>
    </w:p>
    <w:p>
      <w:pPr>
        <w:pStyle w:val="BodyText"/>
        <w:spacing w:line="240" w:lineRule="auto" w:before="55"/>
        <w:ind w:left="680" w:right="217"/>
        <w:jc w:val="left"/>
      </w:pPr>
      <w:r>
        <w:rPr>
          <w:rFonts w:ascii="Wingdings" w:hAnsi="Wingdings" w:cs="Wingdings" w:eastAsia="Wingdings" w:hint="default"/>
        </w:rPr>
        <w:t></w:t>
      </w:r>
      <w:r>
        <w:rPr>
          <w:rFonts w:ascii="Wingdings" w:hAnsi="Wingdings" w:cs="Wingdings" w:eastAsia="Wingdings" w:hint="default"/>
          <w:spacing w:val="-120"/>
        </w:rPr>
        <w:t></w:t>
      </w:r>
      <w:r>
        <w:rPr>
          <w:rFonts w:ascii="Times New Roman" w:hAnsi="Times New Roman" w:cs="Times New Roman" w:eastAsia="Times New Roman" w:hint="default"/>
          <w:spacing w:val="-120"/>
        </w:rPr>
      </w:r>
      <w:r>
        <w:rPr/>
        <w:t>供应链持续优化，创新共赢合作模式</w:t>
      </w:r>
    </w:p>
    <w:p>
      <w:pPr>
        <w:pStyle w:val="BodyText"/>
        <w:spacing w:line="350" w:lineRule="auto" w:before="137"/>
        <w:ind w:right="232" w:firstLine="480"/>
        <w:jc w:val="both"/>
      </w:pPr>
      <w:r>
        <w:rPr/>
        <w:t>公司与三星电子、</w:t>
      </w:r>
      <w:r>
        <w:rPr>
          <w:rFonts w:ascii="Times New Roman" w:hAnsi="Times New Roman" w:cs="Times New Roman" w:eastAsia="Times New Roman" w:hint="default"/>
        </w:rPr>
        <w:t>LG</w:t>
      </w:r>
      <w:r>
        <w:rPr>
          <w:rFonts w:ascii="Times New Roman" w:hAnsi="Times New Roman" w:cs="Times New Roman" w:eastAsia="Times New Roman" w:hint="default"/>
          <w:spacing w:val="8"/>
        </w:rPr>
        <w:t> </w:t>
      </w:r>
      <w:r>
        <w:rPr/>
        <w:t>电子、海尔集团、联想电脑集团等全球性供应商继续开展战 </w:t>
      </w:r>
      <w:r>
        <w:rPr>
          <w:spacing w:val="-3"/>
        </w:rPr>
        <w:t>略合作，从系统对接、产品研发、商品引进、人员培训等多个方面继续推进，深化与供</w:t>
      </w:r>
      <w:r>
        <w:rPr>
          <w:spacing w:val="-96"/>
        </w:rPr>
        <w:t> </w:t>
      </w:r>
      <w:r>
        <w:rPr>
          <w:spacing w:val="-96"/>
        </w:rPr>
      </w:r>
      <w:r>
        <w:rPr>
          <w:spacing w:val="-3"/>
        </w:rPr>
        <w:t>应商的战略合作关系，优化供应链资源，提高供应链体系的运作效率，促进供零双方的</w:t>
      </w:r>
      <w:r>
        <w:rPr>
          <w:spacing w:val="-96"/>
        </w:rPr>
        <w:t> </w:t>
      </w:r>
      <w:r>
        <w:rPr>
          <w:spacing w:val="-96"/>
        </w:rPr>
      </w:r>
      <w:r>
        <w:rPr/>
        <w:t>合作共赢。</w:t>
      </w:r>
    </w:p>
    <w:p>
      <w:pPr>
        <w:pStyle w:val="BodyText"/>
        <w:spacing w:line="338" w:lineRule="auto" w:before="43"/>
        <w:ind w:left="620" w:right="217" w:firstLine="60"/>
        <w:jc w:val="left"/>
      </w:pPr>
      <w:r>
        <w:rPr>
          <w:rFonts w:ascii="Wingdings" w:hAnsi="Wingdings" w:cs="Wingdings" w:eastAsia="Wingdings" w:hint="default"/>
        </w:rPr>
        <w:t></w:t>
      </w:r>
      <w:r>
        <w:rPr>
          <w:rFonts w:ascii="Wingdings" w:hAnsi="Wingdings" w:cs="Wingdings" w:eastAsia="Wingdings" w:hint="default"/>
          <w:spacing w:val="-120"/>
        </w:rPr>
        <w:t></w:t>
      </w:r>
      <w:r>
        <w:rPr>
          <w:rFonts w:ascii="Times New Roman" w:hAnsi="Times New Roman" w:cs="Times New Roman" w:eastAsia="Times New Roman" w:hint="default"/>
          <w:spacing w:val="-120"/>
        </w:rPr>
      </w:r>
      <w:r>
        <w:rPr/>
        <w:t>自主营销循序推进 </w:t>
      </w:r>
      <w:r>
        <w:rPr>
          <w:spacing w:val="-3"/>
        </w:rPr>
        <w:t>公司继续推进自主营销工作，定制包销深化操作模式，自主产品品类、品牌进一步</w:t>
      </w:r>
    </w:p>
    <w:p>
      <w:pPr>
        <w:pStyle w:val="BodyText"/>
        <w:spacing w:line="240" w:lineRule="auto" w:before="55"/>
        <w:ind w:right="217"/>
        <w:jc w:val="left"/>
      </w:pPr>
      <w:r>
        <w:rPr/>
        <w:t>拓展，店面自营销售人员占比稳步提升，自主营销能力进一步提升。</w:t>
      </w:r>
    </w:p>
    <w:p>
      <w:pPr>
        <w:pStyle w:val="BodyText"/>
        <w:tabs>
          <w:tab w:pos="1039" w:val="left" w:leader="none"/>
        </w:tabs>
        <w:spacing w:line="240" w:lineRule="auto" w:before="154"/>
        <w:ind w:left="620" w:right="97"/>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spacing w:val="-5"/>
        </w:rPr>
        <w:t>报告期内公司提升了与国内外大品牌供应商战略对接层次，加大定制包销比重；</w:t>
      </w:r>
      <w:r>
        <w:rPr/>
      </w:r>
    </w:p>
    <w:p>
      <w:pPr>
        <w:spacing w:after="0" w:line="240" w:lineRule="auto"/>
        <w:jc w:val="left"/>
        <w:sectPr>
          <w:pgSz w:w="11910" w:h="16840"/>
          <w:pgMar w:header="748" w:footer="714" w:top="980" w:bottom="900" w:left="1300" w:right="1200"/>
        </w:sectPr>
      </w:pPr>
    </w:p>
    <w:p>
      <w:pPr>
        <w:spacing w:line="240" w:lineRule="auto" w:before="7"/>
        <w:rPr>
          <w:rFonts w:ascii="宋体" w:hAnsi="宋体" w:cs="宋体" w:eastAsia="宋体" w:hint="default"/>
          <w:sz w:val="29"/>
          <w:szCs w:val="29"/>
        </w:rPr>
      </w:pPr>
    </w:p>
    <w:p>
      <w:pPr>
        <w:pStyle w:val="BodyText"/>
        <w:spacing w:line="338" w:lineRule="auto" w:before="26"/>
        <w:ind w:left="100" w:right="153" w:firstLine="660"/>
        <w:jc w:val="both"/>
      </w:pPr>
      <w:r>
        <w:rPr>
          <w:rFonts w:ascii="Wingdings" w:hAnsi="Wingdings" w:cs="Wingdings" w:eastAsia="Wingdings" w:hint="default"/>
        </w:rPr>
        <w:t></w:t>
      </w:r>
      <w:r>
        <w:rPr>
          <w:rFonts w:ascii="Times New Roman" w:hAnsi="Times New Roman" w:cs="Times New Roman" w:eastAsia="Times New Roman" w:hint="default"/>
        </w:rPr>
      </w:r>
      <w:r>
        <w:rPr/>
        <w:t>在通讯、电脑品类突出产品运作，先后实现了 </w:t>
      </w:r>
      <w:r>
        <w:rPr>
          <w:rFonts w:ascii="Times New Roman" w:hAnsi="Times New Roman" w:cs="Times New Roman" w:eastAsia="Times New Roman" w:hint="default"/>
        </w:rPr>
        <w:t>iphone 4 </w:t>
      </w:r>
      <w:r>
        <w:rPr/>
        <w:t>首销、</w:t>
      </w:r>
      <w:r>
        <w:rPr>
          <w:rFonts w:ascii="Times New Roman" w:hAnsi="Times New Roman" w:cs="Times New Roman" w:eastAsia="Times New Roman" w:hint="default"/>
        </w:rPr>
        <w:t>N8</w:t>
      </w:r>
      <w:r>
        <w:rPr>
          <w:rFonts w:ascii="Times New Roman" w:hAnsi="Times New Roman" w:cs="Times New Roman" w:eastAsia="Times New Roman" w:hint="default"/>
          <w:spacing w:val="-33"/>
        </w:rPr>
        <w:t> </w:t>
      </w:r>
      <w:r>
        <w:rPr/>
        <w:t>首销以及三 星</w:t>
      </w:r>
      <w:r>
        <w:rPr>
          <w:spacing w:val="-62"/>
        </w:rPr>
        <w:t> </w:t>
      </w:r>
      <w:r>
        <w:rPr>
          <w:rFonts w:ascii="Times New Roman" w:hAnsi="Times New Roman" w:cs="Times New Roman" w:eastAsia="Times New Roman" w:hint="default"/>
        </w:rPr>
        <w:t>S5750</w:t>
      </w:r>
      <w:r>
        <w:rPr>
          <w:rFonts w:ascii="Times New Roman" w:hAnsi="Times New Roman" w:cs="Times New Roman" w:eastAsia="Times New Roman" w:hint="default"/>
          <w:spacing w:val="-3"/>
        </w:rPr>
        <w:t> </w:t>
      </w:r>
      <w:r>
        <w:rPr/>
        <w:t>全渠道包销等采销模式。</w:t>
      </w:r>
    </w:p>
    <w:p>
      <w:pPr>
        <w:pStyle w:val="BodyText"/>
        <w:spacing w:line="348" w:lineRule="auto" w:before="27"/>
        <w:ind w:left="280" w:right="109" w:firstLine="480"/>
        <w:jc w:val="both"/>
      </w:pPr>
      <w:r>
        <w:rPr>
          <w:rFonts w:ascii="Wingdings" w:hAnsi="Wingdings" w:cs="Wingdings" w:eastAsia="Wingdings" w:hint="default"/>
        </w:rPr>
        <w:t></w:t>
      </w:r>
      <w:r>
        <w:rPr>
          <w:rFonts w:ascii="Times New Roman" w:hAnsi="Times New Roman" w:cs="Times New Roman" w:eastAsia="Times New Roman" w:hint="default"/>
        </w:rPr>
      </w:r>
      <w:r>
        <w:rPr>
          <w:rFonts w:ascii="Times New Roman" w:hAnsi="Times New Roman" w:cs="Times New Roman" w:eastAsia="Times New Roman" w:hint="default"/>
        </w:rPr>
        <w:t>OEM </w:t>
      </w:r>
      <w:r>
        <w:rPr/>
        <w:t>、</w:t>
      </w:r>
      <w:r>
        <w:rPr>
          <w:rFonts w:ascii="Times New Roman" w:hAnsi="Times New Roman" w:cs="Times New Roman" w:eastAsia="Times New Roman" w:hint="default"/>
        </w:rPr>
        <w:t>ODM</w:t>
      </w:r>
      <w:r>
        <w:rPr>
          <w:rFonts w:ascii="Times New Roman" w:hAnsi="Times New Roman" w:cs="Times New Roman" w:eastAsia="Times New Roman" w:hint="default"/>
          <w:spacing w:val="-15"/>
        </w:rPr>
        <w:t> </w:t>
      </w:r>
      <w:r>
        <w:rPr/>
        <w:t>的运营已经逐步形成体系，形成了从商品研究、生产厂家选择、 </w:t>
      </w:r>
      <w:r>
        <w:rPr>
          <w:spacing w:val="-3"/>
        </w:rPr>
        <w:t>产品质量控制到上市推广的系统化运营能力。自主产品也由惠而浦空调、松桥小家电拓</w:t>
      </w:r>
      <w:r>
        <w:rPr>
          <w:spacing w:val="-98"/>
        </w:rPr>
        <w:t> </w:t>
      </w:r>
      <w:r>
        <w:rPr>
          <w:spacing w:val="-98"/>
        </w:rPr>
      </w:r>
      <w:r>
        <w:rPr/>
        <w:t>展到了先锋彩电、法迪欧厨卫电器。</w:t>
      </w:r>
    </w:p>
    <w:p>
      <w:pPr>
        <w:pStyle w:val="BodyText"/>
        <w:spacing w:line="240" w:lineRule="auto" w:before="46"/>
        <w:ind w:left="640" w:right="0"/>
        <w:jc w:val="left"/>
      </w:pPr>
      <w:r>
        <w:rPr/>
        <w:t>（</w:t>
      </w:r>
      <w:r>
        <w:rPr>
          <w:rFonts w:ascii="Times New Roman" w:hAnsi="Times New Roman" w:cs="Times New Roman" w:eastAsia="Times New Roman" w:hint="default"/>
        </w:rPr>
        <w:t>2</w:t>
      </w:r>
      <w:r>
        <w:rPr/>
        <w:t>）以客户满意为中心，实施销售创新</w:t>
      </w:r>
    </w:p>
    <w:p>
      <w:pPr>
        <w:pStyle w:val="BodyText"/>
        <w:spacing w:line="338" w:lineRule="auto" w:before="135"/>
        <w:ind w:left="640" w:right="138" w:firstLine="180"/>
        <w:jc w:val="left"/>
      </w:pPr>
      <w:r>
        <w:rPr>
          <w:rFonts w:ascii="Wingdings" w:hAnsi="Wingdings" w:cs="Wingdings" w:eastAsia="Wingdings" w:hint="default"/>
        </w:rPr>
        <w:t></w:t>
      </w:r>
      <w:r>
        <w:rPr>
          <w:rFonts w:ascii="Wingdings" w:hAnsi="Wingdings" w:cs="Wingdings" w:eastAsia="Wingdings" w:hint="default"/>
          <w:spacing w:val="-120"/>
        </w:rPr>
        <w:t></w:t>
      </w:r>
      <w:r>
        <w:rPr>
          <w:rFonts w:ascii="Times New Roman" w:hAnsi="Times New Roman" w:cs="Times New Roman" w:eastAsia="Times New Roman" w:hint="default"/>
          <w:spacing w:val="-120"/>
        </w:rPr>
      </w:r>
      <w:r>
        <w:rPr/>
        <w:t>研究客户需求，创新服务产品 公司自主创新的服务产品——“阳光包”延保服务及“</w:t>
      </w:r>
      <w:r>
        <w:rPr>
          <w:rFonts w:ascii="Times New Roman" w:hAnsi="Times New Roman" w:cs="Times New Roman" w:eastAsia="Times New Roman" w:hint="default"/>
        </w:rPr>
        <w:t>IT</w:t>
      </w:r>
      <w:r>
        <w:rPr>
          <w:rFonts w:ascii="Times New Roman" w:hAnsi="Times New Roman" w:cs="Times New Roman" w:eastAsia="Times New Roman" w:hint="default"/>
          <w:spacing w:val="-21"/>
        </w:rPr>
        <w:t> </w:t>
      </w:r>
      <w:r>
        <w:rPr/>
        <w:t>帮客”远程服务，根据市</w:t>
      </w:r>
    </w:p>
    <w:p>
      <w:pPr>
        <w:pStyle w:val="BodyText"/>
        <w:spacing w:line="357" w:lineRule="auto" w:before="27"/>
        <w:ind w:left="280" w:right="153"/>
        <w:jc w:val="both"/>
      </w:pPr>
      <w:r>
        <w:rPr>
          <w:spacing w:val="-3"/>
        </w:rPr>
        <w:t>场延保的热点需求制定相应条款，满足消费者利益最大化需求，实现消费者维修换机完</w:t>
      </w:r>
      <w:r>
        <w:rPr>
          <w:spacing w:val="-98"/>
        </w:rPr>
        <w:t> </w:t>
      </w:r>
      <w:r>
        <w:rPr>
          <w:spacing w:val="-98"/>
        </w:rPr>
      </w:r>
      <w:r>
        <w:rPr/>
        <w:t>全自主化，获得消费者广泛认可，报告期内实现销售较快增长。</w:t>
      </w:r>
    </w:p>
    <w:p>
      <w:pPr>
        <w:pStyle w:val="BodyText"/>
        <w:spacing w:line="338" w:lineRule="auto" w:before="36"/>
        <w:ind w:left="760" w:right="152" w:firstLine="60"/>
        <w:jc w:val="left"/>
      </w:pPr>
      <w:r>
        <w:rPr>
          <w:rFonts w:ascii="Wingdings" w:hAnsi="Wingdings" w:cs="Wingdings" w:eastAsia="Wingdings" w:hint="default"/>
        </w:rPr>
        <w:t></w:t>
      </w:r>
      <w:r>
        <w:rPr>
          <w:rFonts w:ascii="Wingdings" w:hAnsi="Wingdings" w:cs="Wingdings" w:eastAsia="Wingdings" w:hint="default"/>
          <w:spacing w:val="-120"/>
        </w:rPr>
        <w:t></w:t>
      </w:r>
      <w:r>
        <w:rPr>
          <w:rFonts w:ascii="Times New Roman" w:hAnsi="Times New Roman" w:cs="Times New Roman" w:eastAsia="Times New Roman" w:hint="default"/>
          <w:spacing w:val="-120"/>
        </w:rPr>
      </w:r>
      <w:r>
        <w:rPr/>
        <w:t>丰富促销模式，提升会员体验 </w:t>
      </w:r>
      <w:r>
        <w:rPr>
          <w:spacing w:val="-3"/>
        </w:rPr>
        <w:t>积极推进促销品牌化，推行体育营销、校园营销，丰富促销模式，有力拉动终端销</w:t>
      </w:r>
    </w:p>
    <w:p>
      <w:pPr>
        <w:pStyle w:val="BodyText"/>
        <w:spacing w:line="348" w:lineRule="auto" w:before="55"/>
        <w:ind w:left="280" w:right="152"/>
        <w:jc w:val="both"/>
      </w:pPr>
      <w:r>
        <w:rPr>
          <w:spacing w:val="-3"/>
        </w:rPr>
        <w:t>售；整合媒介资源，加强电视、网络投放，宣传覆盖面进一步扩大；实现所有店面的全</w:t>
      </w:r>
      <w:r>
        <w:rPr>
          <w:spacing w:val="-96"/>
        </w:rPr>
        <w:t> </w:t>
      </w:r>
      <w:r>
        <w:rPr>
          <w:spacing w:val="-96"/>
        </w:rPr>
      </w:r>
      <w:r>
        <w:rPr/>
        <w:t>会员制销售，会员转卡率由去年的 </w:t>
      </w:r>
      <w:r>
        <w:rPr>
          <w:rFonts w:ascii="Times New Roman" w:hAnsi="Times New Roman" w:cs="Times New Roman" w:eastAsia="Times New Roman" w:hint="default"/>
        </w:rPr>
        <w:t>40%</w:t>
      </w:r>
      <w:r>
        <w:rPr/>
        <w:t>上升到今年的</w:t>
      </w:r>
      <w:r>
        <w:rPr>
          <w:spacing w:val="-12"/>
        </w:rPr>
        <w:t> </w:t>
      </w:r>
      <w:r>
        <w:rPr>
          <w:rFonts w:ascii="Times New Roman" w:hAnsi="Times New Roman" w:cs="Times New Roman" w:eastAsia="Times New Roman" w:hint="default"/>
        </w:rPr>
        <w:t>80%</w:t>
      </w:r>
      <w:r>
        <w:rPr/>
        <w:t>以上，全年二次购物会员消 费贡献率、会员消费活跃度大幅提升。</w:t>
      </w:r>
    </w:p>
    <w:p>
      <w:pPr>
        <w:pStyle w:val="BodyText"/>
        <w:spacing w:line="240" w:lineRule="auto" w:before="46"/>
        <w:ind w:left="760" w:right="0"/>
        <w:jc w:val="left"/>
      </w:pPr>
      <w:r>
        <w:rPr/>
        <w:t>（</w:t>
      </w:r>
      <w:r>
        <w:rPr>
          <w:rFonts w:ascii="Times New Roman" w:hAnsi="Times New Roman" w:cs="Times New Roman" w:eastAsia="Times New Roman" w:hint="default"/>
        </w:rPr>
        <w:t>3</w:t>
      </w:r>
      <w:r>
        <w:rPr/>
        <w:t>） 拓展盈利能力，渠道创新</w:t>
      </w:r>
    </w:p>
    <w:p>
      <w:pPr>
        <w:pStyle w:val="BodyText"/>
        <w:tabs>
          <w:tab w:pos="1119" w:val="left" w:leader="none"/>
        </w:tabs>
        <w:spacing w:line="338" w:lineRule="auto" w:before="135"/>
        <w:ind w:left="760" w:right="103" w:hanging="27"/>
        <w:jc w:val="left"/>
      </w:pPr>
      <w:r>
        <w:rPr>
          <w:rFonts w:ascii="Wingdings" w:hAnsi="Wingdings" w:cs="Wingdings" w:eastAsia="Wingdings" w:hint="default"/>
        </w:rPr>
        <w:t></w:t>
      </w:r>
      <w:r>
        <w:rPr>
          <w:rFonts w:ascii="Times New Roman" w:hAnsi="Times New Roman" w:cs="Times New Roman" w:eastAsia="Times New Roman" w:hint="default"/>
        </w:rPr>
        <w:tab/>
      </w:r>
      <w:r>
        <w:rPr/>
        <w:t>多渠道格局进一步清晰 报告期内，公司围绕多渠道拓展、多业态的创新加强体系建设，线下零售、</w:t>
      </w:r>
      <w:r>
        <w:rPr>
          <w:rFonts w:ascii="Times New Roman" w:hAnsi="Times New Roman" w:cs="Times New Roman" w:eastAsia="Times New Roman" w:hint="default"/>
        </w:rPr>
        <w:t>B2C</w:t>
      </w:r>
      <w:r>
        <w:rPr/>
        <w:t>、</w:t>
      </w:r>
    </w:p>
    <w:p>
      <w:pPr>
        <w:pStyle w:val="BodyText"/>
        <w:spacing w:line="240" w:lineRule="auto" w:before="27"/>
        <w:ind w:left="280" w:right="0"/>
        <w:jc w:val="both"/>
      </w:pPr>
      <w:r>
        <w:rPr/>
        <w:t>对公销售、分销等多渠道全面形成，营销组织和管理模式进一步清晰。</w:t>
      </w:r>
    </w:p>
    <w:p>
      <w:pPr>
        <w:pStyle w:val="BodyText"/>
        <w:spacing w:line="348" w:lineRule="auto" w:before="154"/>
        <w:ind w:left="100" w:right="151" w:firstLine="660"/>
        <w:jc w:val="both"/>
      </w:pPr>
      <w:r>
        <w:rPr>
          <w:rFonts w:ascii="Wingdings" w:hAnsi="Wingdings" w:cs="Wingdings" w:eastAsia="Wingdings" w:hint="default"/>
        </w:rPr>
        <w:t></w:t>
      </w:r>
      <w:r>
        <w:rPr>
          <w:rFonts w:ascii="Wingdings" w:hAnsi="Wingdings" w:cs="Wingdings" w:eastAsia="Wingdings" w:hint="default"/>
          <w:spacing w:val="-42"/>
        </w:rPr>
        <w:t></w:t>
      </w:r>
      <w:r>
        <w:rPr>
          <w:rFonts w:ascii="Times New Roman" w:hAnsi="Times New Roman" w:cs="Times New Roman" w:eastAsia="Times New Roman" w:hint="default"/>
          <w:spacing w:val="-42"/>
        </w:rPr>
      </w:r>
      <w:r>
        <w:rPr/>
        <w:t>报告期内公司加强了对公销售部门组织体系、业务流程的梳理以及客户关系管 理模式的完善，重点加强了对政府采购、军队、教育、金融等重点行业的对接，依托苏</w:t>
      </w:r>
      <w:r>
        <w:rPr>
          <w:spacing w:val="-45"/>
        </w:rPr>
        <w:t> </w:t>
      </w:r>
      <w:r>
        <w:rPr>
          <w:spacing w:val="-45"/>
        </w:rPr>
      </w:r>
      <w:r>
        <w:rPr/>
        <w:t>宁本地化的物流服务能力，扩大我们在该领域的销售能力。</w:t>
      </w:r>
    </w:p>
    <w:p>
      <w:pPr>
        <w:pStyle w:val="BodyText"/>
        <w:spacing w:line="350" w:lineRule="auto" w:before="46"/>
        <w:ind w:left="100" w:right="151" w:firstLine="660"/>
        <w:jc w:val="both"/>
      </w:pPr>
      <w:r>
        <w:rPr>
          <w:rFonts w:ascii="Wingdings" w:hAnsi="Wingdings" w:cs="Wingdings" w:eastAsia="Wingdings" w:hint="default"/>
        </w:rPr>
        <w:t></w:t>
      </w:r>
      <w:r>
        <w:rPr>
          <w:rFonts w:ascii="Wingdings" w:hAnsi="Wingdings" w:cs="Wingdings" w:eastAsia="Wingdings" w:hint="default"/>
          <w:spacing w:val="-64"/>
        </w:rPr>
        <w:t></w:t>
      </w:r>
      <w:r>
        <w:rPr>
          <w:rFonts w:ascii="Times New Roman" w:hAnsi="Times New Roman" w:cs="Times New Roman" w:eastAsia="Times New Roman" w:hint="default"/>
          <w:spacing w:val="-64"/>
        </w:rPr>
      </w:r>
      <w:r>
        <w:rPr/>
        <w:t>针对部分定制、包销产品，特别是通讯、电脑以及部分小家电产品，供应商往</w:t>
      </w:r>
      <w:r>
        <w:rPr>
          <w:spacing w:val="-1"/>
        </w:rPr>
        <w:t> </w:t>
      </w:r>
      <w:r>
        <w:rPr/>
        <w:t>往对采购规模设定一定的要求，公司为了取得产品的独家销售权等，在零售基础上，适</w:t>
      </w:r>
      <w:r>
        <w:rPr>
          <w:spacing w:val="-45"/>
        </w:rPr>
        <w:t> </w:t>
      </w:r>
      <w:r>
        <w:rPr>
          <w:spacing w:val="-45"/>
        </w:rPr>
      </w:r>
      <w:r>
        <w:rPr/>
        <w:t>当的发展分销渠道，作为公司销售渠道的补充，在获得采购规模优势同时也促进整体毛</w:t>
      </w:r>
      <w:r>
        <w:rPr>
          <w:spacing w:val="-45"/>
        </w:rPr>
        <w:t> </w:t>
      </w:r>
      <w:r>
        <w:rPr/>
        <w:t>利率水平的提升。</w:t>
      </w:r>
    </w:p>
    <w:p>
      <w:pPr>
        <w:pStyle w:val="BodyText"/>
        <w:tabs>
          <w:tab w:pos="1119" w:val="left" w:leader="none"/>
        </w:tabs>
        <w:spacing w:line="338" w:lineRule="auto" w:before="43"/>
        <w:ind w:left="759" w:right="152" w:hanging="27"/>
        <w:jc w:val="left"/>
      </w:pPr>
      <w:r>
        <w:rPr>
          <w:rFonts w:ascii="Wingdings" w:hAnsi="Wingdings" w:cs="Wingdings" w:eastAsia="Wingdings" w:hint="default"/>
        </w:rPr>
        <w:t></w:t>
      </w:r>
      <w:r>
        <w:rPr>
          <w:rFonts w:ascii="Times New Roman" w:hAnsi="Times New Roman" w:cs="Times New Roman" w:eastAsia="Times New Roman" w:hint="default"/>
        </w:rPr>
        <w:tab/>
      </w:r>
      <w:r>
        <w:rPr/>
        <w:t>打造</w:t>
      </w:r>
      <w:r>
        <w:rPr>
          <w:spacing w:val="-61"/>
        </w:rPr>
        <w:t> </w:t>
      </w:r>
      <w:r>
        <w:rPr>
          <w:rFonts w:ascii="Times New Roman" w:hAnsi="Times New Roman" w:cs="Times New Roman" w:eastAsia="Times New Roman" w:hint="default"/>
        </w:rPr>
        <w:t>B2C</w:t>
      </w:r>
      <w:r>
        <w:rPr>
          <w:rFonts w:ascii="Times New Roman" w:hAnsi="Times New Roman" w:cs="Times New Roman" w:eastAsia="Times New Roman" w:hint="default"/>
          <w:spacing w:val="-1"/>
        </w:rPr>
        <w:t> </w:t>
      </w:r>
      <w:r>
        <w:rPr/>
        <w:t>平台，增强盈利能力 </w:t>
      </w:r>
      <w:r>
        <w:rPr>
          <w:spacing w:val="-3"/>
        </w:rPr>
        <w:t>“苏宁易购”经营团队规模逐步扩大，网络运营能力进一步增强，运营团队日臻成</w:t>
      </w:r>
    </w:p>
    <w:p>
      <w:pPr>
        <w:pStyle w:val="BodyText"/>
        <w:spacing w:line="240" w:lineRule="auto" w:before="55"/>
        <w:ind w:left="279" w:right="0"/>
        <w:jc w:val="both"/>
      </w:pPr>
      <w:r>
        <w:rPr/>
        <w:t>熟、专业；</w:t>
      </w:r>
    </w:p>
    <w:p>
      <w:pPr>
        <w:pStyle w:val="BodyText"/>
        <w:spacing w:line="338" w:lineRule="auto" w:before="154"/>
        <w:ind w:left="280" w:right="152" w:firstLine="480"/>
        <w:jc w:val="both"/>
      </w:pPr>
      <w:r>
        <w:rPr/>
        <w:t>自</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月正式上线以来通过对页面功能、商品丰富度及展示、支付方式等方 </w:t>
      </w:r>
      <w:r>
        <w:rPr>
          <w:spacing w:val="-3"/>
        </w:rPr>
        <w:t>面不断的持续优化，客户体验增强，消费者认可度以及品牌知名度提升，经营业绩也随</w:t>
      </w:r>
    </w:p>
    <w:p>
      <w:pPr>
        <w:spacing w:after="0" w:line="338" w:lineRule="auto"/>
        <w:jc w:val="both"/>
        <w:sectPr>
          <w:pgSz w:w="11910" w:h="16840"/>
          <w:pgMar w:header="748" w:footer="714" w:top="980" w:bottom="900" w:left="1160" w:right="1280"/>
        </w:sectPr>
      </w:pPr>
    </w:p>
    <w:p>
      <w:pPr>
        <w:spacing w:line="240" w:lineRule="auto" w:before="7"/>
        <w:rPr>
          <w:rFonts w:ascii="宋体" w:hAnsi="宋体" w:cs="宋体" w:eastAsia="宋体" w:hint="default"/>
          <w:sz w:val="29"/>
          <w:szCs w:val="29"/>
        </w:rPr>
      </w:pPr>
    </w:p>
    <w:p>
      <w:pPr>
        <w:pStyle w:val="BodyText"/>
        <w:spacing w:line="240" w:lineRule="auto" w:before="26"/>
        <w:ind w:right="217"/>
        <w:jc w:val="left"/>
      </w:pPr>
      <w:r>
        <w:rPr/>
        <w:t>之稳步提升；</w:t>
      </w:r>
    </w:p>
    <w:p>
      <w:pPr>
        <w:pStyle w:val="BodyText"/>
        <w:spacing w:line="348" w:lineRule="auto" w:before="154"/>
        <w:ind w:right="233" w:firstLine="480"/>
        <w:jc w:val="both"/>
      </w:pP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B2C</w:t>
      </w:r>
      <w:r>
        <w:rPr>
          <w:rFonts w:ascii="Times New Roman" w:hAnsi="Times New Roman" w:cs="Times New Roman" w:eastAsia="Times New Roman" w:hint="default"/>
          <w:spacing w:val="-1"/>
        </w:rPr>
        <w:t> </w:t>
      </w:r>
      <w:r>
        <w:rPr/>
        <w:t>业务实现的含税销售金额约为</w:t>
      </w:r>
      <w:r>
        <w:rPr>
          <w:spacing w:val="-60"/>
        </w:rPr>
        <w:t> </w:t>
      </w:r>
      <w:r>
        <w:rPr>
          <w:rFonts w:ascii="Times New Roman" w:hAnsi="Times New Roman" w:cs="Times New Roman" w:eastAsia="Times New Roman" w:hint="default"/>
        </w:rPr>
        <w:t>20 </w:t>
      </w:r>
      <w:r>
        <w:rPr>
          <w:spacing w:val="-4"/>
        </w:rPr>
        <w:t>亿元（其中线上订单、店面支付约</w:t>
      </w:r>
      <w:r>
        <w:rPr>
          <w:spacing w:val="-60"/>
        </w:rPr>
        <w:t> </w:t>
      </w:r>
      <w:r>
        <w:rPr>
          <w:rFonts w:ascii="Times New Roman" w:hAnsi="Times New Roman" w:cs="Times New Roman" w:eastAsia="Times New Roman" w:hint="default"/>
        </w:rPr>
        <w:t>8 </w:t>
      </w:r>
      <w:r>
        <w:rPr>
          <w:spacing w:val="-4"/>
        </w:rPr>
        <w:t>亿元，后期公司取消了该模式，只重点发展线上订单、线上支付）。通过一年积累，苏</w:t>
      </w:r>
      <w:r>
        <w:rPr>
          <w:spacing w:val="-87"/>
        </w:rPr>
        <w:t> </w:t>
      </w:r>
      <w:r>
        <w:rPr>
          <w:spacing w:val="-87"/>
        </w:rPr>
      </w:r>
      <w:r>
        <w:rPr/>
        <w:t>宁易购面向未来十年的发展战略已经基本确定。</w:t>
      </w:r>
    </w:p>
    <w:p>
      <w:pPr>
        <w:pStyle w:val="BodyText"/>
        <w:spacing w:line="240" w:lineRule="auto" w:before="46"/>
        <w:ind w:left="620" w:right="217"/>
        <w:jc w:val="left"/>
      </w:pPr>
      <w:r>
        <w:rPr>
          <w:rFonts w:ascii="Times New Roman" w:hAnsi="Times New Roman" w:cs="Times New Roman" w:eastAsia="Times New Roman" w:hint="default"/>
        </w:rPr>
        <w:t>3</w:t>
      </w:r>
      <w:r>
        <w:rPr/>
        <w:t>、完善后台平台建设</w:t>
      </w:r>
    </w:p>
    <w:p>
      <w:pPr>
        <w:pStyle w:val="BodyText"/>
        <w:spacing w:line="240" w:lineRule="auto" w:before="135"/>
        <w:ind w:left="620" w:right="217"/>
        <w:jc w:val="left"/>
      </w:pPr>
      <w:r>
        <w:rPr/>
        <w:t>（</w:t>
      </w:r>
      <w:r>
        <w:rPr>
          <w:rFonts w:ascii="Times New Roman" w:hAnsi="Times New Roman" w:cs="Times New Roman" w:eastAsia="Times New Roman" w:hint="default"/>
        </w:rPr>
        <w:t>1</w:t>
      </w:r>
      <w:r>
        <w:rPr/>
        <w:t>）现代化物流建设方面</w:t>
      </w:r>
    </w:p>
    <w:p>
      <w:pPr>
        <w:pStyle w:val="BodyText"/>
        <w:tabs>
          <w:tab w:pos="1039" w:val="left" w:leader="none"/>
        </w:tabs>
        <w:spacing w:line="240" w:lineRule="auto" w:before="135"/>
        <w:ind w:left="620" w:right="217"/>
        <w:jc w:val="left"/>
      </w:pPr>
      <w:r>
        <w:rPr>
          <w:rFonts w:ascii="Wingdings" w:hAnsi="Wingdings" w:cs="Wingdings" w:eastAsia="Wingdings" w:hint="default"/>
        </w:rPr>
        <w:t></w:t>
      </w:r>
      <w:r>
        <w:rPr>
          <w:rFonts w:ascii="Times New Roman" w:hAnsi="Times New Roman" w:cs="Times New Roman" w:eastAsia="Times New Roman" w:hint="default"/>
        </w:rPr>
        <w:tab/>
      </w:r>
      <w:r>
        <w:rPr/>
        <w:t>物流基地建设</w:t>
      </w:r>
    </w:p>
    <w:p>
      <w:pPr>
        <w:pStyle w:val="BodyText"/>
        <w:spacing w:line="338" w:lineRule="auto" w:before="137"/>
        <w:ind w:right="214" w:firstLine="540"/>
        <w:jc w:val="left"/>
      </w:pPr>
      <w:r>
        <w:rPr>
          <w:rFonts w:ascii="Wingdings" w:hAnsi="Wingdings" w:cs="Wingdings" w:eastAsia="Wingdings" w:hint="default"/>
        </w:rPr>
        <w:t></w:t>
      </w:r>
      <w:r>
        <w:rPr>
          <w:rFonts w:ascii="Wingdings" w:hAnsi="Wingdings" w:cs="Wingdings" w:eastAsia="Wingdings" w:hint="default"/>
          <w:spacing w:val="-131"/>
        </w:rPr>
        <w:t></w:t>
      </w:r>
      <w:r>
        <w:rPr>
          <w:rFonts w:ascii="Times New Roman" w:hAnsi="Times New Roman" w:cs="Times New Roman" w:eastAsia="Times New Roman" w:hint="default"/>
          <w:spacing w:val="-131"/>
        </w:rPr>
      </w:r>
      <w:r>
        <w:rPr>
          <w:spacing w:val="-3"/>
        </w:rPr>
        <w:t>沈阳物流基地正式投入使用；无锡、成都、合肥、天津、重庆等地共</w:t>
      </w:r>
      <w:r>
        <w:rPr>
          <w:spacing w:val="-60"/>
        </w:rPr>
        <w:t> </w:t>
      </w:r>
      <w:r>
        <w:rPr>
          <w:rFonts w:ascii="Times New Roman" w:hAnsi="Times New Roman" w:cs="Times New Roman" w:eastAsia="Times New Roman" w:hint="default"/>
        </w:rPr>
        <w:t>10 </w:t>
      </w:r>
      <w:r>
        <w:rPr/>
        <w:t>家物流 基地项目进入施工阶段；签约储备项目</w:t>
      </w:r>
      <w:r>
        <w:rPr>
          <w:spacing w:val="-60"/>
        </w:rPr>
        <w:t> </w:t>
      </w:r>
      <w:r>
        <w:rPr>
          <w:rFonts w:ascii="Times New Roman" w:hAnsi="Times New Roman" w:cs="Times New Roman" w:eastAsia="Times New Roman" w:hint="default"/>
        </w:rPr>
        <w:t>17 </w:t>
      </w:r>
      <w:r>
        <w:rPr/>
        <w:t>家。</w:t>
      </w:r>
    </w:p>
    <w:p>
      <w:pPr>
        <w:pStyle w:val="BodyText"/>
        <w:spacing w:line="338" w:lineRule="auto" w:before="27"/>
        <w:ind w:right="215" w:firstLine="540"/>
        <w:jc w:val="left"/>
      </w:pPr>
      <w:r>
        <w:rPr>
          <w:rFonts w:ascii="Wingdings" w:hAnsi="Wingdings" w:cs="Wingdings" w:eastAsia="Wingdings" w:hint="default"/>
        </w:rPr>
        <w:t></w:t>
      </w:r>
      <w:r>
        <w:rPr>
          <w:rFonts w:ascii="Wingdings" w:hAnsi="Wingdings" w:cs="Wingdings" w:eastAsia="Wingdings" w:hint="default"/>
          <w:spacing w:val="-102"/>
        </w:rPr>
        <w:t></w:t>
      </w:r>
      <w:r>
        <w:rPr>
          <w:rFonts w:ascii="Times New Roman" w:hAnsi="Times New Roman" w:cs="Times New Roman" w:eastAsia="Times New Roman" w:hint="default"/>
          <w:spacing w:val="-102"/>
        </w:rPr>
      </w:r>
      <w:r>
        <w:rPr/>
        <w:t>进一步明确物流基地功能定位和布局标准，完成自动化仓库运作模式及整体流 程的设计工作。</w:t>
      </w:r>
    </w:p>
    <w:p>
      <w:pPr>
        <w:pStyle w:val="BodyText"/>
        <w:spacing w:line="240" w:lineRule="auto" w:before="55"/>
        <w:ind w:left="620" w:right="217"/>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物流配送能力建设</w:t>
      </w:r>
    </w:p>
    <w:p>
      <w:pPr>
        <w:pStyle w:val="BodyText"/>
        <w:spacing w:line="338" w:lineRule="auto" w:before="137"/>
        <w:ind w:right="222" w:firstLine="540"/>
        <w:jc w:val="left"/>
      </w:pPr>
      <w:r>
        <w:rPr>
          <w:rFonts w:ascii="Wingdings" w:hAnsi="Wingdings" w:cs="Wingdings" w:eastAsia="Wingdings" w:hint="default"/>
        </w:rPr>
        <w:t></w:t>
      </w:r>
      <w:r>
        <w:rPr>
          <w:rFonts w:ascii="Wingdings" w:hAnsi="Wingdings" w:cs="Wingdings" w:eastAsia="Wingdings" w:hint="default"/>
          <w:spacing w:val="-69"/>
        </w:rPr>
        <w:t></w:t>
      </w:r>
      <w:r>
        <w:rPr>
          <w:rFonts w:ascii="Times New Roman" w:hAnsi="Times New Roman" w:cs="Times New Roman" w:eastAsia="Times New Roman" w:hint="default"/>
          <w:spacing w:val="-69"/>
        </w:rPr>
      </w:r>
      <w:r>
        <w:rPr/>
        <w:t>建立</w:t>
      </w:r>
      <w:r>
        <w:rPr>
          <w:spacing w:val="-60"/>
        </w:rPr>
        <w:t> </w:t>
      </w:r>
      <w:r>
        <w:rPr>
          <w:rFonts w:ascii="Times New Roman" w:hAnsi="Times New Roman" w:cs="Times New Roman" w:eastAsia="Times New Roman" w:hint="default"/>
        </w:rPr>
        <w:t>B2C </w:t>
      </w:r>
      <w:r>
        <w:rPr>
          <w:spacing w:val="-4"/>
        </w:rPr>
        <w:t>小件物流管理的组织，建设多级配送、毛细物流的快速流通网络；在</w:t>
      </w:r>
      <w:r>
        <w:rPr/>
        <w:t> 北京、上海等全国</w:t>
      </w:r>
      <w:r>
        <w:rPr>
          <w:spacing w:val="-60"/>
        </w:rPr>
        <w:t> </w:t>
      </w:r>
      <w:r>
        <w:rPr>
          <w:rFonts w:ascii="Times New Roman" w:hAnsi="Times New Roman" w:cs="Times New Roman" w:eastAsia="Times New Roman" w:hint="default"/>
        </w:rPr>
        <w:t>13 </w:t>
      </w:r>
      <w:r>
        <w:rPr/>
        <w:t>个城市建立快递点配送模式，实现主城区半日配送。</w:t>
      </w:r>
    </w:p>
    <w:p>
      <w:pPr>
        <w:pStyle w:val="BodyText"/>
        <w:spacing w:line="338" w:lineRule="auto" w:before="27"/>
        <w:ind w:right="217" w:firstLine="540"/>
        <w:jc w:val="left"/>
      </w:pPr>
      <w:r>
        <w:rPr>
          <w:rFonts w:ascii="Wingdings" w:hAnsi="Wingdings" w:cs="Wingdings" w:eastAsia="Wingdings" w:hint="default"/>
        </w:rPr>
        <w:t></w:t>
      </w:r>
      <w:r>
        <w:rPr>
          <w:rFonts w:ascii="Wingdings" w:hAnsi="Wingdings" w:cs="Wingdings" w:eastAsia="Wingdings" w:hint="default"/>
          <w:spacing w:val="-76"/>
        </w:rPr>
        <w:t></w:t>
      </w:r>
      <w:r>
        <w:rPr>
          <w:rFonts w:ascii="Times New Roman" w:hAnsi="Times New Roman" w:cs="Times New Roman" w:eastAsia="Times New Roman" w:hint="default"/>
          <w:spacing w:val="-76"/>
        </w:rPr>
      </w:r>
      <w:r>
        <w:rPr/>
        <w:t>物流配送到户的响应时效进一步提升，配送实施由</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小时准确到</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4"/>
        </w:rPr>
        <w:t>小时，准时</w:t>
      </w:r>
      <w:r>
        <w:rPr/>
        <w:t> 完成率稳步提高。</w:t>
      </w:r>
    </w:p>
    <w:p>
      <w:pPr>
        <w:pStyle w:val="BodyText"/>
        <w:tabs>
          <w:tab w:pos="1039" w:val="left" w:leader="none"/>
        </w:tabs>
        <w:spacing w:line="338" w:lineRule="auto" w:before="55"/>
        <w:ind w:left="620" w:right="233"/>
        <w:jc w:val="left"/>
      </w:pPr>
      <w:r>
        <w:rPr>
          <w:rFonts w:ascii="Wingdings" w:hAnsi="Wingdings" w:cs="Wingdings" w:eastAsia="Wingdings" w:hint="default"/>
        </w:rPr>
        <w:t></w:t>
      </w:r>
      <w:r>
        <w:rPr>
          <w:rFonts w:ascii="Times New Roman" w:hAnsi="Times New Roman" w:cs="Times New Roman" w:eastAsia="Times New Roman" w:hint="default"/>
        </w:rPr>
        <w:tab/>
      </w:r>
      <w:r>
        <w:rPr/>
        <w:t>信息化和专业化的物流运作 </w:t>
      </w:r>
      <w:r>
        <w:rPr>
          <w:spacing w:val="-3"/>
        </w:rPr>
        <w:t>物流网络数字化、集中派工与排程共享提升了配送作业的可控度。大件商品全面推</w:t>
      </w:r>
    </w:p>
    <w:p>
      <w:pPr>
        <w:pStyle w:val="BodyText"/>
        <w:spacing w:line="338" w:lineRule="auto" w:before="55"/>
        <w:ind w:right="216"/>
        <w:jc w:val="left"/>
      </w:pPr>
      <w:r>
        <w:rPr/>
        <w:t>广仓位管理，</w:t>
      </w:r>
      <w:r>
        <w:rPr>
          <w:rFonts w:ascii="Times New Roman" w:hAnsi="Times New Roman" w:cs="Times New Roman" w:eastAsia="Times New Roman" w:hint="default"/>
        </w:rPr>
        <w:t>3C</w:t>
      </w:r>
      <w:r>
        <w:rPr>
          <w:rFonts w:ascii="Times New Roman" w:hAnsi="Times New Roman" w:cs="Times New Roman" w:eastAsia="Times New Roman" w:hint="default"/>
          <w:spacing w:val="48"/>
        </w:rPr>
        <w:t> </w:t>
      </w:r>
      <w:r>
        <w:rPr/>
        <w:t>商品采用电子标签技术，实现拣货可视化、作业无纸化，提高了仓储 作业效率。</w:t>
      </w:r>
    </w:p>
    <w:p>
      <w:pPr>
        <w:pStyle w:val="BodyText"/>
        <w:spacing w:line="240" w:lineRule="auto" w:before="55"/>
        <w:ind w:left="620" w:right="217"/>
        <w:jc w:val="left"/>
      </w:pPr>
      <w:r>
        <w:rPr/>
        <w:t>（</w:t>
      </w:r>
      <w:r>
        <w:rPr>
          <w:rFonts w:ascii="Times New Roman" w:hAnsi="Times New Roman" w:cs="Times New Roman" w:eastAsia="Times New Roman" w:hint="default"/>
        </w:rPr>
        <w:t>2</w:t>
      </w:r>
      <w:r>
        <w:rPr/>
        <w:t>）售后服务建设方面</w:t>
      </w:r>
    </w:p>
    <w:p>
      <w:pPr>
        <w:pStyle w:val="BodyText"/>
        <w:tabs>
          <w:tab w:pos="979" w:val="left" w:leader="none"/>
        </w:tabs>
        <w:spacing w:line="338" w:lineRule="auto" w:before="135"/>
        <w:ind w:right="113" w:firstLine="424"/>
        <w:jc w:val="left"/>
      </w:pPr>
      <w:r>
        <w:rPr>
          <w:rFonts w:ascii="Wingdings" w:hAnsi="Wingdings" w:cs="Wingdings" w:eastAsia="Wingdings" w:hint="default"/>
        </w:rPr>
        <w:t></w:t>
      </w:r>
      <w:r>
        <w:rPr>
          <w:rFonts w:ascii="Times New Roman" w:hAnsi="Times New Roman" w:cs="Times New Roman" w:eastAsia="Times New Roman" w:hint="default"/>
        </w:rPr>
        <w:tab/>
      </w:r>
      <w:r>
        <w:rPr>
          <w:spacing w:val="-3"/>
        </w:rPr>
        <w:t>安维业务持续推进品类拓展；安装方面，空调、电热水器稳步提升，平板电视、</w:t>
      </w:r>
      <w:r>
        <w:rPr/>
        <w:t> 电脑快速增长；维修方面，通过</w:t>
      </w:r>
      <w:r>
        <w:rPr>
          <w:spacing w:val="-60"/>
        </w:rPr>
        <w:t> </w:t>
      </w:r>
      <w:r>
        <w:rPr>
          <w:rFonts w:ascii="Times New Roman" w:hAnsi="Times New Roman" w:cs="Times New Roman" w:eastAsia="Times New Roman" w:hint="default"/>
        </w:rPr>
        <w:t>3C</w:t>
      </w:r>
      <w:r>
        <w:rPr>
          <w:rFonts w:ascii="Times New Roman" w:hAnsi="Times New Roman" w:cs="Times New Roman" w:eastAsia="Times New Roman" w:hint="default"/>
          <w:spacing w:val="-1"/>
        </w:rPr>
        <w:t> </w:t>
      </w:r>
      <w:r>
        <w:rPr/>
        <w:t>服务中心、维修车间，全面承接各品类维修业务， 形成统一受理、集中管理的服务模式。</w:t>
      </w:r>
    </w:p>
    <w:p>
      <w:pPr>
        <w:pStyle w:val="BodyText"/>
        <w:tabs>
          <w:tab w:pos="979" w:val="left" w:leader="none"/>
        </w:tabs>
        <w:spacing w:line="240" w:lineRule="auto" w:before="55"/>
        <w:ind w:left="564" w:right="97"/>
        <w:jc w:val="left"/>
      </w:pPr>
      <w:r>
        <w:rPr>
          <w:rFonts w:ascii="Wingdings" w:hAnsi="Wingdings" w:cs="Wingdings" w:eastAsia="Wingdings" w:hint="default"/>
        </w:rPr>
        <w:t></w:t>
      </w:r>
      <w:r>
        <w:rPr>
          <w:rFonts w:ascii="Times New Roman" w:hAnsi="Times New Roman" w:cs="Times New Roman" w:eastAsia="Times New Roman" w:hint="default"/>
        </w:rPr>
        <w:tab/>
      </w:r>
      <w:r>
        <w:rPr/>
        <w:t>售后网点近</w:t>
      </w:r>
      <w:r>
        <w:rPr>
          <w:spacing w:val="-60"/>
        </w:rPr>
        <w:t> </w:t>
      </w:r>
      <w:r>
        <w:rPr>
          <w:rFonts w:ascii="Times New Roman" w:hAnsi="Times New Roman" w:cs="Times New Roman" w:eastAsia="Times New Roman" w:hint="default"/>
        </w:rPr>
        <w:t>3,800 </w:t>
      </w:r>
      <w:r>
        <w:rPr/>
        <w:t>家，网络延伸至乡镇市场，储备超过千名</w:t>
      </w:r>
      <w:r>
        <w:rPr>
          <w:spacing w:val="-60"/>
        </w:rPr>
        <w:t> </w:t>
      </w:r>
      <w:r>
        <w:rPr>
          <w:rFonts w:ascii="Times New Roman" w:hAnsi="Times New Roman" w:cs="Times New Roman" w:eastAsia="Times New Roman" w:hint="default"/>
        </w:rPr>
        <w:t>3C</w:t>
      </w:r>
      <w:r>
        <w:rPr>
          <w:rFonts w:ascii="Times New Roman" w:hAnsi="Times New Roman" w:cs="Times New Roman" w:eastAsia="Times New Roman" w:hint="default"/>
          <w:spacing w:val="-1"/>
        </w:rPr>
        <w:t> </w:t>
      </w:r>
      <w:r>
        <w:rPr/>
        <w:t>维修梯队人才。</w:t>
      </w:r>
    </w:p>
    <w:p>
      <w:pPr>
        <w:pStyle w:val="BodyText"/>
        <w:spacing w:line="338" w:lineRule="auto" w:before="135"/>
        <w:ind w:right="231" w:firstLine="424"/>
        <w:jc w:val="both"/>
      </w:pPr>
      <w:r>
        <w:rPr>
          <w:rFonts w:ascii="Wingdings" w:hAnsi="Wingdings" w:cs="Wingdings" w:eastAsia="Wingdings" w:hint="default"/>
        </w:rPr>
        <w:t></w:t>
      </w:r>
      <w:r>
        <w:rPr>
          <w:rFonts w:ascii="Times New Roman" w:hAnsi="Times New Roman" w:cs="Times New Roman" w:eastAsia="Times New Roman" w:hint="default"/>
        </w:rPr>
      </w:r>
      <w:r>
        <w:rPr/>
        <w:t>推出家电健康体检、家电管家卡、柠檬卡定制服务、春秋保养活动、</w:t>
      </w:r>
      <w:r>
        <w:rPr>
          <w:rFonts w:ascii="Times New Roman" w:hAnsi="Times New Roman" w:cs="Times New Roman" w:eastAsia="Times New Roman" w:hint="default"/>
        </w:rPr>
        <w:t>200</w:t>
      </w:r>
      <w:r>
        <w:rPr>
          <w:rFonts w:ascii="Times New Roman" w:hAnsi="Times New Roman" w:cs="Times New Roman" w:eastAsia="Times New Roman" w:hint="default"/>
          <w:spacing w:val="23"/>
        </w:rPr>
        <w:t> </w:t>
      </w:r>
      <w:r>
        <w:rPr/>
        <w:t>万家</w:t>
      </w:r>
      <w:r>
        <w:rPr>
          <w:spacing w:val="1"/>
        </w:rPr>
        <w:t> </w:t>
      </w:r>
      <w:r>
        <w:rPr>
          <w:spacing w:val="-4"/>
        </w:rPr>
        <w:t>电关怀计划等，通过</w:t>
      </w:r>
      <w:r>
        <w:rPr>
          <w:spacing w:val="-71"/>
        </w:rPr>
        <w:t> </w:t>
      </w:r>
      <w:r>
        <w:rPr>
          <w:rFonts w:ascii="Times New Roman" w:hAnsi="Times New Roman" w:cs="Times New Roman" w:eastAsia="Times New Roman" w:hint="default"/>
          <w:spacing w:val="-6"/>
        </w:rPr>
        <w:t>CRM</w:t>
      </w:r>
      <w:r>
        <w:rPr>
          <w:spacing w:val="-6"/>
        </w:rPr>
        <w:t>、</w:t>
      </w:r>
      <w:r>
        <w:rPr>
          <w:rFonts w:ascii="Times New Roman" w:hAnsi="Times New Roman" w:cs="Times New Roman" w:eastAsia="Times New Roman" w:hint="default"/>
          <w:spacing w:val="-6"/>
        </w:rPr>
        <w:t>SCS</w:t>
      </w:r>
      <w:r>
        <w:rPr>
          <w:spacing w:val="-6"/>
        </w:rPr>
        <w:t>、</w:t>
      </w:r>
      <w:r>
        <w:rPr>
          <w:rFonts w:ascii="Times New Roman" w:hAnsi="Times New Roman" w:cs="Times New Roman" w:eastAsia="Times New Roman" w:hint="default"/>
          <w:spacing w:val="-6"/>
        </w:rPr>
        <w:t>BW</w:t>
      </w:r>
      <w:r>
        <w:rPr>
          <w:rFonts w:ascii="Times New Roman" w:hAnsi="Times New Roman" w:cs="Times New Roman" w:eastAsia="Times New Roman" w:hint="default"/>
          <w:spacing w:val="-14"/>
        </w:rPr>
        <w:t> </w:t>
      </w:r>
      <w:r>
        <w:rPr/>
        <w:t>系统平台强化了作业基础管理，顾客满意度持续 增长。</w:t>
      </w:r>
    </w:p>
    <w:p>
      <w:pPr>
        <w:pStyle w:val="BodyText"/>
        <w:spacing w:line="338" w:lineRule="auto" w:before="55"/>
        <w:ind w:right="230" w:firstLine="424"/>
        <w:jc w:val="both"/>
      </w:pPr>
      <w:r>
        <w:rPr>
          <w:rFonts w:ascii="Wingdings" w:hAnsi="Wingdings" w:cs="Wingdings" w:eastAsia="Wingdings" w:hint="default"/>
        </w:rPr>
        <w:t></w:t>
      </w:r>
      <w:r>
        <w:rPr>
          <w:rFonts w:ascii="Times New Roman" w:hAnsi="Times New Roman" w:cs="Times New Roman" w:eastAsia="Times New Roman" w:hint="default"/>
        </w:rPr>
      </w:r>
      <w:r>
        <w:rPr>
          <w:rFonts w:ascii="Times New Roman" w:hAnsi="Times New Roman" w:cs="Times New Roman" w:eastAsia="Times New Roman" w:hint="default"/>
        </w:rPr>
        <w:t>10</w:t>
      </w:r>
      <w:r>
        <w:rPr>
          <w:rFonts w:ascii="Times New Roman" w:hAnsi="Times New Roman" w:cs="Times New Roman" w:eastAsia="Times New Roman" w:hint="default"/>
          <w:spacing w:val="27"/>
        </w:rPr>
        <w:t> </w:t>
      </w:r>
      <w:r>
        <w:rPr>
          <w:spacing w:val="3"/>
        </w:rPr>
        <w:t>月，与三星电子（北京）技术服务有限公司在南京举行“三星·苏宁服务</w:t>
      </w:r>
      <w:r>
        <w:rPr>
          <w:spacing w:val="4"/>
        </w:rPr>
        <w:t> </w:t>
      </w:r>
      <w:r>
        <w:rPr>
          <w:rFonts w:ascii="Times New Roman" w:hAnsi="Times New Roman" w:cs="Times New Roman" w:eastAsia="Times New Roman" w:hint="default"/>
          <w:spacing w:val="-1"/>
        </w:rPr>
        <w:t>B2B</w:t>
      </w:r>
      <w:r>
        <w:rPr>
          <w:rFonts w:ascii="Times New Roman" w:hAnsi="Times New Roman" w:cs="Times New Roman" w:eastAsia="Times New Roman" w:hint="default"/>
          <w:spacing w:val="5"/>
        </w:rPr>
        <w:t> </w:t>
      </w:r>
      <w:r>
        <w:rPr>
          <w:spacing w:val="-15"/>
        </w:rPr>
        <w:t>启动仪式”，双方就服务</w:t>
      </w:r>
      <w:r>
        <w:rPr>
          <w:spacing w:val="-54"/>
        </w:rPr>
        <w:t> </w:t>
      </w:r>
      <w:r>
        <w:rPr>
          <w:rFonts w:ascii="Times New Roman" w:hAnsi="Times New Roman" w:cs="Times New Roman" w:eastAsia="Times New Roman" w:hint="default"/>
          <w:spacing w:val="-1"/>
        </w:rPr>
        <w:t>B2B</w:t>
      </w:r>
      <w:r>
        <w:rPr>
          <w:rFonts w:ascii="Times New Roman" w:hAnsi="Times New Roman" w:cs="Times New Roman" w:eastAsia="Times New Roman" w:hint="default"/>
          <w:spacing w:val="5"/>
        </w:rPr>
        <w:t> </w:t>
      </w:r>
      <w:r>
        <w:rPr>
          <w:spacing w:val="-2"/>
        </w:rPr>
        <w:t>对接项目的实施合作等达成合作协议，成为服务信息</w:t>
      </w:r>
      <w:r>
        <w:rPr/>
        <w:t> 数字化的里程碑。</w:t>
      </w:r>
    </w:p>
    <w:p>
      <w:pPr>
        <w:spacing w:after="0" w:line="338" w:lineRule="auto"/>
        <w:jc w:val="both"/>
        <w:sectPr>
          <w:footerReference w:type="default" r:id="rId14"/>
          <w:pgSz w:w="11910" w:h="16840"/>
          <w:pgMar w:footer="714" w:header="748" w:top="980" w:bottom="900" w:left="1300" w:right="1200"/>
          <w:pgNumType w:start="33"/>
        </w:sectPr>
      </w:pPr>
    </w:p>
    <w:p>
      <w:pPr>
        <w:spacing w:line="240" w:lineRule="auto" w:before="7"/>
        <w:rPr>
          <w:rFonts w:ascii="宋体" w:hAnsi="宋体" w:cs="宋体" w:eastAsia="宋体" w:hint="default"/>
          <w:sz w:val="29"/>
          <w:szCs w:val="29"/>
        </w:rPr>
      </w:pPr>
    </w:p>
    <w:p>
      <w:pPr>
        <w:pStyle w:val="BodyText"/>
        <w:spacing w:line="240" w:lineRule="auto" w:before="26"/>
        <w:ind w:left="620" w:right="217"/>
        <w:jc w:val="left"/>
      </w:pPr>
      <w:r>
        <w:rPr/>
        <w:t>（</w:t>
      </w:r>
      <w:r>
        <w:rPr>
          <w:rFonts w:ascii="Times New Roman" w:hAnsi="Times New Roman" w:cs="Times New Roman" w:eastAsia="Times New Roman" w:hint="default"/>
        </w:rPr>
        <w:t>3</w:t>
      </w:r>
      <w:r>
        <w:rPr/>
        <w:t>）客户服务平台建设方面</w:t>
      </w:r>
    </w:p>
    <w:p>
      <w:pPr>
        <w:pStyle w:val="BodyText"/>
        <w:spacing w:line="348" w:lineRule="auto" w:before="135"/>
        <w:ind w:right="230" w:firstLine="426"/>
        <w:jc w:val="both"/>
      </w:pPr>
      <w:r>
        <w:rPr>
          <w:rFonts w:ascii="Wingdings" w:hAnsi="Wingdings" w:cs="Wingdings" w:eastAsia="Wingdings" w:hint="default"/>
        </w:rPr>
        <w:t></w:t>
      </w:r>
      <w:r>
        <w:rPr>
          <w:rFonts w:ascii="Wingdings" w:hAnsi="Wingdings" w:cs="Wingdings" w:eastAsia="Wingdings" w:hint="default"/>
          <w:spacing w:val="10"/>
        </w:rPr>
        <w:t></w:t>
      </w:r>
      <w:r>
        <w:rPr>
          <w:rFonts w:ascii="Times New Roman" w:hAnsi="Times New Roman" w:cs="Times New Roman" w:eastAsia="Times New Roman" w:hint="default"/>
          <w:spacing w:val="10"/>
        </w:rPr>
      </w:r>
      <w:r>
        <w:rPr/>
        <w:t>服务易栈、短信回访、语音自助查询、自动制单等平台建设完成；多媒体客户 </w:t>
      </w:r>
      <w:r>
        <w:rPr>
          <w:spacing w:val="-3"/>
        </w:rPr>
        <w:t>服务平台成功上线，拓展了语音、网络、短信、邮件等多种服务形式，为顾客提供全天</w:t>
      </w:r>
      <w:r>
        <w:rPr>
          <w:spacing w:val="-96"/>
        </w:rPr>
        <w:t> </w:t>
      </w:r>
      <w:r>
        <w:rPr>
          <w:spacing w:val="-96"/>
        </w:rPr>
      </w:r>
      <w:r>
        <w:rPr/>
        <w:t>候、全方位的服务，实现了送货、安装、维修全流程可视化功能。</w:t>
      </w:r>
    </w:p>
    <w:p>
      <w:pPr>
        <w:pStyle w:val="BodyText"/>
        <w:spacing w:line="338" w:lineRule="auto" w:before="46"/>
        <w:ind w:left="139" w:right="233" w:firstLine="426"/>
        <w:jc w:val="both"/>
      </w:pPr>
      <w:r>
        <w:rPr>
          <w:rFonts w:ascii="Wingdings" w:hAnsi="Wingdings" w:cs="Wingdings" w:eastAsia="Wingdings" w:hint="default"/>
          <w:w w:val="100"/>
        </w:rPr>
        <w:t></w:t>
      </w:r>
      <w:r>
        <w:rPr>
          <w:rFonts w:ascii="Wingdings" w:hAnsi="Wingdings" w:cs="Wingdings" w:eastAsia="Wingdings" w:hint="default"/>
          <w:spacing w:val="25"/>
          <w:w w:val="100"/>
        </w:rPr>
        <w:t></w:t>
      </w:r>
      <w:r>
        <w:rPr>
          <w:rFonts w:ascii="Times New Roman" w:hAnsi="Times New Roman" w:cs="Times New Roman" w:eastAsia="Times New Roman" w:hint="default"/>
          <w:spacing w:val="25"/>
          <w:w w:val="100"/>
        </w:rPr>
      </w:r>
      <w:r>
        <w:rPr>
          <w:spacing w:val="-7"/>
        </w:rPr>
        <w:t>连续第二年启动“倾听工程”，聘请业内资深调研公司从售后服务和会员座谈双</w:t>
      </w:r>
      <w:r>
        <w:rPr/>
        <w:t> 重维度展开，涉及全国</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t>多个城市，超过</w:t>
      </w:r>
      <w:r>
        <w:rPr>
          <w:spacing w:val="-53"/>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7"/>
        </w:rPr>
        <w:t> </w:t>
      </w:r>
      <w:r>
        <w:rPr/>
        <w:t>个调研样本，为公司持续提高服务满 意度提供有力支撑。</w:t>
      </w:r>
    </w:p>
    <w:p>
      <w:pPr>
        <w:pStyle w:val="BodyText"/>
        <w:spacing w:line="240" w:lineRule="auto" w:before="55"/>
        <w:ind w:left="620" w:right="217"/>
        <w:jc w:val="left"/>
      </w:pPr>
      <w:r>
        <w:rPr/>
        <w:t>（</w:t>
      </w:r>
      <w:r>
        <w:rPr>
          <w:rFonts w:ascii="Times New Roman" w:hAnsi="Times New Roman" w:cs="Times New Roman" w:eastAsia="Times New Roman" w:hint="default"/>
        </w:rPr>
        <w:t>4</w:t>
      </w:r>
      <w:r>
        <w:rPr/>
        <w:t>）信息平台建设方面</w:t>
      </w:r>
    </w:p>
    <w:p>
      <w:pPr>
        <w:pStyle w:val="BodyText"/>
        <w:spacing w:line="348" w:lineRule="auto" w:before="135"/>
        <w:ind w:right="230" w:firstLine="420"/>
        <w:jc w:val="both"/>
      </w:pPr>
      <w:r>
        <w:rPr>
          <w:rFonts w:ascii="Wingdings" w:hAnsi="Wingdings" w:cs="Wingdings" w:eastAsia="Wingdings" w:hint="default"/>
        </w:rPr>
        <w:t></w:t>
      </w:r>
      <w:r>
        <w:rPr>
          <w:rFonts w:ascii="Wingdings" w:hAnsi="Wingdings" w:cs="Wingdings" w:eastAsia="Wingdings" w:hint="default"/>
          <w:spacing w:val="16"/>
        </w:rPr>
        <w:t></w:t>
      </w:r>
      <w:r>
        <w:rPr>
          <w:rFonts w:ascii="Times New Roman" w:hAnsi="Times New Roman" w:cs="Times New Roman" w:eastAsia="Times New Roman" w:hint="default"/>
          <w:spacing w:val="16"/>
        </w:rPr>
      </w:r>
      <w:r>
        <w:rPr/>
        <w:t>项目实施与内部管理方面，形成并固化符合自身特点的项目实施方法论，实现 </w:t>
      </w:r>
      <w:r>
        <w:rPr>
          <w:spacing w:val="-3"/>
        </w:rPr>
        <w:t>从需求、计划、实施、评估以及资源调度在内的全程在线管理，通过更加透明和持续的</w:t>
      </w:r>
      <w:r>
        <w:rPr>
          <w:spacing w:val="-98"/>
        </w:rPr>
        <w:t> </w:t>
      </w:r>
      <w:r>
        <w:rPr>
          <w:spacing w:val="-98"/>
        </w:rPr>
      </w:r>
      <w:r>
        <w:rPr/>
        <w:t>过程监管，实现项目开发质的提升。</w:t>
      </w:r>
    </w:p>
    <w:p>
      <w:pPr>
        <w:pStyle w:val="BodyText"/>
        <w:tabs>
          <w:tab w:pos="979" w:val="left" w:leader="none"/>
        </w:tabs>
        <w:spacing w:line="338" w:lineRule="auto" w:before="46"/>
        <w:ind w:right="113"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3"/>
        </w:rPr>
        <w:t>应用能力方面，在分析上基于需求源头进行规划，在实施上结合业务发展主线，</w:t>
      </w:r>
      <w:r>
        <w:rPr/>
        <w:t> 信息化应用已经渗透到企业管理的各个环节，真正解决业务部门所需。</w:t>
      </w:r>
    </w:p>
    <w:p>
      <w:pPr>
        <w:pStyle w:val="BodyText"/>
        <w:spacing w:line="338" w:lineRule="auto" w:before="55"/>
        <w:ind w:right="230" w:firstLine="420"/>
        <w:jc w:val="both"/>
      </w:pPr>
      <w:r>
        <w:rPr>
          <w:rFonts w:ascii="Wingdings" w:hAnsi="Wingdings" w:cs="Wingdings" w:eastAsia="Wingdings" w:hint="default"/>
        </w:rPr>
        <w:t></w:t>
      </w:r>
      <w:r>
        <w:rPr>
          <w:rFonts w:ascii="Wingdings" w:hAnsi="Wingdings" w:cs="Wingdings" w:eastAsia="Wingdings" w:hint="default"/>
          <w:spacing w:val="16"/>
        </w:rPr>
        <w:t></w:t>
      </w:r>
      <w:r>
        <w:rPr>
          <w:rFonts w:ascii="Times New Roman" w:hAnsi="Times New Roman" w:cs="Times New Roman" w:eastAsia="Times New Roman" w:hint="default"/>
          <w:spacing w:val="16"/>
        </w:rPr>
      </w:r>
      <w:r>
        <w:rPr/>
        <w:t>运维支持方面，随着总部数据备份中心的应用，信息化将具有一主一备两个强 大后台。 </w:t>
      </w:r>
      <w:r>
        <w:rPr>
          <w:rFonts w:ascii="Times New Roman" w:hAnsi="Times New Roman" w:cs="Times New Roman" w:eastAsia="Times New Roman" w:hint="default"/>
        </w:rPr>
        <w:t>IT</w:t>
      </w:r>
      <w:r>
        <w:rPr>
          <w:rFonts w:ascii="Times New Roman" w:hAnsi="Times New Roman" w:cs="Times New Roman" w:eastAsia="Times New Roman" w:hint="default"/>
          <w:spacing w:val="-19"/>
        </w:rPr>
        <w:t> </w:t>
      </w:r>
      <w:r>
        <w:rPr/>
        <w:t>客服体系通过多渠道受理方式的建立和软硬件在线运维工程师的培养提升 了工作能力，为员工提供一个稳定、高效的使用环境，提升内部使用体验。</w:t>
      </w:r>
    </w:p>
    <w:p>
      <w:pPr>
        <w:pStyle w:val="BodyText"/>
        <w:spacing w:line="240" w:lineRule="auto" w:before="55"/>
        <w:ind w:left="620" w:right="217"/>
        <w:jc w:val="left"/>
      </w:pPr>
      <w:r>
        <w:rPr/>
        <w:t>（</w:t>
      </w:r>
      <w:r>
        <w:rPr>
          <w:rFonts w:ascii="Times New Roman" w:hAnsi="Times New Roman" w:cs="Times New Roman" w:eastAsia="Times New Roman" w:hint="default"/>
        </w:rPr>
        <w:t>5</w:t>
      </w:r>
      <w:r>
        <w:rPr/>
        <w:t>）人力资源平台建设方面</w:t>
      </w:r>
    </w:p>
    <w:p>
      <w:pPr>
        <w:pStyle w:val="BodyText"/>
        <w:tabs>
          <w:tab w:pos="979" w:val="left" w:leader="none"/>
        </w:tabs>
        <w:spacing w:line="338" w:lineRule="auto" w:before="135"/>
        <w:ind w:right="233" w:firstLine="420"/>
        <w:jc w:val="left"/>
      </w:pPr>
      <w:r>
        <w:rPr>
          <w:rFonts w:ascii="Wingdings" w:hAnsi="Wingdings" w:cs="Wingdings" w:eastAsia="Wingdings" w:hint="default"/>
        </w:rPr>
        <w:t></w:t>
      </w:r>
      <w:r>
        <w:rPr>
          <w:rFonts w:ascii="Times New Roman" w:hAnsi="Times New Roman" w:cs="Times New Roman" w:eastAsia="Times New Roman" w:hint="default"/>
        </w:rPr>
        <w:tab/>
      </w:r>
      <w:r>
        <w:rPr/>
        <w:t>实施首期股票期权激励计划，向</w:t>
      </w:r>
      <w:r>
        <w:rPr>
          <w:spacing w:val="-71"/>
        </w:rPr>
        <w:t> </w:t>
      </w:r>
      <w:r>
        <w:rPr>
          <w:rFonts w:ascii="Times New Roman" w:hAnsi="Times New Roman" w:cs="Times New Roman" w:eastAsia="Times New Roman" w:hint="default"/>
        </w:rPr>
        <w:t>248</w:t>
      </w:r>
      <w:r>
        <w:rPr>
          <w:rFonts w:ascii="Times New Roman" w:hAnsi="Times New Roman" w:cs="Times New Roman" w:eastAsia="Times New Roman" w:hint="default"/>
          <w:spacing w:val="-11"/>
        </w:rPr>
        <w:t> </w:t>
      </w:r>
      <w:r>
        <w:rPr/>
        <w:t>位包括公司中高层管理人员、</w:t>
      </w:r>
      <w:r>
        <w:rPr>
          <w:rFonts w:ascii="Times New Roman" w:hAnsi="Times New Roman" w:cs="Times New Roman" w:eastAsia="Times New Roman" w:hint="default"/>
        </w:rPr>
        <w:t>1200</w:t>
      </w:r>
      <w:r>
        <w:rPr>
          <w:rFonts w:ascii="Times New Roman" w:hAnsi="Times New Roman" w:cs="Times New Roman" w:eastAsia="Times New Roman" w:hint="default"/>
          <w:spacing w:val="-11"/>
        </w:rPr>
        <w:t> </w:t>
      </w:r>
      <w:r>
        <w:rPr/>
        <w:t>工程一 至三期核心经营管理骨干，以及核心技术人员授予</w:t>
      </w:r>
      <w:r>
        <w:rPr>
          <w:spacing w:val="-60"/>
        </w:rPr>
        <w:t> </w:t>
      </w:r>
      <w:r>
        <w:rPr>
          <w:rFonts w:ascii="Times New Roman" w:hAnsi="Times New Roman" w:cs="Times New Roman" w:eastAsia="Times New Roman" w:hint="default"/>
        </w:rPr>
        <w:t>8,469 </w:t>
      </w:r>
      <w:r>
        <w:rPr/>
        <w:t>万份股票期权。</w:t>
      </w:r>
    </w:p>
    <w:p>
      <w:pPr>
        <w:pStyle w:val="BodyText"/>
        <w:spacing w:line="357" w:lineRule="auto" w:before="27"/>
        <w:ind w:right="124" w:firstLine="480"/>
        <w:jc w:val="left"/>
      </w:pPr>
      <w:r>
        <w:rPr>
          <w:spacing w:val="-3"/>
        </w:rPr>
        <w:t>团队建设和人才培养一直是苏宁始终保持快速稳健发展的内在动力，期权激励计划</w:t>
      </w:r>
      <w:r>
        <w:rPr/>
        <w:t> 的推出进一步完善苏宁面向员工长期发展和价值体现的全面的薪酬、福利和激励体系， 真正将企业价值、投资者价值和员工价值三者有机统一，实现企业的可持续发展。</w:t>
      </w:r>
    </w:p>
    <w:p>
      <w:pPr>
        <w:pStyle w:val="BodyText"/>
        <w:tabs>
          <w:tab w:pos="979" w:val="left" w:leader="none"/>
        </w:tabs>
        <w:spacing w:line="348" w:lineRule="auto" w:before="36"/>
        <w:ind w:right="113"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3"/>
        </w:rPr>
        <w:t>围绕企业业务发展和干部提升，全年实施培训项目</w:t>
      </w:r>
      <w:r>
        <w:rPr>
          <w:spacing w:val="-55"/>
        </w:rPr>
        <w:t> </w:t>
      </w:r>
      <w:r>
        <w:rPr>
          <w:rFonts w:ascii="Times New Roman" w:hAnsi="Times New Roman" w:cs="Times New Roman" w:eastAsia="Times New Roman" w:hint="default"/>
        </w:rPr>
        <w:t>9192</w:t>
      </w:r>
      <w:r>
        <w:rPr>
          <w:rFonts w:ascii="Times New Roman" w:hAnsi="Times New Roman" w:cs="Times New Roman" w:eastAsia="Times New Roman" w:hint="default"/>
          <w:spacing w:val="5"/>
        </w:rPr>
        <w:t> </w:t>
      </w:r>
      <w:r>
        <w:rPr>
          <w:spacing w:val="-12"/>
        </w:rPr>
        <w:t>个，培训</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万余人次， </w:t>
      </w:r>
      <w:r>
        <w:rPr>
          <w:spacing w:val="3"/>
        </w:rPr>
        <w:t>苏宁大学筹建工作也开始进入首期培训项目实施阶段，公司培训力度与数量大幅度提</w:t>
      </w:r>
      <w:r>
        <w:rPr>
          <w:spacing w:val="-94"/>
        </w:rPr>
        <w:t> </w:t>
      </w:r>
      <w:r>
        <w:rPr>
          <w:spacing w:val="-94"/>
        </w:rPr>
      </w:r>
      <w:r>
        <w:rPr/>
        <w:t>高。</w:t>
      </w:r>
    </w:p>
    <w:p>
      <w:pPr>
        <w:pStyle w:val="BodyText"/>
        <w:tabs>
          <w:tab w:pos="979" w:val="left" w:leader="none"/>
        </w:tabs>
        <w:spacing w:line="348" w:lineRule="auto" w:before="46"/>
        <w:ind w:right="112"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3"/>
        </w:rPr>
        <w:t>全面启动人事共享服务建设，完成入离职、考勤、合同管理、档案管理、工资、</w:t>
      </w:r>
      <w:r>
        <w:rPr/>
        <w:t> </w:t>
      </w:r>
      <w:r>
        <w:rPr>
          <w:spacing w:val="-3"/>
        </w:rPr>
        <w:t>统筹、人事咨询等模块标准流程梳理，出排班、异常考勤、薪资三个模块已进入系统开</w:t>
      </w:r>
      <w:r>
        <w:rPr>
          <w:spacing w:val="-98"/>
        </w:rPr>
        <w:t> </w:t>
      </w:r>
      <w:r>
        <w:rPr>
          <w:spacing w:val="-98"/>
        </w:rPr>
      </w:r>
      <w:r>
        <w:rPr/>
        <w:t>发上线阶段。</w:t>
      </w:r>
    </w:p>
    <w:p>
      <w:pPr>
        <w:pStyle w:val="BodyText"/>
        <w:spacing w:line="240" w:lineRule="auto" w:before="46"/>
        <w:ind w:left="620" w:right="217"/>
        <w:jc w:val="left"/>
      </w:pPr>
      <w:r>
        <w:rPr>
          <w:rFonts w:ascii="Times New Roman" w:hAnsi="Times New Roman" w:cs="Times New Roman" w:eastAsia="Times New Roman" w:hint="default"/>
        </w:rPr>
        <w:t>4</w:t>
      </w:r>
      <w:r>
        <w:rPr/>
        <w:t>、品牌价值持续提升</w:t>
      </w:r>
    </w:p>
    <w:p>
      <w:pPr>
        <w:pStyle w:val="BodyText"/>
        <w:tabs>
          <w:tab w:pos="1039" w:val="left" w:leader="none"/>
        </w:tabs>
        <w:spacing w:line="240" w:lineRule="auto" w:before="135"/>
        <w:ind w:left="620" w:right="217"/>
        <w:jc w:val="left"/>
      </w:pPr>
      <w:r>
        <w:rPr>
          <w:rFonts w:ascii="Wingdings" w:hAnsi="Wingdings" w:cs="Wingdings" w:eastAsia="Wingdings" w:hint="default"/>
        </w:rPr>
        <w:t></w:t>
      </w:r>
      <w:r>
        <w:rPr>
          <w:rFonts w:ascii="Times New Roman" w:hAnsi="Times New Roman" w:cs="Times New Roman" w:eastAsia="Times New Roman" w:hint="default"/>
        </w:rPr>
        <w:tab/>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6 </w:t>
      </w:r>
      <w:r>
        <w:rPr/>
        <w:t>月，福布斯“全球</w:t>
      </w:r>
      <w:r>
        <w:rPr>
          <w:spacing w:val="-60"/>
        </w:rPr>
        <w:t> </w:t>
      </w:r>
      <w:r>
        <w:rPr>
          <w:rFonts w:ascii="Times New Roman" w:hAnsi="Times New Roman" w:cs="Times New Roman" w:eastAsia="Times New Roman" w:hint="default"/>
        </w:rPr>
        <w:t>2000 </w:t>
      </w:r>
      <w:r>
        <w:rPr/>
        <w:t>大企业”发布，苏宁电器排名第</w:t>
      </w:r>
      <w:r>
        <w:rPr>
          <w:spacing w:val="-60"/>
        </w:rPr>
        <w:t> </w:t>
      </w:r>
      <w:r>
        <w:rPr>
          <w:rFonts w:ascii="Times New Roman" w:hAnsi="Times New Roman" w:cs="Times New Roman" w:eastAsia="Times New Roman" w:hint="default"/>
        </w:rPr>
        <w:t>949 </w:t>
      </w:r>
      <w:r>
        <w:rPr/>
        <w:t>位，</w:t>
      </w:r>
    </w:p>
    <w:p>
      <w:pPr>
        <w:pStyle w:val="BodyText"/>
        <w:spacing w:line="240" w:lineRule="auto" w:before="135"/>
        <w:ind w:right="217"/>
        <w:jc w:val="left"/>
      </w:pPr>
      <w:r>
        <w:rPr/>
        <w:t>比</w:t>
      </w:r>
      <w:r>
        <w:rPr>
          <w:spacing w:val="-60"/>
        </w:rPr>
        <w:t> </w:t>
      </w:r>
      <w:r>
        <w:rPr>
          <w:rFonts w:ascii="Times New Roman" w:hAnsi="Times New Roman" w:cs="Times New Roman" w:eastAsia="Times New Roman" w:hint="default"/>
        </w:rPr>
        <w:t>09 </w:t>
      </w:r>
      <w:r>
        <w:rPr/>
        <w:t>年上升</w:t>
      </w:r>
      <w:r>
        <w:rPr>
          <w:spacing w:val="-60"/>
        </w:rPr>
        <w:t> </w:t>
      </w:r>
      <w:r>
        <w:rPr>
          <w:rFonts w:ascii="Times New Roman" w:hAnsi="Times New Roman" w:cs="Times New Roman" w:eastAsia="Times New Roman" w:hint="default"/>
        </w:rPr>
        <w:t>106 </w:t>
      </w:r>
      <w:r>
        <w:rPr/>
        <w:t>位，蝉联中国零售业第一。</w:t>
      </w:r>
    </w:p>
    <w:p>
      <w:pPr>
        <w:spacing w:after="0" w:line="240" w:lineRule="auto"/>
        <w:jc w:val="left"/>
        <w:sectPr>
          <w:footerReference w:type="default" r:id="rId15"/>
          <w:pgSz w:w="11910" w:h="16840"/>
          <w:pgMar w:footer="714" w:header="748" w:top="980" w:bottom="900" w:left="1300" w:right="1200"/>
          <w:pgNumType w:start="34"/>
        </w:sectPr>
      </w:pPr>
    </w:p>
    <w:p>
      <w:pPr>
        <w:spacing w:line="240" w:lineRule="auto" w:before="7"/>
        <w:rPr>
          <w:rFonts w:ascii="宋体" w:hAnsi="宋体" w:cs="宋体" w:eastAsia="宋体" w:hint="default"/>
          <w:sz w:val="29"/>
          <w:szCs w:val="29"/>
        </w:rPr>
      </w:pPr>
    </w:p>
    <w:p>
      <w:pPr>
        <w:pStyle w:val="BodyText"/>
        <w:tabs>
          <w:tab w:pos="1039" w:val="left" w:leader="none"/>
        </w:tabs>
        <w:spacing w:line="240" w:lineRule="auto" w:before="26"/>
        <w:ind w:left="620" w:right="217"/>
        <w:jc w:val="left"/>
      </w:pPr>
      <w:r>
        <w:rPr>
          <w:rFonts w:ascii="Wingdings" w:hAnsi="Wingdings" w:cs="Wingdings" w:eastAsia="Wingdings" w:hint="default"/>
          <w:w w:val="100"/>
        </w:rPr>
        <w:t></w:t>
      </w:r>
      <w:r>
        <w:rPr>
          <w:rFonts w:ascii="Times New Roman" w:hAnsi="Times New Roman" w:cs="Times New Roman" w:eastAsia="Times New Roman" w:hint="default"/>
        </w:rPr>
        <w:tab/>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28 </w:t>
      </w:r>
      <w:r>
        <w:rPr/>
        <w:t>日，世界品牌实验室在北京发布“</w:t>
      </w:r>
      <w:r>
        <w:rPr>
          <w:rFonts w:ascii="Times New Roman" w:hAnsi="Times New Roman" w:cs="Times New Roman" w:eastAsia="Times New Roman" w:hint="default"/>
        </w:rPr>
        <w:t>2010 </w:t>
      </w:r>
      <w:r>
        <w:rPr/>
        <w:t>年（第七届</w:t>
      </w:r>
      <w:r>
        <w:rPr>
          <w:spacing w:val="-120"/>
        </w:rPr>
        <w:t>）</w:t>
      </w:r>
      <w:r>
        <w:rPr/>
        <w:t>《中国</w:t>
      </w:r>
    </w:p>
    <w:p>
      <w:pPr>
        <w:pStyle w:val="BodyText"/>
        <w:spacing w:line="240" w:lineRule="auto" w:before="135"/>
        <w:ind w:left="25" w:right="0"/>
        <w:jc w:val="center"/>
      </w:pPr>
      <w:r>
        <w:rPr>
          <w:rFonts w:ascii="Times New Roman" w:hAnsi="Times New Roman" w:cs="Times New Roman" w:eastAsia="Times New Roman" w:hint="default"/>
        </w:rPr>
        <w:t>500 </w:t>
      </w:r>
      <w:r>
        <w:rPr/>
        <w:t>最具价值品牌</w:t>
      </w:r>
      <w:r>
        <w:rPr>
          <w:spacing w:val="-120"/>
        </w:rPr>
        <w:t>》</w:t>
      </w:r>
      <w:r>
        <w:rPr>
          <w:spacing w:val="-30"/>
        </w:rPr>
        <w:t>”</w:t>
      </w:r>
      <w:r>
        <w:rPr/>
        <w:t>榜单</w:t>
      </w:r>
      <w:r>
        <w:rPr>
          <w:spacing w:val="-30"/>
        </w:rPr>
        <w:t>，</w:t>
      </w:r>
      <w:r>
        <w:rPr/>
        <w:t>苏宁电器品牌价值达</w:t>
      </w:r>
      <w:r>
        <w:rPr>
          <w:spacing w:val="-60"/>
        </w:rPr>
        <w:t> </w:t>
      </w:r>
      <w:r>
        <w:rPr>
          <w:rFonts w:ascii="Times New Roman" w:hAnsi="Times New Roman" w:cs="Times New Roman" w:eastAsia="Times New Roman" w:hint="default"/>
        </w:rPr>
        <w:t>508.31 </w:t>
      </w:r>
      <w:r>
        <w:rPr/>
        <w:t>亿元</w:t>
      </w:r>
      <w:r>
        <w:rPr>
          <w:spacing w:val="-30"/>
        </w:rPr>
        <w:t>，</w:t>
      </w:r>
      <w:r>
        <w:rPr/>
        <w:t>蝉联中国商业零售第一。</w:t>
      </w:r>
    </w:p>
    <w:p>
      <w:pPr>
        <w:pStyle w:val="BodyText"/>
        <w:tabs>
          <w:tab w:pos="1039" w:val="left" w:leader="none"/>
        </w:tabs>
        <w:spacing w:line="240" w:lineRule="auto" w:before="135"/>
        <w:ind w:left="620" w:right="217"/>
        <w:jc w:val="left"/>
      </w:pPr>
      <w:r>
        <w:rPr>
          <w:rFonts w:ascii="Wingdings" w:hAnsi="Wingdings" w:cs="Wingdings" w:eastAsia="Wingdings" w:hint="default"/>
          <w:w w:val="100"/>
        </w:rPr>
        <w:t></w:t>
      </w:r>
      <w:r>
        <w:rPr>
          <w:rFonts w:ascii="Times New Roman" w:hAnsi="Times New Roman" w:cs="Times New Roman" w:eastAsia="Times New Roman" w:hint="default"/>
        </w:rPr>
        <w:tab/>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8 </w:t>
      </w:r>
      <w:r>
        <w:rPr/>
        <w:t>月，公司入选《环球企业家</w:t>
      </w:r>
      <w:r>
        <w:rPr>
          <w:spacing w:val="-120"/>
        </w:rPr>
        <w:t>》</w:t>
      </w:r>
      <w:r>
        <w:rPr/>
        <w:t>“最具全球竞争力中国公司</w:t>
      </w:r>
      <w:r>
        <w:rPr>
          <w:spacing w:val="-60"/>
        </w:rPr>
        <w:t> </w:t>
      </w:r>
      <w:r>
        <w:rPr>
          <w:rFonts w:ascii="Times New Roman" w:hAnsi="Times New Roman" w:cs="Times New Roman" w:eastAsia="Times New Roman" w:hint="default"/>
        </w:rPr>
        <w:t>20 </w:t>
      </w:r>
      <w:r>
        <w:rPr/>
        <w:t>强</w:t>
      </w:r>
      <w:r>
        <w:rPr>
          <w:spacing w:val="-120"/>
        </w:rPr>
        <w:t>”</w:t>
      </w:r>
      <w:r>
        <w:rPr/>
        <w:t>。</w:t>
      </w:r>
    </w:p>
    <w:p>
      <w:pPr>
        <w:pStyle w:val="BodyText"/>
        <w:tabs>
          <w:tab w:pos="1039" w:val="left" w:leader="none"/>
        </w:tabs>
        <w:spacing w:line="338" w:lineRule="auto" w:before="135"/>
        <w:ind w:right="622" w:firstLine="480"/>
        <w:jc w:val="left"/>
      </w:pPr>
      <w:r>
        <w:rPr>
          <w:rFonts w:ascii="Wingdings" w:hAnsi="Wingdings" w:cs="Wingdings" w:eastAsia="Wingdings" w:hint="default"/>
          <w:w w:val="100"/>
        </w:rPr>
        <w:t></w:t>
      </w:r>
      <w:r>
        <w:rPr>
          <w:rFonts w:ascii="Times New Roman" w:hAnsi="Times New Roman" w:cs="Times New Roman" w:eastAsia="Times New Roman" w:hint="default"/>
        </w:rPr>
        <w:tab/>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10 </w:t>
      </w:r>
      <w:r>
        <w:rPr/>
        <w:t>月，苏宁电器作为中国唯一一家商业零售企业入选《财富</w:t>
      </w:r>
      <w:r>
        <w:rPr>
          <w:spacing w:val="-120"/>
        </w:rPr>
        <w:t>》</w:t>
      </w:r>
      <w:r>
        <w:rPr/>
        <w:t>（中</w:t>
      </w:r>
      <w:r>
        <w:rPr/>
        <w:t> 文版</w:t>
      </w:r>
      <w:r>
        <w:rPr>
          <w:spacing w:val="-120"/>
        </w:rPr>
        <w:t>）</w:t>
      </w:r>
      <w:r>
        <w:rPr/>
        <w:t>“</w:t>
      </w:r>
      <w:r>
        <w:rPr>
          <w:rFonts w:ascii="Times New Roman" w:hAnsi="Times New Roman" w:cs="Times New Roman" w:eastAsia="Times New Roman" w:hint="default"/>
        </w:rPr>
        <w:t>2010 </w:t>
      </w:r>
      <w:r>
        <w:rPr/>
        <w:t>最受赞赏的中国公司</w:t>
      </w:r>
      <w:r>
        <w:rPr>
          <w:spacing w:val="-120"/>
        </w:rPr>
        <w:t>”</w:t>
      </w:r>
      <w:r>
        <w:rPr/>
        <w:t>。</w:t>
      </w:r>
    </w:p>
    <w:p>
      <w:pPr>
        <w:pStyle w:val="BodyText"/>
        <w:spacing w:line="240" w:lineRule="auto" w:before="27"/>
        <w:ind w:left="621" w:right="217"/>
        <w:jc w:val="left"/>
      </w:pPr>
      <w:r>
        <w:rPr/>
        <w:t>二、报告期内经营情况分析</w:t>
      </w:r>
    </w:p>
    <w:p>
      <w:pPr>
        <w:pStyle w:val="BodyText"/>
        <w:spacing w:line="240" w:lineRule="auto" w:before="154"/>
        <w:ind w:left="621" w:right="217"/>
        <w:jc w:val="left"/>
      </w:pPr>
      <w:r>
        <w:rPr/>
        <w:t>（一）行业状况</w:t>
      </w:r>
    </w:p>
    <w:p>
      <w:pPr>
        <w:pStyle w:val="BodyText"/>
        <w:spacing w:line="240" w:lineRule="auto" w:before="154"/>
        <w:ind w:left="620" w:right="217"/>
        <w:jc w:val="left"/>
      </w:pPr>
      <w:r>
        <w:rPr>
          <w:rFonts w:ascii="Times New Roman" w:hAnsi="Times New Roman" w:cs="Times New Roman" w:eastAsia="Times New Roman" w:hint="default"/>
        </w:rPr>
        <w:t>1</w:t>
      </w:r>
      <w:r>
        <w:rPr/>
        <w:t>、经济基本面趋好，消费市场平稳较快发展</w:t>
      </w:r>
    </w:p>
    <w:p>
      <w:pPr>
        <w:pStyle w:val="BodyText"/>
        <w:spacing w:line="348" w:lineRule="auto" w:before="135"/>
        <w:ind w:right="232"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5"/>
        </w:rPr>
        <w:t> </w:t>
      </w:r>
      <w:r>
        <w:rPr/>
        <w:t>年，中国宏观经济基本面迈入正轨，国民经济运行态势良好。在一系列促进 </w:t>
      </w:r>
      <w:r>
        <w:rPr>
          <w:spacing w:val="-3"/>
        </w:rPr>
        <w:t>消费、扩大内需的政策措施激励下，消费市场景气度提高，社会消费品零售总额同比增</w:t>
      </w:r>
      <w:r>
        <w:rPr>
          <w:spacing w:val="-96"/>
        </w:rPr>
        <w:t> </w:t>
      </w:r>
      <w:r>
        <w:rPr>
          <w:spacing w:val="-96"/>
        </w:rPr>
      </w:r>
      <w:r>
        <w:rPr/>
        <w:t>速整体呈上升态势，</w:t>
      </w:r>
      <w:r>
        <w:rPr>
          <w:rFonts w:ascii="Times New Roman" w:hAnsi="Times New Roman" w:cs="Times New Roman" w:eastAsia="Times New Roman" w:hint="default"/>
        </w:rPr>
        <w:t>2010 </w:t>
      </w:r>
      <w:r>
        <w:rPr/>
        <w:t>年全年社会消费品零售总额同比增长</w:t>
      </w:r>
      <w:r>
        <w:rPr>
          <w:spacing w:val="-60"/>
        </w:rPr>
        <w:t> </w:t>
      </w:r>
      <w:r>
        <w:rPr>
          <w:rFonts w:ascii="Times New Roman" w:hAnsi="Times New Roman" w:cs="Times New Roman" w:eastAsia="Times New Roman" w:hint="default"/>
        </w:rPr>
        <w:t>18.4%</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16"/>
          <w:pgSz w:w="11910" w:h="16840"/>
          <w:pgMar w:footer="714" w:header="748" w:top="980" w:bottom="900" w:left="1300" w:right="1200"/>
          <w:pgNumType w:start="35"/>
        </w:sectPr>
      </w:pPr>
    </w:p>
    <w:p>
      <w:pPr>
        <w:spacing w:before="157"/>
        <w:ind w:left="0" w:right="0" w:firstLine="0"/>
        <w:jc w:val="right"/>
        <w:rPr>
          <w:rFonts w:ascii="宋体" w:hAnsi="宋体" w:cs="宋体" w:eastAsia="宋体" w:hint="default"/>
          <w:sz w:val="19"/>
          <w:szCs w:val="19"/>
        </w:rPr>
      </w:pPr>
      <w:r>
        <w:rPr>
          <w:rFonts w:ascii="宋体" w:hAnsi="宋体" w:cs="宋体" w:eastAsia="宋体" w:hint="default"/>
          <w:w w:val="90"/>
          <w:sz w:val="19"/>
          <w:szCs w:val="19"/>
        </w:rPr>
        <w:t>亿元</w:t>
      </w:r>
      <w:r>
        <w:rPr>
          <w:rFonts w:ascii="宋体" w:hAnsi="宋体" w:cs="宋体" w:eastAsia="宋体" w:hint="default"/>
          <w:sz w:val="19"/>
          <w:szCs w:val="19"/>
        </w:rPr>
      </w:r>
    </w:p>
    <w:p>
      <w:pPr>
        <w:spacing w:before="41"/>
        <w:ind w:left="1194" w:right="349" w:firstLine="0"/>
        <w:jc w:val="center"/>
        <w:rPr>
          <w:rFonts w:ascii="Arial" w:hAnsi="Arial" w:cs="Arial" w:eastAsia="Arial" w:hint="default"/>
          <w:sz w:val="21"/>
          <w:szCs w:val="21"/>
        </w:rPr>
      </w:pPr>
      <w:r>
        <w:rPr/>
        <w:pict>
          <v:group style="position:absolute;margin-left:163.350006pt;margin-top:8.868031pt;width:281.3pt;height:129.35pt;mso-position-horizontal-relative:page;mso-position-vertical-relative:paragraph;z-index:1216" coordorigin="3267,177" coordsize="5626,2587">
            <v:shape style="position:absolute;left:3464;top:1317;width:194;height:1447" type="#_x0000_t75" stroked="false">
              <v:imagedata r:id="rId17" o:title=""/>
            </v:shape>
            <v:shape style="position:absolute;left:3929;top:1398;width:180;height:1366" type="#_x0000_t75" stroked="false">
              <v:imagedata r:id="rId18" o:title=""/>
            </v:shape>
            <v:shape style="position:absolute;left:4379;top:1610;width:196;height:1154" type="#_x0000_t75" stroked="false">
              <v:imagedata r:id="rId19" o:title=""/>
            </v:shape>
            <v:shape style="position:absolute;left:4844;top:1577;width:180;height:1187" type="#_x0000_t75" stroked="false">
              <v:imagedata r:id="rId20" o:title=""/>
            </v:shape>
            <v:shape style="position:absolute;left:5293;top:1366;width:196;height:1398" type="#_x0000_t75" stroked="false">
              <v:imagedata r:id="rId21" o:title=""/>
            </v:shape>
            <v:shape style="position:absolute;left:5759;top:1398;width:194;height:1366" type="#_x0000_t75" stroked="false">
              <v:imagedata r:id="rId22" o:title=""/>
            </v:shape>
            <v:shape style="position:absolute;left:6223;top:1415;width:180;height:1349" type="#_x0000_t75" stroked="false">
              <v:imagedata r:id="rId23" o:title=""/>
            </v:shape>
            <v:shape style="position:absolute;left:6673;top:1349;width:196;height:1415" type="#_x0000_t75" stroked="false">
              <v:imagedata r:id="rId24" o:title=""/>
            </v:shape>
            <v:shape style="position:absolute;left:7139;top:1138;width:180;height:1626" type="#_x0000_t75" stroked="false">
              <v:imagedata r:id="rId25" o:title=""/>
            </v:shape>
            <v:shape style="position:absolute;left:7589;top:976;width:194;height:1788" type="#_x0000_t75" stroked="false">
              <v:imagedata r:id="rId26" o:title=""/>
            </v:shape>
            <v:shape style="position:absolute;left:8053;top:1058;width:180;height:1706" type="#_x0000_t75" stroked="false">
              <v:imagedata r:id="rId27" o:title=""/>
            </v:shape>
            <v:shape style="position:absolute;left:8503;top:748;width:194;height:2016" type="#_x0000_t75" stroked="false">
              <v:imagedata r:id="rId28" o:title=""/>
            </v:shape>
            <v:group style="position:absolute;left:3328;top:178;width:2;height:2585" coordorigin="3328,178" coordsize="2,2585">
              <v:shape style="position:absolute;left:3328;top:178;width:2;height:2585" coordorigin="3328,178" coordsize="0,2585" path="m3328,178l3328,2763e" filled="false" stroked="true" strokeweight=".06pt" strokecolor="#000000">
                <v:path arrowok="t"/>
              </v:shape>
            </v:group>
            <v:group style="position:absolute;left:3268;top:2763;width:60;height:2" coordorigin="3268,2763" coordsize="60,2">
              <v:shape style="position:absolute;left:3268;top:2763;width:60;height:2" coordorigin="3268,2763" coordsize="60,0" path="m3268,2763l3328,2763e" filled="false" stroked="true" strokeweight=".06pt" strokecolor="#000000">
                <v:path arrowok="t"/>
              </v:shape>
            </v:group>
            <v:group style="position:absolute;left:3268;top:2340;width:60;height:2" coordorigin="3268,2340" coordsize="60,2">
              <v:shape style="position:absolute;left:3268;top:2340;width:60;height:2" coordorigin="3268,2340" coordsize="60,0" path="m3268,2340l3328,2340e" filled="false" stroked="true" strokeweight=".06pt" strokecolor="#000000">
                <v:path arrowok="t"/>
              </v:shape>
            </v:group>
            <v:group style="position:absolute;left:3268;top:1901;width:60;height:2" coordorigin="3268,1901" coordsize="60,2">
              <v:shape style="position:absolute;left:3268;top:1901;width:60;height:2" coordorigin="3268,1901" coordsize="60,0" path="m3268,1901l3328,1901e" filled="false" stroked="true" strokeweight=".06pt" strokecolor="#000000">
                <v:path arrowok="t"/>
              </v:shape>
            </v:group>
            <v:group style="position:absolute;left:3268;top:1479;width:60;height:2" coordorigin="3268,1479" coordsize="60,2">
              <v:shape style="position:absolute;left:3268;top:1479;width:60;height:2" coordorigin="3268,1479" coordsize="60,0" path="m3268,1479l3328,1479e" filled="false" stroked="true" strokeweight=".06pt" strokecolor="#000000">
                <v:path arrowok="t"/>
              </v:shape>
            </v:group>
            <v:group style="position:absolute;left:3268;top:1040;width:60;height:2" coordorigin="3268,1040" coordsize="60,2">
              <v:shape style="position:absolute;left:3268;top:1040;width:60;height:2" coordorigin="3268,1040" coordsize="60,0" path="m3268,1040l3328,1040e" filled="false" stroked="true" strokeweight=".06pt" strokecolor="#000000">
                <v:path arrowok="t"/>
              </v:shape>
            </v:group>
            <v:group style="position:absolute;left:3268;top:617;width:60;height:2" coordorigin="3268,617" coordsize="60,2">
              <v:shape style="position:absolute;left:3268;top:617;width:60;height:2" coordorigin="3268,617" coordsize="60,0" path="m3268,617l3328,617e" filled="false" stroked="true" strokeweight=".06pt" strokecolor="#000000">
                <v:path arrowok="t"/>
              </v:shape>
            </v:group>
            <v:group style="position:absolute;left:3268;top:178;width:60;height:2" coordorigin="3268,178" coordsize="60,2">
              <v:shape style="position:absolute;left:3268;top:178;width:60;height:2" coordorigin="3268,178" coordsize="60,0" path="m3268,178l3328,178e" filled="false" stroked="true" strokeweight=".06pt" strokecolor="#000000">
                <v:path arrowok="t"/>
              </v:shape>
            </v:group>
            <v:group style="position:absolute;left:3328;top:2763;width:5505;height:2" coordorigin="3328,2763" coordsize="5505,2">
              <v:shape style="position:absolute;left:3328;top:2763;width:5505;height:2" coordorigin="3328,2763" coordsize="5505,0" path="m3328,2763l8832,2763e" filled="false" stroked="true" strokeweight=".06pt" strokecolor="#000000">
                <v:path arrowok="t"/>
              </v:shape>
            </v:group>
            <v:group style="position:absolute;left:8832;top:178;width:60;height:2585" coordorigin="8832,178" coordsize="60,2585">
              <v:shape style="position:absolute;left:8832;top:178;width:60;height:2585" coordorigin="8832,178" coordsize="60,2585" path="m8832,178l8832,2763,8892,2763e" filled="false" stroked="true" strokeweight=".06pt" strokecolor="#000000">
                <v:path arrowok="t"/>
              </v:shape>
            </v:group>
            <v:group style="position:absolute;left:8832;top:2388;width:60;height:2" coordorigin="8832,2388" coordsize="60,2">
              <v:shape style="position:absolute;left:8832;top:2388;width:60;height:2" coordorigin="8832,2388" coordsize="60,0" path="m8832,2388l8892,2388e" filled="false" stroked="true" strokeweight=".06pt" strokecolor="#000000">
                <v:path arrowok="t"/>
              </v:shape>
            </v:group>
            <v:group style="position:absolute;left:8832;top:2031;width:60;height:2" coordorigin="8832,2031" coordsize="60,2">
              <v:shape style="position:absolute;left:8832;top:2031;width:60;height:2" coordorigin="8832,2031" coordsize="60,0" path="m8832,2031l8892,2031e" filled="false" stroked="true" strokeweight=".06pt" strokecolor="#000000">
                <v:path arrowok="t"/>
              </v:shape>
            </v:group>
            <v:group style="position:absolute;left:8832;top:1658;width:60;height:2" coordorigin="8832,1658" coordsize="60,2">
              <v:shape style="position:absolute;left:8832;top:1658;width:60;height:2" coordorigin="8832,1658" coordsize="60,0" path="m8832,1658l8892,1658e" filled="false" stroked="true" strokeweight=".06pt" strokecolor="#000000">
                <v:path arrowok="t"/>
              </v:shape>
            </v:group>
            <v:group style="position:absolute;left:8832;top:1283;width:60;height:2" coordorigin="8832,1283" coordsize="60,2">
              <v:shape style="position:absolute;left:8832;top:1283;width:60;height:2" coordorigin="8832,1283" coordsize="60,0" path="m8832,1283l8892,1283e" filled="false" stroked="true" strokeweight=".06pt" strokecolor="#000000">
                <v:path arrowok="t"/>
              </v:shape>
            </v:group>
            <v:group style="position:absolute;left:8832;top:910;width:60;height:2" coordorigin="8832,910" coordsize="60,2">
              <v:shape style="position:absolute;left:8832;top:910;width:60;height:2" coordorigin="8832,910" coordsize="60,0" path="m8832,910l8892,910e" filled="false" stroked="true" strokeweight=".06pt" strokecolor="#000000">
                <v:path arrowok="t"/>
              </v:shape>
            </v:group>
            <v:group style="position:absolute;left:8832;top:552;width:60;height:2" coordorigin="8832,552" coordsize="60,2">
              <v:shape style="position:absolute;left:8832;top:552;width:60;height:2" coordorigin="8832,552" coordsize="60,0" path="m8832,552l8892,552e" filled="false" stroked="true" strokeweight=".06pt" strokecolor="#000000">
                <v:path arrowok="t"/>
              </v:shape>
            </v:group>
            <v:group style="position:absolute;left:8832;top:178;width:60;height:2" coordorigin="8832,178" coordsize="60,2">
              <v:shape style="position:absolute;left:8832;top:178;width:60;height:2" coordorigin="8832,178" coordsize="60,0" path="m8832,178l8892,178e" filled="false" stroked="true" strokeweight=".06pt" strokecolor="#000000">
                <v:path arrowok="t"/>
              </v:shape>
            </v:group>
            <v:group style="position:absolute;left:3553;top:535;width:5054;height:1463" coordorigin="3553,535" coordsize="5054,1463">
              <v:shape style="position:absolute;left:3553;top:535;width:5054;height:1463" coordorigin="3553,535" coordsize="5054,1463" path="m3553,1998l4018,535,4468,1283,4933,1186,5398,1169,5848,1235,6312,1300,6762,1218,7228,1136,7692,1169,8142,1153,8606,1088e" filled="false" stroked="true" strokeweight=".808236pt" strokecolor="#003365">
                <v:path arrowok="t"/>
              </v:shape>
            </v:group>
            <v:group style="position:absolute;left:3508;top:1950;width:76;height:81" coordorigin="3508,1950" coordsize="76,81">
              <v:shape style="position:absolute;left:3508;top:1950;width:76;height:81" coordorigin="3508,1950" coordsize="76,81" path="m3546,2030l3531,2027,3519,2019,3511,2006,3508,1991,3511,1975,3519,1962,3531,1953,3546,1950,3560,1953,3572,1962,3580,1975,3583,1991,3580,2006,3572,2019,3560,2027,3546,2030xe" filled="true" fillcolor="#ffffff" stroked="false">
                <v:path arrowok="t"/>
                <v:fill type="solid"/>
              </v:shape>
            </v:group>
            <v:group style="position:absolute;left:3508;top:1950;width:76;height:81" coordorigin="3508,1950" coordsize="76,81">
              <v:shape style="position:absolute;left:3508;top:1950;width:76;height:81" coordorigin="3508,1950" coordsize="76,81" path="m3583,1991l3580,1975,3572,1962,3560,1953,3546,1950,3531,1953,3519,1962,3511,1975,3508,1991,3511,2006,3519,2019,3531,2027,3546,2030,3560,2027,3572,2019,3580,2006,3583,1991xe" filled="false" stroked="true" strokeweight=".779712pt" strokecolor="#000000">
                <v:path arrowok="t"/>
              </v:shape>
            </v:group>
            <v:group style="position:absolute;left:3973;top:486;width:75;height:82" coordorigin="3973,486" coordsize="75,82">
              <v:shape style="position:absolute;left:3973;top:486;width:75;height:82" coordorigin="3973,486" coordsize="75,82" path="m4010,568l3996,564,3984,556,3976,543,3973,527,3976,511,3984,498,3996,489,4010,486,4025,489,4037,498,4045,511,4048,527,4045,543,4037,556,4025,564,4010,568xe" filled="true" fillcolor="#ffffff" stroked="false">
                <v:path arrowok="t"/>
                <v:fill type="solid"/>
              </v:shape>
            </v:group>
            <v:group style="position:absolute;left:3973;top:486;width:75;height:82" coordorigin="3973,486" coordsize="75,82">
              <v:shape style="position:absolute;left:3973;top:486;width:75;height:82" coordorigin="3973,486" coordsize="75,82" path="m4048,527l4045,511,4037,498,4025,489,4010,486,3996,489,3984,498,3976,511,3973,527,3976,543,3984,556,3996,564,4010,568,4025,564,4037,556,4045,543,4048,527xe" filled="false" stroked="true" strokeweight=".778749pt" strokecolor="#000000">
                <v:path arrowok="t"/>
              </v:shape>
            </v:group>
            <v:group style="position:absolute;left:4423;top:1235;width:75;height:81" coordorigin="4423,1235" coordsize="75,81">
              <v:shape style="position:absolute;left:4423;top:1235;width:75;height:81" coordorigin="4423,1235" coordsize="75,81" path="m4498,1274l4495,1259,4487,1246,4475,1238,4460,1235,4446,1238,4434,1246,4426,1259,4423,1274,4426,1290,4434,1303,4446,1312,4460,1315,4475,1312,4487,1303,4495,1290,4498,1274xe" filled="false" stroked="true" strokeweight=".779215pt" strokecolor="#000000">
                <v:path arrowok="t"/>
              </v:shape>
            </v:group>
            <v:group style="position:absolute;left:4888;top:1136;width:76;height:82" coordorigin="4888,1136" coordsize="76,82">
              <v:shape style="position:absolute;left:4888;top:1136;width:76;height:82" coordorigin="4888,1136" coordsize="76,82" path="m4963,1177l4960,1161,4952,1148,4940,1140,4925,1136,4910,1140,4899,1148,4891,1161,4888,1177,4891,1193,4899,1206,4910,1215,4925,1218,4940,1215,4952,1206,4960,1193,4963,1177xe" filled="false" stroked="true" strokeweight=".779245pt" strokecolor="#000000">
                <v:path arrowok="t"/>
              </v:shape>
            </v:group>
            <v:group style="position:absolute;left:5353;top:1121;width:75;height:81" coordorigin="5353,1121" coordsize="75,81">
              <v:shape style="position:absolute;left:5353;top:1121;width:75;height:81" coordorigin="5353,1121" coordsize="75,81" path="m5428,1162l5425,1146,5417,1133,5405,1124,5390,1121,5375,1124,5364,1133,5356,1146,5353,1162,5356,1177,5364,1189,5375,1198,5390,1201,5405,1198,5417,1189,5425,1177,5428,1162xe" filled="false" stroked="true" strokeweight=".779215pt" strokecolor="#000000">
                <v:path arrowok="t"/>
              </v:shape>
            </v:group>
            <v:group style="position:absolute;left:5802;top:1186;width:76;height:82" coordorigin="5802,1186" coordsize="76,82">
              <v:shape style="position:absolute;left:5802;top:1186;width:76;height:82" coordorigin="5802,1186" coordsize="76,82" path="m5878,1226l5875,1210,5867,1197,5855,1189,5840,1186,5825,1189,5813,1197,5805,1210,5802,1226,5805,1242,5813,1255,5825,1264,5840,1267,5855,1264,5867,1255,5875,1242,5878,1226xe" filled="false" stroked="true" strokeweight=".779245pt" strokecolor="#000000">
                <v:path arrowok="t"/>
              </v:shape>
            </v:group>
            <v:group style="position:absolute;left:6268;top:1250;width:75;height:82" coordorigin="6268,1250" coordsize="75,82">
              <v:shape style="position:absolute;left:6268;top:1250;width:75;height:82" coordorigin="6268,1250" coordsize="75,82" path="m6342,1291l6339,1275,6331,1262,6319,1254,6305,1250,6290,1254,6279,1262,6271,1275,6268,1291,6271,1307,6279,1320,6290,1329,6305,1332,6319,1329,6331,1320,6339,1307,6342,1291xe" filled="false" stroked="true" strokeweight=".778749pt" strokecolor="#000000">
                <v:path arrowok="t"/>
              </v:shape>
            </v:group>
            <v:group style="position:absolute;left:6718;top:1169;width:75;height:82" coordorigin="6718,1169" coordsize="75,82">
              <v:shape style="position:absolute;left:6718;top:1169;width:75;height:82" coordorigin="6718,1169" coordsize="75,82" path="m6792,1210l6789,1194,6781,1181,6769,1172,6755,1169,6740,1172,6729,1181,6721,1194,6718,1210,6721,1226,6729,1239,6740,1247,6755,1250,6769,1247,6781,1239,6789,1226,6792,1210xe" filled="false" stroked="true" strokeweight=".778749pt" strokecolor="#000000">
                <v:path arrowok="t"/>
              </v:shape>
            </v:group>
            <v:group style="position:absolute;left:7182;top:1088;width:76;height:81" coordorigin="7182,1088" coordsize="76,81">
              <v:shape style="position:absolute;left:7182;top:1088;width:76;height:81" coordorigin="7182,1088" coordsize="76,81" path="m7219,1169l7205,1166,7193,1157,7185,1144,7182,1129,7185,1113,7193,1100,7205,1092,7219,1088,7234,1092,7247,1100,7255,1113,7258,1129,7255,1144,7247,1157,7234,1166,7219,1169xe" filled="true" fillcolor="#ffffff" stroked="false">
                <v:path arrowok="t"/>
                <v:fill type="solid"/>
              </v:shape>
            </v:group>
            <v:group style="position:absolute;left:7182;top:1088;width:76;height:81" coordorigin="7182,1088" coordsize="76,81">
              <v:shape style="position:absolute;left:7182;top:1088;width:76;height:81" coordorigin="7182,1088" coordsize="76,81" path="m7258,1129l7255,1113,7247,1100,7234,1092,7219,1088,7205,1092,7193,1100,7185,1113,7182,1129,7185,1144,7193,1157,7205,1166,7219,1169,7234,1166,7247,1157,7255,1144,7258,1129xe" filled="false" stroked="true" strokeweight=".779712pt" strokecolor="#000000">
                <v:path arrowok="t"/>
              </v:shape>
            </v:group>
            <v:group style="position:absolute;left:7648;top:1121;width:75;height:81" coordorigin="7648,1121" coordsize="75,81">
              <v:shape style="position:absolute;left:7648;top:1121;width:75;height:81" coordorigin="7648,1121" coordsize="75,81" path="m7685,1201l7670,1198,7659,1189,7651,1177,7648,1162,7651,1146,7659,1133,7670,1124,7685,1121,7699,1124,7711,1133,7719,1146,7722,1162,7719,1177,7711,1189,7699,1198,7685,1201xe" filled="true" fillcolor="#ffffff" stroked="false">
                <v:path arrowok="t"/>
                <v:fill type="solid"/>
              </v:shape>
            </v:group>
            <v:group style="position:absolute;left:7648;top:1121;width:75;height:81" coordorigin="7648,1121" coordsize="75,81">
              <v:shape style="position:absolute;left:7648;top:1121;width:75;height:81" coordorigin="7648,1121" coordsize="75,81" path="m7722,1162l7719,1146,7711,1133,7699,1124,7685,1121,7670,1124,7659,1133,7651,1146,7648,1162,7651,1177,7659,1189,7670,1198,7685,1201,7699,1198,7711,1189,7719,1177,7722,1162xe" filled="false" stroked="true" strokeweight=".779215pt" strokecolor="#000000">
                <v:path arrowok="t"/>
              </v:shape>
            </v:group>
            <v:group style="position:absolute;left:8098;top:1104;width:75;height:82" coordorigin="8098,1104" coordsize="75,82">
              <v:shape style="position:absolute;left:8098;top:1104;width:75;height:82" coordorigin="8098,1104" coordsize="75,82" path="m8135,1186l8120,1182,8109,1174,8101,1161,8098,1145,8101,1129,8109,1116,8120,1107,8135,1104,8149,1107,8161,1116,8169,1129,8172,1145,8169,1161,8161,1174,8149,1182,8135,1186xe" filled="true" fillcolor="#ffffff" stroked="false">
                <v:path arrowok="t"/>
                <v:fill type="solid"/>
              </v:shape>
            </v:group>
            <v:group style="position:absolute;left:8098;top:1104;width:75;height:82" coordorigin="8098,1104" coordsize="75,82">
              <v:shape style="position:absolute;left:8098;top:1104;width:75;height:82" coordorigin="8098,1104" coordsize="75,82" path="m8172,1145l8169,1129,8161,1116,8149,1107,8135,1104,8120,1107,8109,1116,8101,1129,8098,1145,8101,1161,8109,1174,8120,1182,8135,1186,8149,1182,8161,1174,8169,1161,8172,1145xe" filled="false" stroked="true" strokeweight=".778749pt" strokecolor="#000000">
                <v:path arrowok="t"/>
              </v:shape>
            </v:group>
            <v:group style="position:absolute;left:8562;top:1039;width:75;height:82" coordorigin="8562,1039" coordsize="75,82">
              <v:shape style="position:absolute;left:8562;top:1039;width:75;height:82" coordorigin="8562,1039" coordsize="75,82" path="m8599,1121l8585,1118,8573,1109,8565,1096,8562,1080,8565,1064,8573,1051,8585,1042,8599,1039,8614,1042,8626,1051,8634,1064,8636,1080,8634,1096,8626,1109,8614,1118,8599,1121xe" filled="true" fillcolor="#ffffff" stroked="false">
                <v:path arrowok="t"/>
                <v:fill type="solid"/>
              </v:shape>
            </v:group>
            <v:group style="position:absolute;left:8562;top:1039;width:75;height:82" coordorigin="8562,1039" coordsize="75,82">
              <v:shape style="position:absolute;left:8562;top:1039;width:75;height:82" coordorigin="8562,1039" coordsize="75,82" path="m8636,1080l8634,1064,8626,1051,8614,1042,8599,1039,8585,1042,8573,1051,8565,1064,8562,1080,8565,1096,8573,1109,8585,1118,8599,1121,8614,1118,8626,1109,8634,1096,8636,1080xe" filled="false" stroked="true" strokeweight=".778749pt" strokecolor="#000000">
                <v:path arrowok="t"/>
              </v:shape>
            </v:group>
            <w10:wrap type="none"/>
          </v:group>
        </w:pict>
      </w:r>
      <w:r>
        <w:rPr>
          <w:rFonts w:ascii="Arial"/>
          <w:spacing w:val="-3"/>
          <w:sz w:val="21"/>
        </w:rPr>
        <w:t>18,000</w:t>
      </w:r>
    </w:p>
    <w:p>
      <w:pPr>
        <w:spacing w:line="240" w:lineRule="auto" w:before="2"/>
        <w:rPr>
          <w:rFonts w:ascii="Arial" w:hAnsi="Arial" w:cs="Arial" w:eastAsia="Arial" w:hint="default"/>
          <w:sz w:val="17"/>
          <w:szCs w:val="17"/>
        </w:rPr>
      </w:pPr>
    </w:p>
    <w:p>
      <w:pPr>
        <w:spacing w:before="0"/>
        <w:ind w:left="1194" w:right="349" w:firstLine="0"/>
        <w:jc w:val="center"/>
        <w:rPr>
          <w:rFonts w:ascii="Arial" w:hAnsi="Arial" w:cs="Arial" w:eastAsia="Arial" w:hint="default"/>
          <w:sz w:val="21"/>
          <w:szCs w:val="21"/>
        </w:rPr>
      </w:pPr>
      <w:r>
        <w:rPr>
          <w:rFonts w:ascii="Arial"/>
          <w:spacing w:val="-3"/>
          <w:sz w:val="21"/>
        </w:rPr>
        <w:t>16,000</w:t>
      </w:r>
    </w:p>
    <w:p>
      <w:pPr>
        <w:spacing w:line="240" w:lineRule="auto" w:before="8"/>
        <w:rPr>
          <w:rFonts w:ascii="Arial" w:hAnsi="Arial" w:cs="Arial" w:eastAsia="Arial" w:hint="default"/>
          <w:sz w:val="15"/>
          <w:szCs w:val="15"/>
        </w:rPr>
      </w:pPr>
    </w:p>
    <w:p>
      <w:pPr>
        <w:spacing w:before="0"/>
        <w:ind w:left="1194" w:right="349" w:firstLine="0"/>
        <w:jc w:val="center"/>
        <w:rPr>
          <w:rFonts w:ascii="Arial" w:hAnsi="Arial" w:cs="Arial" w:eastAsia="Arial" w:hint="default"/>
          <w:sz w:val="21"/>
          <w:szCs w:val="21"/>
        </w:rPr>
      </w:pPr>
      <w:r>
        <w:rPr>
          <w:rFonts w:ascii="Arial"/>
          <w:spacing w:val="-3"/>
          <w:sz w:val="21"/>
        </w:rPr>
        <w:t>14,000</w:t>
      </w:r>
    </w:p>
    <w:p>
      <w:pPr>
        <w:spacing w:line="240" w:lineRule="auto" w:before="2"/>
        <w:rPr>
          <w:rFonts w:ascii="Arial" w:hAnsi="Arial" w:cs="Arial" w:eastAsia="Arial" w:hint="default"/>
          <w:sz w:val="17"/>
          <w:szCs w:val="17"/>
        </w:rPr>
      </w:pPr>
    </w:p>
    <w:p>
      <w:pPr>
        <w:spacing w:before="0"/>
        <w:ind w:left="1194" w:right="349" w:firstLine="0"/>
        <w:jc w:val="center"/>
        <w:rPr>
          <w:rFonts w:ascii="Arial" w:hAnsi="Arial" w:cs="Arial" w:eastAsia="Arial" w:hint="default"/>
          <w:sz w:val="21"/>
          <w:szCs w:val="21"/>
        </w:rPr>
      </w:pPr>
      <w:r>
        <w:rPr>
          <w:rFonts w:ascii="Arial"/>
          <w:spacing w:val="-3"/>
          <w:sz w:val="21"/>
        </w:rPr>
        <w:t>12,000</w:t>
      </w:r>
    </w:p>
    <w:p>
      <w:pPr>
        <w:spacing w:line="240" w:lineRule="auto" w:before="8"/>
        <w:rPr>
          <w:rFonts w:ascii="Arial" w:hAnsi="Arial" w:cs="Arial" w:eastAsia="Arial" w:hint="default"/>
          <w:sz w:val="15"/>
          <w:szCs w:val="15"/>
        </w:rPr>
      </w:pPr>
    </w:p>
    <w:p>
      <w:pPr>
        <w:spacing w:before="0"/>
        <w:ind w:left="1194" w:right="349" w:firstLine="0"/>
        <w:jc w:val="center"/>
        <w:rPr>
          <w:rFonts w:ascii="Arial" w:hAnsi="Arial" w:cs="Arial" w:eastAsia="Arial" w:hint="default"/>
          <w:sz w:val="21"/>
          <w:szCs w:val="21"/>
        </w:rPr>
      </w:pPr>
      <w:r>
        <w:rPr>
          <w:rFonts w:ascii="Arial"/>
          <w:spacing w:val="-3"/>
          <w:sz w:val="21"/>
        </w:rPr>
        <w:t>10,000</w:t>
      </w:r>
    </w:p>
    <w:p>
      <w:pPr>
        <w:spacing w:line="240" w:lineRule="auto" w:before="2"/>
        <w:rPr>
          <w:rFonts w:ascii="Arial" w:hAnsi="Arial" w:cs="Arial" w:eastAsia="Arial" w:hint="default"/>
          <w:sz w:val="17"/>
          <w:szCs w:val="17"/>
        </w:rPr>
      </w:pPr>
    </w:p>
    <w:p>
      <w:pPr>
        <w:spacing w:before="0"/>
        <w:ind w:left="1194" w:right="243" w:firstLine="0"/>
        <w:jc w:val="center"/>
        <w:rPr>
          <w:rFonts w:ascii="Arial" w:hAnsi="Arial" w:cs="Arial" w:eastAsia="Arial" w:hint="default"/>
          <w:sz w:val="21"/>
          <w:szCs w:val="21"/>
        </w:rPr>
      </w:pPr>
      <w:r>
        <w:rPr>
          <w:rFonts w:ascii="Arial"/>
          <w:spacing w:val="-3"/>
          <w:sz w:val="21"/>
        </w:rPr>
        <w:t>8,000</w:t>
      </w:r>
    </w:p>
    <w:p>
      <w:pPr>
        <w:spacing w:line="240" w:lineRule="auto" w:before="8"/>
        <w:rPr>
          <w:rFonts w:ascii="Arial" w:hAnsi="Arial" w:cs="Arial" w:eastAsia="Arial" w:hint="default"/>
          <w:sz w:val="15"/>
          <w:szCs w:val="15"/>
        </w:rPr>
      </w:pPr>
    </w:p>
    <w:p>
      <w:pPr>
        <w:spacing w:before="0"/>
        <w:ind w:left="1194" w:right="243" w:firstLine="0"/>
        <w:jc w:val="center"/>
        <w:rPr>
          <w:rFonts w:ascii="Arial" w:hAnsi="Arial" w:cs="Arial" w:eastAsia="Arial" w:hint="default"/>
          <w:sz w:val="21"/>
          <w:szCs w:val="21"/>
        </w:rPr>
      </w:pPr>
      <w:r>
        <w:rPr>
          <w:rFonts w:ascii="Arial"/>
          <w:spacing w:val="-3"/>
          <w:sz w:val="21"/>
        </w:rPr>
        <w:t>6,000</w:t>
      </w:r>
    </w:p>
    <w:p>
      <w:pPr>
        <w:spacing w:before="50"/>
        <w:ind w:left="1024" w:right="0" w:firstLine="0"/>
        <w:jc w:val="left"/>
        <w:rPr>
          <w:rFonts w:ascii="宋体" w:hAnsi="宋体" w:cs="宋体" w:eastAsia="宋体" w:hint="default"/>
          <w:sz w:val="21"/>
          <w:szCs w:val="21"/>
        </w:rPr>
      </w:pPr>
      <w:r>
        <w:rPr>
          <w:spacing w:val="-2"/>
          <w:w w:val="90"/>
        </w:rPr>
        <w:br w:type="column"/>
      </w:r>
      <w:r>
        <w:rPr>
          <w:rFonts w:ascii="Arial" w:hAnsi="Arial" w:cs="Arial" w:eastAsia="Arial" w:hint="default"/>
          <w:spacing w:val="-2"/>
          <w:w w:val="90"/>
          <w:position w:val="2"/>
          <w:sz w:val="21"/>
          <w:szCs w:val="21"/>
        </w:rPr>
        <w:t>2010</w:t>
      </w:r>
      <w:r>
        <w:rPr>
          <w:rFonts w:ascii="宋体" w:hAnsi="宋体" w:cs="宋体" w:eastAsia="宋体" w:hint="default"/>
          <w:spacing w:val="-2"/>
          <w:w w:val="90"/>
          <w:sz w:val="21"/>
          <w:szCs w:val="21"/>
        </w:rPr>
        <w:t>年社会消费品零售总额月度变动</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4"/>
          <w:szCs w:val="14"/>
        </w:rPr>
      </w:pPr>
    </w:p>
    <w:p>
      <w:pPr>
        <w:spacing w:before="0"/>
        <w:ind w:left="1188" w:right="1305" w:firstLine="0"/>
        <w:jc w:val="center"/>
        <w:rPr>
          <w:rFonts w:ascii="Arial" w:hAnsi="Arial" w:cs="Arial" w:eastAsia="Arial" w:hint="default"/>
          <w:sz w:val="21"/>
          <w:szCs w:val="21"/>
        </w:rPr>
      </w:pPr>
      <w:r>
        <w:rPr>
          <w:rFonts w:ascii="Arial"/>
          <w:spacing w:val="-4"/>
          <w:sz w:val="21"/>
        </w:rPr>
        <w:t>24%</w:t>
      </w:r>
    </w:p>
    <w:p>
      <w:pPr>
        <w:spacing w:before="133"/>
        <w:ind w:left="1188" w:right="1305" w:firstLine="0"/>
        <w:jc w:val="center"/>
        <w:rPr>
          <w:rFonts w:ascii="Arial" w:hAnsi="Arial" w:cs="Arial" w:eastAsia="Arial" w:hint="default"/>
          <w:sz w:val="21"/>
          <w:szCs w:val="21"/>
        </w:rPr>
      </w:pPr>
      <w:r>
        <w:rPr>
          <w:rFonts w:ascii="Arial"/>
          <w:spacing w:val="-4"/>
          <w:sz w:val="21"/>
        </w:rPr>
        <w:t>22%</w:t>
      </w:r>
    </w:p>
    <w:p>
      <w:pPr>
        <w:spacing w:before="116"/>
        <w:ind w:left="1188" w:right="1305" w:firstLine="0"/>
        <w:jc w:val="center"/>
        <w:rPr>
          <w:rFonts w:ascii="Arial" w:hAnsi="Arial" w:cs="Arial" w:eastAsia="Arial" w:hint="default"/>
          <w:sz w:val="21"/>
          <w:szCs w:val="21"/>
        </w:rPr>
      </w:pPr>
      <w:r>
        <w:rPr>
          <w:rFonts w:ascii="Arial"/>
          <w:spacing w:val="-4"/>
          <w:sz w:val="21"/>
        </w:rPr>
        <w:t>20%</w:t>
      </w:r>
    </w:p>
    <w:p>
      <w:pPr>
        <w:spacing w:before="131"/>
        <w:ind w:left="1188" w:right="1305" w:firstLine="0"/>
        <w:jc w:val="center"/>
        <w:rPr>
          <w:rFonts w:ascii="Arial" w:hAnsi="Arial" w:cs="Arial" w:eastAsia="Arial" w:hint="default"/>
          <w:sz w:val="21"/>
          <w:szCs w:val="21"/>
        </w:rPr>
      </w:pPr>
      <w:r>
        <w:rPr>
          <w:rFonts w:ascii="Arial"/>
          <w:spacing w:val="-4"/>
          <w:sz w:val="21"/>
        </w:rPr>
        <w:t>18%</w:t>
      </w:r>
    </w:p>
    <w:p>
      <w:pPr>
        <w:spacing w:before="133"/>
        <w:ind w:left="1188" w:right="1305" w:firstLine="0"/>
        <w:jc w:val="center"/>
        <w:rPr>
          <w:rFonts w:ascii="Arial" w:hAnsi="Arial" w:cs="Arial" w:eastAsia="Arial" w:hint="default"/>
          <w:sz w:val="21"/>
          <w:szCs w:val="21"/>
        </w:rPr>
      </w:pPr>
      <w:r>
        <w:rPr>
          <w:rFonts w:ascii="Arial"/>
          <w:spacing w:val="-4"/>
          <w:sz w:val="21"/>
        </w:rPr>
        <w:t>16%</w:t>
      </w:r>
    </w:p>
    <w:p>
      <w:pPr>
        <w:spacing w:before="133"/>
        <w:ind w:left="1188" w:right="1305" w:firstLine="0"/>
        <w:jc w:val="center"/>
        <w:rPr>
          <w:rFonts w:ascii="Arial" w:hAnsi="Arial" w:cs="Arial" w:eastAsia="Arial" w:hint="default"/>
          <w:sz w:val="21"/>
          <w:szCs w:val="21"/>
        </w:rPr>
      </w:pPr>
      <w:r>
        <w:rPr>
          <w:rFonts w:ascii="Arial"/>
          <w:spacing w:val="-4"/>
          <w:sz w:val="21"/>
        </w:rPr>
        <w:t>14%</w:t>
      </w:r>
    </w:p>
    <w:p>
      <w:pPr>
        <w:spacing w:before="116"/>
        <w:ind w:left="1188" w:right="1305" w:firstLine="0"/>
        <w:jc w:val="center"/>
        <w:rPr>
          <w:rFonts w:ascii="Arial" w:hAnsi="Arial" w:cs="Arial" w:eastAsia="Arial" w:hint="default"/>
          <w:sz w:val="21"/>
          <w:szCs w:val="21"/>
        </w:rPr>
      </w:pPr>
      <w:r>
        <w:rPr>
          <w:rFonts w:ascii="Arial"/>
          <w:spacing w:val="-4"/>
          <w:sz w:val="21"/>
        </w:rPr>
        <w:t>12%</w:t>
      </w:r>
    </w:p>
    <w:p>
      <w:pPr>
        <w:spacing w:before="131"/>
        <w:ind w:left="1188" w:right="1305" w:firstLine="0"/>
        <w:jc w:val="center"/>
        <w:rPr>
          <w:rFonts w:ascii="Arial" w:hAnsi="Arial" w:cs="Arial" w:eastAsia="Arial" w:hint="default"/>
          <w:sz w:val="21"/>
          <w:szCs w:val="21"/>
        </w:rPr>
      </w:pPr>
      <w:r>
        <w:rPr>
          <w:rFonts w:ascii="Arial"/>
          <w:spacing w:val="-4"/>
          <w:sz w:val="21"/>
        </w:rPr>
        <w:t>10%</w:t>
      </w:r>
    </w:p>
    <w:p>
      <w:pPr>
        <w:spacing w:after="0"/>
        <w:jc w:val="center"/>
        <w:rPr>
          <w:rFonts w:ascii="Arial" w:hAnsi="Arial" w:cs="Arial" w:eastAsia="Arial" w:hint="default"/>
          <w:sz w:val="21"/>
          <w:szCs w:val="21"/>
        </w:rPr>
        <w:sectPr>
          <w:type w:val="continuous"/>
          <w:pgSz w:w="11910" w:h="16840"/>
          <w:pgMar w:top="920" w:bottom="900" w:left="1300" w:right="1200"/>
          <w:cols w:num="3" w:equalWidth="0">
            <w:col w:w="2209" w:space="40"/>
            <w:col w:w="4174" w:space="40"/>
            <w:col w:w="2947"/>
          </w:cols>
        </w:sectPr>
      </w:pPr>
    </w:p>
    <w:p>
      <w:pPr>
        <w:spacing w:before="40"/>
        <w:ind w:left="2103" w:right="217"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position w:val="-1"/>
          <w:sz w:val="21"/>
          <w:szCs w:val="21"/>
        </w:rPr>
        <w:t>月</w:t>
      </w:r>
      <w:r>
        <w:rPr>
          <w:rFonts w:ascii="宋体" w:hAnsi="宋体" w:cs="宋体" w:eastAsia="宋体" w:hint="default"/>
          <w:spacing w:val="26"/>
          <w:position w:val="-1"/>
          <w:sz w:val="21"/>
          <w:szCs w:val="21"/>
        </w:rPr>
        <w:t> </w:t>
      </w:r>
      <w:r>
        <w:rPr>
          <w:rFonts w:ascii="Arial" w:hAnsi="Arial" w:cs="Arial" w:eastAsia="Arial" w:hint="default"/>
          <w:spacing w:val="-3"/>
          <w:sz w:val="21"/>
          <w:szCs w:val="21"/>
        </w:rPr>
        <w:t>2</w:t>
      </w:r>
      <w:r>
        <w:rPr>
          <w:rFonts w:ascii="宋体" w:hAnsi="宋体" w:cs="宋体" w:eastAsia="宋体" w:hint="default"/>
          <w:spacing w:val="-3"/>
          <w:position w:val="-1"/>
          <w:sz w:val="21"/>
          <w:szCs w:val="21"/>
        </w:rPr>
        <w:t>月</w:t>
      </w:r>
      <w:r>
        <w:rPr>
          <w:rFonts w:ascii="宋体" w:hAnsi="宋体" w:cs="宋体" w:eastAsia="宋体" w:hint="default"/>
          <w:spacing w:val="14"/>
          <w:position w:val="-1"/>
          <w:sz w:val="21"/>
          <w:szCs w:val="21"/>
        </w:rPr>
        <w:t> </w:t>
      </w:r>
      <w:r>
        <w:rPr>
          <w:rFonts w:ascii="Arial" w:hAnsi="Arial" w:cs="Arial" w:eastAsia="Arial" w:hint="default"/>
          <w:spacing w:val="-3"/>
          <w:sz w:val="21"/>
          <w:szCs w:val="21"/>
        </w:rPr>
        <w:t>3</w:t>
      </w:r>
      <w:r>
        <w:rPr>
          <w:rFonts w:ascii="宋体" w:hAnsi="宋体" w:cs="宋体" w:eastAsia="宋体" w:hint="default"/>
          <w:spacing w:val="-3"/>
          <w:position w:val="-1"/>
          <w:sz w:val="21"/>
          <w:szCs w:val="21"/>
        </w:rPr>
        <w:t>月</w:t>
      </w:r>
      <w:r>
        <w:rPr>
          <w:rFonts w:ascii="宋体" w:hAnsi="宋体" w:cs="宋体" w:eastAsia="宋体" w:hint="default"/>
          <w:spacing w:val="26"/>
          <w:position w:val="-1"/>
          <w:sz w:val="21"/>
          <w:szCs w:val="21"/>
        </w:rPr>
        <w:t> </w:t>
      </w:r>
      <w:r>
        <w:rPr>
          <w:rFonts w:ascii="Arial" w:hAnsi="Arial" w:cs="Arial" w:eastAsia="Arial" w:hint="default"/>
          <w:sz w:val="21"/>
          <w:szCs w:val="21"/>
        </w:rPr>
        <w:t>4</w:t>
      </w:r>
      <w:r>
        <w:rPr>
          <w:rFonts w:ascii="宋体" w:hAnsi="宋体" w:cs="宋体" w:eastAsia="宋体" w:hint="default"/>
          <w:position w:val="-1"/>
          <w:sz w:val="21"/>
          <w:szCs w:val="21"/>
        </w:rPr>
        <w:t>月</w:t>
      </w:r>
      <w:r>
        <w:rPr>
          <w:rFonts w:ascii="宋体" w:hAnsi="宋体" w:cs="宋体" w:eastAsia="宋体" w:hint="default"/>
          <w:spacing w:val="26"/>
          <w:position w:val="-1"/>
          <w:sz w:val="21"/>
          <w:szCs w:val="21"/>
        </w:rPr>
        <w:t> </w:t>
      </w:r>
      <w:r>
        <w:rPr>
          <w:rFonts w:ascii="Arial" w:hAnsi="Arial" w:cs="Arial" w:eastAsia="Arial" w:hint="default"/>
          <w:spacing w:val="-3"/>
          <w:sz w:val="21"/>
          <w:szCs w:val="21"/>
        </w:rPr>
        <w:t>5</w:t>
      </w:r>
      <w:r>
        <w:rPr>
          <w:rFonts w:ascii="宋体" w:hAnsi="宋体" w:cs="宋体" w:eastAsia="宋体" w:hint="default"/>
          <w:spacing w:val="-3"/>
          <w:position w:val="-1"/>
          <w:sz w:val="21"/>
          <w:szCs w:val="21"/>
        </w:rPr>
        <w:t>月</w:t>
      </w:r>
      <w:r>
        <w:rPr>
          <w:rFonts w:ascii="宋体" w:hAnsi="宋体" w:cs="宋体" w:eastAsia="宋体" w:hint="default"/>
          <w:spacing w:val="14"/>
          <w:position w:val="-1"/>
          <w:sz w:val="21"/>
          <w:szCs w:val="21"/>
        </w:rPr>
        <w:t> </w:t>
      </w:r>
      <w:r>
        <w:rPr>
          <w:rFonts w:ascii="Arial" w:hAnsi="Arial" w:cs="Arial" w:eastAsia="Arial" w:hint="default"/>
          <w:sz w:val="21"/>
          <w:szCs w:val="21"/>
        </w:rPr>
        <w:t>6</w:t>
      </w:r>
      <w:r>
        <w:rPr>
          <w:rFonts w:ascii="宋体" w:hAnsi="宋体" w:cs="宋体" w:eastAsia="宋体" w:hint="default"/>
          <w:position w:val="-1"/>
          <w:sz w:val="21"/>
          <w:szCs w:val="21"/>
        </w:rPr>
        <w:t>月</w:t>
      </w:r>
      <w:r>
        <w:rPr>
          <w:rFonts w:ascii="宋体" w:hAnsi="宋体" w:cs="宋体" w:eastAsia="宋体" w:hint="default"/>
          <w:spacing w:val="26"/>
          <w:position w:val="-1"/>
          <w:sz w:val="21"/>
          <w:szCs w:val="21"/>
        </w:rPr>
        <w:t> </w:t>
      </w:r>
      <w:r>
        <w:rPr>
          <w:rFonts w:ascii="Arial" w:hAnsi="Arial" w:cs="Arial" w:eastAsia="Arial" w:hint="default"/>
          <w:spacing w:val="-3"/>
          <w:sz w:val="21"/>
          <w:szCs w:val="21"/>
        </w:rPr>
        <w:t>7</w:t>
      </w:r>
      <w:r>
        <w:rPr>
          <w:rFonts w:ascii="宋体" w:hAnsi="宋体" w:cs="宋体" w:eastAsia="宋体" w:hint="default"/>
          <w:spacing w:val="-3"/>
          <w:position w:val="-1"/>
          <w:sz w:val="21"/>
          <w:szCs w:val="21"/>
        </w:rPr>
        <w:t>月</w:t>
      </w:r>
      <w:r>
        <w:rPr>
          <w:rFonts w:ascii="宋体" w:hAnsi="宋体" w:cs="宋体" w:eastAsia="宋体" w:hint="default"/>
          <w:spacing w:val="14"/>
          <w:position w:val="-1"/>
          <w:sz w:val="21"/>
          <w:szCs w:val="21"/>
        </w:rPr>
        <w:t> </w:t>
      </w:r>
      <w:r>
        <w:rPr>
          <w:rFonts w:ascii="Arial" w:hAnsi="Arial" w:cs="Arial" w:eastAsia="Arial" w:hint="default"/>
          <w:spacing w:val="-3"/>
          <w:sz w:val="21"/>
          <w:szCs w:val="21"/>
        </w:rPr>
        <w:t>8</w:t>
      </w:r>
      <w:r>
        <w:rPr>
          <w:rFonts w:ascii="宋体" w:hAnsi="宋体" w:cs="宋体" w:eastAsia="宋体" w:hint="default"/>
          <w:spacing w:val="-3"/>
          <w:position w:val="-1"/>
          <w:sz w:val="21"/>
          <w:szCs w:val="21"/>
        </w:rPr>
        <w:t>月</w:t>
      </w:r>
      <w:r>
        <w:rPr>
          <w:rFonts w:ascii="宋体" w:hAnsi="宋体" w:cs="宋体" w:eastAsia="宋体" w:hint="default"/>
          <w:spacing w:val="26"/>
          <w:position w:val="-1"/>
          <w:sz w:val="21"/>
          <w:szCs w:val="21"/>
        </w:rPr>
        <w:t> </w:t>
      </w:r>
      <w:r>
        <w:rPr>
          <w:rFonts w:ascii="Arial" w:hAnsi="Arial" w:cs="Arial" w:eastAsia="Arial" w:hint="default"/>
          <w:sz w:val="21"/>
          <w:szCs w:val="21"/>
        </w:rPr>
        <w:t>9</w:t>
      </w:r>
      <w:r>
        <w:rPr>
          <w:rFonts w:ascii="宋体" w:hAnsi="宋体" w:cs="宋体" w:eastAsia="宋体" w:hint="default"/>
          <w:position w:val="-1"/>
          <w:sz w:val="21"/>
          <w:szCs w:val="21"/>
        </w:rPr>
        <w:t>月</w:t>
      </w:r>
      <w:r>
        <w:rPr>
          <w:rFonts w:ascii="宋体" w:hAnsi="宋体" w:cs="宋体" w:eastAsia="宋体" w:hint="default"/>
          <w:spacing w:val="-10"/>
          <w:position w:val="-1"/>
          <w:sz w:val="21"/>
          <w:szCs w:val="21"/>
        </w:rPr>
        <w:t> </w:t>
      </w:r>
      <w:r>
        <w:rPr>
          <w:rFonts w:ascii="Arial" w:hAnsi="Arial" w:cs="Arial" w:eastAsia="Arial" w:hint="default"/>
          <w:spacing w:val="-3"/>
          <w:sz w:val="21"/>
          <w:szCs w:val="21"/>
        </w:rPr>
        <w:t>10</w:t>
      </w:r>
      <w:r>
        <w:rPr>
          <w:rFonts w:ascii="宋体" w:hAnsi="宋体" w:cs="宋体" w:eastAsia="宋体" w:hint="default"/>
          <w:spacing w:val="-3"/>
          <w:position w:val="-1"/>
          <w:sz w:val="21"/>
          <w:szCs w:val="21"/>
        </w:rPr>
        <w:t>月</w:t>
      </w:r>
      <w:r>
        <w:rPr>
          <w:rFonts w:ascii="宋体" w:hAnsi="宋体" w:cs="宋体" w:eastAsia="宋体" w:hint="default"/>
          <w:spacing w:val="-70"/>
          <w:position w:val="-1"/>
          <w:sz w:val="21"/>
          <w:szCs w:val="21"/>
        </w:rPr>
        <w:t> </w:t>
      </w:r>
      <w:r>
        <w:rPr>
          <w:rFonts w:ascii="Arial" w:hAnsi="Arial" w:cs="Arial" w:eastAsia="Arial" w:hint="default"/>
          <w:spacing w:val="-3"/>
          <w:sz w:val="21"/>
          <w:szCs w:val="21"/>
        </w:rPr>
        <w:t>11</w:t>
      </w:r>
      <w:r>
        <w:rPr>
          <w:rFonts w:ascii="宋体" w:hAnsi="宋体" w:cs="宋体" w:eastAsia="宋体" w:hint="default"/>
          <w:spacing w:val="-3"/>
          <w:position w:val="-1"/>
          <w:sz w:val="21"/>
          <w:szCs w:val="21"/>
        </w:rPr>
        <w:t>月</w:t>
      </w:r>
      <w:r>
        <w:rPr>
          <w:rFonts w:ascii="宋体" w:hAnsi="宋体" w:cs="宋体" w:eastAsia="宋体" w:hint="default"/>
          <w:spacing w:val="-58"/>
          <w:position w:val="-1"/>
          <w:sz w:val="21"/>
          <w:szCs w:val="21"/>
        </w:rPr>
        <w:t> </w:t>
      </w:r>
      <w:r>
        <w:rPr>
          <w:rFonts w:ascii="Arial" w:hAnsi="Arial" w:cs="Arial" w:eastAsia="Arial" w:hint="default"/>
          <w:spacing w:val="-4"/>
          <w:sz w:val="21"/>
          <w:szCs w:val="21"/>
        </w:rPr>
        <w:t>12</w:t>
      </w:r>
      <w:r>
        <w:rPr>
          <w:rFonts w:ascii="宋体" w:hAnsi="宋体" w:cs="宋体" w:eastAsia="宋体" w:hint="default"/>
          <w:spacing w:val="-4"/>
          <w:position w:val="-1"/>
          <w:sz w:val="21"/>
          <w:szCs w:val="21"/>
        </w:rPr>
        <w:t>月</w:t>
      </w:r>
      <w:r>
        <w:rPr>
          <w:rFonts w:ascii="宋体" w:hAnsi="宋体" w:cs="宋体" w:eastAsia="宋体" w:hint="default"/>
          <w:spacing w:val="-4"/>
          <w:sz w:val="21"/>
          <w:szCs w:val="21"/>
        </w:rPr>
      </w:r>
    </w:p>
    <w:p>
      <w:pPr>
        <w:tabs>
          <w:tab w:pos="1731" w:val="left" w:leader="none"/>
        </w:tabs>
        <w:spacing w:before="86"/>
        <w:ind w:left="607" w:right="0" w:firstLine="0"/>
        <w:jc w:val="center"/>
        <w:rPr>
          <w:rFonts w:ascii="宋体" w:hAnsi="宋体" w:cs="宋体" w:eastAsia="宋体" w:hint="default"/>
          <w:sz w:val="21"/>
          <w:szCs w:val="21"/>
        </w:rPr>
      </w:pPr>
      <w:r>
        <w:rPr/>
        <w:pict>
          <v:shape style="position:absolute;margin-left:245.220001pt;margin-top:9.964059pt;width:19.440pt;height:5.7pt;mso-position-horizontal-relative:page;mso-position-vertical-relative:paragraph;z-index:1240" type="#_x0000_t75" stroked="false">
            <v:imagedata r:id="rId29" o:title=""/>
          </v:shape>
        </w:pict>
      </w:r>
      <w:r>
        <w:rPr/>
        <w:pict>
          <v:group style="position:absolute;margin-left:300.974213pt;margin-top:10.278774pt;width:21.05pt;height:4.9pt;mso-position-horizontal-relative:page;mso-position-vertical-relative:paragraph;z-index:-1005040" coordorigin="6019,206" coordsize="421,98">
            <v:group style="position:absolute;left:6028;top:263;width:405;height:2" coordorigin="6028,263" coordsize="405,2">
              <v:shape style="position:absolute;left:6028;top:263;width:405;height:2" coordorigin="6028,263" coordsize="405,0" path="m6028,263l6432,263e" filled="false" stroked="true" strokeweight=".813099pt" strokecolor="#003365">
                <v:path arrowok="t"/>
              </v:shape>
            </v:group>
            <v:group style="position:absolute;left:6178;top:213;width:75;height:82" coordorigin="6178,213" coordsize="75,82">
              <v:shape style="position:absolute;left:6178;top:213;width:75;height:82" coordorigin="6178,213" coordsize="75,82" path="m6215,295l6200,292,6189,283,6181,270,6178,254,6181,239,6189,226,6200,217,6215,213,6229,217,6241,226,6249,239,6252,254,6249,270,6241,283,6229,292,6215,295xe" filled="true" fillcolor="#ffffff" stroked="false">
                <v:path arrowok="t"/>
                <v:fill type="solid"/>
              </v:shape>
            </v:group>
            <v:group style="position:absolute;left:6178;top:213;width:75;height:82" coordorigin="6178,213" coordsize="75,82">
              <v:shape style="position:absolute;left:6178;top:213;width:75;height:82" coordorigin="6178,213" coordsize="75,82" path="m6252,254l6249,239,6241,226,6229,217,6215,213,6200,217,6189,226,6181,239,6178,254,6181,270,6189,283,6200,292,6215,295,6229,292,6241,283,6249,270,6252,254xe" filled="false" stroked="true" strokeweight=".778749pt" strokecolor="#000000">
                <v:path arrowok="t"/>
              </v:shape>
            </v:group>
            <w10:wrap type="none"/>
          </v:group>
        </w:pict>
      </w:r>
      <w:r>
        <w:rPr>
          <w:rFonts w:ascii="宋体" w:hAnsi="宋体" w:cs="宋体" w:eastAsia="宋体" w:hint="default"/>
          <w:spacing w:val="-1"/>
          <w:w w:val="90"/>
          <w:sz w:val="21"/>
          <w:szCs w:val="21"/>
        </w:rPr>
        <w:t>当月值</w:t>
        <w:tab/>
      </w:r>
      <w:r>
        <w:rPr>
          <w:rFonts w:ascii="宋体" w:hAnsi="宋体" w:cs="宋体" w:eastAsia="宋体" w:hint="default"/>
          <w:spacing w:val="-1"/>
          <w:sz w:val="21"/>
          <w:szCs w:val="21"/>
        </w:rPr>
        <w:t>月度同比</w:t>
      </w:r>
    </w:p>
    <w:p>
      <w:pPr>
        <w:spacing w:line="240" w:lineRule="auto" w:before="10"/>
        <w:rPr>
          <w:rFonts w:ascii="宋体" w:hAnsi="宋体" w:cs="宋体" w:eastAsia="宋体" w:hint="default"/>
          <w:sz w:val="15"/>
          <w:szCs w:val="15"/>
        </w:rPr>
      </w:pPr>
    </w:p>
    <w:p>
      <w:pPr>
        <w:spacing w:before="0"/>
        <w:ind w:left="711" w:right="217" w:firstLine="0"/>
        <w:jc w:val="left"/>
        <w:rPr>
          <w:rFonts w:ascii="宋体" w:hAnsi="宋体" w:cs="宋体" w:eastAsia="宋体" w:hint="default"/>
          <w:sz w:val="18"/>
          <w:szCs w:val="18"/>
        </w:rPr>
      </w:pPr>
      <w:r>
        <w:rPr>
          <w:rFonts w:ascii="宋体" w:hAnsi="宋体" w:cs="宋体" w:eastAsia="宋体" w:hint="default"/>
          <w:sz w:val="18"/>
          <w:szCs w:val="18"/>
        </w:rPr>
        <w:t>资料来源： 国家统计局</w:t>
      </w:r>
    </w:p>
    <w:p>
      <w:pPr>
        <w:pStyle w:val="BodyText"/>
        <w:spacing w:line="240" w:lineRule="auto" w:before="107"/>
        <w:ind w:left="620" w:right="217"/>
        <w:jc w:val="left"/>
      </w:pPr>
      <w:r>
        <w:rPr>
          <w:rFonts w:ascii="Times New Roman" w:hAnsi="Times New Roman" w:cs="Times New Roman" w:eastAsia="Times New Roman" w:hint="default"/>
        </w:rPr>
        <w:t>2</w:t>
      </w:r>
      <w:r>
        <w:rPr/>
        <w:t>、激励政策、产品升级促进家电行业迅速回升</w:t>
      </w:r>
    </w:p>
    <w:p>
      <w:pPr>
        <w:pStyle w:val="BodyText"/>
        <w:spacing w:line="348" w:lineRule="auto" w:before="135"/>
        <w:ind w:right="98"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spacing w:val="-8"/>
        </w:rPr>
        <w:t>年，“以旧换新”政策期限延长，实施范围推广；“家电下乡”产品限价提高，</w:t>
      </w:r>
      <w:r>
        <w:rPr/>
        <w:t> </w:t>
      </w:r>
      <w:r>
        <w:rPr>
          <w:spacing w:val="-3"/>
        </w:rPr>
        <w:t>中标产品范围扩大；节能惠民补贴指向高能效空调产品，一系列拉动家电消费激励政策</w:t>
      </w:r>
      <w:r>
        <w:rPr>
          <w:spacing w:val="-98"/>
        </w:rPr>
        <w:t> </w:t>
      </w:r>
      <w:r>
        <w:rPr>
          <w:spacing w:val="-98"/>
        </w:rPr>
      </w:r>
      <w:r>
        <w:rPr/>
        <w:t>的深化落实为行业提供良好发展空间。</w:t>
      </w:r>
    </w:p>
    <w:p>
      <w:pPr>
        <w:pStyle w:val="BodyText"/>
        <w:spacing w:line="348" w:lineRule="auto" w:before="46"/>
        <w:ind w:left="139" w:right="232" w:firstLine="480"/>
        <w:jc w:val="both"/>
      </w:pPr>
      <w:r>
        <w:rPr>
          <w:spacing w:val="-3"/>
        </w:rPr>
        <w:t>消费升级、更新换代趋势明显，彩电行业已经完成平板电视的升级之路；白色家电</w:t>
      </w:r>
      <w:r>
        <w:rPr/>
        <w:t> 中高附加值产品如变频空调、滚筒洗衣机、三门冰箱等产品增长快速；</w:t>
      </w:r>
      <w:r>
        <w:rPr>
          <w:rFonts w:ascii="Times New Roman" w:hAnsi="Times New Roman" w:cs="Times New Roman" w:eastAsia="Times New Roman" w:hint="default"/>
        </w:rPr>
        <w:t>3G</w:t>
      </w:r>
      <w:r>
        <w:rPr/>
        <w:t>、智能手机</w:t>
      </w:r>
      <w:r>
        <w:rPr>
          <w:spacing w:val="-47"/>
        </w:rPr>
        <w:t> </w:t>
      </w:r>
      <w:r>
        <w:rPr/>
        <w:t>普及较快。</w:t>
      </w:r>
    </w:p>
    <w:p>
      <w:pPr>
        <w:pStyle w:val="BodyText"/>
        <w:spacing w:line="338" w:lineRule="auto" w:before="46"/>
        <w:ind w:left="139" w:right="102" w:firstLine="464"/>
        <w:jc w:val="left"/>
      </w:pPr>
      <w:r>
        <w:rPr>
          <w:spacing w:val="-20"/>
        </w:rPr>
        <w:t>综上，</w:t>
      </w:r>
      <w:r>
        <w:rPr>
          <w:rFonts w:ascii="Times New Roman" w:hAnsi="Times New Roman" w:cs="Times New Roman" w:eastAsia="Times New Roman" w:hint="default"/>
          <w:spacing w:val="-20"/>
        </w:rPr>
        <w:t>2010</w:t>
      </w:r>
      <w:r>
        <w:rPr>
          <w:rFonts w:ascii="Times New Roman" w:hAnsi="Times New Roman" w:cs="Times New Roman" w:eastAsia="Times New Roman" w:hint="default"/>
          <w:spacing w:val="-6"/>
        </w:rPr>
        <w:t> </w:t>
      </w:r>
      <w:r>
        <w:rPr>
          <w:spacing w:val="-14"/>
        </w:rPr>
        <w:t>年家电行业迅速回升，据北京中怡康时代市场研究有限公司数据显示，</w:t>
      </w:r>
      <w:r>
        <w:rPr>
          <w:rFonts w:ascii="Times New Roman" w:hAnsi="Times New Roman" w:cs="Times New Roman" w:eastAsia="Times New Roman" w:hint="default"/>
          <w:spacing w:val="-14"/>
        </w:rPr>
        <w:t>2010</w:t>
      </w:r>
      <w:r>
        <w:rPr>
          <w:rFonts w:ascii="Times New Roman" w:hAnsi="Times New Roman" w:cs="Times New Roman" w:eastAsia="Times New Roman" w:hint="default"/>
          <w:spacing w:val="-5"/>
        </w:rPr>
        <w:t> </w:t>
      </w:r>
      <w:r>
        <w:rPr>
          <w:spacing w:val="-10"/>
        </w:rPr>
        <w:t>年中国家电市场零售总额突破万亿元大关，达</w:t>
      </w:r>
      <w:r>
        <w:rPr>
          <w:spacing w:val="-71"/>
        </w:rPr>
        <w:t> </w:t>
      </w:r>
      <w:r>
        <w:rPr>
          <w:rFonts w:ascii="Times New Roman" w:hAnsi="Times New Roman" w:cs="Times New Roman" w:eastAsia="Times New Roman" w:hint="default"/>
          <w:spacing w:val="-4"/>
        </w:rPr>
        <w:t>10,560</w:t>
      </w:r>
      <w:r>
        <w:rPr>
          <w:rFonts w:ascii="Times New Roman" w:hAnsi="Times New Roman" w:cs="Times New Roman" w:eastAsia="Times New Roman" w:hint="default"/>
          <w:spacing w:val="-7"/>
        </w:rPr>
        <w:t> </w:t>
      </w:r>
      <w:r>
        <w:rPr>
          <w:spacing w:val="-18"/>
        </w:rPr>
        <w:t>亿元，较</w:t>
      </w:r>
      <w:r>
        <w:rPr>
          <w:spacing w:val="-70"/>
        </w:rPr>
        <w:t> </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8"/>
        </w:rPr>
        <w:t> </w:t>
      </w:r>
      <w:r>
        <w:rPr>
          <w:spacing w:val="-7"/>
        </w:rPr>
        <w:t>年同期增长了</w:t>
      </w:r>
      <w:r>
        <w:rPr>
          <w:spacing w:val="-70"/>
        </w:rPr>
        <w:t> </w:t>
      </w:r>
      <w:r>
        <w:rPr>
          <w:rFonts w:ascii="Times New Roman" w:hAnsi="Times New Roman" w:cs="Times New Roman" w:eastAsia="Times New Roman" w:hint="default"/>
          <w:spacing w:val="-3"/>
        </w:rPr>
        <w:t>18.9</w:t>
      </w:r>
      <w:r>
        <w:rPr>
          <w:rFonts w:ascii="Times New Roman" w:hAnsi="Times New Roman" w:cs="Times New Roman" w:eastAsia="Times New Roman" w:hint="default"/>
          <w:spacing w:val="-9"/>
        </w:rPr>
        <w:t> </w:t>
      </w:r>
      <w:r>
        <w:rPr>
          <w:rFonts w:ascii="Times New Roman" w:hAnsi="Times New Roman" w:cs="Times New Roman" w:eastAsia="Times New Roman" w:hint="default"/>
        </w:rPr>
        <w:t>%</w:t>
      </w:r>
      <w:r>
        <w:rPr/>
        <w:t>。</w:t>
      </w:r>
    </w:p>
    <w:p>
      <w:pPr>
        <w:spacing w:after="0" w:line="338" w:lineRule="auto"/>
        <w:jc w:val="left"/>
        <w:sectPr>
          <w:type w:val="continuous"/>
          <w:pgSz w:w="11910" w:h="16840"/>
          <w:pgMar w:top="920" w:bottom="900" w:left="1300" w:right="1200"/>
        </w:sectPr>
      </w:pPr>
    </w:p>
    <w:p>
      <w:pPr>
        <w:spacing w:line="240" w:lineRule="auto" w:before="7"/>
        <w:rPr>
          <w:rFonts w:ascii="宋体" w:hAnsi="宋体" w:cs="宋体" w:eastAsia="宋体" w:hint="default"/>
          <w:sz w:val="29"/>
          <w:szCs w:val="29"/>
        </w:rPr>
      </w:pPr>
    </w:p>
    <w:p>
      <w:pPr>
        <w:pStyle w:val="BodyText"/>
        <w:spacing w:line="240" w:lineRule="auto" w:before="26"/>
        <w:ind w:left="601" w:right="2202"/>
        <w:jc w:val="left"/>
      </w:pPr>
      <w:r>
        <w:rPr/>
        <w:t>（二）连锁发展情况分析</w:t>
      </w:r>
    </w:p>
    <w:p>
      <w:pPr>
        <w:pStyle w:val="BodyText"/>
        <w:spacing w:line="240" w:lineRule="auto" w:before="154"/>
        <w:ind w:left="601" w:right="2202"/>
        <w:jc w:val="left"/>
      </w:pPr>
      <w:r>
        <w:rPr>
          <w:rFonts w:ascii="Times New Roman" w:hAnsi="Times New Roman" w:cs="Times New Roman" w:eastAsia="Times New Roman" w:hint="default"/>
        </w:rPr>
        <w:t>1</w:t>
      </w:r>
      <w:r>
        <w:rPr/>
        <w:t>、连锁发展基本情况</w:t>
      </w:r>
    </w:p>
    <w:p>
      <w:pPr>
        <w:pStyle w:val="BodyText"/>
        <w:spacing w:line="240" w:lineRule="auto" w:before="135"/>
        <w:ind w:left="482" w:right="2202"/>
        <w:jc w:val="left"/>
      </w:pPr>
      <w:r>
        <w:rPr/>
        <w:t>（</w:t>
      </w:r>
      <w:r>
        <w:rPr>
          <w:rFonts w:ascii="Times New Roman" w:hAnsi="Times New Roman" w:cs="Times New Roman" w:eastAsia="Times New Roman" w:hint="default"/>
        </w:rPr>
        <w:t>1</w:t>
      </w:r>
      <w:r>
        <w:rPr/>
        <w:t>）大陆市场</w:t>
      </w:r>
    </w:p>
    <w:p>
      <w:pPr>
        <w:pStyle w:val="BodyText"/>
        <w:spacing w:line="240" w:lineRule="auto" w:before="135"/>
        <w:ind w:left="720" w:right="119"/>
        <w:jc w:val="left"/>
      </w:pPr>
      <w:r>
        <w:rPr/>
        <w:t>①</w:t>
      </w:r>
      <w:r>
        <w:rPr>
          <w:spacing w:val="-4"/>
        </w:rPr>
        <w:t> </w:t>
      </w:r>
      <w:r>
        <w:rPr/>
        <w:t>报告期内，公司新进地级以上城市</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4"/>
        </w:rPr>
        <w:t>个，新开常规店</w:t>
      </w:r>
      <w:r>
        <w:rPr>
          <w:spacing w:val="-62"/>
        </w:rPr>
        <w:t> </w:t>
      </w:r>
      <w:r>
        <w:rPr>
          <w:rFonts w:ascii="Times New Roman" w:hAnsi="Times New Roman" w:cs="Times New Roman" w:eastAsia="Times New Roman" w:hint="default"/>
        </w:rPr>
        <w:t>273</w:t>
      </w:r>
      <w:r>
        <w:rPr>
          <w:rFonts w:ascii="Times New Roman" w:hAnsi="Times New Roman" w:cs="Times New Roman" w:eastAsia="Times New Roman" w:hint="default"/>
          <w:spacing w:val="-2"/>
        </w:rPr>
        <w:t> </w:t>
      </w:r>
      <w:r>
        <w:rPr>
          <w:spacing w:val="-5"/>
        </w:rPr>
        <w:t>家，精品店</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8"/>
        </w:rPr>
        <w:t>家，县</w:t>
      </w:r>
    </w:p>
    <w:p>
      <w:pPr>
        <w:pStyle w:val="BodyText"/>
        <w:spacing w:line="348" w:lineRule="auto" w:before="135"/>
        <w:ind w:left="239" w:right="253"/>
        <w:jc w:val="both"/>
      </w:pPr>
      <w:r>
        <w:rPr/>
        <w:t>镇店</w:t>
      </w:r>
      <w:r>
        <w:rPr>
          <w:spacing w:val="-65"/>
        </w:rPr>
        <w:t> </w:t>
      </w:r>
      <w:r>
        <w:rPr>
          <w:rFonts w:ascii="Times New Roman" w:hAnsi="Times New Roman" w:cs="Times New Roman" w:eastAsia="Times New Roman" w:hint="default"/>
          <w:spacing w:val="-3"/>
        </w:rPr>
        <w:t>114</w:t>
      </w:r>
      <w:r>
        <w:rPr>
          <w:rFonts w:ascii="Times New Roman" w:hAnsi="Times New Roman" w:cs="Times New Roman" w:eastAsia="Times New Roman" w:hint="default"/>
          <w:spacing w:val="-5"/>
        </w:rPr>
        <w:t> </w:t>
      </w:r>
      <w:r>
        <w:rPr/>
        <w:t>家，共置换</w:t>
      </w:r>
      <w:r>
        <w:rPr>
          <w:rFonts w:ascii="Times New Roman" w:hAnsi="Times New Roman" w:cs="Times New Roman" w:eastAsia="Times New Roman" w:hint="default"/>
        </w:rPr>
        <w:t>/</w:t>
      </w:r>
      <w:r>
        <w:rPr/>
        <w:t>关闭连锁店</w:t>
      </w:r>
      <w:r>
        <w:rPr>
          <w:spacing w:val="-65"/>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家，净增加连锁店</w:t>
      </w:r>
      <w:r>
        <w:rPr>
          <w:spacing w:val="-65"/>
        </w:rPr>
        <w:t> </w:t>
      </w:r>
      <w:r>
        <w:rPr>
          <w:rFonts w:ascii="Times New Roman" w:hAnsi="Times New Roman" w:cs="Times New Roman" w:eastAsia="Times New Roman" w:hint="default"/>
        </w:rPr>
        <w:t>370</w:t>
      </w:r>
      <w:r>
        <w:rPr>
          <w:rFonts w:ascii="Times New Roman" w:hAnsi="Times New Roman" w:cs="Times New Roman" w:eastAsia="Times New Roman" w:hint="default"/>
          <w:spacing w:val="-5"/>
        </w:rPr>
        <w:t> </w:t>
      </w:r>
      <w:r>
        <w:rPr/>
        <w:t>家。其中，精品店、县镇店 </w:t>
      </w:r>
      <w:r>
        <w:rPr>
          <w:spacing w:val="-3"/>
        </w:rPr>
        <w:t>作为公司创新推出的两种新型店面形态，无论是在市场特点了解、客户需求挖掘还是在</w:t>
      </w:r>
      <w:r>
        <w:rPr>
          <w:spacing w:val="-98"/>
        </w:rPr>
        <w:t> </w:t>
      </w:r>
      <w:r>
        <w:rPr>
          <w:spacing w:val="-98"/>
        </w:rPr>
      </w:r>
      <w:r>
        <w:rPr/>
        <w:t>组织流程完善等方面，公司仍将不断的进行研究并推进实践。</w:t>
      </w:r>
    </w:p>
    <w:p>
      <w:pPr>
        <w:pStyle w:val="BodyText"/>
        <w:spacing w:line="348" w:lineRule="auto" w:before="46"/>
        <w:ind w:left="239" w:right="119" w:firstLine="480"/>
        <w:jc w:val="left"/>
      </w:pPr>
      <w:r>
        <w:rPr/>
        <w:t>②</w:t>
      </w:r>
      <w:r>
        <w:rPr>
          <w:spacing w:val="19"/>
        </w:rPr>
        <w:t> </w:t>
      </w:r>
      <w:r>
        <w:rPr>
          <w:spacing w:val="-4"/>
        </w:rPr>
        <w:t>报告期内，公司按照“租、建、并、购”的综合开发策略，分别在临沂、泰州、</w:t>
      </w:r>
      <w:r>
        <w:rPr>
          <w:spacing w:val="-1"/>
        </w:rPr>
        <w:t> </w:t>
      </w:r>
      <w:r>
        <w:rPr>
          <w:spacing w:val="-3"/>
        </w:rPr>
        <w:t>大同、昆明、重庆、西安、大连、北京的核心商圈新增购置店项目</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个，并成功在威海 开设首个自行开发模式自建店，在上海开设首个合作开发模式自建店。</w:t>
      </w:r>
    </w:p>
    <w:p>
      <w:pPr>
        <w:pStyle w:val="BodyText"/>
        <w:spacing w:line="240" w:lineRule="auto" w:before="46"/>
        <w:ind w:left="719" w:right="119"/>
        <w:jc w:val="left"/>
      </w:pPr>
      <w:r>
        <w:rPr/>
        <w:t>③</w:t>
      </w:r>
      <w:r>
        <w:rPr>
          <w:spacing w:val="-3"/>
        </w:rPr>
        <w:t> </w:t>
      </w:r>
      <w:r>
        <w:rPr/>
        <w:t>截至</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年末，公司已在全国</w:t>
      </w:r>
      <w:r>
        <w:rPr>
          <w:spacing w:val="-62"/>
        </w:rPr>
        <w:t> </w:t>
      </w:r>
      <w:r>
        <w:rPr>
          <w:rFonts w:ascii="Times New Roman" w:hAnsi="Times New Roman" w:cs="Times New Roman" w:eastAsia="Times New Roman" w:hint="default"/>
        </w:rPr>
        <w:t>231</w:t>
      </w:r>
      <w:r>
        <w:rPr>
          <w:rFonts w:ascii="Times New Roman" w:hAnsi="Times New Roman" w:cs="Times New Roman" w:eastAsia="Times New Roman" w:hint="default"/>
          <w:spacing w:val="-2"/>
        </w:rPr>
        <w:t> </w:t>
      </w:r>
      <w:r>
        <w:rPr/>
        <w:t>个地级以上城市拥有连锁店共计</w:t>
      </w:r>
      <w:r>
        <w:rPr>
          <w:spacing w:val="-62"/>
        </w:rPr>
        <w:t> </w:t>
      </w:r>
      <w:r>
        <w:rPr>
          <w:rFonts w:ascii="Times New Roman" w:hAnsi="Times New Roman" w:cs="Times New Roman" w:eastAsia="Times New Roman" w:hint="default"/>
        </w:rPr>
        <w:t>1,311</w:t>
      </w:r>
      <w:r>
        <w:rPr>
          <w:rFonts w:ascii="Times New Roman" w:hAnsi="Times New Roman" w:cs="Times New Roman" w:eastAsia="Times New Roman" w:hint="default"/>
          <w:spacing w:val="-2"/>
        </w:rPr>
        <w:t> </w:t>
      </w:r>
      <w:r>
        <w:rPr/>
        <w:t>家，</w:t>
      </w:r>
    </w:p>
    <w:p>
      <w:pPr>
        <w:pStyle w:val="BodyText"/>
        <w:spacing w:line="338" w:lineRule="auto" w:before="135"/>
        <w:ind w:left="239" w:right="253"/>
        <w:jc w:val="both"/>
      </w:pPr>
      <w:r>
        <w:rPr/>
        <w:t>其中常规店</w:t>
      </w:r>
      <w:r>
        <w:rPr>
          <w:spacing w:val="-58"/>
        </w:rPr>
        <w:t> </w:t>
      </w:r>
      <w:r>
        <w:rPr>
          <w:rFonts w:ascii="Times New Roman" w:hAnsi="Times New Roman" w:cs="Times New Roman" w:eastAsia="Times New Roman" w:hint="default"/>
        </w:rPr>
        <w:t>1,187</w:t>
      </w:r>
      <w:r>
        <w:rPr>
          <w:rFonts w:ascii="Times New Roman" w:hAnsi="Times New Roman" w:cs="Times New Roman" w:eastAsia="Times New Roman" w:hint="default"/>
          <w:spacing w:val="2"/>
        </w:rPr>
        <w:t> </w:t>
      </w:r>
      <w:r>
        <w:rPr/>
        <w:t>家、精品店</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家、县镇店</w:t>
      </w:r>
      <w:r>
        <w:rPr>
          <w:spacing w:val="-58"/>
        </w:rPr>
        <w:t> </w:t>
      </w:r>
      <w:r>
        <w:rPr>
          <w:rFonts w:ascii="Times New Roman" w:hAnsi="Times New Roman" w:cs="Times New Roman" w:eastAsia="Times New Roman" w:hint="default"/>
          <w:spacing w:val="-3"/>
        </w:rPr>
        <w:t>114</w:t>
      </w:r>
      <w:r>
        <w:rPr>
          <w:rFonts w:ascii="Times New Roman" w:hAnsi="Times New Roman" w:cs="Times New Roman" w:eastAsia="Times New Roman" w:hint="default"/>
          <w:spacing w:val="2"/>
        </w:rPr>
        <w:t> </w:t>
      </w:r>
      <w:r>
        <w:rPr/>
        <w:t>家，连锁店面积合计达</w:t>
      </w:r>
      <w:r>
        <w:rPr>
          <w:spacing w:val="-58"/>
        </w:rPr>
        <w:t> </w:t>
      </w:r>
      <w:r>
        <w:rPr>
          <w:rFonts w:ascii="Times New Roman" w:hAnsi="Times New Roman" w:cs="Times New Roman" w:eastAsia="Times New Roman" w:hint="default"/>
        </w:rPr>
        <w:t>516.07</w:t>
      </w:r>
      <w:r>
        <w:rPr>
          <w:rFonts w:ascii="Times New Roman" w:hAnsi="Times New Roman" w:cs="Times New Roman" w:eastAsia="Times New Roman" w:hint="default"/>
          <w:spacing w:val="2"/>
        </w:rPr>
        <w:t> </w:t>
      </w:r>
      <w:r>
        <w:rPr/>
        <w:t>万平方 米，比上年同期增长 </w:t>
      </w:r>
      <w:r>
        <w:rPr>
          <w:rFonts w:ascii="Times New Roman" w:hAnsi="Times New Roman" w:cs="Times New Roman" w:eastAsia="Times New Roman" w:hint="default"/>
        </w:rPr>
        <w:t>29.26%</w:t>
      </w:r>
      <w:r>
        <w:rPr/>
        <w:t>；由于报告期内公司加快推进三、四级市场的开发，期末 大陆地区公司平均单店面积同比下降</w:t>
      </w:r>
      <w:r>
        <w:rPr>
          <w:spacing w:val="-60"/>
        </w:rPr>
        <w:t> </w:t>
      </w:r>
      <w:r>
        <w:rPr>
          <w:rFonts w:ascii="Times New Roman" w:hAnsi="Times New Roman" w:cs="Times New Roman" w:eastAsia="Times New Roman" w:hint="default"/>
        </w:rPr>
        <w:t>7.24%</w:t>
      </w:r>
      <w:r>
        <w:rPr/>
        <w:t>至</w:t>
      </w:r>
      <w:r>
        <w:rPr>
          <w:spacing w:val="-60"/>
        </w:rPr>
        <w:t> </w:t>
      </w:r>
      <w:r>
        <w:rPr>
          <w:rFonts w:ascii="Times New Roman" w:hAnsi="Times New Roman" w:cs="Times New Roman" w:eastAsia="Times New Roman" w:hint="default"/>
        </w:rPr>
        <w:t>3,936 </w:t>
      </w:r>
      <w:r>
        <w:rPr/>
        <w:t>平方米。</w:t>
      </w:r>
    </w:p>
    <w:p>
      <w:pPr>
        <w:pStyle w:val="BodyText"/>
        <w:spacing w:line="240" w:lineRule="auto" w:before="27"/>
        <w:ind w:left="720" w:right="2202"/>
        <w:jc w:val="left"/>
      </w:pPr>
      <w:r>
        <w:rPr/>
        <w:t>（</w:t>
      </w:r>
      <w:r>
        <w:rPr>
          <w:rFonts w:ascii="Times New Roman" w:hAnsi="Times New Roman" w:cs="Times New Roman" w:eastAsia="Times New Roman" w:hint="default"/>
        </w:rPr>
        <w:t>2</w:t>
      </w:r>
      <w:r>
        <w:rPr/>
        <w:t>）国际市场</w:t>
      </w:r>
    </w:p>
    <w:p>
      <w:pPr>
        <w:pStyle w:val="BodyText"/>
        <w:spacing w:line="240" w:lineRule="auto" w:before="135"/>
        <w:ind w:left="720" w:right="119"/>
        <w:jc w:val="left"/>
      </w:pPr>
      <w:r>
        <w:rPr/>
        <w:t>报告期内，公司持续推进香港地区连锁网络优化工作，新开连锁店 </w:t>
      </w:r>
      <w:r>
        <w:rPr>
          <w:rFonts w:ascii="Times New Roman" w:hAnsi="Times New Roman" w:cs="Times New Roman" w:eastAsia="Times New Roman" w:hint="default"/>
        </w:rPr>
        <w:t>8</w:t>
      </w:r>
      <w:r>
        <w:rPr>
          <w:rFonts w:ascii="Times New Roman" w:hAnsi="Times New Roman" w:cs="Times New Roman" w:eastAsia="Times New Roman" w:hint="default"/>
          <w:spacing w:val="20"/>
        </w:rPr>
        <w:t> </w:t>
      </w:r>
      <w:r>
        <w:rPr/>
        <w:t>家，关闭</w:t>
      </w:r>
      <w:r>
        <w:rPr>
          <w:rFonts w:ascii="Times New Roman" w:hAnsi="Times New Roman" w:cs="Times New Roman" w:eastAsia="Times New Roman" w:hint="default"/>
        </w:rPr>
        <w:t>/</w:t>
      </w:r>
      <w:r>
        <w:rPr/>
        <w:t>置</w:t>
      </w:r>
    </w:p>
    <w:p>
      <w:pPr>
        <w:pStyle w:val="BodyText"/>
        <w:spacing w:line="338" w:lineRule="auto" w:before="135"/>
        <w:ind w:left="720" w:right="245" w:hanging="480"/>
        <w:jc w:val="left"/>
      </w:pPr>
      <w:r>
        <w:rPr/>
        <w:t>换连锁店</w:t>
      </w:r>
      <w:r>
        <w:rPr>
          <w:spacing w:val="-60"/>
        </w:rPr>
        <w:t> </w:t>
      </w:r>
      <w:r>
        <w:rPr>
          <w:rFonts w:ascii="Times New Roman" w:hAnsi="Times New Roman" w:cs="Times New Roman" w:eastAsia="Times New Roman" w:hint="default"/>
        </w:rPr>
        <w:t>7 </w:t>
      </w:r>
      <w:r>
        <w:rPr/>
        <w:t>家，净增加连锁店</w:t>
      </w:r>
      <w:r>
        <w:rPr>
          <w:spacing w:val="-60"/>
        </w:rPr>
        <w:t> </w:t>
      </w:r>
      <w:r>
        <w:rPr>
          <w:rFonts w:ascii="Times New Roman" w:hAnsi="Times New Roman" w:cs="Times New Roman" w:eastAsia="Times New Roman" w:hint="default"/>
        </w:rPr>
        <w:t>1 </w:t>
      </w:r>
      <w:r>
        <w:rPr/>
        <w:t>家，截至期末香港地区拥有连锁店</w:t>
      </w:r>
      <w:r>
        <w:rPr>
          <w:spacing w:val="-60"/>
        </w:rPr>
        <w:t> </w:t>
      </w:r>
      <w:r>
        <w:rPr>
          <w:rFonts w:ascii="Times New Roman" w:hAnsi="Times New Roman" w:cs="Times New Roman" w:eastAsia="Times New Roman" w:hint="default"/>
        </w:rPr>
        <w:t>23 </w:t>
      </w:r>
      <w:r>
        <w:rPr/>
        <w:t>家。 同时，公司协助日本</w:t>
      </w:r>
      <w:r>
        <w:rPr>
          <w:spacing w:val="-59"/>
        </w:rPr>
        <w:t> </w:t>
      </w:r>
      <w:r>
        <w:rPr>
          <w:rFonts w:ascii="Times New Roman" w:hAnsi="Times New Roman" w:cs="Times New Roman" w:eastAsia="Times New Roman" w:hint="default"/>
        </w:rPr>
        <w:t>LAOX</w:t>
      </w:r>
      <w:r>
        <w:rPr>
          <w:rFonts w:ascii="Times New Roman" w:hAnsi="Times New Roman" w:cs="Times New Roman" w:eastAsia="Times New Roman" w:hint="default"/>
          <w:spacing w:val="1"/>
        </w:rPr>
        <w:t> </w:t>
      </w:r>
      <w:r>
        <w:rPr/>
        <w:t>公司新开连锁店</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家，关闭</w:t>
      </w:r>
      <w:r>
        <w:rPr>
          <w:rFonts w:ascii="Times New Roman" w:hAnsi="Times New Roman" w:cs="Times New Roman" w:eastAsia="Times New Roman" w:hint="default"/>
        </w:rPr>
        <w:t>/</w:t>
      </w:r>
      <w:r>
        <w:rPr/>
        <w:t>置换连锁店</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家，净增加</w:t>
      </w:r>
    </w:p>
    <w:p>
      <w:pPr>
        <w:pStyle w:val="BodyText"/>
        <w:spacing w:line="240" w:lineRule="auto" w:before="27"/>
        <w:ind w:left="240" w:right="0"/>
        <w:jc w:val="both"/>
      </w:pPr>
      <w:r>
        <w:rPr/>
        <w:t>连锁店</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家，截至期末，</w:t>
      </w:r>
      <w:r>
        <w:rPr>
          <w:rFonts w:ascii="Times New Roman" w:hAnsi="Times New Roman" w:cs="Times New Roman" w:eastAsia="Times New Roman" w:hint="default"/>
        </w:rPr>
        <w:t>LAOX</w:t>
      </w:r>
      <w:r>
        <w:rPr>
          <w:rFonts w:ascii="Times New Roman" w:hAnsi="Times New Roman" w:cs="Times New Roman" w:eastAsia="Times New Roman" w:hint="default"/>
          <w:spacing w:val="-2"/>
        </w:rPr>
        <w:t> </w:t>
      </w:r>
      <w:r>
        <w:rPr/>
        <w:t>已拥有</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家连锁店面。</w:t>
      </w:r>
    </w:p>
    <w:p>
      <w:pPr>
        <w:pStyle w:val="BodyText"/>
        <w:spacing w:line="240" w:lineRule="auto" w:before="135"/>
        <w:ind w:left="720" w:right="119"/>
        <w:jc w:val="left"/>
        <w:rPr>
          <w:rFonts w:ascii="Times New Roman" w:hAnsi="Times New Roman" w:cs="Times New Roman" w:eastAsia="Times New Roman" w:hint="default"/>
        </w:rPr>
      </w:pPr>
      <w:r>
        <w:rPr/>
        <w:t>综上，截止报告期末，公司在中国大陆、香港地区、日本市场共拥有连锁店</w:t>
      </w:r>
      <w:r>
        <w:rPr>
          <w:spacing w:val="-32"/>
        </w:rPr>
        <w:t> </w:t>
      </w:r>
      <w:r>
        <w:rPr>
          <w:rFonts w:ascii="Times New Roman" w:hAnsi="Times New Roman" w:cs="Times New Roman" w:eastAsia="Times New Roman" w:hint="default"/>
        </w:rPr>
        <w:t>1,342</w:t>
      </w:r>
    </w:p>
    <w:p>
      <w:pPr>
        <w:pStyle w:val="BodyText"/>
        <w:spacing w:line="240" w:lineRule="auto" w:before="135"/>
        <w:ind w:left="240" w:right="0"/>
        <w:jc w:val="both"/>
      </w:pPr>
      <w:r>
        <w:rPr/>
        <w:t>家。</w:t>
      </w:r>
    </w:p>
    <w:p>
      <w:pPr>
        <w:spacing w:line="240" w:lineRule="auto" w:before="10"/>
        <w:rPr>
          <w:rFonts w:ascii="宋体" w:hAnsi="宋体" w:cs="宋体" w:eastAsia="宋体" w:hint="default"/>
          <w:sz w:val="9"/>
          <w:szCs w:val="9"/>
        </w:rPr>
      </w:pPr>
    </w:p>
    <w:p>
      <w:pPr>
        <w:pStyle w:val="BodyText"/>
        <w:spacing w:line="240" w:lineRule="auto" w:before="26"/>
        <w:ind w:left="721" w:right="2202"/>
        <w:jc w:val="left"/>
      </w:pPr>
      <w:r>
        <w:rPr>
          <w:rFonts w:ascii="Times New Roman" w:hAnsi="Times New Roman" w:cs="Times New Roman" w:eastAsia="Times New Roman" w:hint="default"/>
        </w:rPr>
        <w:t>2</w:t>
      </w:r>
      <w:r>
        <w:rPr/>
        <w:t>、连锁店结构分析</w:t>
      </w:r>
    </w:p>
    <w:p>
      <w:pPr>
        <w:pStyle w:val="BodyText"/>
        <w:spacing w:line="240" w:lineRule="auto" w:before="104"/>
        <w:ind w:left="721" w:right="2202"/>
        <w:jc w:val="left"/>
      </w:pPr>
      <w:r>
        <w:rPr/>
        <w:t>（</w:t>
      </w:r>
      <w:r>
        <w:rPr>
          <w:rFonts w:ascii="Times New Roman" w:hAnsi="Times New Roman" w:cs="Times New Roman" w:eastAsia="Times New Roman" w:hint="default"/>
        </w:rPr>
        <w:t>1</w:t>
      </w:r>
      <w:r>
        <w:rPr/>
        <w:t>）连锁店地区分布情况</w:t>
      </w:r>
    </w:p>
    <w:p>
      <w:pPr>
        <w:spacing w:line="240" w:lineRule="auto" w:before="13"/>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075"/>
        <w:gridCol w:w="690"/>
        <w:gridCol w:w="690"/>
        <w:gridCol w:w="690"/>
        <w:gridCol w:w="690"/>
        <w:gridCol w:w="690"/>
        <w:gridCol w:w="638"/>
        <w:gridCol w:w="638"/>
        <w:gridCol w:w="637"/>
        <w:gridCol w:w="584"/>
        <w:gridCol w:w="584"/>
        <w:gridCol w:w="637"/>
      </w:tblGrid>
      <w:tr>
        <w:trPr>
          <w:trHeight w:val="1120" w:hRule="exact"/>
        </w:trPr>
        <w:tc>
          <w:tcPr>
            <w:tcW w:w="2075"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项目</w:t>
            </w:r>
          </w:p>
        </w:tc>
        <w:tc>
          <w:tcPr>
            <w:tcW w:w="69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72" w:lineRule="exact"/>
              <w:ind w:left="129" w:right="128"/>
              <w:jc w:val="left"/>
              <w:rPr>
                <w:rFonts w:ascii="宋体" w:hAnsi="宋体" w:cs="宋体" w:eastAsia="宋体" w:hint="default"/>
                <w:sz w:val="21"/>
                <w:szCs w:val="21"/>
              </w:rPr>
            </w:pPr>
            <w:r>
              <w:rPr>
                <w:rFonts w:ascii="宋体" w:hAnsi="宋体" w:cs="宋体" w:eastAsia="宋体" w:hint="default"/>
                <w:sz w:val="21"/>
                <w:szCs w:val="21"/>
              </w:rPr>
              <w:t>华东 一区</w:t>
            </w:r>
          </w:p>
        </w:tc>
        <w:tc>
          <w:tcPr>
            <w:tcW w:w="69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72" w:lineRule="exact"/>
              <w:ind w:left="129" w:right="128"/>
              <w:jc w:val="left"/>
              <w:rPr>
                <w:rFonts w:ascii="宋体" w:hAnsi="宋体" w:cs="宋体" w:eastAsia="宋体" w:hint="default"/>
                <w:sz w:val="21"/>
                <w:szCs w:val="21"/>
              </w:rPr>
            </w:pPr>
            <w:r>
              <w:rPr>
                <w:rFonts w:ascii="宋体" w:hAnsi="宋体" w:cs="宋体" w:eastAsia="宋体" w:hint="default"/>
                <w:sz w:val="21"/>
                <w:szCs w:val="21"/>
              </w:rPr>
              <w:t>华东 二区</w:t>
            </w:r>
          </w:p>
        </w:tc>
        <w:tc>
          <w:tcPr>
            <w:tcW w:w="69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72" w:lineRule="exact"/>
              <w:ind w:left="129" w:right="128"/>
              <w:jc w:val="left"/>
              <w:rPr>
                <w:rFonts w:ascii="宋体" w:hAnsi="宋体" w:cs="宋体" w:eastAsia="宋体" w:hint="default"/>
                <w:sz w:val="21"/>
                <w:szCs w:val="21"/>
              </w:rPr>
            </w:pPr>
            <w:r>
              <w:rPr>
                <w:rFonts w:ascii="宋体" w:hAnsi="宋体" w:cs="宋体" w:eastAsia="宋体" w:hint="default"/>
                <w:sz w:val="21"/>
                <w:szCs w:val="21"/>
              </w:rPr>
              <w:t>华南 地区</w:t>
            </w:r>
          </w:p>
        </w:tc>
        <w:tc>
          <w:tcPr>
            <w:tcW w:w="69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72" w:lineRule="exact"/>
              <w:ind w:left="129" w:right="128"/>
              <w:jc w:val="left"/>
              <w:rPr>
                <w:rFonts w:ascii="宋体" w:hAnsi="宋体" w:cs="宋体" w:eastAsia="宋体" w:hint="default"/>
                <w:sz w:val="21"/>
                <w:szCs w:val="21"/>
              </w:rPr>
            </w:pPr>
            <w:r>
              <w:rPr>
                <w:rFonts w:ascii="宋体" w:hAnsi="宋体" w:cs="宋体" w:eastAsia="宋体" w:hint="default"/>
                <w:sz w:val="21"/>
                <w:szCs w:val="21"/>
              </w:rPr>
              <w:t>华北 地区</w:t>
            </w:r>
          </w:p>
        </w:tc>
        <w:tc>
          <w:tcPr>
            <w:tcW w:w="69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72" w:lineRule="exact"/>
              <w:ind w:left="129" w:right="128"/>
              <w:jc w:val="left"/>
              <w:rPr>
                <w:rFonts w:ascii="宋体" w:hAnsi="宋体" w:cs="宋体" w:eastAsia="宋体" w:hint="default"/>
                <w:sz w:val="21"/>
                <w:szCs w:val="21"/>
              </w:rPr>
            </w:pPr>
            <w:r>
              <w:rPr>
                <w:rFonts w:ascii="宋体" w:hAnsi="宋体" w:cs="宋体" w:eastAsia="宋体" w:hint="default"/>
                <w:sz w:val="21"/>
                <w:szCs w:val="21"/>
              </w:rPr>
              <w:t>西南 地区</w:t>
            </w:r>
          </w:p>
        </w:tc>
        <w:tc>
          <w:tcPr>
            <w:tcW w:w="63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72" w:lineRule="exact"/>
              <w:ind w:left="104" w:right="102"/>
              <w:jc w:val="left"/>
              <w:rPr>
                <w:rFonts w:ascii="宋体" w:hAnsi="宋体" w:cs="宋体" w:eastAsia="宋体" w:hint="default"/>
                <w:sz w:val="21"/>
                <w:szCs w:val="21"/>
              </w:rPr>
            </w:pPr>
            <w:r>
              <w:rPr>
                <w:rFonts w:ascii="宋体" w:hAnsi="宋体" w:cs="宋体" w:eastAsia="宋体" w:hint="default"/>
                <w:sz w:val="21"/>
                <w:szCs w:val="21"/>
              </w:rPr>
              <w:t>华中 地区</w:t>
            </w:r>
          </w:p>
        </w:tc>
        <w:tc>
          <w:tcPr>
            <w:tcW w:w="63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72" w:lineRule="exact"/>
              <w:ind w:left="104" w:right="102"/>
              <w:jc w:val="left"/>
              <w:rPr>
                <w:rFonts w:ascii="宋体" w:hAnsi="宋体" w:cs="宋体" w:eastAsia="宋体" w:hint="default"/>
                <w:sz w:val="21"/>
                <w:szCs w:val="21"/>
              </w:rPr>
            </w:pPr>
            <w:r>
              <w:rPr>
                <w:rFonts w:ascii="宋体" w:hAnsi="宋体" w:cs="宋体" w:eastAsia="宋体" w:hint="default"/>
                <w:sz w:val="21"/>
                <w:szCs w:val="21"/>
              </w:rPr>
              <w:t>东北 地区</w:t>
            </w:r>
          </w:p>
        </w:tc>
        <w:tc>
          <w:tcPr>
            <w:tcW w:w="63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72" w:lineRule="exact"/>
              <w:ind w:left="104" w:right="101"/>
              <w:jc w:val="left"/>
              <w:rPr>
                <w:rFonts w:ascii="宋体" w:hAnsi="宋体" w:cs="宋体" w:eastAsia="宋体" w:hint="default"/>
                <w:sz w:val="21"/>
                <w:szCs w:val="21"/>
              </w:rPr>
            </w:pPr>
            <w:r>
              <w:rPr>
                <w:rFonts w:ascii="宋体" w:hAnsi="宋体" w:cs="宋体" w:eastAsia="宋体" w:hint="default"/>
                <w:sz w:val="21"/>
                <w:szCs w:val="21"/>
              </w:rPr>
              <w:t>西北 地区</w:t>
            </w:r>
          </w:p>
        </w:tc>
        <w:tc>
          <w:tcPr>
            <w:tcW w:w="584"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182" w:right="180"/>
              <w:jc w:val="left"/>
              <w:rPr>
                <w:rFonts w:ascii="宋体" w:hAnsi="宋体" w:cs="宋体" w:eastAsia="宋体" w:hint="default"/>
                <w:sz w:val="21"/>
                <w:szCs w:val="21"/>
              </w:rPr>
            </w:pPr>
            <w:r>
              <w:rPr>
                <w:rFonts w:ascii="宋体" w:hAnsi="宋体" w:cs="宋体" w:eastAsia="宋体" w:hint="default"/>
                <w:sz w:val="21"/>
                <w:szCs w:val="21"/>
              </w:rPr>
              <w:t>香 港</w:t>
            </w:r>
          </w:p>
          <w:p>
            <w:pPr>
              <w:pStyle w:val="TableParagraph"/>
              <w:spacing w:line="272" w:lineRule="exact" w:before="1"/>
              <w:ind w:left="182" w:right="180"/>
              <w:jc w:val="left"/>
              <w:rPr>
                <w:rFonts w:ascii="宋体" w:hAnsi="宋体" w:cs="宋体" w:eastAsia="宋体" w:hint="default"/>
                <w:sz w:val="21"/>
                <w:szCs w:val="21"/>
              </w:rPr>
            </w:pPr>
            <w:r>
              <w:rPr>
                <w:rFonts w:ascii="宋体" w:hAnsi="宋体" w:cs="宋体" w:eastAsia="宋体" w:hint="default"/>
                <w:sz w:val="21"/>
                <w:szCs w:val="21"/>
              </w:rPr>
              <w:t>地 区</w:t>
            </w:r>
          </w:p>
        </w:tc>
        <w:tc>
          <w:tcPr>
            <w:tcW w:w="584"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182" w:right="180"/>
              <w:jc w:val="left"/>
              <w:rPr>
                <w:rFonts w:ascii="宋体" w:hAnsi="宋体" w:cs="宋体" w:eastAsia="宋体" w:hint="default"/>
                <w:sz w:val="21"/>
                <w:szCs w:val="21"/>
              </w:rPr>
            </w:pPr>
            <w:r>
              <w:rPr>
                <w:rFonts w:ascii="宋体" w:hAnsi="宋体" w:cs="宋体" w:eastAsia="宋体" w:hint="default"/>
                <w:sz w:val="21"/>
                <w:szCs w:val="21"/>
              </w:rPr>
              <w:t>日 本</w:t>
            </w:r>
          </w:p>
          <w:p>
            <w:pPr>
              <w:pStyle w:val="TableParagraph"/>
              <w:spacing w:line="272" w:lineRule="exact" w:before="1"/>
              <w:ind w:left="182" w:right="180"/>
              <w:jc w:val="left"/>
              <w:rPr>
                <w:rFonts w:ascii="宋体" w:hAnsi="宋体" w:cs="宋体" w:eastAsia="宋体" w:hint="default"/>
                <w:sz w:val="21"/>
                <w:szCs w:val="21"/>
              </w:rPr>
            </w:pPr>
            <w:r>
              <w:rPr>
                <w:rFonts w:ascii="宋体" w:hAnsi="宋体" w:cs="宋体" w:eastAsia="宋体" w:hint="default"/>
                <w:sz w:val="21"/>
                <w:szCs w:val="21"/>
              </w:rPr>
              <w:t>市 场</w:t>
            </w:r>
          </w:p>
        </w:tc>
        <w:tc>
          <w:tcPr>
            <w:tcW w:w="637"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70" w:hRule="exact"/>
        </w:trPr>
        <w:tc>
          <w:tcPr>
            <w:tcW w:w="20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86" w:right="0"/>
              <w:jc w:val="left"/>
              <w:rPr>
                <w:rFonts w:ascii="宋体" w:hAnsi="宋体" w:cs="宋体" w:eastAsia="宋体" w:hint="default"/>
                <w:sz w:val="21"/>
                <w:szCs w:val="21"/>
              </w:rPr>
            </w:pPr>
            <w:r>
              <w:rPr>
                <w:rFonts w:ascii="宋体" w:hAnsi="宋体" w:cs="宋体" w:eastAsia="宋体" w:hint="default"/>
                <w:sz w:val="21"/>
                <w:szCs w:val="21"/>
              </w:rPr>
              <w:t>店面数量（家）</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287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245</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216</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179</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138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6"/>
              <w:jc w:val="right"/>
              <w:rPr>
                <w:rFonts w:ascii="Times New Roman" w:hAnsi="Times New Roman" w:cs="Times New Roman" w:eastAsia="Times New Roman" w:hint="default"/>
                <w:sz w:val="21"/>
                <w:szCs w:val="21"/>
              </w:rPr>
            </w:pPr>
            <w:r>
              <w:rPr>
                <w:rFonts w:ascii="Times New Roman"/>
                <w:sz w:val="21"/>
              </w:rPr>
              <w:t>99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6"/>
              <w:jc w:val="right"/>
              <w:rPr>
                <w:rFonts w:ascii="Times New Roman" w:hAnsi="Times New Roman" w:cs="Times New Roman" w:eastAsia="Times New Roman" w:hint="default"/>
                <w:sz w:val="21"/>
                <w:szCs w:val="21"/>
              </w:rPr>
            </w:pPr>
            <w:r>
              <w:rPr>
                <w:rFonts w:ascii="Times New Roman"/>
                <w:sz w:val="21"/>
              </w:rPr>
              <w:t>87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21"/>
                <w:szCs w:val="21"/>
              </w:rPr>
            </w:pPr>
            <w:r>
              <w:rPr>
                <w:rFonts w:ascii="Times New Roman"/>
                <w:sz w:val="21"/>
              </w:rPr>
              <w:t>60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23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8</w:t>
            </w:r>
          </w:p>
        </w:tc>
        <w:tc>
          <w:tcPr>
            <w:tcW w:w="63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7"/>
              <w:ind w:left="17" w:right="0"/>
              <w:jc w:val="center"/>
              <w:rPr>
                <w:rFonts w:ascii="Times New Roman" w:hAnsi="Times New Roman" w:cs="Times New Roman" w:eastAsia="Times New Roman" w:hint="default"/>
                <w:sz w:val="21"/>
                <w:szCs w:val="21"/>
              </w:rPr>
            </w:pPr>
            <w:r>
              <w:rPr>
                <w:rFonts w:ascii="Times New Roman"/>
                <w:sz w:val="21"/>
              </w:rPr>
              <w:t>1342</w:t>
            </w:r>
          </w:p>
        </w:tc>
      </w:tr>
      <w:tr>
        <w:trPr>
          <w:trHeight w:val="388" w:hRule="exact"/>
        </w:trPr>
        <w:tc>
          <w:tcPr>
            <w:tcW w:w="2075"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9"/>
              <w:ind w:left="86" w:right="0"/>
              <w:jc w:val="left"/>
              <w:rPr>
                <w:rFonts w:ascii="宋体" w:hAnsi="宋体" w:cs="宋体" w:eastAsia="宋体" w:hint="default"/>
                <w:sz w:val="21"/>
                <w:szCs w:val="21"/>
              </w:rPr>
            </w:pPr>
            <w:r>
              <w:rPr>
                <w:rFonts w:ascii="宋体" w:hAnsi="宋体" w:cs="宋体" w:eastAsia="宋体" w:hint="default"/>
                <w:sz w:val="21"/>
                <w:szCs w:val="21"/>
              </w:rPr>
              <w:t>占总店数比例（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69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21.39</w:t>
            </w:r>
          </w:p>
        </w:tc>
        <w:tc>
          <w:tcPr>
            <w:tcW w:w="69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18.26</w:t>
            </w:r>
          </w:p>
        </w:tc>
        <w:tc>
          <w:tcPr>
            <w:tcW w:w="69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16.09</w:t>
            </w:r>
          </w:p>
        </w:tc>
        <w:tc>
          <w:tcPr>
            <w:tcW w:w="69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13.34</w:t>
            </w:r>
          </w:p>
        </w:tc>
        <w:tc>
          <w:tcPr>
            <w:tcW w:w="69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10.28</w:t>
            </w:r>
          </w:p>
        </w:tc>
        <w:tc>
          <w:tcPr>
            <w:tcW w:w="6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7"/>
              <w:ind w:right="129"/>
              <w:jc w:val="right"/>
              <w:rPr>
                <w:rFonts w:ascii="Times New Roman" w:hAnsi="Times New Roman" w:cs="Times New Roman" w:eastAsia="Times New Roman" w:hint="default"/>
                <w:sz w:val="21"/>
                <w:szCs w:val="21"/>
              </w:rPr>
            </w:pPr>
            <w:r>
              <w:rPr>
                <w:rFonts w:ascii="Times New Roman"/>
                <w:spacing w:val="-1"/>
                <w:sz w:val="21"/>
              </w:rPr>
              <w:t>7.38</w:t>
            </w:r>
          </w:p>
        </w:tc>
        <w:tc>
          <w:tcPr>
            <w:tcW w:w="6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7"/>
              <w:ind w:right="129"/>
              <w:jc w:val="right"/>
              <w:rPr>
                <w:rFonts w:ascii="Times New Roman" w:hAnsi="Times New Roman" w:cs="Times New Roman" w:eastAsia="Times New Roman" w:hint="default"/>
                <w:sz w:val="21"/>
                <w:szCs w:val="21"/>
              </w:rPr>
            </w:pPr>
            <w:r>
              <w:rPr>
                <w:rFonts w:ascii="Times New Roman"/>
                <w:spacing w:val="-1"/>
                <w:sz w:val="21"/>
              </w:rPr>
              <w:t>6.48</w:t>
            </w:r>
          </w:p>
        </w:tc>
        <w:tc>
          <w:tcPr>
            <w:tcW w:w="63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4.47</w:t>
            </w:r>
          </w:p>
        </w:tc>
        <w:tc>
          <w:tcPr>
            <w:tcW w:w="5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1.71</w:t>
            </w:r>
          </w:p>
        </w:tc>
        <w:tc>
          <w:tcPr>
            <w:tcW w:w="5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0.60</w:t>
            </w:r>
          </w:p>
        </w:tc>
        <w:tc>
          <w:tcPr>
            <w:tcW w:w="637"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57"/>
              <w:ind w:left="17" w:right="0"/>
              <w:jc w:val="center"/>
              <w:rPr>
                <w:rFonts w:ascii="Times New Roman" w:hAnsi="Times New Roman" w:cs="Times New Roman" w:eastAsia="Times New Roman" w:hint="default"/>
                <w:sz w:val="21"/>
                <w:szCs w:val="21"/>
              </w:rPr>
            </w:pPr>
            <w:r>
              <w:rPr>
                <w:rFonts w:ascii="Times New Roman"/>
                <w:sz w:val="21"/>
              </w:rPr>
              <w:t>100</w:t>
            </w:r>
          </w:p>
        </w:tc>
      </w:tr>
    </w:tbl>
    <w:p>
      <w:pPr>
        <w:tabs>
          <w:tab w:pos="4820" w:val="left" w:leader="none"/>
        </w:tabs>
        <w:spacing w:line="237" w:lineRule="auto" w:before="88"/>
        <w:ind w:left="1039" w:right="253" w:hanging="395"/>
        <w:jc w:val="left"/>
        <w:rPr>
          <w:rFonts w:ascii="宋体" w:hAnsi="宋体" w:cs="宋体" w:eastAsia="宋体" w:hint="default"/>
          <w:sz w:val="21"/>
          <w:szCs w:val="21"/>
        </w:rPr>
      </w:pPr>
      <w:r>
        <w:rPr>
          <w:rFonts w:ascii="宋体" w:hAnsi="宋体" w:cs="宋体" w:eastAsia="宋体" w:hint="default"/>
          <w:sz w:val="21"/>
          <w:szCs w:val="21"/>
        </w:rPr>
        <w:t>注：华东一区包括江苏、安徽、山东；</w:t>
        <w:tab/>
        <w:t>华东二区包括上海、福建、浙江、江西； 华南地区包括广东、广西、海南；</w:t>
        <w:tab/>
        <w:t>华北地区包括北京、天津、河北、山西、内蒙； 西南地区包括四川、重庆、云南、贵州；</w:t>
      </w:r>
      <w:r>
        <w:rPr>
          <w:rFonts w:ascii="宋体" w:hAnsi="宋体" w:cs="宋体" w:eastAsia="宋体" w:hint="default"/>
          <w:spacing w:val="-57"/>
          <w:sz w:val="21"/>
          <w:szCs w:val="21"/>
        </w:rPr>
        <w:t> </w:t>
      </w:r>
      <w:r>
        <w:rPr>
          <w:rFonts w:ascii="宋体" w:hAnsi="宋体" w:cs="宋体" w:eastAsia="宋体" w:hint="default"/>
          <w:sz w:val="21"/>
          <w:szCs w:val="21"/>
        </w:rPr>
        <w:t>华中地区包括湖北、湖南、河南；</w:t>
      </w:r>
      <w:r>
        <w:rPr>
          <w:rFonts w:ascii="宋体" w:hAnsi="宋体" w:cs="宋体" w:eastAsia="宋体" w:hint="default"/>
          <w:sz w:val="21"/>
          <w:szCs w:val="21"/>
        </w:rPr>
        <w:t> 东北地区包括辽宁、黑龙江、吉林；</w:t>
        <w:tab/>
        <w:t>西北地区包括陕西、甘肃、青海、新疆、宁夏；</w:t>
      </w:r>
    </w:p>
    <w:p>
      <w:pPr>
        <w:spacing w:after="0" w:line="237" w:lineRule="auto"/>
        <w:jc w:val="left"/>
        <w:rPr>
          <w:rFonts w:ascii="宋体" w:hAnsi="宋体" w:cs="宋体" w:eastAsia="宋体" w:hint="default"/>
          <w:sz w:val="21"/>
          <w:szCs w:val="21"/>
        </w:rPr>
        <w:sectPr>
          <w:pgSz w:w="11910" w:h="16840"/>
          <w:pgMar w:header="748" w:footer="714" w:top="980" w:bottom="900" w:left="1200" w:right="1180"/>
        </w:sectPr>
      </w:pPr>
    </w:p>
    <w:p>
      <w:pPr>
        <w:spacing w:line="240" w:lineRule="auto" w:before="7"/>
        <w:rPr>
          <w:rFonts w:ascii="宋体" w:hAnsi="宋体" w:cs="宋体" w:eastAsia="宋体" w:hint="default"/>
          <w:sz w:val="29"/>
          <w:szCs w:val="29"/>
        </w:rPr>
      </w:pPr>
      <w:r>
        <w:rPr/>
        <w:pict>
          <v:group style="position:absolute;margin-left:67.680pt;margin-top:613.5pt;width:62.25pt;height:30.75pt;mso-position-horizontal-relative:page;mso-position-vertical-relative:page;z-index:-1004968" coordorigin="1354,12270" coordsize="1245,615">
            <v:shape style="position:absolute;left:1354;top:12270;width:1245;height:615" coordorigin="1354,12270" coordsize="1245,615" path="m1354,12270l2598,12884e" filled="false" stroked="true" strokeweight=".48pt" strokecolor="#000000">
              <v:path arrowok="t"/>
            </v:shape>
            <w10:wrap type="none"/>
          </v:group>
        </w:pict>
      </w:r>
    </w:p>
    <w:p>
      <w:pPr>
        <w:pStyle w:val="BodyText"/>
        <w:spacing w:line="338" w:lineRule="auto" w:before="26"/>
        <w:ind w:left="720" w:right="237"/>
        <w:jc w:val="left"/>
      </w:pPr>
      <w:r>
        <w:rPr/>
        <w:t>（</w:t>
      </w:r>
      <w:r>
        <w:rPr>
          <w:rFonts w:ascii="Times New Roman" w:hAnsi="Times New Roman" w:cs="Times New Roman" w:eastAsia="Times New Roman" w:hint="default"/>
        </w:rPr>
        <w:t>2</w:t>
      </w:r>
      <w:r>
        <w:rPr/>
        <w:t>）连锁店类型分布情况 </w:t>
      </w:r>
      <w:r>
        <w:rPr>
          <w:spacing w:val="-9"/>
        </w:rPr>
        <w:t>报告期内，公司抓住市场机会，加快连锁店网络规模建设。一方面继续贯彻执行“地</w:t>
      </w:r>
    </w:p>
    <w:p>
      <w:pPr>
        <w:pStyle w:val="BodyText"/>
        <w:spacing w:line="352" w:lineRule="auto" w:before="55"/>
        <w:ind w:left="240" w:right="252"/>
        <w:jc w:val="both"/>
      </w:pPr>
      <w:r>
        <w:rPr>
          <w:spacing w:val="-10"/>
        </w:rPr>
        <w:t>区攻略”、“旗舰店攻略”，加强对重点地区、重点店面的培养，旗舰店占比较上年同期</w:t>
      </w:r>
      <w:r>
        <w:rPr>
          <w:spacing w:val="-85"/>
        </w:rPr>
        <w:t> </w:t>
      </w:r>
      <w:r>
        <w:rPr>
          <w:spacing w:val="-85"/>
        </w:rPr>
      </w:r>
      <w:r>
        <w:rPr/>
        <w:t>提升</w:t>
      </w:r>
      <w:r>
        <w:rPr>
          <w:spacing w:val="-44"/>
        </w:rPr>
        <w:t> </w:t>
      </w:r>
      <w:r>
        <w:rPr>
          <w:rFonts w:ascii="Times New Roman" w:hAnsi="Times New Roman" w:cs="Times New Roman" w:eastAsia="Times New Roman" w:hint="default"/>
          <w:spacing w:val="-2"/>
        </w:rPr>
        <w:t>1.12%</w:t>
      </w:r>
      <w:r>
        <w:rPr>
          <w:spacing w:val="-2"/>
        </w:rPr>
        <w:t>；另一方面不断摸索、总结精品店、县镇店等新模式店面的开发经验，丰富</w:t>
      </w:r>
      <w:r>
        <w:rPr>
          <w:spacing w:val="-117"/>
        </w:rPr>
        <w:t> </w:t>
      </w:r>
      <w:r>
        <w:rPr>
          <w:spacing w:val="-117"/>
        </w:rPr>
      </w:r>
      <w:r>
        <w:rPr>
          <w:spacing w:val="-3"/>
        </w:rPr>
        <w:t>店面形态。县镇店以自营模式为主，主要分布在县、镇一级市场，但在实际的开发中针</w:t>
      </w:r>
      <w:r>
        <w:rPr>
          <w:spacing w:val="-98"/>
        </w:rPr>
        <w:t> </w:t>
      </w:r>
      <w:r>
        <w:rPr>
          <w:spacing w:val="-98"/>
        </w:rPr>
      </w:r>
      <w:r>
        <w:rPr>
          <w:spacing w:val="-3"/>
        </w:rPr>
        <w:t>对一些经济较为发达的县、镇市场，公司也会开设规模较大的常规店，以更好的适应当</w:t>
      </w:r>
      <w:r>
        <w:rPr>
          <w:spacing w:val="-96"/>
        </w:rPr>
        <w:t> </w:t>
      </w:r>
      <w:r>
        <w:rPr>
          <w:spacing w:val="-96"/>
        </w:rPr>
      </w:r>
      <w:r>
        <w:rPr/>
        <w:t>地市场情况和扩大市场份额。</w:t>
      </w:r>
    </w:p>
    <w:p>
      <w:pPr>
        <w:tabs>
          <w:tab w:pos="1139" w:val="left" w:leader="none"/>
          <w:tab w:pos="7979" w:val="left" w:leader="none"/>
        </w:tabs>
        <w:spacing w:before="41"/>
        <w:ind w:left="722" w:right="119" w:firstLine="0"/>
        <w:jc w:val="left"/>
        <w:rPr>
          <w:rFonts w:ascii="宋体" w:hAnsi="宋体" w:cs="宋体" w:eastAsia="宋体" w:hint="default"/>
          <w:sz w:val="21"/>
          <w:szCs w:val="21"/>
        </w:rPr>
      </w:pPr>
      <w:r>
        <w:rPr/>
        <w:pict>
          <v:group style="position:absolute;margin-left:67.680pt;margin-top:29.685946pt;width:76.650pt;height:34.6pt;mso-position-horizontal-relative:page;mso-position-vertical-relative:paragraph;z-index:-1005016" coordorigin="1354,594" coordsize="1533,692">
            <v:shape style="position:absolute;left:1354;top:594;width:1533;height:692" coordorigin="1354,594" coordsize="1533,692" path="m1354,594l2886,1285e" filled="false" stroked="true" strokeweight=".48pt" strokecolor="#000000">
              <v:path arrowok="t"/>
            </v:shape>
            <w10:wrap type="none"/>
          </v:group>
        </w:pict>
      </w: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4"/>
          <w:szCs w:val="24"/>
        </w:rPr>
        <w:t>报告期末，公司大陆地区连锁店按店面类型分布情况如下：</w:t>
        <w:tab/>
      </w: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家）</w:t>
      </w:r>
    </w:p>
    <w:p>
      <w:pPr>
        <w:spacing w:line="240" w:lineRule="auto" w:before="11"/>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1564"/>
        <w:gridCol w:w="1244"/>
        <w:gridCol w:w="1248"/>
        <w:gridCol w:w="1244"/>
        <w:gridCol w:w="1249"/>
        <w:gridCol w:w="1244"/>
        <w:gridCol w:w="1451"/>
      </w:tblGrid>
      <w:tr>
        <w:trPr>
          <w:trHeight w:val="386" w:hRule="exact"/>
        </w:trPr>
        <w:tc>
          <w:tcPr>
            <w:tcW w:w="1564" w:type="dxa"/>
            <w:vMerge w:val="restart"/>
            <w:tcBorders>
              <w:top w:val="single" w:sz="17" w:space="0" w:color="000000"/>
              <w:left w:val="single" w:sz="17" w:space="0" w:color="000000"/>
              <w:right w:val="single" w:sz="8" w:space="0" w:color="000000"/>
            </w:tcBorders>
          </w:tcPr>
          <w:p>
            <w:pPr>
              <w:pStyle w:val="TableParagraph"/>
              <w:spacing w:line="274" w:lineRule="exact" w:before="40"/>
              <w:ind w:left="822"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4" w:lineRule="exact"/>
              <w:ind w:left="192"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2492"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8"/>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94"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8"/>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95" w:type="dxa"/>
            <w:gridSpan w:val="2"/>
            <w:tcBorders>
              <w:top w:val="single" w:sz="17" w:space="0" w:color="000000"/>
              <w:left w:val="single" w:sz="8" w:space="0" w:color="000000"/>
              <w:bottom w:val="single" w:sz="8" w:space="0" w:color="000000"/>
              <w:right w:val="single" w:sz="17" w:space="0" w:color="000000"/>
            </w:tcBorders>
          </w:tcPr>
          <w:p>
            <w:pPr>
              <w:pStyle w:val="TableParagraph"/>
              <w:spacing w:line="243" w:lineRule="exact"/>
              <w:ind w:left="707" w:right="0"/>
              <w:jc w:val="left"/>
              <w:rPr>
                <w:rFonts w:ascii="宋体" w:hAnsi="宋体" w:cs="宋体" w:eastAsia="宋体" w:hint="default"/>
                <w:sz w:val="21"/>
                <w:szCs w:val="21"/>
              </w:rPr>
            </w:pPr>
            <w:r>
              <w:rPr>
                <w:rFonts w:ascii="宋体" w:hAnsi="宋体" w:cs="宋体" w:eastAsia="宋体" w:hint="default"/>
                <w:sz w:val="21"/>
                <w:szCs w:val="21"/>
              </w:rPr>
              <w:t>增减变化情况</w:t>
            </w:r>
          </w:p>
        </w:tc>
      </w:tr>
      <w:tr>
        <w:trPr>
          <w:trHeight w:val="384" w:hRule="exact"/>
        </w:trPr>
        <w:tc>
          <w:tcPr>
            <w:tcW w:w="1564" w:type="dxa"/>
            <w:vMerge/>
            <w:tcBorders>
              <w:left w:val="single" w:sz="17" w:space="0" w:color="000000"/>
              <w:bottom w:val="single" w:sz="8" w:space="0" w:color="000000"/>
              <w:right w:val="single" w:sz="8" w:space="0" w:color="000000"/>
            </w:tcBorders>
          </w:tcPr>
          <w:p>
            <w:pP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401"/>
              <w:jc w:val="right"/>
              <w:rPr>
                <w:rFonts w:ascii="宋体" w:hAnsi="宋体" w:cs="宋体" w:eastAsia="宋体" w:hint="default"/>
                <w:sz w:val="21"/>
                <w:szCs w:val="21"/>
              </w:rPr>
            </w:pPr>
            <w:r>
              <w:rPr>
                <w:rFonts w:ascii="宋体" w:hAnsi="宋体" w:cs="宋体" w:eastAsia="宋体" w:hint="default"/>
                <w:sz w:val="21"/>
                <w:szCs w:val="21"/>
              </w:rPr>
              <w:t>数量</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left="405" w:right="0"/>
              <w:jc w:val="left"/>
              <w:rPr>
                <w:rFonts w:ascii="宋体" w:hAnsi="宋体" w:cs="宋体" w:eastAsia="宋体" w:hint="default"/>
                <w:sz w:val="21"/>
                <w:szCs w:val="21"/>
              </w:rPr>
            </w:pPr>
            <w:r>
              <w:rPr>
                <w:rFonts w:ascii="宋体" w:hAnsi="宋体" w:cs="宋体" w:eastAsia="宋体" w:hint="default"/>
                <w:sz w:val="21"/>
                <w:szCs w:val="21"/>
              </w:rPr>
              <w:t>占比</w:t>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数量变化</w:t>
            </w:r>
          </w:p>
        </w:tc>
        <w:tc>
          <w:tcPr>
            <w:tcW w:w="1451"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4"/>
              <w:ind w:left="1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占比变化</w:t>
            </w:r>
            <w:r>
              <w:rPr>
                <w:rFonts w:ascii="Times New Roman" w:hAnsi="Times New Roman" w:cs="Times New Roman" w:eastAsia="Times New Roman" w:hint="default"/>
                <w:sz w:val="21"/>
                <w:szCs w:val="21"/>
              </w:rPr>
              <w:t>(%)</w:t>
            </w:r>
          </w:p>
        </w:tc>
      </w:tr>
      <w:tr>
        <w:trPr>
          <w:trHeight w:val="358" w:hRule="exact"/>
        </w:trPr>
        <w:tc>
          <w:tcPr>
            <w:tcW w:w="1564" w:type="dxa"/>
            <w:tcBorders>
              <w:top w:val="single" w:sz="8" w:space="0" w:color="000000"/>
              <w:left w:val="single" w:sz="17" w:space="0" w:color="000000"/>
              <w:bottom w:val="single" w:sz="8" w:space="0" w:color="000000"/>
              <w:right w:val="single" w:sz="8" w:space="0" w:color="000000"/>
            </w:tcBorders>
          </w:tcPr>
          <w:p>
            <w:pPr>
              <w:pStyle w:val="TableParagraph"/>
              <w:spacing w:line="274" w:lineRule="exact"/>
              <w:ind w:right="11"/>
              <w:jc w:val="center"/>
              <w:rPr>
                <w:rFonts w:ascii="宋体" w:hAnsi="宋体" w:cs="宋体" w:eastAsia="宋体" w:hint="default"/>
                <w:sz w:val="21"/>
                <w:szCs w:val="21"/>
              </w:rPr>
            </w:pPr>
            <w:r>
              <w:rPr>
                <w:rFonts w:ascii="宋体" w:hAnsi="宋体" w:cs="宋体" w:eastAsia="宋体" w:hint="default"/>
                <w:sz w:val="21"/>
                <w:szCs w:val="21"/>
              </w:rPr>
              <w:t>旗舰店</w:t>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239</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1" w:right="0"/>
              <w:jc w:val="center"/>
              <w:rPr>
                <w:rFonts w:ascii="Times New Roman" w:hAnsi="Times New Roman" w:cs="Times New Roman" w:eastAsia="Times New Roman" w:hint="default"/>
                <w:sz w:val="21"/>
                <w:szCs w:val="21"/>
              </w:rPr>
            </w:pPr>
            <w:r>
              <w:rPr>
                <w:rFonts w:ascii="Times New Roman"/>
                <w:sz w:val="21"/>
              </w:rPr>
              <w:t>18.23%</w:t>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453"/>
              <w:jc w:val="right"/>
              <w:rPr>
                <w:rFonts w:ascii="Times New Roman" w:hAnsi="Times New Roman" w:cs="Times New Roman" w:eastAsia="Times New Roman" w:hint="default"/>
                <w:sz w:val="21"/>
                <w:szCs w:val="21"/>
              </w:rPr>
            </w:pPr>
            <w:r>
              <w:rPr>
                <w:rFonts w:ascii="Times New Roman"/>
                <w:spacing w:val="-1"/>
                <w:sz w:val="21"/>
              </w:rPr>
              <w:t>161</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292"/>
              <w:jc w:val="right"/>
              <w:rPr>
                <w:rFonts w:ascii="Times New Roman" w:hAnsi="Times New Roman" w:cs="Times New Roman" w:eastAsia="Times New Roman" w:hint="default"/>
                <w:sz w:val="21"/>
                <w:szCs w:val="21"/>
              </w:rPr>
            </w:pPr>
            <w:r>
              <w:rPr>
                <w:rFonts w:ascii="Times New Roman"/>
                <w:spacing w:val="-2"/>
                <w:sz w:val="21"/>
              </w:rPr>
              <w:t>17.11%</w:t>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1"/>
              <w:jc w:val="center"/>
              <w:rPr>
                <w:rFonts w:ascii="Times New Roman" w:hAnsi="Times New Roman" w:cs="Times New Roman" w:eastAsia="Times New Roman" w:hint="default"/>
                <w:sz w:val="21"/>
                <w:szCs w:val="21"/>
              </w:rPr>
            </w:pPr>
            <w:r>
              <w:rPr>
                <w:rFonts w:ascii="Times New Roman"/>
                <w:sz w:val="21"/>
              </w:rPr>
              <w:t>78</w:t>
            </w:r>
          </w:p>
        </w:tc>
        <w:tc>
          <w:tcPr>
            <w:tcW w:w="1451"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7"/>
              <w:ind w:left="11" w:right="0"/>
              <w:jc w:val="center"/>
              <w:rPr>
                <w:rFonts w:ascii="Times New Roman" w:hAnsi="Times New Roman" w:cs="Times New Roman" w:eastAsia="Times New Roman" w:hint="default"/>
                <w:sz w:val="21"/>
                <w:szCs w:val="21"/>
              </w:rPr>
            </w:pPr>
            <w:r>
              <w:rPr>
                <w:rFonts w:ascii="Times New Roman"/>
                <w:sz w:val="21"/>
              </w:rPr>
              <w:t>1.12%</w:t>
            </w:r>
          </w:p>
        </w:tc>
      </w:tr>
      <w:tr>
        <w:trPr>
          <w:trHeight w:val="358" w:hRule="exact"/>
        </w:trPr>
        <w:tc>
          <w:tcPr>
            <w:tcW w:w="1564" w:type="dxa"/>
            <w:tcBorders>
              <w:top w:val="single" w:sz="8" w:space="0" w:color="000000"/>
              <w:left w:val="single" w:sz="17" w:space="0" w:color="000000"/>
              <w:bottom w:val="single" w:sz="8" w:space="0" w:color="000000"/>
              <w:right w:val="single" w:sz="8" w:space="0" w:color="000000"/>
            </w:tcBorders>
          </w:tcPr>
          <w:p>
            <w:pPr>
              <w:pStyle w:val="TableParagraph"/>
              <w:spacing w:line="274" w:lineRule="exact"/>
              <w:ind w:right="11"/>
              <w:jc w:val="center"/>
              <w:rPr>
                <w:rFonts w:ascii="宋体" w:hAnsi="宋体" w:cs="宋体" w:eastAsia="宋体" w:hint="default"/>
                <w:sz w:val="21"/>
                <w:szCs w:val="21"/>
              </w:rPr>
            </w:pPr>
            <w:r>
              <w:rPr>
                <w:rFonts w:ascii="宋体" w:hAnsi="宋体" w:cs="宋体" w:eastAsia="宋体" w:hint="default"/>
                <w:sz w:val="21"/>
                <w:szCs w:val="21"/>
              </w:rPr>
              <w:t>中心店</w:t>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364</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1" w:right="0"/>
              <w:jc w:val="center"/>
              <w:rPr>
                <w:rFonts w:ascii="Times New Roman" w:hAnsi="Times New Roman" w:cs="Times New Roman" w:eastAsia="Times New Roman" w:hint="default"/>
                <w:sz w:val="21"/>
                <w:szCs w:val="21"/>
              </w:rPr>
            </w:pPr>
            <w:r>
              <w:rPr>
                <w:rFonts w:ascii="Times New Roman"/>
                <w:sz w:val="21"/>
              </w:rPr>
              <w:t>27.77%</w:t>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453"/>
              <w:jc w:val="right"/>
              <w:rPr>
                <w:rFonts w:ascii="Times New Roman" w:hAnsi="Times New Roman" w:cs="Times New Roman" w:eastAsia="Times New Roman" w:hint="default"/>
                <w:sz w:val="21"/>
                <w:szCs w:val="21"/>
              </w:rPr>
            </w:pPr>
            <w:r>
              <w:rPr>
                <w:rFonts w:ascii="Times New Roman"/>
                <w:spacing w:val="-1"/>
                <w:sz w:val="21"/>
              </w:rPr>
              <w:t>291</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287"/>
              <w:jc w:val="right"/>
              <w:rPr>
                <w:rFonts w:ascii="Times New Roman" w:hAnsi="Times New Roman" w:cs="Times New Roman" w:eastAsia="Times New Roman" w:hint="default"/>
                <w:sz w:val="21"/>
                <w:szCs w:val="21"/>
              </w:rPr>
            </w:pPr>
            <w:r>
              <w:rPr>
                <w:rFonts w:ascii="Times New Roman"/>
                <w:spacing w:val="-1"/>
                <w:sz w:val="21"/>
              </w:rPr>
              <w:t>30.92%</w:t>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73</w:t>
            </w:r>
          </w:p>
        </w:tc>
        <w:tc>
          <w:tcPr>
            <w:tcW w:w="1451"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7"/>
              <w:ind w:left="11" w:right="0"/>
              <w:jc w:val="center"/>
              <w:rPr>
                <w:rFonts w:ascii="Times New Roman" w:hAnsi="Times New Roman" w:cs="Times New Roman" w:eastAsia="Times New Roman" w:hint="default"/>
                <w:sz w:val="21"/>
                <w:szCs w:val="21"/>
              </w:rPr>
            </w:pPr>
            <w:r>
              <w:rPr>
                <w:rFonts w:ascii="Times New Roman"/>
                <w:sz w:val="21"/>
              </w:rPr>
              <w:t>-3.15%</w:t>
            </w:r>
          </w:p>
        </w:tc>
      </w:tr>
      <w:tr>
        <w:trPr>
          <w:trHeight w:val="359" w:hRule="exact"/>
        </w:trPr>
        <w:tc>
          <w:tcPr>
            <w:tcW w:w="1564" w:type="dxa"/>
            <w:tcBorders>
              <w:top w:val="single" w:sz="8" w:space="0" w:color="000000"/>
              <w:left w:val="single" w:sz="17" w:space="0" w:color="000000"/>
              <w:bottom w:val="single" w:sz="8" w:space="0" w:color="000000"/>
              <w:right w:val="single" w:sz="8" w:space="0" w:color="000000"/>
            </w:tcBorders>
          </w:tcPr>
          <w:p>
            <w:pPr>
              <w:pStyle w:val="TableParagraph"/>
              <w:spacing w:line="274" w:lineRule="exact"/>
              <w:ind w:right="11"/>
              <w:jc w:val="center"/>
              <w:rPr>
                <w:rFonts w:ascii="宋体" w:hAnsi="宋体" w:cs="宋体" w:eastAsia="宋体" w:hint="default"/>
                <w:sz w:val="21"/>
                <w:szCs w:val="21"/>
              </w:rPr>
            </w:pPr>
            <w:r>
              <w:rPr>
                <w:rFonts w:ascii="宋体" w:hAnsi="宋体" w:cs="宋体" w:eastAsia="宋体" w:hint="default"/>
                <w:sz w:val="21"/>
                <w:szCs w:val="21"/>
              </w:rPr>
              <w:t>社区店</w:t>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584</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1" w:right="0"/>
              <w:jc w:val="center"/>
              <w:rPr>
                <w:rFonts w:ascii="Times New Roman" w:hAnsi="Times New Roman" w:cs="Times New Roman" w:eastAsia="Times New Roman" w:hint="default"/>
                <w:sz w:val="21"/>
                <w:szCs w:val="21"/>
              </w:rPr>
            </w:pPr>
            <w:r>
              <w:rPr>
                <w:rFonts w:ascii="Times New Roman"/>
                <w:sz w:val="21"/>
              </w:rPr>
              <w:t>44.55%</w:t>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453"/>
              <w:jc w:val="right"/>
              <w:rPr>
                <w:rFonts w:ascii="Times New Roman" w:hAnsi="Times New Roman" w:cs="Times New Roman" w:eastAsia="Times New Roman" w:hint="default"/>
                <w:sz w:val="21"/>
                <w:szCs w:val="21"/>
              </w:rPr>
            </w:pPr>
            <w:r>
              <w:rPr>
                <w:rFonts w:ascii="Times New Roman"/>
                <w:spacing w:val="-1"/>
                <w:sz w:val="21"/>
              </w:rPr>
              <w:t>488</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287"/>
              <w:jc w:val="right"/>
              <w:rPr>
                <w:rFonts w:ascii="Times New Roman" w:hAnsi="Times New Roman" w:cs="Times New Roman" w:eastAsia="Times New Roman" w:hint="default"/>
                <w:sz w:val="21"/>
                <w:szCs w:val="21"/>
              </w:rPr>
            </w:pPr>
            <w:r>
              <w:rPr>
                <w:rFonts w:ascii="Times New Roman"/>
                <w:spacing w:val="-1"/>
                <w:sz w:val="21"/>
              </w:rPr>
              <w:t>51.86%</w:t>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96</w:t>
            </w:r>
          </w:p>
        </w:tc>
        <w:tc>
          <w:tcPr>
            <w:tcW w:w="1451"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7"/>
              <w:ind w:left="11" w:right="0"/>
              <w:jc w:val="center"/>
              <w:rPr>
                <w:rFonts w:ascii="Times New Roman" w:hAnsi="Times New Roman" w:cs="Times New Roman" w:eastAsia="Times New Roman" w:hint="default"/>
                <w:sz w:val="21"/>
                <w:szCs w:val="21"/>
              </w:rPr>
            </w:pPr>
            <w:r>
              <w:rPr>
                <w:rFonts w:ascii="Times New Roman"/>
                <w:sz w:val="21"/>
              </w:rPr>
              <w:t>-7.31%</w:t>
            </w:r>
          </w:p>
        </w:tc>
      </w:tr>
      <w:tr>
        <w:trPr>
          <w:trHeight w:val="370" w:hRule="exact"/>
        </w:trPr>
        <w:tc>
          <w:tcPr>
            <w:tcW w:w="1564" w:type="dxa"/>
            <w:tcBorders>
              <w:top w:val="single" w:sz="8" w:space="0" w:color="000000"/>
              <w:left w:val="single" w:sz="17" w:space="0" w:color="000000"/>
              <w:bottom w:val="single" w:sz="17" w:space="0" w:color="000000"/>
              <w:right w:val="single" w:sz="8" w:space="0" w:color="000000"/>
            </w:tcBorders>
          </w:tcPr>
          <w:p>
            <w:pPr>
              <w:pStyle w:val="TableParagraph"/>
              <w:spacing w:line="274" w:lineRule="exact"/>
              <w:ind w:right="11"/>
              <w:jc w:val="center"/>
              <w:rPr>
                <w:rFonts w:ascii="宋体" w:hAnsi="宋体" w:cs="宋体" w:eastAsia="宋体" w:hint="default"/>
                <w:sz w:val="21"/>
                <w:szCs w:val="21"/>
              </w:rPr>
            </w:pPr>
            <w:r>
              <w:rPr>
                <w:rFonts w:ascii="宋体" w:hAnsi="宋体" w:cs="宋体" w:eastAsia="宋体" w:hint="default"/>
                <w:sz w:val="21"/>
                <w:szCs w:val="21"/>
              </w:rPr>
              <w:t>常规店小计</w:t>
            </w:r>
          </w:p>
        </w:tc>
        <w:tc>
          <w:tcPr>
            <w:tcW w:w="124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1187</w:t>
            </w:r>
          </w:p>
        </w:tc>
        <w:tc>
          <w:tcPr>
            <w:tcW w:w="124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7"/>
              <w:ind w:left="1" w:right="0"/>
              <w:jc w:val="center"/>
              <w:rPr>
                <w:rFonts w:ascii="Times New Roman" w:hAnsi="Times New Roman" w:cs="Times New Roman" w:eastAsia="Times New Roman" w:hint="default"/>
                <w:sz w:val="21"/>
                <w:szCs w:val="21"/>
              </w:rPr>
            </w:pPr>
            <w:r>
              <w:rPr>
                <w:rFonts w:ascii="Times New Roman"/>
                <w:sz w:val="21"/>
              </w:rPr>
              <w:t>90.55%</w:t>
            </w:r>
          </w:p>
        </w:tc>
        <w:tc>
          <w:tcPr>
            <w:tcW w:w="124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7"/>
              <w:ind w:right="453"/>
              <w:jc w:val="right"/>
              <w:rPr>
                <w:rFonts w:ascii="Times New Roman" w:hAnsi="Times New Roman" w:cs="Times New Roman" w:eastAsia="Times New Roman" w:hint="default"/>
                <w:sz w:val="21"/>
                <w:szCs w:val="21"/>
              </w:rPr>
            </w:pPr>
            <w:r>
              <w:rPr>
                <w:rFonts w:ascii="Times New Roman"/>
                <w:spacing w:val="-1"/>
                <w:sz w:val="21"/>
              </w:rPr>
              <w:t>940</w:t>
            </w:r>
          </w:p>
        </w:tc>
        <w:tc>
          <w:tcPr>
            <w:tcW w:w="124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7"/>
              <w:ind w:right="287"/>
              <w:jc w:val="right"/>
              <w:rPr>
                <w:rFonts w:ascii="Times New Roman" w:hAnsi="Times New Roman" w:cs="Times New Roman" w:eastAsia="Times New Roman" w:hint="default"/>
                <w:sz w:val="21"/>
                <w:szCs w:val="21"/>
              </w:rPr>
            </w:pPr>
            <w:r>
              <w:rPr>
                <w:rFonts w:ascii="Times New Roman"/>
                <w:spacing w:val="-1"/>
                <w:sz w:val="21"/>
              </w:rPr>
              <w:t>99.89%</w:t>
            </w:r>
          </w:p>
        </w:tc>
        <w:tc>
          <w:tcPr>
            <w:tcW w:w="124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7"/>
              <w:ind w:right="1"/>
              <w:jc w:val="center"/>
              <w:rPr>
                <w:rFonts w:ascii="Times New Roman" w:hAnsi="Times New Roman" w:cs="Times New Roman" w:eastAsia="Times New Roman" w:hint="default"/>
                <w:sz w:val="21"/>
                <w:szCs w:val="21"/>
              </w:rPr>
            </w:pPr>
            <w:r>
              <w:rPr>
                <w:rFonts w:ascii="Times New Roman"/>
                <w:sz w:val="21"/>
              </w:rPr>
              <w:t>247</w:t>
            </w:r>
          </w:p>
        </w:tc>
        <w:tc>
          <w:tcPr>
            <w:tcW w:w="1451"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47"/>
              <w:ind w:left="11" w:right="0"/>
              <w:jc w:val="center"/>
              <w:rPr>
                <w:rFonts w:ascii="Times New Roman" w:hAnsi="Times New Roman" w:cs="Times New Roman" w:eastAsia="Times New Roman" w:hint="default"/>
                <w:sz w:val="21"/>
                <w:szCs w:val="21"/>
              </w:rPr>
            </w:pPr>
            <w:r>
              <w:rPr>
                <w:rFonts w:ascii="Times New Roman"/>
                <w:sz w:val="21"/>
              </w:rPr>
              <w:t>-9.34%</w:t>
            </w:r>
          </w:p>
        </w:tc>
      </w:tr>
      <w:tr>
        <w:trPr>
          <w:trHeight w:val="371" w:hRule="exact"/>
        </w:trPr>
        <w:tc>
          <w:tcPr>
            <w:tcW w:w="1564" w:type="dxa"/>
            <w:tcBorders>
              <w:top w:val="single" w:sz="17" w:space="0" w:color="000000"/>
              <w:left w:val="single" w:sz="17" w:space="0" w:color="000000"/>
              <w:bottom w:val="single" w:sz="8" w:space="0" w:color="000000"/>
              <w:right w:val="single" w:sz="8" w:space="0" w:color="000000"/>
            </w:tcBorders>
          </w:tcPr>
          <w:p>
            <w:pPr>
              <w:pStyle w:val="TableParagraph"/>
              <w:spacing w:line="240" w:lineRule="auto"/>
              <w:ind w:right="11"/>
              <w:jc w:val="center"/>
              <w:rPr>
                <w:rFonts w:ascii="宋体" w:hAnsi="宋体" w:cs="宋体" w:eastAsia="宋体" w:hint="default"/>
                <w:sz w:val="21"/>
                <w:szCs w:val="21"/>
              </w:rPr>
            </w:pPr>
            <w:r>
              <w:rPr>
                <w:rFonts w:ascii="宋体" w:hAnsi="宋体" w:cs="宋体" w:eastAsia="宋体" w:hint="default"/>
                <w:sz w:val="21"/>
                <w:szCs w:val="21"/>
              </w:rPr>
              <w:t>精品店</w:t>
            </w:r>
          </w:p>
        </w:tc>
        <w:tc>
          <w:tcPr>
            <w:tcW w:w="1244"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sz w:val="21"/>
              </w:rPr>
              <w:t>10</w:t>
            </w:r>
          </w:p>
        </w:tc>
        <w:tc>
          <w:tcPr>
            <w:tcW w:w="1248"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0.76%</w:t>
            </w:r>
          </w:p>
        </w:tc>
        <w:tc>
          <w:tcPr>
            <w:tcW w:w="1244"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sz w:val="21"/>
              </w:rPr>
              <w:t>1</w:t>
            </w:r>
          </w:p>
        </w:tc>
        <w:tc>
          <w:tcPr>
            <w:tcW w:w="1249"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48"/>
              <w:ind w:left="346" w:right="0"/>
              <w:jc w:val="left"/>
              <w:rPr>
                <w:rFonts w:ascii="Times New Roman" w:hAnsi="Times New Roman" w:cs="Times New Roman" w:eastAsia="Times New Roman" w:hint="default"/>
                <w:sz w:val="21"/>
                <w:szCs w:val="21"/>
              </w:rPr>
            </w:pPr>
            <w:r>
              <w:rPr>
                <w:rFonts w:ascii="Times New Roman"/>
                <w:sz w:val="21"/>
              </w:rPr>
              <w:t>0.11%</w:t>
            </w:r>
          </w:p>
        </w:tc>
        <w:tc>
          <w:tcPr>
            <w:tcW w:w="1244"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9</w:t>
            </w:r>
          </w:p>
        </w:tc>
        <w:tc>
          <w:tcPr>
            <w:tcW w:w="1451" w:type="dxa"/>
            <w:tcBorders>
              <w:top w:val="single" w:sz="17" w:space="0" w:color="000000"/>
              <w:left w:val="single" w:sz="8" w:space="0" w:color="000000"/>
              <w:bottom w:val="single" w:sz="8" w:space="0" w:color="000000"/>
              <w:right w:val="single" w:sz="17" w:space="0" w:color="000000"/>
            </w:tcBorders>
          </w:tcPr>
          <w:p>
            <w:pPr>
              <w:pStyle w:val="TableParagraph"/>
              <w:spacing w:line="240" w:lineRule="auto" w:before="48"/>
              <w:ind w:left="11" w:right="0"/>
              <w:jc w:val="center"/>
              <w:rPr>
                <w:rFonts w:ascii="Times New Roman" w:hAnsi="Times New Roman" w:cs="Times New Roman" w:eastAsia="Times New Roman" w:hint="default"/>
                <w:sz w:val="21"/>
                <w:szCs w:val="21"/>
              </w:rPr>
            </w:pPr>
            <w:r>
              <w:rPr>
                <w:rFonts w:ascii="Times New Roman"/>
                <w:sz w:val="21"/>
              </w:rPr>
              <w:t>0.65%</w:t>
            </w:r>
          </w:p>
        </w:tc>
      </w:tr>
      <w:tr>
        <w:trPr>
          <w:trHeight w:val="370" w:hRule="exact"/>
        </w:trPr>
        <w:tc>
          <w:tcPr>
            <w:tcW w:w="1564" w:type="dxa"/>
            <w:tcBorders>
              <w:top w:val="single" w:sz="8" w:space="0" w:color="000000"/>
              <w:left w:val="single" w:sz="17" w:space="0" w:color="000000"/>
              <w:bottom w:val="single" w:sz="17" w:space="0" w:color="000000"/>
              <w:right w:val="single" w:sz="8" w:space="0" w:color="000000"/>
            </w:tcBorders>
          </w:tcPr>
          <w:p>
            <w:pPr>
              <w:pStyle w:val="TableParagraph"/>
              <w:spacing w:line="274" w:lineRule="exact"/>
              <w:ind w:right="11"/>
              <w:jc w:val="center"/>
              <w:rPr>
                <w:rFonts w:ascii="宋体" w:hAnsi="宋体" w:cs="宋体" w:eastAsia="宋体" w:hint="default"/>
                <w:sz w:val="21"/>
                <w:szCs w:val="21"/>
              </w:rPr>
            </w:pPr>
            <w:r>
              <w:rPr>
                <w:rFonts w:ascii="宋体" w:hAnsi="宋体" w:cs="宋体" w:eastAsia="宋体" w:hint="default"/>
                <w:sz w:val="21"/>
                <w:szCs w:val="21"/>
              </w:rPr>
              <w:t>县镇店</w:t>
            </w:r>
          </w:p>
        </w:tc>
        <w:tc>
          <w:tcPr>
            <w:tcW w:w="124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pacing w:val="-3"/>
                <w:sz w:val="21"/>
              </w:rPr>
              <w:t>114</w:t>
            </w:r>
          </w:p>
        </w:tc>
        <w:tc>
          <w:tcPr>
            <w:tcW w:w="124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8.69%</w:t>
            </w:r>
          </w:p>
        </w:tc>
        <w:tc>
          <w:tcPr>
            <w:tcW w:w="124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4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7"/>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4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pacing w:val="-3"/>
                <w:sz w:val="21"/>
              </w:rPr>
              <w:t>114</w:t>
            </w:r>
          </w:p>
        </w:tc>
        <w:tc>
          <w:tcPr>
            <w:tcW w:w="1451"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47"/>
              <w:ind w:left="11" w:right="0"/>
              <w:jc w:val="center"/>
              <w:rPr>
                <w:rFonts w:ascii="Times New Roman" w:hAnsi="Times New Roman" w:cs="Times New Roman" w:eastAsia="Times New Roman" w:hint="default"/>
                <w:sz w:val="21"/>
                <w:szCs w:val="21"/>
              </w:rPr>
            </w:pPr>
            <w:r>
              <w:rPr>
                <w:rFonts w:ascii="Times New Roman"/>
                <w:sz w:val="21"/>
              </w:rPr>
              <w:t>8.69%</w:t>
            </w:r>
          </w:p>
        </w:tc>
      </w:tr>
      <w:tr>
        <w:trPr>
          <w:trHeight w:val="385" w:hRule="exact"/>
        </w:trPr>
        <w:tc>
          <w:tcPr>
            <w:tcW w:w="1564" w:type="dxa"/>
            <w:tcBorders>
              <w:top w:val="single" w:sz="17" w:space="0" w:color="000000"/>
              <w:left w:val="single" w:sz="17" w:space="0" w:color="000000"/>
              <w:bottom w:val="single" w:sz="17" w:space="0" w:color="000000"/>
              <w:right w:val="single" w:sz="8" w:space="0" w:color="000000"/>
            </w:tcBorders>
          </w:tcPr>
          <w:p>
            <w:pPr>
              <w:pStyle w:val="TableParagraph"/>
              <w:spacing w:line="240" w:lineRule="auto"/>
              <w:ind w:right="11"/>
              <w:jc w:val="center"/>
              <w:rPr>
                <w:rFonts w:ascii="宋体" w:hAnsi="宋体" w:cs="宋体" w:eastAsia="宋体" w:hint="default"/>
                <w:sz w:val="21"/>
                <w:szCs w:val="21"/>
              </w:rPr>
            </w:pPr>
            <w:r>
              <w:rPr>
                <w:rFonts w:ascii="宋体" w:hAnsi="宋体" w:cs="宋体" w:eastAsia="宋体" w:hint="default"/>
                <w:sz w:val="21"/>
                <w:szCs w:val="21"/>
              </w:rPr>
              <w:t>合计</w:t>
            </w:r>
          </w:p>
        </w:tc>
        <w:tc>
          <w:tcPr>
            <w:tcW w:w="1244"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1311</w:t>
            </w:r>
          </w:p>
        </w:tc>
        <w:tc>
          <w:tcPr>
            <w:tcW w:w="1248"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100.00%</w:t>
            </w:r>
          </w:p>
        </w:tc>
        <w:tc>
          <w:tcPr>
            <w:tcW w:w="1244"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48"/>
              <w:ind w:right="453"/>
              <w:jc w:val="right"/>
              <w:rPr>
                <w:rFonts w:ascii="Times New Roman" w:hAnsi="Times New Roman" w:cs="Times New Roman" w:eastAsia="Times New Roman" w:hint="default"/>
                <w:sz w:val="21"/>
                <w:szCs w:val="21"/>
              </w:rPr>
            </w:pPr>
            <w:r>
              <w:rPr>
                <w:rFonts w:ascii="Times New Roman"/>
                <w:spacing w:val="-1"/>
                <w:sz w:val="21"/>
              </w:rPr>
              <w:t>941</w:t>
            </w:r>
          </w:p>
        </w:tc>
        <w:tc>
          <w:tcPr>
            <w:tcW w:w="1249"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48"/>
              <w:ind w:right="236"/>
              <w:jc w:val="right"/>
              <w:rPr>
                <w:rFonts w:ascii="Times New Roman" w:hAnsi="Times New Roman" w:cs="Times New Roman" w:eastAsia="Times New Roman" w:hint="default"/>
                <w:sz w:val="21"/>
                <w:szCs w:val="21"/>
              </w:rPr>
            </w:pPr>
            <w:r>
              <w:rPr>
                <w:rFonts w:ascii="Times New Roman"/>
                <w:spacing w:val="-1"/>
                <w:sz w:val="21"/>
              </w:rPr>
              <w:t>100.00%</w:t>
            </w:r>
          </w:p>
        </w:tc>
        <w:tc>
          <w:tcPr>
            <w:tcW w:w="1244"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sz w:val="21"/>
              </w:rPr>
              <w:t>370</w:t>
            </w:r>
          </w:p>
        </w:tc>
        <w:tc>
          <w:tcPr>
            <w:tcW w:w="1451" w:type="dxa"/>
            <w:tcBorders>
              <w:top w:val="single" w:sz="17" w:space="0" w:color="000000"/>
              <w:left w:val="single" w:sz="8" w:space="0" w:color="000000"/>
              <w:bottom w:val="single" w:sz="17" w:space="0" w:color="000000"/>
              <w:right w:val="single" w:sz="17" w:space="0" w:color="000000"/>
            </w:tcBorders>
          </w:tcPr>
          <w:p>
            <w:pPr>
              <w:pStyle w:val="TableParagraph"/>
              <w:spacing w:line="240" w:lineRule="auto" w:before="48"/>
              <w:ind w:left="9"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tabs>
          <w:tab w:pos="1139" w:val="left" w:leader="none"/>
          <w:tab w:pos="7605" w:val="left" w:leader="none"/>
        </w:tabs>
        <w:spacing w:line="292" w:lineRule="exact" w:before="0"/>
        <w:ind w:left="722" w:right="119" w:firstLine="0"/>
        <w:jc w:val="left"/>
        <w:rPr>
          <w:rFonts w:ascii="宋体" w:hAnsi="宋体" w:cs="宋体" w:eastAsia="宋体" w:hint="default"/>
          <w:sz w:val="21"/>
          <w:szCs w:val="21"/>
        </w:rPr>
      </w:pPr>
      <w:r>
        <w:rPr/>
        <w:pict>
          <v:group style="position:absolute;margin-left:67.680pt;margin-top:25.68pt;width:62.25pt;height:30.75pt;mso-position-horizontal-relative:page;mso-position-vertical-relative:paragraph;z-index:-1004992" coordorigin="1354,514" coordsize="1245,615">
            <v:shape style="position:absolute;left:1354;top:514;width:1245;height:615" coordorigin="1354,514" coordsize="1245,615" path="m1354,514l2598,1128e" filled="false" stroked="true" strokeweight=".48pt" strokecolor="#000000">
              <v:path arrowok="t"/>
            </v:shape>
            <w10:wrap type="none"/>
          </v:group>
        </w:pict>
      </w:r>
      <w:r>
        <w:rPr>
          <w:rFonts w:ascii="Wingdings" w:hAnsi="Wingdings" w:cs="Wingdings" w:eastAsia="Wingdings" w:hint="default"/>
          <w:sz w:val="24"/>
          <w:szCs w:val="24"/>
        </w:rPr>
        <w:t></w:t>
      </w:r>
      <w:r>
        <w:rPr>
          <w:rFonts w:ascii="Times New Roman" w:hAnsi="Times New Roman" w:cs="Times New Roman" w:eastAsia="Times New Roman" w:hint="default"/>
          <w:sz w:val="24"/>
          <w:szCs w:val="24"/>
        </w:rPr>
        <w:tab/>
      </w:r>
      <w:r>
        <w:rPr>
          <w:rFonts w:ascii="宋体" w:hAnsi="宋体" w:cs="宋体" w:eastAsia="宋体" w:hint="default"/>
          <w:sz w:val="24"/>
          <w:szCs w:val="24"/>
        </w:rPr>
        <w:t>各区域店面类型分布：</w:t>
        <w:tab/>
      </w: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家）</w:t>
      </w:r>
    </w:p>
    <w:p>
      <w:pPr>
        <w:spacing w:line="240" w:lineRule="auto" w:before="6"/>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1276"/>
        <w:gridCol w:w="946"/>
        <w:gridCol w:w="976"/>
        <w:gridCol w:w="926"/>
        <w:gridCol w:w="976"/>
        <w:gridCol w:w="930"/>
        <w:gridCol w:w="1292"/>
        <w:gridCol w:w="950"/>
        <w:gridCol w:w="973"/>
      </w:tblGrid>
      <w:tr>
        <w:trPr>
          <w:trHeight w:val="348" w:hRule="exact"/>
        </w:trPr>
        <w:tc>
          <w:tcPr>
            <w:tcW w:w="1276" w:type="dxa"/>
            <w:vMerge w:val="restart"/>
            <w:tcBorders>
              <w:top w:val="single" w:sz="17" w:space="0" w:color="000000"/>
              <w:left w:val="single" w:sz="17" w:space="0" w:color="000000"/>
              <w:right w:val="single" w:sz="8" w:space="0" w:color="000000"/>
            </w:tcBorders>
          </w:tcPr>
          <w:p>
            <w:pPr>
              <w:pStyle w:val="TableParagraph"/>
              <w:spacing w:line="240" w:lineRule="auto" w:before="19"/>
              <w:ind w:left="586" w:right="0"/>
              <w:jc w:val="left"/>
              <w:rPr>
                <w:rFonts w:ascii="宋体" w:hAnsi="宋体" w:cs="宋体" w:eastAsia="宋体" w:hint="default"/>
                <w:sz w:val="20"/>
                <w:szCs w:val="20"/>
              </w:rPr>
            </w:pPr>
            <w:r>
              <w:rPr>
                <w:rFonts w:ascii="宋体" w:hAnsi="宋体" w:cs="宋体" w:eastAsia="宋体" w:hint="default"/>
                <w:sz w:val="20"/>
                <w:szCs w:val="20"/>
              </w:rPr>
              <w:t>项目</w:t>
            </w:r>
          </w:p>
          <w:p>
            <w:pPr>
              <w:pStyle w:val="TableParagraph"/>
              <w:spacing w:line="240" w:lineRule="auto" w:before="18"/>
              <w:ind w:left="86" w:right="0"/>
              <w:jc w:val="left"/>
              <w:rPr>
                <w:rFonts w:ascii="宋体" w:hAnsi="宋体" w:cs="宋体" w:eastAsia="宋体" w:hint="default"/>
                <w:sz w:val="20"/>
                <w:szCs w:val="20"/>
              </w:rPr>
            </w:pPr>
            <w:r>
              <w:rPr>
                <w:rFonts w:ascii="宋体" w:hAnsi="宋体" w:cs="宋体" w:eastAsia="宋体" w:hint="default"/>
                <w:sz w:val="20"/>
                <w:szCs w:val="20"/>
              </w:rPr>
              <w:t>类型</w:t>
            </w:r>
          </w:p>
        </w:tc>
        <w:tc>
          <w:tcPr>
            <w:tcW w:w="1921"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28"/>
              <w:ind w:left="550" w:right="0"/>
              <w:jc w:val="left"/>
              <w:rPr>
                <w:rFonts w:ascii="宋体" w:hAnsi="宋体" w:cs="宋体" w:eastAsia="宋体" w:hint="default"/>
                <w:sz w:val="20"/>
                <w:szCs w:val="20"/>
              </w:rPr>
            </w:pPr>
            <w:r>
              <w:rPr>
                <w:rFonts w:ascii="宋体" w:hAnsi="宋体" w:cs="宋体" w:eastAsia="宋体" w:hint="default"/>
                <w:sz w:val="20"/>
                <w:szCs w:val="20"/>
              </w:rPr>
              <w:t>华东一区</w:t>
            </w:r>
          </w:p>
        </w:tc>
        <w:tc>
          <w:tcPr>
            <w:tcW w:w="1902"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28"/>
              <w:ind w:left="539" w:right="0"/>
              <w:jc w:val="left"/>
              <w:rPr>
                <w:rFonts w:ascii="宋体" w:hAnsi="宋体" w:cs="宋体" w:eastAsia="宋体" w:hint="default"/>
                <w:sz w:val="20"/>
                <w:szCs w:val="20"/>
              </w:rPr>
            </w:pPr>
            <w:r>
              <w:rPr>
                <w:rFonts w:ascii="宋体" w:hAnsi="宋体" w:cs="宋体" w:eastAsia="宋体" w:hint="default"/>
                <w:sz w:val="20"/>
                <w:szCs w:val="20"/>
              </w:rPr>
              <w:t>华东二区</w:t>
            </w:r>
          </w:p>
        </w:tc>
        <w:tc>
          <w:tcPr>
            <w:tcW w:w="2222"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28"/>
              <w:ind w:left="700" w:right="0"/>
              <w:jc w:val="left"/>
              <w:rPr>
                <w:rFonts w:ascii="宋体" w:hAnsi="宋体" w:cs="宋体" w:eastAsia="宋体" w:hint="default"/>
                <w:sz w:val="20"/>
                <w:szCs w:val="20"/>
              </w:rPr>
            </w:pPr>
            <w:r>
              <w:rPr>
                <w:rFonts w:ascii="宋体" w:hAnsi="宋体" w:cs="宋体" w:eastAsia="宋体" w:hint="default"/>
                <w:sz w:val="20"/>
                <w:szCs w:val="20"/>
              </w:rPr>
              <w:t>华南地区</w:t>
            </w:r>
          </w:p>
        </w:tc>
        <w:tc>
          <w:tcPr>
            <w:tcW w:w="1924" w:type="dxa"/>
            <w:gridSpan w:val="2"/>
            <w:tcBorders>
              <w:top w:val="single" w:sz="17" w:space="0" w:color="000000"/>
              <w:left w:val="single" w:sz="8" w:space="0" w:color="000000"/>
              <w:bottom w:val="single" w:sz="8" w:space="0" w:color="000000"/>
              <w:right w:val="single" w:sz="17" w:space="0" w:color="000000"/>
            </w:tcBorders>
          </w:tcPr>
          <w:p>
            <w:pPr>
              <w:pStyle w:val="TableParagraph"/>
              <w:spacing w:line="240" w:lineRule="auto" w:before="28"/>
              <w:ind w:left="550" w:right="0"/>
              <w:jc w:val="left"/>
              <w:rPr>
                <w:rFonts w:ascii="宋体" w:hAnsi="宋体" w:cs="宋体" w:eastAsia="宋体" w:hint="default"/>
                <w:sz w:val="20"/>
                <w:szCs w:val="20"/>
              </w:rPr>
            </w:pPr>
            <w:r>
              <w:rPr>
                <w:rFonts w:ascii="宋体" w:hAnsi="宋体" w:cs="宋体" w:eastAsia="宋体" w:hint="default"/>
                <w:sz w:val="20"/>
                <w:szCs w:val="20"/>
              </w:rPr>
              <w:t>华北地区</w:t>
            </w:r>
          </w:p>
        </w:tc>
      </w:tr>
      <w:tr>
        <w:trPr>
          <w:trHeight w:val="346" w:hRule="exact"/>
        </w:trPr>
        <w:tc>
          <w:tcPr>
            <w:tcW w:w="1276" w:type="dxa"/>
            <w:vMerge/>
            <w:tcBorders>
              <w:left w:val="single" w:sz="17" w:space="0" w:color="000000"/>
              <w:bottom w:val="single" w:sz="8" w:space="0" w:color="000000"/>
              <w:right w:val="single" w:sz="8" w:space="0" w:color="000000"/>
            </w:tcBorders>
          </w:tcPr>
          <w:p>
            <w:pP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占比</w:t>
            </w:r>
          </w:p>
        </w:tc>
        <w:tc>
          <w:tcPr>
            <w:tcW w:w="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51"/>
              <w:jc w:val="right"/>
              <w:rPr>
                <w:rFonts w:ascii="宋体" w:hAnsi="宋体" w:cs="宋体" w:eastAsia="宋体" w:hint="default"/>
                <w:sz w:val="20"/>
                <w:szCs w:val="20"/>
              </w:rPr>
            </w:pPr>
            <w:r>
              <w:rPr>
                <w:rFonts w:ascii="宋体" w:hAnsi="宋体" w:cs="宋体" w:eastAsia="宋体" w:hint="default"/>
                <w:sz w:val="20"/>
                <w:szCs w:val="20"/>
              </w:rPr>
              <w:t>数量</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占比</w:t>
            </w:r>
          </w:p>
        </w:tc>
        <w:tc>
          <w:tcPr>
            <w:tcW w:w="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数量</w:t>
            </w:r>
          </w:p>
        </w:tc>
        <w:tc>
          <w:tcPr>
            <w:tcW w:w="1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占比</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265"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973"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7"/>
              <w:ind w:left="13" w:right="0"/>
              <w:jc w:val="center"/>
              <w:rPr>
                <w:rFonts w:ascii="宋体" w:hAnsi="宋体" w:cs="宋体" w:eastAsia="宋体" w:hint="default"/>
                <w:sz w:val="20"/>
                <w:szCs w:val="20"/>
              </w:rPr>
            </w:pPr>
            <w:r>
              <w:rPr>
                <w:rFonts w:ascii="宋体" w:hAnsi="宋体" w:cs="宋体" w:eastAsia="宋体" w:hint="default"/>
                <w:sz w:val="20"/>
                <w:szCs w:val="20"/>
              </w:rPr>
              <w:t>占比</w:t>
            </w:r>
          </w:p>
        </w:tc>
      </w:tr>
      <w:tr>
        <w:trPr>
          <w:trHeight w:val="319" w:hRule="exact"/>
        </w:trPr>
        <w:tc>
          <w:tcPr>
            <w:tcW w:w="1276"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right="12"/>
              <w:jc w:val="center"/>
              <w:rPr>
                <w:rFonts w:ascii="宋体" w:hAnsi="宋体" w:cs="宋体" w:eastAsia="宋体" w:hint="default"/>
                <w:sz w:val="20"/>
                <w:szCs w:val="20"/>
              </w:rPr>
            </w:pPr>
            <w:r>
              <w:rPr>
                <w:rFonts w:ascii="宋体" w:hAnsi="宋体" w:cs="宋体" w:eastAsia="宋体" w:hint="default"/>
                <w:sz w:val="20"/>
                <w:szCs w:val="20"/>
              </w:rPr>
              <w:t>旗舰店</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48</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16.72%</w:t>
            </w:r>
          </w:p>
        </w:tc>
        <w:tc>
          <w:tcPr>
            <w:tcW w:w="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350"/>
              <w:jc w:val="right"/>
              <w:rPr>
                <w:rFonts w:ascii="Times New Roman" w:hAnsi="Times New Roman" w:cs="Times New Roman" w:eastAsia="Times New Roman" w:hint="default"/>
                <w:sz w:val="20"/>
                <w:szCs w:val="20"/>
              </w:rPr>
            </w:pPr>
            <w:r>
              <w:rPr>
                <w:rFonts w:ascii="Times New Roman"/>
                <w:sz w:val="20"/>
              </w:rPr>
              <w:t>54</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 w:right="0"/>
              <w:jc w:val="center"/>
              <w:rPr>
                <w:rFonts w:ascii="Times New Roman" w:hAnsi="Times New Roman" w:cs="Times New Roman" w:eastAsia="Times New Roman" w:hint="default"/>
                <w:sz w:val="20"/>
                <w:szCs w:val="20"/>
              </w:rPr>
            </w:pPr>
            <w:r>
              <w:rPr>
                <w:rFonts w:ascii="Times New Roman"/>
                <w:sz w:val="20"/>
              </w:rPr>
              <w:t>22.04%</w:t>
            </w:r>
          </w:p>
        </w:tc>
        <w:tc>
          <w:tcPr>
            <w:tcW w:w="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35</w:t>
            </w:r>
          </w:p>
        </w:tc>
        <w:tc>
          <w:tcPr>
            <w:tcW w:w="1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69" w:right="0"/>
              <w:jc w:val="left"/>
              <w:rPr>
                <w:rFonts w:ascii="Times New Roman" w:hAnsi="Times New Roman" w:cs="Times New Roman" w:eastAsia="Times New Roman" w:hint="default"/>
                <w:sz w:val="20"/>
                <w:szCs w:val="20"/>
              </w:rPr>
            </w:pPr>
            <w:r>
              <w:rPr>
                <w:rFonts w:ascii="Times New Roman"/>
                <w:sz w:val="20"/>
              </w:rPr>
              <w:t>16.20%</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 w:right="0"/>
              <w:jc w:val="center"/>
              <w:rPr>
                <w:rFonts w:ascii="Times New Roman" w:hAnsi="Times New Roman" w:cs="Times New Roman" w:eastAsia="Times New Roman" w:hint="default"/>
                <w:sz w:val="20"/>
                <w:szCs w:val="20"/>
              </w:rPr>
            </w:pPr>
            <w:r>
              <w:rPr>
                <w:rFonts w:ascii="Times New Roman"/>
                <w:sz w:val="20"/>
              </w:rPr>
              <w:t>40</w:t>
            </w:r>
          </w:p>
        </w:tc>
        <w:tc>
          <w:tcPr>
            <w:tcW w:w="973"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3"/>
              <w:ind w:left="13" w:right="0"/>
              <w:jc w:val="center"/>
              <w:rPr>
                <w:rFonts w:ascii="Times New Roman" w:hAnsi="Times New Roman" w:cs="Times New Roman" w:eastAsia="Times New Roman" w:hint="default"/>
                <w:sz w:val="20"/>
                <w:szCs w:val="20"/>
              </w:rPr>
            </w:pPr>
            <w:r>
              <w:rPr>
                <w:rFonts w:ascii="Times New Roman"/>
                <w:sz w:val="20"/>
              </w:rPr>
              <w:t>22.35%</w:t>
            </w:r>
          </w:p>
        </w:tc>
      </w:tr>
      <w:tr>
        <w:trPr>
          <w:trHeight w:val="320" w:hRule="exact"/>
        </w:trPr>
        <w:tc>
          <w:tcPr>
            <w:tcW w:w="1276"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right="12"/>
              <w:jc w:val="center"/>
              <w:rPr>
                <w:rFonts w:ascii="宋体" w:hAnsi="宋体" w:cs="宋体" w:eastAsia="宋体" w:hint="default"/>
                <w:sz w:val="20"/>
                <w:szCs w:val="20"/>
              </w:rPr>
            </w:pPr>
            <w:r>
              <w:rPr>
                <w:rFonts w:ascii="宋体" w:hAnsi="宋体" w:cs="宋体" w:eastAsia="宋体" w:hint="default"/>
                <w:sz w:val="20"/>
                <w:szCs w:val="20"/>
              </w:rPr>
              <w:t>中心店</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61</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21.25%</w:t>
            </w:r>
          </w:p>
        </w:tc>
        <w:tc>
          <w:tcPr>
            <w:tcW w:w="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350"/>
              <w:jc w:val="right"/>
              <w:rPr>
                <w:rFonts w:ascii="Times New Roman" w:hAnsi="Times New Roman" w:cs="Times New Roman" w:eastAsia="Times New Roman" w:hint="default"/>
                <w:sz w:val="20"/>
                <w:szCs w:val="20"/>
              </w:rPr>
            </w:pPr>
            <w:r>
              <w:rPr>
                <w:rFonts w:ascii="Times New Roman"/>
                <w:sz w:val="20"/>
              </w:rPr>
              <w:t>83</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 w:right="0"/>
              <w:jc w:val="center"/>
              <w:rPr>
                <w:rFonts w:ascii="Times New Roman" w:hAnsi="Times New Roman" w:cs="Times New Roman" w:eastAsia="Times New Roman" w:hint="default"/>
                <w:sz w:val="20"/>
                <w:szCs w:val="20"/>
              </w:rPr>
            </w:pPr>
            <w:r>
              <w:rPr>
                <w:rFonts w:ascii="Times New Roman"/>
                <w:sz w:val="20"/>
              </w:rPr>
              <w:t>33.88%</w:t>
            </w:r>
          </w:p>
        </w:tc>
        <w:tc>
          <w:tcPr>
            <w:tcW w:w="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52</w:t>
            </w:r>
          </w:p>
        </w:tc>
        <w:tc>
          <w:tcPr>
            <w:tcW w:w="1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69" w:right="0"/>
              <w:jc w:val="left"/>
              <w:rPr>
                <w:rFonts w:ascii="Times New Roman" w:hAnsi="Times New Roman" w:cs="Times New Roman" w:eastAsia="Times New Roman" w:hint="default"/>
                <w:sz w:val="20"/>
                <w:szCs w:val="20"/>
              </w:rPr>
            </w:pPr>
            <w:r>
              <w:rPr>
                <w:rFonts w:ascii="Times New Roman"/>
                <w:sz w:val="20"/>
              </w:rPr>
              <w:t>24.07%</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 w:right="0"/>
              <w:jc w:val="center"/>
              <w:rPr>
                <w:rFonts w:ascii="Times New Roman" w:hAnsi="Times New Roman" w:cs="Times New Roman" w:eastAsia="Times New Roman" w:hint="default"/>
                <w:sz w:val="20"/>
                <w:szCs w:val="20"/>
              </w:rPr>
            </w:pPr>
            <w:r>
              <w:rPr>
                <w:rFonts w:ascii="Times New Roman"/>
                <w:sz w:val="20"/>
              </w:rPr>
              <w:t>58</w:t>
            </w:r>
          </w:p>
        </w:tc>
        <w:tc>
          <w:tcPr>
            <w:tcW w:w="973"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3"/>
              <w:ind w:left="13" w:right="0"/>
              <w:jc w:val="center"/>
              <w:rPr>
                <w:rFonts w:ascii="Times New Roman" w:hAnsi="Times New Roman" w:cs="Times New Roman" w:eastAsia="Times New Roman" w:hint="default"/>
                <w:sz w:val="20"/>
                <w:szCs w:val="20"/>
              </w:rPr>
            </w:pPr>
            <w:r>
              <w:rPr>
                <w:rFonts w:ascii="Times New Roman"/>
                <w:sz w:val="20"/>
              </w:rPr>
              <w:t>32.40%</w:t>
            </w:r>
          </w:p>
        </w:tc>
      </w:tr>
      <w:tr>
        <w:trPr>
          <w:trHeight w:val="300" w:hRule="exact"/>
        </w:trPr>
        <w:tc>
          <w:tcPr>
            <w:tcW w:w="1276" w:type="dxa"/>
            <w:tcBorders>
              <w:top w:val="single" w:sz="8" w:space="0" w:color="000000"/>
              <w:left w:val="single" w:sz="17" w:space="0" w:color="000000"/>
              <w:bottom w:val="single" w:sz="4" w:space="0" w:color="000000"/>
              <w:right w:val="single" w:sz="8" w:space="0" w:color="000000"/>
            </w:tcBorders>
          </w:tcPr>
          <w:p>
            <w:pPr>
              <w:pStyle w:val="TableParagraph"/>
              <w:spacing w:line="259" w:lineRule="exact"/>
              <w:ind w:right="12"/>
              <w:jc w:val="center"/>
              <w:rPr>
                <w:rFonts w:ascii="宋体" w:hAnsi="宋体" w:cs="宋体" w:eastAsia="宋体" w:hint="default"/>
                <w:sz w:val="20"/>
                <w:szCs w:val="20"/>
              </w:rPr>
            </w:pPr>
            <w:r>
              <w:rPr>
                <w:rFonts w:ascii="宋体" w:hAnsi="宋体" w:cs="宋体" w:eastAsia="宋体" w:hint="default"/>
                <w:sz w:val="20"/>
                <w:szCs w:val="20"/>
              </w:rPr>
              <w:t>社区店</w:t>
            </w:r>
          </w:p>
        </w:tc>
        <w:tc>
          <w:tcPr>
            <w:tcW w:w="94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25"/>
              <w:ind w:right="1"/>
              <w:jc w:val="center"/>
              <w:rPr>
                <w:rFonts w:ascii="Times New Roman" w:hAnsi="Times New Roman" w:cs="Times New Roman" w:eastAsia="Times New Roman" w:hint="default"/>
                <w:sz w:val="20"/>
                <w:szCs w:val="20"/>
              </w:rPr>
            </w:pPr>
            <w:r>
              <w:rPr>
                <w:rFonts w:ascii="Times New Roman"/>
                <w:sz w:val="20"/>
              </w:rPr>
              <w:t>135</w:t>
            </w:r>
          </w:p>
        </w:tc>
        <w:tc>
          <w:tcPr>
            <w:tcW w:w="97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25"/>
              <w:ind w:right="0"/>
              <w:jc w:val="center"/>
              <w:rPr>
                <w:rFonts w:ascii="Times New Roman" w:hAnsi="Times New Roman" w:cs="Times New Roman" w:eastAsia="Times New Roman" w:hint="default"/>
                <w:sz w:val="20"/>
                <w:szCs w:val="20"/>
              </w:rPr>
            </w:pPr>
            <w:r>
              <w:rPr>
                <w:rFonts w:ascii="Times New Roman"/>
                <w:sz w:val="20"/>
              </w:rPr>
              <w:t>47.05%</w:t>
            </w:r>
          </w:p>
        </w:tc>
        <w:tc>
          <w:tcPr>
            <w:tcW w:w="92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25"/>
              <w:ind w:right="350"/>
              <w:jc w:val="right"/>
              <w:rPr>
                <w:rFonts w:ascii="Times New Roman" w:hAnsi="Times New Roman" w:cs="Times New Roman" w:eastAsia="Times New Roman" w:hint="default"/>
                <w:sz w:val="20"/>
                <w:szCs w:val="20"/>
              </w:rPr>
            </w:pPr>
            <w:r>
              <w:rPr>
                <w:rFonts w:ascii="Times New Roman"/>
                <w:sz w:val="20"/>
              </w:rPr>
              <w:t>86</w:t>
            </w:r>
          </w:p>
        </w:tc>
        <w:tc>
          <w:tcPr>
            <w:tcW w:w="97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25"/>
              <w:ind w:left="1" w:right="0"/>
              <w:jc w:val="center"/>
              <w:rPr>
                <w:rFonts w:ascii="Times New Roman" w:hAnsi="Times New Roman" w:cs="Times New Roman" w:eastAsia="Times New Roman" w:hint="default"/>
                <w:sz w:val="20"/>
                <w:szCs w:val="20"/>
              </w:rPr>
            </w:pPr>
            <w:r>
              <w:rPr>
                <w:rFonts w:ascii="Times New Roman"/>
                <w:sz w:val="20"/>
              </w:rPr>
              <w:t>35.10%</w:t>
            </w:r>
          </w:p>
        </w:tc>
        <w:tc>
          <w:tcPr>
            <w:tcW w:w="93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25"/>
              <w:ind w:right="0"/>
              <w:jc w:val="center"/>
              <w:rPr>
                <w:rFonts w:ascii="Times New Roman" w:hAnsi="Times New Roman" w:cs="Times New Roman" w:eastAsia="Times New Roman" w:hint="default"/>
                <w:sz w:val="20"/>
                <w:szCs w:val="20"/>
              </w:rPr>
            </w:pPr>
            <w:r>
              <w:rPr>
                <w:rFonts w:ascii="Times New Roman"/>
                <w:spacing w:val="-3"/>
                <w:sz w:val="20"/>
              </w:rPr>
              <w:t>110</w:t>
            </w:r>
          </w:p>
        </w:tc>
        <w:tc>
          <w:tcPr>
            <w:tcW w:w="129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25"/>
              <w:ind w:left="169" w:right="0"/>
              <w:jc w:val="left"/>
              <w:rPr>
                <w:rFonts w:ascii="Times New Roman" w:hAnsi="Times New Roman" w:cs="Times New Roman" w:eastAsia="Times New Roman" w:hint="default"/>
                <w:sz w:val="20"/>
                <w:szCs w:val="20"/>
              </w:rPr>
            </w:pPr>
            <w:r>
              <w:rPr>
                <w:rFonts w:ascii="Times New Roman"/>
                <w:sz w:val="20"/>
              </w:rPr>
              <w:t>50.93%</w:t>
            </w:r>
          </w:p>
        </w:tc>
        <w:tc>
          <w:tcPr>
            <w:tcW w:w="95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25"/>
              <w:ind w:left="1" w:right="0"/>
              <w:jc w:val="center"/>
              <w:rPr>
                <w:rFonts w:ascii="Times New Roman" w:hAnsi="Times New Roman" w:cs="Times New Roman" w:eastAsia="Times New Roman" w:hint="default"/>
                <w:sz w:val="20"/>
                <w:szCs w:val="20"/>
              </w:rPr>
            </w:pPr>
            <w:r>
              <w:rPr>
                <w:rFonts w:ascii="Times New Roman"/>
                <w:sz w:val="20"/>
              </w:rPr>
              <w:t>68</w:t>
            </w:r>
          </w:p>
        </w:tc>
        <w:tc>
          <w:tcPr>
            <w:tcW w:w="973" w:type="dxa"/>
            <w:tcBorders>
              <w:top w:val="single" w:sz="8" w:space="0" w:color="000000"/>
              <w:left w:val="single" w:sz="8" w:space="0" w:color="000000"/>
              <w:bottom w:val="single" w:sz="4" w:space="0" w:color="000000"/>
              <w:right w:val="single" w:sz="17" w:space="0" w:color="000000"/>
            </w:tcBorders>
          </w:tcPr>
          <w:p>
            <w:pPr>
              <w:pStyle w:val="TableParagraph"/>
              <w:spacing w:line="240" w:lineRule="auto" w:before="25"/>
              <w:ind w:left="13" w:right="0"/>
              <w:jc w:val="center"/>
              <w:rPr>
                <w:rFonts w:ascii="Times New Roman" w:hAnsi="Times New Roman" w:cs="Times New Roman" w:eastAsia="Times New Roman" w:hint="default"/>
                <w:sz w:val="20"/>
                <w:szCs w:val="20"/>
              </w:rPr>
            </w:pPr>
            <w:r>
              <w:rPr>
                <w:rFonts w:ascii="Times New Roman"/>
                <w:sz w:val="20"/>
              </w:rPr>
              <w:t>37.99%</w:t>
            </w:r>
          </w:p>
        </w:tc>
      </w:tr>
      <w:tr>
        <w:trPr>
          <w:trHeight w:val="312" w:hRule="exact"/>
        </w:trPr>
        <w:tc>
          <w:tcPr>
            <w:tcW w:w="1276" w:type="dxa"/>
            <w:tcBorders>
              <w:top w:val="single" w:sz="4" w:space="0" w:color="000000"/>
              <w:left w:val="single" w:sz="17" w:space="0" w:color="000000"/>
              <w:bottom w:val="single" w:sz="17" w:space="0" w:color="000000"/>
              <w:right w:val="single" w:sz="8" w:space="0" w:color="000000"/>
            </w:tcBorders>
          </w:tcPr>
          <w:p>
            <w:pPr>
              <w:pStyle w:val="TableParagraph"/>
              <w:spacing w:line="259" w:lineRule="exact"/>
              <w:ind w:right="11"/>
              <w:jc w:val="center"/>
              <w:rPr>
                <w:rFonts w:ascii="宋体" w:hAnsi="宋体" w:cs="宋体" w:eastAsia="宋体" w:hint="default"/>
                <w:sz w:val="20"/>
                <w:szCs w:val="20"/>
              </w:rPr>
            </w:pPr>
            <w:r>
              <w:rPr>
                <w:rFonts w:ascii="宋体" w:hAnsi="宋体" w:cs="宋体" w:eastAsia="宋体" w:hint="default"/>
                <w:sz w:val="20"/>
                <w:szCs w:val="20"/>
              </w:rPr>
              <w:t>常规店小计</w:t>
            </w:r>
          </w:p>
        </w:tc>
        <w:tc>
          <w:tcPr>
            <w:tcW w:w="946"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24"/>
              <w:ind w:right="1"/>
              <w:jc w:val="center"/>
              <w:rPr>
                <w:rFonts w:ascii="Times New Roman" w:hAnsi="Times New Roman" w:cs="Times New Roman" w:eastAsia="Times New Roman" w:hint="default"/>
                <w:sz w:val="20"/>
                <w:szCs w:val="20"/>
              </w:rPr>
            </w:pPr>
            <w:r>
              <w:rPr>
                <w:rFonts w:ascii="Times New Roman"/>
                <w:sz w:val="20"/>
              </w:rPr>
              <w:t>244</w:t>
            </w:r>
          </w:p>
        </w:tc>
        <w:tc>
          <w:tcPr>
            <w:tcW w:w="976"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85.02%</w:t>
            </w:r>
          </w:p>
        </w:tc>
        <w:tc>
          <w:tcPr>
            <w:tcW w:w="926"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24"/>
              <w:ind w:right="301"/>
              <w:jc w:val="right"/>
              <w:rPr>
                <w:rFonts w:ascii="Times New Roman" w:hAnsi="Times New Roman" w:cs="Times New Roman" w:eastAsia="Times New Roman" w:hint="default"/>
                <w:sz w:val="20"/>
                <w:szCs w:val="20"/>
              </w:rPr>
            </w:pPr>
            <w:r>
              <w:rPr>
                <w:rFonts w:ascii="Times New Roman"/>
                <w:spacing w:val="-1"/>
                <w:sz w:val="20"/>
              </w:rPr>
              <w:t>223</w:t>
            </w:r>
          </w:p>
        </w:tc>
        <w:tc>
          <w:tcPr>
            <w:tcW w:w="976"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24"/>
              <w:ind w:left="1" w:right="0"/>
              <w:jc w:val="center"/>
              <w:rPr>
                <w:rFonts w:ascii="Times New Roman" w:hAnsi="Times New Roman" w:cs="Times New Roman" w:eastAsia="Times New Roman" w:hint="default"/>
                <w:sz w:val="20"/>
                <w:szCs w:val="20"/>
              </w:rPr>
            </w:pPr>
            <w:r>
              <w:rPr>
                <w:rFonts w:ascii="Times New Roman"/>
                <w:sz w:val="20"/>
              </w:rPr>
              <w:t>91.02%</w:t>
            </w:r>
          </w:p>
        </w:tc>
        <w:tc>
          <w:tcPr>
            <w:tcW w:w="930"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197</w:t>
            </w:r>
          </w:p>
        </w:tc>
        <w:tc>
          <w:tcPr>
            <w:tcW w:w="1292"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24"/>
              <w:ind w:left="169" w:right="0"/>
              <w:jc w:val="left"/>
              <w:rPr>
                <w:rFonts w:ascii="Times New Roman" w:hAnsi="Times New Roman" w:cs="Times New Roman" w:eastAsia="Times New Roman" w:hint="default"/>
                <w:sz w:val="20"/>
                <w:szCs w:val="20"/>
              </w:rPr>
            </w:pPr>
            <w:r>
              <w:rPr>
                <w:rFonts w:ascii="Times New Roman"/>
                <w:sz w:val="20"/>
              </w:rPr>
              <w:t>91.20%</w:t>
            </w:r>
          </w:p>
        </w:tc>
        <w:tc>
          <w:tcPr>
            <w:tcW w:w="950"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24"/>
              <w:ind w:left="315" w:right="0"/>
              <w:jc w:val="left"/>
              <w:rPr>
                <w:rFonts w:ascii="Times New Roman" w:hAnsi="Times New Roman" w:cs="Times New Roman" w:eastAsia="Times New Roman" w:hint="default"/>
                <w:sz w:val="20"/>
                <w:szCs w:val="20"/>
              </w:rPr>
            </w:pPr>
            <w:r>
              <w:rPr>
                <w:rFonts w:ascii="Times New Roman"/>
                <w:sz w:val="20"/>
              </w:rPr>
              <w:t>166</w:t>
            </w:r>
          </w:p>
        </w:tc>
        <w:tc>
          <w:tcPr>
            <w:tcW w:w="973" w:type="dxa"/>
            <w:tcBorders>
              <w:top w:val="single" w:sz="4" w:space="0" w:color="000000"/>
              <w:left w:val="single" w:sz="8" w:space="0" w:color="000000"/>
              <w:bottom w:val="single" w:sz="17" w:space="0" w:color="000000"/>
              <w:right w:val="single" w:sz="17" w:space="0" w:color="000000"/>
            </w:tcBorders>
          </w:tcPr>
          <w:p>
            <w:pPr>
              <w:pStyle w:val="TableParagraph"/>
              <w:spacing w:line="240" w:lineRule="auto" w:before="24"/>
              <w:ind w:left="13" w:right="0"/>
              <w:jc w:val="center"/>
              <w:rPr>
                <w:rFonts w:ascii="Times New Roman" w:hAnsi="Times New Roman" w:cs="Times New Roman" w:eastAsia="Times New Roman" w:hint="default"/>
                <w:sz w:val="20"/>
                <w:szCs w:val="20"/>
              </w:rPr>
            </w:pPr>
            <w:r>
              <w:rPr>
                <w:rFonts w:ascii="Times New Roman"/>
                <w:sz w:val="20"/>
              </w:rPr>
              <w:t>92.74%</w:t>
            </w:r>
          </w:p>
        </w:tc>
      </w:tr>
      <w:tr>
        <w:trPr>
          <w:trHeight w:val="313" w:hRule="exact"/>
        </w:trPr>
        <w:tc>
          <w:tcPr>
            <w:tcW w:w="1276" w:type="dxa"/>
            <w:tcBorders>
              <w:top w:val="single" w:sz="17" w:space="0" w:color="000000"/>
              <w:left w:val="single" w:sz="17" w:space="0" w:color="000000"/>
              <w:bottom w:val="single" w:sz="4" w:space="0" w:color="000000"/>
              <w:right w:val="single" w:sz="8" w:space="0" w:color="000000"/>
            </w:tcBorders>
          </w:tcPr>
          <w:p>
            <w:pPr>
              <w:pStyle w:val="TableParagraph"/>
              <w:spacing w:line="260" w:lineRule="exact"/>
              <w:ind w:right="12"/>
              <w:jc w:val="center"/>
              <w:rPr>
                <w:rFonts w:ascii="宋体" w:hAnsi="宋体" w:cs="宋体" w:eastAsia="宋体" w:hint="default"/>
                <w:sz w:val="20"/>
                <w:szCs w:val="20"/>
              </w:rPr>
            </w:pPr>
            <w:r>
              <w:rPr>
                <w:rFonts w:ascii="宋体" w:hAnsi="宋体" w:cs="宋体" w:eastAsia="宋体" w:hint="default"/>
                <w:sz w:val="20"/>
                <w:szCs w:val="20"/>
              </w:rPr>
              <w:t>精品店</w:t>
            </w:r>
          </w:p>
        </w:tc>
        <w:tc>
          <w:tcPr>
            <w:tcW w:w="946" w:type="dxa"/>
            <w:tcBorders>
              <w:top w:val="single" w:sz="17" w:space="0" w:color="000000"/>
              <w:left w:val="single" w:sz="8" w:space="0" w:color="000000"/>
              <w:bottom w:val="single" w:sz="4" w:space="0" w:color="000000"/>
              <w:right w:val="single" w:sz="8" w:space="0" w:color="000000"/>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w w:val="100"/>
                <w:sz w:val="20"/>
              </w:rPr>
              <w:t>-</w:t>
            </w:r>
          </w:p>
        </w:tc>
        <w:tc>
          <w:tcPr>
            <w:tcW w:w="976" w:type="dxa"/>
            <w:tcBorders>
              <w:top w:val="single" w:sz="17" w:space="0" w:color="000000"/>
              <w:left w:val="single" w:sz="8" w:space="0" w:color="000000"/>
              <w:bottom w:val="single" w:sz="4" w:space="0" w:color="000000"/>
              <w:right w:val="single" w:sz="8" w:space="0" w:color="000000"/>
            </w:tcBorders>
          </w:tcPr>
          <w:p>
            <w:pPr>
              <w:pStyle w:val="TableParagraph"/>
              <w:spacing w:line="240" w:lineRule="auto" w:before="27"/>
              <w:ind w:right="1"/>
              <w:jc w:val="center"/>
              <w:rPr>
                <w:rFonts w:ascii="Times New Roman" w:hAnsi="Times New Roman" w:cs="Times New Roman" w:eastAsia="Times New Roman" w:hint="default"/>
                <w:sz w:val="20"/>
                <w:szCs w:val="20"/>
              </w:rPr>
            </w:pPr>
            <w:r>
              <w:rPr>
                <w:rFonts w:ascii="Times New Roman"/>
                <w:w w:val="100"/>
                <w:sz w:val="20"/>
              </w:rPr>
              <w:t>-</w:t>
            </w:r>
          </w:p>
        </w:tc>
        <w:tc>
          <w:tcPr>
            <w:tcW w:w="926" w:type="dxa"/>
            <w:tcBorders>
              <w:top w:val="single" w:sz="17" w:space="0" w:color="000000"/>
              <w:left w:val="single" w:sz="8" w:space="0" w:color="000000"/>
              <w:bottom w:val="single" w:sz="4" w:space="0" w:color="000000"/>
              <w:right w:val="single" w:sz="8" w:space="0" w:color="000000"/>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w w:val="100"/>
                <w:sz w:val="20"/>
              </w:rPr>
              <w:t>1</w:t>
            </w:r>
          </w:p>
        </w:tc>
        <w:tc>
          <w:tcPr>
            <w:tcW w:w="976" w:type="dxa"/>
            <w:tcBorders>
              <w:top w:val="single" w:sz="17" w:space="0" w:color="000000"/>
              <w:left w:val="single" w:sz="8" w:space="0" w:color="000000"/>
              <w:bottom w:val="single" w:sz="4" w:space="0" w:color="000000"/>
              <w:right w:val="single" w:sz="8" w:space="0" w:color="000000"/>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0.41%</w:t>
            </w:r>
          </w:p>
        </w:tc>
        <w:tc>
          <w:tcPr>
            <w:tcW w:w="930" w:type="dxa"/>
            <w:tcBorders>
              <w:top w:val="single" w:sz="17" w:space="0" w:color="000000"/>
              <w:left w:val="single" w:sz="8" w:space="0" w:color="000000"/>
              <w:bottom w:val="single" w:sz="4" w:space="0" w:color="000000"/>
              <w:right w:val="single" w:sz="8" w:space="0" w:color="000000"/>
            </w:tcBorders>
          </w:tcPr>
          <w:p>
            <w:pPr>
              <w:pStyle w:val="TableParagraph"/>
              <w:spacing w:line="240" w:lineRule="auto" w:before="27"/>
              <w:ind w:right="1"/>
              <w:jc w:val="center"/>
              <w:rPr>
                <w:rFonts w:ascii="Times New Roman" w:hAnsi="Times New Roman" w:cs="Times New Roman" w:eastAsia="Times New Roman" w:hint="default"/>
                <w:sz w:val="20"/>
                <w:szCs w:val="20"/>
              </w:rPr>
            </w:pPr>
            <w:r>
              <w:rPr>
                <w:rFonts w:ascii="Times New Roman"/>
                <w:w w:val="100"/>
                <w:sz w:val="20"/>
              </w:rPr>
              <w:t>4</w:t>
            </w:r>
          </w:p>
        </w:tc>
        <w:tc>
          <w:tcPr>
            <w:tcW w:w="1292" w:type="dxa"/>
            <w:tcBorders>
              <w:top w:val="single" w:sz="17" w:space="0" w:color="000000"/>
              <w:left w:val="single" w:sz="8" w:space="0" w:color="000000"/>
              <w:bottom w:val="single" w:sz="4" w:space="0" w:color="000000"/>
              <w:right w:val="single" w:sz="8" w:space="0" w:color="000000"/>
            </w:tcBorders>
          </w:tcPr>
          <w:p>
            <w:pPr>
              <w:pStyle w:val="TableParagraph"/>
              <w:spacing w:line="259" w:lineRule="exact"/>
              <w:ind w:left="20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1.85</w:t>
            </w:r>
            <w:r>
              <w:rPr>
                <w:rFonts w:ascii="宋体" w:hAnsi="宋体" w:cs="宋体" w:eastAsia="宋体" w:hint="default"/>
                <w:sz w:val="20"/>
                <w:szCs w:val="20"/>
              </w:rPr>
              <w:t>％</w:t>
            </w:r>
          </w:p>
        </w:tc>
        <w:tc>
          <w:tcPr>
            <w:tcW w:w="950" w:type="dxa"/>
            <w:tcBorders>
              <w:top w:val="single" w:sz="17" w:space="0" w:color="000000"/>
              <w:left w:val="single" w:sz="8" w:space="0" w:color="000000"/>
              <w:bottom w:val="single" w:sz="4" w:space="0" w:color="000000"/>
              <w:right w:val="single" w:sz="8" w:space="0" w:color="000000"/>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w w:val="100"/>
                <w:sz w:val="20"/>
              </w:rPr>
              <w:t>5</w:t>
            </w:r>
          </w:p>
        </w:tc>
        <w:tc>
          <w:tcPr>
            <w:tcW w:w="973" w:type="dxa"/>
            <w:tcBorders>
              <w:top w:val="single" w:sz="17" w:space="0" w:color="000000"/>
              <w:left w:val="single" w:sz="8" w:space="0" w:color="000000"/>
              <w:bottom w:val="single" w:sz="4" w:space="0" w:color="000000"/>
              <w:right w:val="single" w:sz="17" w:space="0" w:color="000000"/>
            </w:tcBorders>
          </w:tcPr>
          <w:p>
            <w:pPr>
              <w:pStyle w:val="TableParagraph"/>
              <w:spacing w:line="259" w:lineRule="exact"/>
              <w:ind w:left="1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2.79</w:t>
            </w:r>
            <w:r>
              <w:rPr>
                <w:rFonts w:ascii="宋体" w:hAnsi="宋体" w:cs="宋体" w:eastAsia="宋体" w:hint="default"/>
                <w:sz w:val="20"/>
                <w:szCs w:val="20"/>
              </w:rPr>
              <w:t>％</w:t>
            </w:r>
          </w:p>
        </w:tc>
      </w:tr>
      <w:tr>
        <w:trPr>
          <w:trHeight w:val="312" w:hRule="exact"/>
        </w:trPr>
        <w:tc>
          <w:tcPr>
            <w:tcW w:w="1276" w:type="dxa"/>
            <w:tcBorders>
              <w:top w:val="single" w:sz="4" w:space="0" w:color="000000"/>
              <w:left w:val="single" w:sz="17" w:space="0" w:color="000000"/>
              <w:bottom w:val="single" w:sz="17" w:space="0" w:color="000000"/>
              <w:right w:val="single" w:sz="8" w:space="0" w:color="000000"/>
            </w:tcBorders>
          </w:tcPr>
          <w:p>
            <w:pPr>
              <w:pStyle w:val="TableParagraph"/>
              <w:spacing w:line="259" w:lineRule="exact"/>
              <w:ind w:right="12"/>
              <w:jc w:val="center"/>
              <w:rPr>
                <w:rFonts w:ascii="宋体" w:hAnsi="宋体" w:cs="宋体" w:eastAsia="宋体" w:hint="default"/>
                <w:sz w:val="20"/>
                <w:szCs w:val="20"/>
              </w:rPr>
            </w:pPr>
            <w:r>
              <w:rPr>
                <w:rFonts w:ascii="宋体" w:hAnsi="宋体" w:cs="宋体" w:eastAsia="宋体" w:hint="default"/>
                <w:sz w:val="20"/>
                <w:szCs w:val="20"/>
              </w:rPr>
              <w:t>县镇店</w:t>
            </w:r>
          </w:p>
        </w:tc>
        <w:tc>
          <w:tcPr>
            <w:tcW w:w="946"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43</w:t>
            </w:r>
          </w:p>
        </w:tc>
        <w:tc>
          <w:tcPr>
            <w:tcW w:w="976" w:type="dxa"/>
            <w:tcBorders>
              <w:top w:val="single" w:sz="4" w:space="0" w:color="000000"/>
              <w:left w:val="single" w:sz="8" w:space="0" w:color="000000"/>
              <w:bottom w:val="single" w:sz="17"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14.98</w:t>
            </w:r>
            <w:r>
              <w:rPr>
                <w:rFonts w:ascii="宋体" w:hAnsi="宋体" w:cs="宋体" w:eastAsia="宋体" w:hint="default"/>
                <w:sz w:val="20"/>
                <w:szCs w:val="20"/>
              </w:rPr>
              <w:t>％</w:t>
            </w:r>
          </w:p>
        </w:tc>
        <w:tc>
          <w:tcPr>
            <w:tcW w:w="926"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24"/>
              <w:ind w:right="350"/>
              <w:jc w:val="right"/>
              <w:rPr>
                <w:rFonts w:ascii="Times New Roman" w:hAnsi="Times New Roman" w:cs="Times New Roman" w:eastAsia="Times New Roman" w:hint="default"/>
                <w:sz w:val="20"/>
                <w:szCs w:val="20"/>
              </w:rPr>
            </w:pPr>
            <w:r>
              <w:rPr>
                <w:rFonts w:ascii="Times New Roman"/>
                <w:sz w:val="20"/>
              </w:rPr>
              <w:t>21</w:t>
            </w:r>
          </w:p>
        </w:tc>
        <w:tc>
          <w:tcPr>
            <w:tcW w:w="976" w:type="dxa"/>
            <w:tcBorders>
              <w:top w:val="single" w:sz="4" w:space="0" w:color="000000"/>
              <w:left w:val="single" w:sz="8" w:space="0" w:color="000000"/>
              <w:bottom w:val="single" w:sz="17"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8.57</w:t>
            </w:r>
            <w:r>
              <w:rPr>
                <w:rFonts w:ascii="宋体" w:hAnsi="宋体" w:cs="宋体" w:eastAsia="宋体" w:hint="default"/>
                <w:sz w:val="20"/>
                <w:szCs w:val="20"/>
              </w:rPr>
              <w:t>％</w:t>
            </w:r>
          </w:p>
        </w:tc>
        <w:tc>
          <w:tcPr>
            <w:tcW w:w="930"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24"/>
              <w:ind w:right="1"/>
              <w:jc w:val="center"/>
              <w:rPr>
                <w:rFonts w:ascii="Times New Roman" w:hAnsi="Times New Roman" w:cs="Times New Roman" w:eastAsia="Times New Roman" w:hint="default"/>
                <w:sz w:val="20"/>
                <w:szCs w:val="20"/>
              </w:rPr>
            </w:pPr>
            <w:r>
              <w:rPr>
                <w:rFonts w:ascii="Times New Roman"/>
                <w:sz w:val="20"/>
              </w:rPr>
              <w:t>15</w:t>
            </w:r>
          </w:p>
        </w:tc>
        <w:tc>
          <w:tcPr>
            <w:tcW w:w="1292" w:type="dxa"/>
            <w:tcBorders>
              <w:top w:val="single" w:sz="4" w:space="0" w:color="000000"/>
              <w:left w:val="single" w:sz="8" w:space="0" w:color="000000"/>
              <w:bottom w:val="single" w:sz="17" w:space="0" w:color="000000"/>
              <w:right w:val="single" w:sz="8" w:space="0" w:color="000000"/>
            </w:tcBorders>
          </w:tcPr>
          <w:p>
            <w:pPr>
              <w:pStyle w:val="TableParagraph"/>
              <w:spacing w:line="257" w:lineRule="exact"/>
              <w:ind w:left="20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6.95</w:t>
            </w:r>
            <w:r>
              <w:rPr>
                <w:rFonts w:ascii="宋体" w:hAnsi="宋体" w:cs="宋体" w:eastAsia="宋体" w:hint="default"/>
                <w:sz w:val="20"/>
                <w:szCs w:val="20"/>
              </w:rPr>
              <w:t>％</w:t>
            </w:r>
          </w:p>
        </w:tc>
        <w:tc>
          <w:tcPr>
            <w:tcW w:w="950"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w w:val="100"/>
                <w:sz w:val="20"/>
              </w:rPr>
              <w:t>8</w:t>
            </w:r>
          </w:p>
        </w:tc>
        <w:tc>
          <w:tcPr>
            <w:tcW w:w="973" w:type="dxa"/>
            <w:tcBorders>
              <w:top w:val="single" w:sz="4" w:space="0" w:color="000000"/>
              <w:left w:val="single" w:sz="8" w:space="0" w:color="000000"/>
              <w:bottom w:val="single" w:sz="17" w:space="0" w:color="000000"/>
              <w:right w:val="single" w:sz="17" w:space="0" w:color="000000"/>
            </w:tcBorders>
          </w:tcPr>
          <w:p>
            <w:pPr>
              <w:pStyle w:val="TableParagraph"/>
              <w:spacing w:line="257" w:lineRule="exact"/>
              <w:ind w:left="1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4.47</w:t>
            </w:r>
            <w:r>
              <w:rPr>
                <w:rFonts w:ascii="宋体" w:hAnsi="宋体" w:cs="宋体" w:eastAsia="宋体" w:hint="default"/>
                <w:sz w:val="20"/>
                <w:szCs w:val="20"/>
              </w:rPr>
              <w:t>％</w:t>
            </w:r>
          </w:p>
        </w:tc>
      </w:tr>
      <w:tr>
        <w:trPr>
          <w:trHeight w:val="344" w:hRule="exact"/>
        </w:trPr>
        <w:tc>
          <w:tcPr>
            <w:tcW w:w="1276" w:type="dxa"/>
            <w:tcBorders>
              <w:top w:val="single" w:sz="17" w:space="0" w:color="000000"/>
              <w:left w:val="single" w:sz="17" w:space="0" w:color="000000"/>
              <w:bottom w:val="single" w:sz="17" w:space="0" w:color="000000"/>
              <w:right w:val="single" w:sz="8" w:space="0" w:color="000000"/>
            </w:tcBorders>
          </w:tcPr>
          <w:p>
            <w:pPr>
              <w:pStyle w:val="TableParagraph"/>
              <w:spacing w:line="240" w:lineRule="auto" w:before="12"/>
              <w:ind w:right="11"/>
              <w:jc w:val="center"/>
              <w:rPr>
                <w:rFonts w:ascii="宋体" w:hAnsi="宋体" w:cs="宋体" w:eastAsia="宋体" w:hint="default"/>
                <w:sz w:val="20"/>
                <w:szCs w:val="20"/>
              </w:rPr>
            </w:pPr>
            <w:r>
              <w:rPr>
                <w:rFonts w:ascii="宋体" w:hAnsi="宋体" w:cs="宋体" w:eastAsia="宋体" w:hint="default"/>
                <w:sz w:val="20"/>
                <w:szCs w:val="20"/>
              </w:rPr>
              <w:t>合计</w:t>
            </w:r>
          </w:p>
        </w:tc>
        <w:tc>
          <w:tcPr>
            <w:tcW w:w="946"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20"/>
                <w:szCs w:val="20"/>
              </w:rPr>
            </w:pPr>
            <w:r>
              <w:rPr>
                <w:rFonts w:ascii="Times New Roman"/>
                <w:sz w:val="20"/>
              </w:rPr>
              <w:t>287</w:t>
            </w:r>
          </w:p>
        </w:tc>
        <w:tc>
          <w:tcPr>
            <w:tcW w:w="976"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20"/>
                <w:szCs w:val="20"/>
              </w:rPr>
            </w:pPr>
            <w:r>
              <w:rPr>
                <w:rFonts w:ascii="Times New Roman"/>
                <w:sz w:val="20"/>
              </w:rPr>
              <w:t>100%</w:t>
            </w:r>
          </w:p>
        </w:tc>
        <w:tc>
          <w:tcPr>
            <w:tcW w:w="926"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34"/>
              <w:ind w:right="302"/>
              <w:jc w:val="right"/>
              <w:rPr>
                <w:rFonts w:ascii="Times New Roman" w:hAnsi="Times New Roman" w:cs="Times New Roman" w:eastAsia="Times New Roman" w:hint="default"/>
                <w:sz w:val="20"/>
                <w:szCs w:val="20"/>
              </w:rPr>
            </w:pPr>
            <w:r>
              <w:rPr>
                <w:rFonts w:ascii="Times New Roman"/>
                <w:spacing w:val="-1"/>
                <w:sz w:val="20"/>
              </w:rPr>
              <w:t>245</w:t>
            </w:r>
          </w:p>
        </w:tc>
        <w:tc>
          <w:tcPr>
            <w:tcW w:w="976"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100%</w:t>
            </w:r>
          </w:p>
        </w:tc>
        <w:tc>
          <w:tcPr>
            <w:tcW w:w="930"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216</w:t>
            </w:r>
          </w:p>
        </w:tc>
        <w:tc>
          <w:tcPr>
            <w:tcW w:w="1292"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34"/>
              <w:ind w:left="245" w:right="0"/>
              <w:jc w:val="left"/>
              <w:rPr>
                <w:rFonts w:ascii="Times New Roman" w:hAnsi="Times New Roman" w:cs="Times New Roman" w:eastAsia="Times New Roman" w:hint="default"/>
                <w:sz w:val="20"/>
                <w:szCs w:val="20"/>
              </w:rPr>
            </w:pPr>
            <w:r>
              <w:rPr>
                <w:rFonts w:ascii="Times New Roman"/>
                <w:sz w:val="20"/>
              </w:rPr>
              <w:t>100%</w:t>
            </w:r>
          </w:p>
        </w:tc>
        <w:tc>
          <w:tcPr>
            <w:tcW w:w="950"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34"/>
              <w:ind w:left="315" w:right="0"/>
              <w:jc w:val="left"/>
              <w:rPr>
                <w:rFonts w:ascii="Times New Roman" w:hAnsi="Times New Roman" w:cs="Times New Roman" w:eastAsia="Times New Roman" w:hint="default"/>
                <w:sz w:val="20"/>
                <w:szCs w:val="20"/>
              </w:rPr>
            </w:pPr>
            <w:r>
              <w:rPr>
                <w:rFonts w:ascii="Times New Roman"/>
                <w:sz w:val="20"/>
              </w:rPr>
              <w:t>179</w:t>
            </w:r>
          </w:p>
        </w:tc>
        <w:tc>
          <w:tcPr>
            <w:tcW w:w="973" w:type="dxa"/>
            <w:tcBorders>
              <w:top w:val="single" w:sz="17" w:space="0" w:color="000000"/>
              <w:left w:val="single" w:sz="8" w:space="0" w:color="000000"/>
              <w:bottom w:val="single" w:sz="17" w:space="0" w:color="000000"/>
              <w:right w:val="single" w:sz="17" w:space="0" w:color="000000"/>
            </w:tcBorders>
          </w:tcPr>
          <w:p>
            <w:pPr>
              <w:pStyle w:val="TableParagraph"/>
              <w:spacing w:line="240" w:lineRule="auto" w:before="34"/>
              <w:ind w:left="14" w:right="0"/>
              <w:jc w:val="center"/>
              <w:rPr>
                <w:rFonts w:ascii="Times New Roman" w:hAnsi="Times New Roman" w:cs="Times New Roman" w:eastAsia="Times New Roman" w:hint="default"/>
                <w:sz w:val="20"/>
                <w:szCs w:val="20"/>
              </w:rPr>
            </w:pPr>
            <w:r>
              <w:rPr>
                <w:rFonts w:ascii="Times New Roman"/>
                <w:sz w:val="20"/>
              </w:rPr>
              <w:t>100%</w:t>
            </w:r>
          </w:p>
        </w:tc>
      </w:tr>
    </w:tbl>
    <w:p>
      <w:pPr>
        <w:spacing w:line="240" w:lineRule="auto" w:before="9"/>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1276"/>
        <w:gridCol w:w="946"/>
        <w:gridCol w:w="976"/>
        <w:gridCol w:w="926"/>
        <w:gridCol w:w="976"/>
        <w:gridCol w:w="930"/>
        <w:gridCol w:w="1292"/>
        <w:gridCol w:w="950"/>
        <w:gridCol w:w="973"/>
      </w:tblGrid>
      <w:tr>
        <w:trPr>
          <w:trHeight w:val="348" w:hRule="exact"/>
        </w:trPr>
        <w:tc>
          <w:tcPr>
            <w:tcW w:w="1276" w:type="dxa"/>
            <w:vMerge w:val="restart"/>
            <w:tcBorders>
              <w:top w:val="single" w:sz="17" w:space="0" w:color="000000"/>
              <w:left w:val="single" w:sz="17" w:space="0" w:color="000000"/>
              <w:right w:val="single" w:sz="8" w:space="0" w:color="000000"/>
            </w:tcBorders>
          </w:tcPr>
          <w:p>
            <w:pPr>
              <w:pStyle w:val="TableParagraph"/>
              <w:spacing w:line="240" w:lineRule="auto" w:before="19"/>
              <w:ind w:left="586" w:right="0"/>
              <w:jc w:val="left"/>
              <w:rPr>
                <w:rFonts w:ascii="宋体" w:hAnsi="宋体" w:cs="宋体" w:eastAsia="宋体" w:hint="default"/>
                <w:sz w:val="20"/>
                <w:szCs w:val="20"/>
              </w:rPr>
            </w:pPr>
            <w:r>
              <w:rPr>
                <w:rFonts w:ascii="宋体" w:hAnsi="宋体" w:cs="宋体" w:eastAsia="宋体" w:hint="default"/>
                <w:sz w:val="20"/>
                <w:szCs w:val="20"/>
              </w:rPr>
              <w:t>项目</w:t>
            </w:r>
          </w:p>
          <w:p>
            <w:pPr>
              <w:pStyle w:val="TableParagraph"/>
              <w:spacing w:line="240" w:lineRule="auto" w:before="19"/>
              <w:ind w:left="86" w:right="0"/>
              <w:jc w:val="left"/>
              <w:rPr>
                <w:rFonts w:ascii="宋体" w:hAnsi="宋体" w:cs="宋体" w:eastAsia="宋体" w:hint="default"/>
                <w:sz w:val="20"/>
                <w:szCs w:val="20"/>
              </w:rPr>
            </w:pPr>
            <w:r>
              <w:rPr>
                <w:rFonts w:ascii="宋体" w:hAnsi="宋体" w:cs="宋体" w:eastAsia="宋体" w:hint="default"/>
                <w:sz w:val="20"/>
                <w:szCs w:val="20"/>
              </w:rPr>
              <w:t>类型</w:t>
            </w:r>
          </w:p>
        </w:tc>
        <w:tc>
          <w:tcPr>
            <w:tcW w:w="1921" w:type="dxa"/>
            <w:gridSpan w:val="2"/>
            <w:tcBorders>
              <w:top w:val="single" w:sz="17" w:space="0" w:color="000000"/>
              <w:left w:val="single" w:sz="8" w:space="0" w:color="000000"/>
              <w:bottom w:val="single" w:sz="8" w:space="0" w:color="000000"/>
              <w:right w:val="single" w:sz="8" w:space="0" w:color="000000"/>
            </w:tcBorders>
          </w:tcPr>
          <w:p>
            <w:pPr>
              <w:pStyle w:val="TableParagraph"/>
              <w:spacing w:line="259" w:lineRule="exact"/>
              <w:ind w:left="550" w:right="0"/>
              <w:jc w:val="left"/>
              <w:rPr>
                <w:rFonts w:ascii="宋体" w:hAnsi="宋体" w:cs="宋体" w:eastAsia="宋体" w:hint="default"/>
                <w:sz w:val="20"/>
                <w:szCs w:val="20"/>
              </w:rPr>
            </w:pPr>
            <w:r>
              <w:rPr>
                <w:rFonts w:ascii="宋体" w:hAnsi="宋体" w:cs="宋体" w:eastAsia="宋体" w:hint="default"/>
                <w:sz w:val="20"/>
                <w:szCs w:val="20"/>
              </w:rPr>
              <w:t>西南地区</w:t>
            </w:r>
          </w:p>
        </w:tc>
        <w:tc>
          <w:tcPr>
            <w:tcW w:w="1902" w:type="dxa"/>
            <w:gridSpan w:val="2"/>
            <w:tcBorders>
              <w:top w:val="single" w:sz="17" w:space="0" w:color="000000"/>
              <w:left w:val="single" w:sz="8" w:space="0" w:color="000000"/>
              <w:bottom w:val="single" w:sz="8" w:space="0" w:color="000000"/>
              <w:right w:val="single" w:sz="8" w:space="0" w:color="000000"/>
            </w:tcBorders>
          </w:tcPr>
          <w:p>
            <w:pPr>
              <w:pStyle w:val="TableParagraph"/>
              <w:spacing w:line="259" w:lineRule="exact"/>
              <w:ind w:left="539" w:right="0"/>
              <w:jc w:val="left"/>
              <w:rPr>
                <w:rFonts w:ascii="宋体" w:hAnsi="宋体" w:cs="宋体" w:eastAsia="宋体" w:hint="default"/>
                <w:sz w:val="20"/>
                <w:szCs w:val="20"/>
              </w:rPr>
            </w:pPr>
            <w:r>
              <w:rPr>
                <w:rFonts w:ascii="宋体" w:hAnsi="宋体" w:cs="宋体" w:eastAsia="宋体" w:hint="default"/>
                <w:sz w:val="20"/>
                <w:szCs w:val="20"/>
              </w:rPr>
              <w:t>华中地区</w:t>
            </w:r>
          </w:p>
        </w:tc>
        <w:tc>
          <w:tcPr>
            <w:tcW w:w="2222" w:type="dxa"/>
            <w:gridSpan w:val="2"/>
            <w:tcBorders>
              <w:top w:val="single" w:sz="17" w:space="0" w:color="000000"/>
              <w:left w:val="single" w:sz="8" w:space="0" w:color="000000"/>
              <w:bottom w:val="single" w:sz="8" w:space="0" w:color="000000"/>
              <w:right w:val="single" w:sz="8" w:space="0" w:color="000000"/>
            </w:tcBorders>
          </w:tcPr>
          <w:p>
            <w:pPr>
              <w:pStyle w:val="TableParagraph"/>
              <w:spacing w:line="259" w:lineRule="exact"/>
              <w:ind w:left="700" w:right="0"/>
              <w:jc w:val="left"/>
              <w:rPr>
                <w:rFonts w:ascii="宋体" w:hAnsi="宋体" w:cs="宋体" w:eastAsia="宋体" w:hint="default"/>
                <w:sz w:val="20"/>
                <w:szCs w:val="20"/>
              </w:rPr>
            </w:pPr>
            <w:r>
              <w:rPr>
                <w:rFonts w:ascii="宋体" w:hAnsi="宋体" w:cs="宋体" w:eastAsia="宋体" w:hint="default"/>
                <w:sz w:val="20"/>
                <w:szCs w:val="20"/>
              </w:rPr>
              <w:t>东北地区</w:t>
            </w:r>
          </w:p>
        </w:tc>
        <w:tc>
          <w:tcPr>
            <w:tcW w:w="1924" w:type="dxa"/>
            <w:gridSpan w:val="2"/>
            <w:tcBorders>
              <w:top w:val="single" w:sz="17" w:space="0" w:color="000000"/>
              <w:left w:val="single" w:sz="8" w:space="0" w:color="000000"/>
              <w:bottom w:val="single" w:sz="8" w:space="0" w:color="000000"/>
              <w:right w:val="single" w:sz="17" w:space="0" w:color="000000"/>
            </w:tcBorders>
          </w:tcPr>
          <w:p>
            <w:pPr>
              <w:pStyle w:val="TableParagraph"/>
              <w:spacing w:line="259" w:lineRule="exact"/>
              <w:ind w:left="550" w:right="0"/>
              <w:jc w:val="left"/>
              <w:rPr>
                <w:rFonts w:ascii="宋体" w:hAnsi="宋体" w:cs="宋体" w:eastAsia="宋体" w:hint="default"/>
                <w:sz w:val="20"/>
                <w:szCs w:val="20"/>
              </w:rPr>
            </w:pPr>
            <w:r>
              <w:rPr>
                <w:rFonts w:ascii="宋体" w:hAnsi="宋体" w:cs="宋体" w:eastAsia="宋体" w:hint="default"/>
                <w:sz w:val="20"/>
                <w:szCs w:val="20"/>
              </w:rPr>
              <w:t>西北地区</w:t>
            </w:r>
          </w:p>
        </w:tc>
      </w:tr>
      <w:tr>
        <w:trPr>
          <w:trHeight w:val="346" w:hRule="exact"/>
        </w:trPr>
        <w:tc>
          <w:tcPr>
            <w:tcW w:w="1276" w:type="dxa"/>
            <w:vMerge/>
            <w:tcBorders>
              <w:left w:val="single" w:sz="17" w:space="0" w:color="000000"/>
              <w:bottom w:val="single" w:sz="8" w:space="0" w:color="000000"/>
              <w:right w:val="single" w:sz="8" w:space="0" w:color="000000"/>
            </w:tcBorders>
          </w:tcPr>
          <w:p>
            <w:pP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1"/>
              <w:jc w:val="center"/>
              <w:rPr>
                <w:rFonts w:ascii="宋体" w:hAnsi="宋体" w:cs="宋体" w:eastAsia="宋体" w:hint="default"/>
                <w:sz w:val="20"/>
                <w:szCs w:val="20"/>
              </w:rPr>
            </w:pPr>
            <w:r>
              <w:rPr>
                <w:rFonts w:ascii="宋体" w:hAnsi="宋体" w:cs="宋体" w:eastAsia="宋体" w:hint="default"/>
                <w:sz w:val="20"/>
                <w:szCs w:val="20"/>
              </w:rPr>
              <w:t>占比</w:t>
            </w:r>
          </w:p>
        </w:tc>
        <w:tc>
          <w:tcPr>
            <w:tcW w:w="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1"/>
              <w:jc w:val="center"/>
              <w:rPr>
                <w:rFonts w:ascii="宋体" w:hAnsi="宋体" w:cs="宋体" w:eastAsia="宋体" w:hint="default"/>
                <w:sz w:val="20"/>
                <w:szCs w:val="20"/>
              </w:rPr>
            </w:pPr>
            <w:r>
              <w:rPr>
                <w:rFonts w:ascii="宋体" w:hAnsi="宋体" w:cs="宋体" w:eastAsia="宋体" w:hint="default"/>
                <w:sz w:val="20"/>
                <w:szCs w:val="20"/>
              </w:rPr>
              <w:t>占比</w:t>
            </w:r>
          </w:p>
        </w:tc>
        <w:tc>
          <w:tcPr>
            <w:tcW w:w="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1"/>
              <w:jc w:val="center"/>
              <w:rPr>
                <w:rFonts w:ascii="宋体" w:hAnsi="宋体" w:cs="宋体" w:eastAsia="宋体" w:hint="default"/>
                <w:sz w:val="20"/>
                <w:szCs w:val="20"/>
              </w:rPr>
            </w:pPr>
            <w:r>
              <w:rPr>
                <w:rFonts w:ascii="宋体" w:hAnsi="宋体" w:cs="宋体" w:eastAsia="宋体" w:hint="default"/>
                <w:sz w:val="20"/>
                <w:szCs w:val="20"/>
              </w:rPr>
              <w:t>数量</w:t>
            </w:r>
          </w:p>
        </w:tc>
        <w:tc>
          <w:tcPr>
            <w:tcW w:w="1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434"/>
              <w:jc w:val="right"/>
              <w:rPr>
                <w:rFonts w:ascii="宋体" w:hAnsi="宋体" w:cs="宋体" w:eastAsia="宋体" w:hint="default"/>
                <w:sz w:val="20"/>
                <w:szCs w:val="20"/>
              </w:rPr>
            </w:pPr>
            <w:r>
              <w:rPr>
                <w:rFonts w:ascii="宋体" w:hAnsi="宋体" w:cs="宋体" w:eastAsia="宋体" w:hint="default"/>
                <w:sz w:val="20"/>
                <w:szCs w:val="20"/>
              </w:rPr>
              <w:t>占比</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973"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3"/>
              <w:ind w:right="262"/>
              <w:jc w:val="right"/>
              <w:rPr>
                <w:rFonts w:ascii="宋体" w:hAnsi="宋体" w:cs="宋体" w:eastAsia="宋体" w:hint="default"/>
                <w:sz w:val="20"/>
                <w:szCs w:val="20"/>
              </w:rPr>
            </w:pPr>
            <w:r>
              <w:rPr>
                <w:rFonts w:ascii="宋体" w:hAnsi="宋体" w:cs="宋体" w:eastAsia="宋体" w:hint="default"/>
                <w:sz w:val="20"/>
                <w:szCs w:val="20"/>
              </w:rPr>
              <w:t>占比</w:t>
            </w:r>
          </w:p>
        </w:tc>
      </w:tr>
      <w:tr>
        <w:trPr>
          <w:trHeight w:val="319" w:hRule="exact"/>
        </w:trPr>
        <w:tc>
          <w:tcPr>
            <w:tcW w:w="1276"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right="12"/>
              <w:jc w:val="center"/>
              <w:rPr>
                <w:rFonts w:ascii="宋体" w:hAnsi="宋体" w:cs="宋体" w:eastAsia="宋体" w:hint="default"/>
                <w:sz w:val="20"/>
                <w:szCs w:val="20"/>
              </w:rPr>
            </w:pPr>
            <w:r>
              <w:rPr>
                <w:rFonts w:ascii="宋体" w:hAnsi="宋体" w:cs="宋体" w:eastAsia="宋体" w:hint="default"/>
                <w:sz w:val="20"/>
                <w:szCs w:val="20"/>
              </w:rPr>
              <w:t>旗舰店</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18</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13.04%</w:t>
            </w:r>
          </w:p>
        </w:tc>
        <w:tc>
          <w:tcPr>
            <w:tcW w:w="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13</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13.13%</w:t>
            </w:r>
          </w:p>
        </w:tc>
        <w:tc>
          <w:tcPr>
            <w:tcW w:w="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1"/>
              <w:jc w:val="center"/>
              <w:rPr>
                <w:rFonts w:ascii="Times New Roman" w:hAnsi="Times New Roman" w:cs="Times New Roman" w:eastAsia="Times New Roman" w:hint="default"/>
                <w:sz w:val="20"/>
                <w:szCs w:val="20"/>
              </w:rPr>
            </w:pPr>
            <w:r>
              <w:rPr>
                <w:rFonts w:ascii="Times New Roman"/>
                <w:sz w:val="20"/>
              </w:rPr>
              <w:t>17</w:t>
            </w:r>
          </w:p>
        </w:tc>
        <w:tc>
          <w:tcPr>
            <w:tcW w:w="1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325"/>
              <w:jc w:val="right"/>
              <w:rPr>
                <w:rFonts w:ascii="Times New Roman" w:hAnsi="Times New Roman" w:cs="Times New Roman" w:eastAsia="Times New Roman" w:hint="default"/>
                <w:sz w:val="20"/>
                <w:szCs w:val="20"/>
              </w:rPr>
            </w:pPr>
            <w:r>
              <w:rPr>
                <w:rFonts w:ascii="Times New Roman"/>
                <w:spacing w:val="-1"/>
                <w:sz w:val="20"/>
              </w:rPr>
              <w:t>19.54%</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14</w:t>
            </w:r>
          </w:p>
        </w:tc>
        <w:tc>
          <w:tcPr>
            <w:tcW w:w="973"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8"/>
              <w:ind w:right="153"/>
              <w:jc w:val="right"/>
              <w:rPr>
                <w:rFonts w:ascii="Times New Roman" w:hAnsi="Times New Roman" w:cs="Times New Roman" w:eastAsia="Times New Roman" w:hint="default"/>
                <w:sz w:val="20"/>
                <w:szCs w:val="20"/>
              </w:rPr>
            </w:pPr>
            <w:r>
              <w:rPr>
                <w:rFonts w:ascii="Times New Roman"/>
                <w:spacing w:val="-1"/>
                <w:sz w:val="20"/>
              </w:rPr>
              <w:t>23.33%</w:t>
            </w:r>
          </w:p>
        </w:tc>
      </w:tr>
      <w:tr>
        <w:trPr>
          <w:trHeight w:val="320" w:hRule="exact"/>
        </w:trPr>
        <w:tc>
          <w:tcPr>
            <w:tcW w:w="1276"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right="12"/>
              <w:jc w:val="center"/>
              <w:rPr>
                <w:rFonts w:ascii="宋体" w:hAnsi="宋体" w:cs="宋体" w:eastAsia="宋体" w:hint="default"/>
                <w:sz w:val="20"/>
                <w:szCs w:val="20"/>
              </w:rPr>
            </w:pPr>
            <w:r>
              <w:rPr>
                <w:rFonts w:ascii="宋体" w:hAnsi="宋体" w:cs="宋体" w:eastAsia="宋体" w:hint="default"/>
                <w:sz w:val="20"/>
                <w:szCs w:val="20"/>
              </w:rPr>
              <w:t>中心店</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42</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30.43%</w:t>
            </w:r>
          </w:p>
        </w:tc>
        <w:tc>
          <w:tcPr>
            <w:tcW w:w="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29</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29.29%</w:t>
            </w:r>
          </w:p>
        </w:tc>
        <w:tc>
          <w:tcPr>
            <w:tcW w:w="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1"/>
              <w:jc w:val="center"/>
              <w:rPr>
                <w:rFonts w:ascii="Times New Roman" w:hAnsi="Times New Roman" w:cs="Times New Roman" w:eastAsia="Times New Roman" w:hint="default"/>
                <w:sz w:val="20"/>
                <w:szCs w:val="20"/>
              </w:rPr>
            </w:pPr>
            <w:r>
              <w:rPr>
                <w:rFonts w:ascii="Times New Roman"/>
                <w:sz w:val="20"/>
              </w:rPr>
              <w:t>18</w:t>
            </w:r>
          </w:p>
        </w:tc>
        <w:tc>
          <w:tcPr>
            <w:tcW w:w="1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325"/>
              <w:jc w:val="right"/>
              <w:rPr>
                <w:rFonts w:ascii="Times New Roman" w:hAnsi="Times New Roman" w:cs="Times New Roman" w:eastAsia="Times New Roman" w:hint="default"/>
                <w:sz w:val="20"/>
                <w:szCs w:val="20"/>
              </w:rPr>
            </w:pPr>
            <w:r>
              <w:rPr>
                <w:rFonts w:ascii="Times New Roman"/>
                <w:spacing w:val="-1"/>
                <w:sz w:val="20"/>
              </w:rPr>
              <w:t>20.69%</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21</w:t>
            </w:r>
          </w:p>
        </w:tc>
        <w:tc>
          <w:tcPr>
            <w:tcW w:w="973"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8"/>
              <w:ind w:right="153"/>
              <w:jc w:val="right"/>
              <w:rPr>
                <w:rFonts w:ascii="Times New Roman" w:hAnsi="Times New Roman" w:cs="Times New Roman" w:eastAsia="Times New Roman" w:hint="default"/>
                <w:sz w:val="20"/>
                <w:szCs w:val="20"/>
              </w:rPr>
            </w:pPr>
            <w:r>
              <w:rPr>
                <w:rFonts w:ascii="Times New Roman"/>
                <w:spacing w:val="-1"/>
                <w:sz w:val="20"/>
              </w:rPr>
              <w:t>35.00%</w:t>
            </w:r>
          </w:p>
        </w:tc>
      </w:tr>
      <w:tr>
        <w:trPr>
          <w:trHeight w:val="320" w:hRule="exact"/>
        </w:trPr>
        <w:tc>
          <w:tcPr>
            <w:tcW w:w="1276"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right="12"/>
              <w:jc w:val="center"/>
              <w:rPr>
                <w:rFonts w:ascii="宋体" w:hAnsi="宋体" w:cs="宋体" w:eastAsia="宋体" w:hint="default"/>
                <w:sz w:val="20"/>
                <w:szCs w:val="20"/>
              </w:rPr>
            </w:pPr>
            <w:r>
              <w:rPr>
                <w:rFonts w:ascii="宋体" w:hAnsi="宋体" w:cs="宋体" w:eastAsia="宋体" w:hint="default"/>
                <w:sz w:val="20"/>
                <w:szCs w:val="20"/>
              </w:rPr>
              <w:t>社区店</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66</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47.83%</w:t>
            </w:r>
          </w:p>
        </w:tc>
        <w:tc>
          <w:tcPr>
            <w:tcW w:w="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52</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52.53%</w:t>
            </w:r>
          </w:p>
        </w:tc>
        <w:tc>
          <w:tcPr>
            <w:tcW w:w="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1"/>
              <w:jc w:val="center"/>
              <w:rPr>
                <w:rFonts w:ascii="Times New Roman" w:hAnsi="Times New Roman" w:cs="Times New Roman" w:eastAsia="Times New Roman" w:hint="default"/>
                <w:sz w:val="20"/>
                <w:szCs w:val="20"/>
              </w:rPr>
            </w:pPr>
            <w:r>
              <w:rPr>
                <w:rFonts w:ascii="Times New Roman"/>
                <w:sz w:val="20"/>
              </w:rPr>
              <w:t>47</w:t>
            </w:r>
          </w:p>
        </w:tc>
        <w:tc>
          <w:tcPr>
            <w:tcW w:w="1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325"/>
              <w:jc w:val="right"/>
              <w:rPr>
                <w:rFonts w:ascii="Times New Roman" w:hAnsi="Times New Roman" w:cs="Times New Roman" w:eastAsia="Times New Roman" w:hint="default"/>
                <w:sz w:val="20"/>
                <w:szCs w:val="20"/>
              </w:rPr>
            </w:pPr>
            <w:r>
              <w:rPr>
                <w:rFonts w:ascii="Times New Roman"/>
                <w:spacing w:val="-1"/>
                <w:sz w:val="20"/>
              </w:rPr>
              <w:t>54.02%</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20</w:t>
            </w:r>
          </w:p>
        </w:tc>
        <w:tc>
          <w:tcPr>
            <w:tcW w:w="973"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8"/>
              <w:ind w:right="153"/>
              <w:jc w:val="right"/>
              <w:rPr>
                <w:rFonts w:ascii="Times New Roman" w:hAnsi="Times New Roman" w:cs="Times New Roman" w:eastAsia="Times New Roman" w:hint="default"/>
                <w:sz w:val="20"/>
                <w:szCs w:val="20"/>
              </w:rPr>
            </w:pPr>
            <w:r>
              <w:rPr>
                <w:rFonts w:ascii="Times New Roman"/>
                <w:spacing w:val="-1"/>
                <w:sz w:val="20"/>
              </w:rPr>
              <w:t>33.33%</w:t>
            </w:r>
          </w:p>
        </w:tc>
      </w:tr>
      <w:tr>
        <w:trPr>
          <w:trHeight w:val="331" w:hRule="exact"/>
        </w:trPr>
        <w:tc>
          <w:tcPr>
            <w:tcW w:w="1276" w:type="dxa"/>
            <w:tcBorders>
              <w:top w:val="single" w:sz="8" w:space="0" w:color="000000"/>
              <w:left w:val="single" w:sz="17" w:space="0" w:color="000000"/>
              <w:bottom w:val="single" w:sz="17" w:space="0" w:color="000000"/>
              <w:right w:val="single" w:sz="8" w:space="0" w:color="000000"/>
            </w:tcBorders>
          </w:tcPr>
          <w:p>
            <w:pPr>
              <w:pStyle w:val="TableParagraph"/>
              <w:spacing w:line="240" w:lineRule="auto" w:before="11"/>
              <w:ind w:right="11"/>
              <w:jc w:val="center"/>
              <w:rPr>
                <w:rFonts w:ascii="宋体" w:hAnsi="宋体" w:cs="宋体" w:eastAsia="宋体" w:hint="default"/>
                <w:sz w:val="20"/>
                <w:szCs w:val="20"/>
              </w:rPr>
            </w:pPr>
            <w:r>
              <w:rPr>
                <w:rFonts w:ascii="宋体" w:hAnsi="宋体" w:cs="宋体" w:eastAsia="宋体" w:hint="default"/>
                <w:sz w:val="20"/>
                <w:szCs w:val="20"/>
              </w:rPr>
              <w:t>常规店小计</w:t>
            </w:r>
          </w:p>
        </w:tc>
        <w:tc>
          <w:tcPr>
            <w:tcW w:w="94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1"/>
              <w:jc w:val="center"/>
              <w:rPr>
                <w:rFonts w:ascii="Times New Roman" w:hAnsi="Times New Roman" w:cs="Times New Roman" w:eastAsia="Times New Roman" w:hint="default"/>
                <w:sz w:val="20"/>
                <w:szCs w:val="20"/>
              </w:rPr>
            </w:pPr>
            <w:r>
              <w:rPr>
                <w:rFonts w:ascii="Times New Roman"/>
                <w:sz w:val="20"/>
              </w:rPr>
              <w:t>126</w:t>
            </w:r>
          </w:p>
        </w:tc>
        <w:tc>
          <w:tcPr>
            <w:tcW w:w="97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91.30%</w:t>
            </w:r>
          </w:p>
        </w:tc>
        <w:tc>
          <w:tcPr>
            <w:tcW w:w="92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94</w:t>
            </w:r>
          </w:p>
        </w:tc>
        <w:tc>
          <w:tcPr>
            <w:tcW w:w="97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94.95%</w:t>
            </w:r>
          </w:p>
        </w:tc>
        <w:tc>
          <w:tcPr>
            <w:tcW w:w="93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1"/>
              <w:jc w:val="center"/>
              <w:rPr>
                <w:rFonts w:ascii="Times New Roman" w:hAnsi="Times New Roman" w:cs="Times New Roman" w:eastAsia="Times New Roman" w:hint="default"/>
                <w:sz w:val="20"/>
                <w:szCs w:val="20"/>
              </w:rPr>
            </w:pPr>
            <w:r>
              <w:rPr>
                <w:rFonts w:ascii="Times New Roman"/>
                <w:sz w:val="20"/>
              </w:rPr>
              <w:t>82</w:t>
            </w:r>
          </w:p>
        </w:tc>
        <w:tc>
          <w:tcPr>
            <w:tcW w:w="129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325"/>
              <w:jc w:val="right"/>
              <w:rPr>
                <w:rFonts w:ascii="Times New Roman" w:hAnsi="Times New Roman" w:cs="Times New Roman" w:eastAsia="Times New Roman" w:hint="default"/>
                <w:sz w:val="20"/>
                <w:szCs w:val="20"/>
              </w:rPr>
            </w:pPr>
            <w:r>
              <w:rPr>
                <w:rFonts w:ascii="Times New Roman"/>
                <w:spacing w:val="-1"/>
                <w:sz w:val="20"/>
              </w:rPr>
              <w:t>94.25%</w:t>
            </w:r>
          </w:p>
        </w:tc>
        <w:tc>
          <w:tcPr>
            <w:tcW w:w="95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55</w:t>
            </w:r>
          </w:p>
        </w:tc>
        <w:tc>
          <w:tcPr>
            <w:tcW w:w="973"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48"/>
              <w:ind w:right="153"/>
              <w:jc w:val="right"/>
              <w:rPr>
                <w:rFonts w:ascii="Times New Roman" w:hAnsi="Times New Roman" w:cs="Times New Roman" w:eastAsia="Times New Roman" w:hint="default"/>
                <w:sz w:val="20"/>
                <w:szCs w:val="20"/>
              </w:rPr>
            </w:pPr>
            <w:r>
              <w:rPr>
                <w:rFonts w:ascii="Times New Roman"/>
                <w:spacing w:val="-1"/>
                <w:sz w:val="20"/>
              </w:rPr>
              <w:t>91.66%</w:t>
            </w:r>
          </w:p>
        </w:tc>
      </w:tr>
      <w:tr>
        <w:trPr>
          <w:trHeight w:val="334" w:hRule="exact"/>
        </w:trPr>
        <w:tc>
          <w:tcPr>
            <w:tcW w:w="1276" w:type="dxa"/>
            <w:tcBorders>
              <w:top w:val="single" w:sz="17" w:space="0" w:color="000000"/>
              <w:left w:val="single" w:sz="17" w:space="0" w:color="000000"/>
              <w:bottom w:val="single" w:sz="8" w:space="0" w:color="000000"/>
              <w:right w:val="single" w:sz="8" w:space="0" w:color="000000"/>
            </w:tcBorders>
          </w:tcPr>
          <w:p>
            <w:pPr>
              <w:pStyle w:val="TableParagraph"/>
              <w:spacing w:line="240" w:lineRule="auto" w:before="12"/>
              <w:ind w:right="12"/>
              <w:jc w:val="center"/>
              <w:rPr>
                <w:rFonts w:ascii="宋体" w:hAnsi="宋体" w:cs="宋体" w:eastAsia="宋体" w:hint="default"/>
                <w:sz w:val="20"/>
                <w:szCs w:val="20"/>
              </w:rPr>
            </w:pPr>
            <w:r>
              <w:rPr>
                <w:rFonts w:ascii="宋体" w:hAnsi="宋体" w:cs="宋体" w:eastAsia="宋体" w:hint="default"/>
                <w:sz w:val="20"/>
                <w:szCs w:val="20"/>
              </w:rPr>
              <w:t>精品店</w:t>
            </w:r>
          </w:p>
        </w:tc>
        <w:tc>
          <w:tcPr>
            <w:tcW w:w="94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w w:val="100"/>
                <w:sz w:val="20"/>
              </w:rPr>
              <w:t>-</w:t>
            </w:r>
          </w:p>
        </w:tc>
        <w:tc>
          <w:tcPr>
            <w:tcW w:w="97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20"/>
                <w:szCs w:val="20"/>
              </w:rPr>
            </w:pPr>
            <w:r>
              <w:rPr>
                <w:rFonts w:ascii="Times New Roman"/>
                <w:w w:val="100"/>
                <w:sz w:val="20"/>
              </w:rPr>
              <w:t>-</w:t>
            </w:r>
          </w:p>
        </w:tc>
        <w:tc>
          <w:tcPr>
            <w:tcW w:w="92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w w:val="100"/>
                <w:sz w:val="20"/>
              </w:rPr>
              <w:t>-</w:t>
            </w:r>
          </w:p>
        </w:tc>
        <w:tc>
          <w:tcPr>
            <w:tcW w:w="97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20"/>
                <w:szCs w:val="20"/>
              </w:rPr>
            </w:pPr>
            <w:r>
              <w:rPr>
                <w:rFonts w:ascii="Times New Roman"/>
                <w:w w:val="100"/>
                <w:sz w:val="20"/>
              </w:rPr>
              <w:t>-</w:t>
            </w:r>
          </w:p>
        </w:tc>
        <w:tc>
          <w:tcPr>
            <w:tcW w:w="93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20"/>
                <w:szCs w:val="20"/>
              </w:rPr>
            </w:pPr>
            <w:r>
              <w:rPr>
                <w:rFonts w:ascii="Times New Roman"/>
                <w:w w:val="100"/>
                <w:sz w:val="20"/>
              </w:rPr>
              <w:t>-</w:t>
            </w:r>
          </w:p>
        </w:tc>
        <w:tc>
          <w:tcPr>
            <w:tcW w:w="1292"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20"/>
                <w:szCs w:val="20"/>
              </w:rPr>
            </w:pPr>
            <w:r>
              <w:rPr>
                <w:rFonts w:ascii="Times New Roman"/>
                <w:w w:val="100"/>
                <w:sz w:val="20"/>
              </w:rPr>
              <w:t>-</w:t>
            </w:r>
          </w:p>
        </w:tc>
        <w:tc>
          <w:tcPr>
            <w:tcW w:w="95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w w:val="100"/>
                <w:sz w:val="20"/>
              </w:rPr>
              <w:t>-</w:t>
            </w:r>
          </w:p>
        </w:tc>
        <w:tc>
          <w:tcPr>
            <w:tcW w:w="973" w:type="dxa"/>
            <w:tcBorders>
              <w:top w:val="single" w:sz="17" w:space="0" w:color="000000"/>
              <w:left w:val="single" w:sz="8" w:space="0" w:color="000000"/>
              <w:bottom w:val="single" w:sz="8" w:space="0" w:color="000000"/>
              <w:right w:val="single" w:sz="17" w:space="0" w:color="000000"/>
            </w:tcBorders>
          </w:tcPr>
          <w:p>
            <w:pPr>
              <w:pStyle w:val="TableParagraph"/>
              <w:spacing w:line="240" w:lineRule="auto" w:before="49"/>
              <w:ind w:left="12" w:right="0"/>
              <w:jc w:val="center"/>
              <w:rPr>
                <w:rFonts w:ascii="Times New Roman" w:hAnsi="Times New Roman" w:cs="Times New Roman" w:eastAsia="Times New Roman" w:hint="default"/>
                <w:sz w:val="20"/>
                <w:szCs w:val="20"/>
              </w:rPr>
            </w:pPr>
            <w:r>
              <w:rPr>
                <w:rFonts w:ascii="Times New Roman"/>
                <w:w w:val="100"/>
                <w:sz w:val="20"/>
              </w:rPr>
              <w:t>-</w:t>
            </w:r>
          </w:p>
        </w:tc>
      </w:tr>
      <w:tr>
        <w:trPr>
          <w:trHeight w:val="332" w:hRule="exact"/>
        </w:trPr>
        <w:tc>
          <w:tcPr>
            <w:tcW w:w="1276" w:type="dxa"/>
            <w:tcBorders>
              <w:top w:val="single" w:sz="8" w:space="0" w:color="000000"/>
              <w:left w:val="single" w:sz="17" w:space="0" w:color="000000"/>
              <w:bottom w:val="single" w:sz="17" w:space="0" w:color="000000"/>
              <w:right w:val="single" w:sz="8" w:space="0" w:color="000000"/>
            </w:tcBorders>
          </w:tcPr>
          <w:p>
            <w:pPr>
              <w:pStyle w:val="TableParagraph"/>
              <w:spacing w:line="240" w:lineRule="auto" w:before="11"/>
              <w:ind w:right="12"/>
              <w:jc w:val="center"/>
              <w:rPr>
                <w:rFonts w:ascii="宋体" w:hAnsi="宋体" w:cs="宋体" w:eastAsia="宋体" w:hint="default"/>
                <w:sz w:val="20"/>
                <w:szCs w:val="20"/>
              </w:rPr>
            </w:pPr>
            <w:r>
              <w:rPr>
                <w:rFonts w:ascii="宋体" w:hAnsi="宋体" w:cs="宋体" w:eastAsia="宋体" w:hint="default"/>
                <w:sz w:val="20"/>
                <w:szCs w:val="20"/>
              </w:rPr>
              <w:t>县镇店</w:t>
            </w:r>
          </w:p>
        </w:tc>
        <w:tc>
          <w:tcPr>
            <w:tcW w:w="94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sz w:val="20"/>
              </w:rPr>
              <w:t>12</w:t>
            </w:r>
          </w:p>
        </w:tc>
        <w:tc>
          <w:tcPr>
            <w:tcW w:w="976" w:type="dxa"/>
            <w:tcBorders>
              <w:top w:val="single" w:sz="8" w:space="0" w:color="000000"/>
              <w:left w:val="single" w:sz="8" w:space="0" w:color="000000"/>
              <w:bottom w:val="single" w:sz="17" w:space="0" w:color="000000"/>
              <w:right w:val="single" w:sz="8" w:space="0" w:color="000000"/>
            </w:tcBorders>
          </w:tcPr>
          <w:p>
            <w:pPr>
              <w:pStyle w:val="TableParagraph"/>
              <w:spacing w:line="265"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8.70</w:t>
            </w:r>
            <w:r>
              <w:rPr>
                <w:rFonts w:ascii="宋体" w:hAnsi="宋体" w:cs="宋体" w:eastAsia="宋体" w:hint="default"/>
                <w:sz w:val="20"/>
                <w:szCs w:val="20"/>
              </w:rPr>
              <w:t>％</w:t>
            </w:r>
          </w:p>
        </w:tc>
        <w:tc>
          <w:tcPr>
            <w:tcW w:w="92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Times New Roman"/>
                <w:w w:val="100"/>
                <w:sz w:val="20"/>
              </w:rPr>
              <w:t>5</w:t>
            </w:r>
          </w:p>
        </w:tc>
        <w:tc>
          <w:tcPr>
            <w:tcW w:w="976" w:type="dxa"/>
            <w:tcBorders>
              <w:top w:val="single" w:sz="8" w:space="0" w:color="000000"/>
              <w:left w:val="single" w:sz="8" w:space="0" w:color="000000"/>
              <w:bottom w:val="single" w:sz="17" w:space="0" w:color="000000"/>
              <w:right w:val="single" w:sz="8" w:space="0" w:color="000000"/>
            </w:tcBorders>
          </w:tcPr>
          <w:p>
            <w:pPr>
              <w:pStyle w:val="TableParagraph"/>
              <w:spacing w:line="265"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5.05</w:t>
            </w:r>
            <w:r>
              <w:rPr>
                <w:rFonts w:ascii="宋体" w:hAnsi="宋体" w:cs="宋体" w:eastAsia="宋体" w:hint="default"/>
                <w:sz w:val="20"/>
                <w:szCs w:val="20"/>
              </w:rPr>
              <w:t>％</w:t>
            </w:r>
          </w:p>
        </w:tc>
        <w:tc>
          <w:tcPr>
            <w:tcW w:w="93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1"/>
              <w:jc w:val="center"/>
              <w:rPr>
                <w:rFonts w:ascii="Times New Roman" w:hAnsi="Times New Roman" w:cs="Times New Roman" w:eastAsia="Times New Roman" w:hint="default"/>
                <w:sz w:val="20"/>
                <w:szCs w:val="20"/>
              </w:rPr>
            </w:pPr>
            <w:r>
              <w:rPr>
                <w:rFonts w:ascii="Times New Roman"/>
                <w:w w:val="100"/>
                <w:sz w:val="20"/>
              </w:rPr>
              <w:t>5</w:t>
            </w:r>
          </w:p>
        </w:tc>
        <w:tc>
          <w:tcPr>
            <w:tcW w:w="1292" w:type="dxa"/>
            <w:tcBorders>
              <w:top w:val="single" w:sz="8" w:space="0" w:color="000000"/>
              <w:left w:val="single" w:sz="8" w:space="0" w:color="000000"/>
              <w:bottom w:val="single" w:sz="17" w:space="0" w:color="000000"/>
              <w:right w:val="single" w:sz="8" w:space="0" w:color="000000"/>
            </w:tcBorders>
          </w:tcPr>
          <w:p>
            <w:pPr>
              <w:pStyle w:val="TableParagraph"/>
              <w:spacing w:line="265" w:lineRule="exact"/>
              <w:ind w:right="359"/>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5.75</w:t>
            </w:r>
            <w:r>
              <w:rPr>
                <w:rFonts w:ascii="宋体" w:hAnsi="宋体" w:cs="宋体" w:eastAsia="宋体" w:hint="default"/>
                <w:spacing w:val="-1"/>
                <w:sz w:val="20"/>
                <w:szCs w:val="20"/>
              </w:rPr>
              <w:t>％</w:t>
            </w:r>
          </w:p>
        </w:tc>
        <w:tc>
          <w:tcPr>
            <w:tcW w:w="95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5</w:t>
            </w:r>
          </w:p>
        </w:tc>
        <w:tc>
          <w:tcPr>
            <w:tcW w:w="973"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1"/>
              <w:ind w:right="187"/>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8.34</w:t>
            </w:r>
            <w:r>
              <w:rPr>
                <w:rFonts w:ascii="宋体" w:hAnsi="宋体" w:cs="宋体" w:eastAsia="宋体" w:hint="default"/>
                <w:spacing w:val="-1"/>
                <w:sz w:val="20"/>
                <w:szCs w:val="20"/>
              </w:rPr>
              <w:t>％</w:t>
            </w:r>
          </w:p>
        </w:tc>
      </w:tr>
      <w:tr>
        <w:trPr>
          <w:trHeight w:val="347" w:hRule="exact"/>
        </w:trPr>
        <w:tc>
          <w:tcPr>
            <w:tcW w:w="1276" w:type="dxa"/>
            <w:tcBorders>
              <w:top w:val="single" w:sz="17" w:space="0" w:color="000000"/>
              <w:left w:val="single" w:sz="17" w:space="0" w:color="000000"/>
              <w:bottom w:val="single" w:sz="17" w:space="0" w:color="000000"/>
              <w:right w:val="single" w:sz="8" w:space="0" w:color="000000"/>
            </w:tcBorders>
          </w:tcPr>
          <w:p>
            <w:pPr>
              <w:pStyle w:val="TableParagraph"/>
              <w:spacing w:line="240" w:lineRule="auto" w:before="3"/>
              <w:ind w:right="11"/>
              <w:jc w:val="center"/>
              <w:rPr>
                <w:rFonts w:ascii="宋体" w:hAnsi="宋体" w:cs="宋体" w:eastAsia="宋体" w:hint="default"/>
                <w:sz w:val="20"/>
                <w:szCs w:val="20"/>
              </w:rPr>
            </w:pPr>
            <w:r>
              <w:rPr>
                <w:rFonts w:ascii="宋体" w:hAnsi="宋体" w:cs="宋体" w:eastAsia="宋体" w:hint="default"/>
                <w:sz w:val="20"/>
                <w:szCs w:val="20"/>
              </w:rPr>
              <w:t>合计</w:t>
            </w:r>
          </w:p>
        </w:tc>
        <w:tc>
          <w:tcPr>
            <w:tcW w:w="946"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20"/>
                <w:szCs w:val="20"/>
              </w:rPr>
            </w:pPr>
            <w:r>
              <w:rPr>
                <w:rFonts w:ascii="Times New Roman"/>
                <w:sz w:val="20"/>
              </w:rPr>
              <w:t>138</w:t>
            </w:r>
          </w:p>
        </w:tc>
        <w:tc>
          <w:tcPr>
            <w:tcW w:w="976"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20"/>
                <w:szCs w:val="20"/>
              </w:rPr>
            </w:pPr>
            <w:r>
              <w:rPr>
                <w:rFonts w:ascii="Times New Roman"/>
                <w:sz w:val="20"/>
              </w:rPr>
              <w:t>100%</w:t>
            </w:r>
          </w:p>
        </w:tc>
        <w:tc>
          <w:tcPr>
            <w:tcW w:w="926"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99</w:t>
            </w:r>
          </w:p>
        </w:tc>
        <w:tc>
          <w:tcPr>
            <w:tcW w:w="976"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100%</w:t>
            </w:r>
          </w:p>
        </w:tc>
        <w:tc>
          <w:tcPr>
            <w:tcW w:w="930"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87</w:t>
            </w:r>
          </w:p>
        </w:tc>
        <w:tc>
          <w:tcPr>
            <w:tcW w:w="1292"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34"/>
              <w:ind w:right="400"/>
              <w:jc w:val="right"/>
              <w:rPr>
                <w:rFonts w:ascii="Times New Roman" w:hAnsi="Times New Roman" w:cs="Times New Roman" w:eastAsia="Times New Roman" w:hint="default"/>
                <w:sz w:val="20"/>
                <w:szCs w:val="20"/>
              </w:rPr>
            </w:pPr>
            <w:r>
              <w:rPr>
                <w:rFonts w:ascii="Times New Roman"/>
                <w:spacing w:val="-1"/>
                <w:sz w:val="20"/>
              </w:rPr>
              <w:t>100%</w:t>
            </w:r>
          </w:p>
        </w:tc>
        <w:tc>
          <w:tcPr>
            <w:tcW w:w="950"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34"/>
              <w:ind w:left="1" w:right="0"/>
              <w:jc w:val="center"/>
              <w:rPr>
                <w:rFonts w:ascii="Times New Roman" w:hAnsi="Times New Roman" w:cs="Times New Roman" w:eastAsia="Times New Roman" w:hint="default"/>
                <w:sz w:val="20"/>
                <w:szCs w:val="20"/>
              </w:rPr>
            </w:pPr>
            <w:r>
              <w:rPr>
                <w:rFonts w:ascii="Times New Roman"/>
                <w:sz w:val="20"/>
              </w:rPr>
              <w:t>60</w:t>
            </w:r>
          </w:p>
        </w:tc>
        <w:tc>
          <w:tcPr>
            <w:tcW w:w="973" w:type="dxa"/>
            <w:tcBorders>
              <w:top w:val="single" w:sz="17" w:space="0" w:color="000000"/>
              <w:left w:val="single" w:sz="8" w:space="0" w:color="000000"/>
              <w:bottom w:val="single" w:sz="17" w:space="0" w:color="000000"/>
              <w:right w:val="single" w:sz="17" w:space="0" w:color="000000"/>
            </w:tcBorders>
          </w:tcPr>
          <w:p>
            <w:pPr>
              <w:pStyle w:val="TableParagraph"/>
              <w:spacing w:line="240" w:lineRule="auto" w:before="29"/>
              <w:ind w:right="217"/>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58" w:lineRule="exact" w:before="0"/>
        <w:ind w:left="722" w:right="2202" w:firstLine="0"/>
        <w:jc w:val="left"/>
        <w:rPr>
          <w:rFonts w:ascii="宋体" w:hAnsi="宋体" w:cs="宋体" w:eastAsia="宋体" w:hint="default"/>
          <w:sz w:val="21"/>
          <w:szCs w:val="21"/>
        </w:rPr>
      </w:pPr>
      <w:r>
        <w:rPr>
          <w:rFonts w:ascii="宋体" w:hAnsi="宋体" w:cs="宋体" w:eastAsia="宋体" w:hint="default"/>
          <w:sz w:val="24"/>
          <w:szCs w:val="24"/>
        </w:rPr>
        <w:t>﹡</w:t>
      </w:r>
      <w:r>
        <w:rPr>
          <w:rFonts w:ascii="宋体" w:hAnsi="宋体" w:cs="宋体" w:eastAsia="宋体" w:hint="default"/>
          <w:sz w:val="21"/>
          <w:szCs w:val="21"/>
        </w:rPr>
        <w:t>由于香港、日本地区连锁店类型较为特殊，类型分布情况未列示。</w:t>
      </w:r>
    </w:p>
    <w:p>
      <w:pPr>
        <w:spacing w:after="0" w:line="258" w:lineRule="exact"/>
        <w:jc w:val="left"/>
        <w:rPr>
          <w:rFonts w:ascii="宋体" w:hAnsi="宋体" w:cs="宋体" w:eastAsia="宋体" w:hint="default"/>
          <w:sz w:val="21"/>
          <w:szCs w:val="21"/>
        </w:rPr>
        <w:sectPr>
          <w:pgSz w:w="11910" w:h="16840"/>
          <w:pgMar w:header="748" w:footer="714" w:top="980" w:bottom="900" w:left="1200" w:right="1180"/>
        </w:sectPr>
      </w:pPr>
    </w:p>
    <w:p>
      <w:pPr>
        <w:spacing w:line="240" w:lineRule="auto" w:before="7"/>
        <w:rPr>
          <w:rFonts w:ascii="宋体" w:hAnsi="宋体" w:cs="宋体" w:eastAsia="宋体" w:hint="default"/>
          <w:sz w:val="29"/>
          <w:szCs w:val="29"/>
        </w:rPr>
      </w:pPr>
      <w:r>
        <w:rPr/>
        <w:pict>
          <v:group style="position:absolute;margin-left:67.680pt;margin-top:248.399994pt;width:57.9pt;height:42.5pt;mso-position-horizontal-relative:page;mso-position-vertical-relative:page;z-index:-1004920" coordorigin="1354,4968" coordsize="1158,850">
            <v:shape style="position:absolute;left:1354;top:4968;width:1158;height:850" coordorigin="1354,4968" coordsize="1158,850" path="m1354,4968l2512,5818e" filled="false" stroked="true" strokeweight=".48pt" strokecolor="#000000">
              <v:path arrowok="t"/>
            </v:shape>
            <w10:wrap type="none"/>
          </v:group>
        </w:pict>
      </w:r>
    </w:p>
    <w:p>
      <w:pPr>
        <w:tabs>
          <w:tab w:pos="1239" w:val="left" w:leader="none"/>
          <w:tab w:pos="7705" w:val="left" w:leader="none"/>
        </w:tabs>
        <w:spacing w:before="26"/>
        <w:ind w:left="822" w:right="0" w:firstLine="0"/>
        <w:jc w:val="left"/>
        <w:rPr>
          <w:rFonts w:ascii="宋体" w:hAnsi="宋体" w:cs="宋体" w:eastAsia="宋体" w:hint="default"/>
          <w:sz w:val="21"/>
          <w:szCs w:val="21"/>
        </w:rPr>
      </w:pPr>
      <w:r>
        <w:rPr/>
        <w:pict>
          <v:group style="position:absolute;margin-left:67.680pt;margin-top:28.935932pt;width:57.9pt;height:30.75pt;mso-position-horizontal-relative:page;mso-position-vertical-relative:paragraph;z-index:-1004944" coordorigin="1354,579" coordsize="1158,615">
            <v:shape style="position:absolute;left:1354;top:579;width:1158;height:615" coordorigin="1354,579" coordsize="1158,615" path="m1354,579l2512,1193e" filled="false" stroked="true" strokeweight=".48pt" strokecolor="#000000">
              <v:path arrowok="t"/>
            </v:shape>
            <w10:wrap type="none"/>
          </v:group>
        </w:pict>
      </w:r>
      <w:r>
        <w:rPr>
          <w:rFonts w:ascii="Wingdings" w:hAnsi="Wingdings" w:cs="Wingdings" w:eastAsia="Wingdings" w:hint="default"/>
          <w:sz w:val="24"/>
          <w:szCs w:val="24"/>
        </w:rPr>
        <w:t></w:t>
      </w:r>
      <w:r>
        <w:rPr>
          <w:rFonts w:ascii="Times New Roman" w:hAnsi="Times New Roman" w:cs="Times New Roman" w:eastAsia="Times New Roman" w:hint="default"/>
          <w:sz w:val="24"/>
          <w:szCs w:val="24"/>
        </w:rPr>
        <w:tab/>
      </w:r>
      <w:r>
        <w:rPr>
          <w:rFonts w:ascii="宋体" w:hAnsi="宋体" w:cs="宋体" w:eastAsia="宋体" w:hint="default"/>
          <w:sz w:val="24"/>
          <w:szCs w:val="24"/>
        </w:rPr>
        <w:t>重点城市店面类型分布：</w:t>
        <w:tab/>
      </w: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家）</w:t>
      </w:r>
    </w:p>
    <w:p>
      <w:pPr>
        <w:spacing w:line="240" w:lineRule="auto" w:before="6"/>
        <w:rPr>
          <w:rFonts w:ascii="宋体" w:hAnsi="宋体" w:cs="宋体" w:eastAsia="宋体" w:hint="default"/>
          <w:sz w:val="13"/>
          <w:szCs w:val="13"/>
        </w:rPr>
      </w:pPr>
    </w:p>
    <w:tbl>
      <w:tblPr>
        <w:tblW w:w="0" w:type="auto"/>
        <w:jc w:val="left"/>
        <w:tblInd w:w="210" w:type="dxa"/>
        <w:tblLayout w:type="fixed"/>
        <w:tblCellMar>
          <w:top w:w="0" w:type="dxa"/>
          <w:left w:w="0" w:type="dxa"/>
          <w:bottom w:w="0" w:type="dxa"/>
          <w:right w:w="0" w:type="dxa"/>
        </w:tblCellMar>
        <w:tblLook w:val="01E0"/>
      </w:tblPr>
      <w:tblGrid>
        <w:gridCol w:w="1189"/>
        <w:gridCol w:w="616"/>
        <w:gridCol w:w="964"/>
        <w:gridCol w:w="715"/>
        <w:gridCol w:w="962"/>
        <w:gridCol w:w="682"/>
        <w:gridCol w:w="860"/>
        <w:gridCol w:w="676"/>
        <w:gridCol w:w="962"/>
        <w:gridCol w:w="734"/>
        <w:gridCol w:w="833"/>
      </w:tblGrid>
      <w:tr>
        <w:trPr>
          <w:trHeight w:val="348" w:hRule="exact"/>
        </w:trPr>
        <w:tc>
          <w:tcPr>
            <w:tcW w:w="1189" w:type="dxa"/>
            <w:vMerge w:val="restart"/>
            <w:tcBorders>
              <w:top w:val="single" w:sz="17" w:space="0" w:color="000000"/>
              <w:left w:val="single" w:sz="17" w:space="0" w:color="000000"/>
              <w:right w:val="single" w:sz="8" w:space="0" w:color="000000"/>
            </w:tcBorders>
          </w:tcPr>
          <w:p>
            <w:pPr>
              <w:pStyle w:val="TableParagraph"/>
              <w:spacing w:line="256" w:lineRule="auto" w:before="19"/>
              <w:ind w:left="86" w:right="269" w:firstLine="40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w w:val="100"/>
                <w:sz w:val="20"/>
                <w:szCs w:val="20"/>
              </w:rPr>
              <w:t> </w:t>
            </w:r>
            <w:r>
              <w:rPr>
                <w:rFonts w:ascii="宋体" w:hAnsi="宋体" w:cs="宋体" w:eastAsia="宋体" w:hint="default"/>
                <w:sz w:val="20"/>
                <w:szCs w:val="20"/>
              </w:rPr>
              <w:t>类型</w:t>
            </w:r>
          </w:p>
        </w:tc>
        <w:tc>
          <w:tcPr>
            <w:tcW w:w="1579"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上海</w:t>
            </w:r>
          </w:p>
        </w:tc>
        <w:tc>
          <w:tcPr>
            <w:tcW w:w="1678"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北京</w:t>
            </w:r>
          </w:p>
        </w:tc>
        <w:tc>
          <w:tcPr>
            <w:tcW w:w="1542"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28"/>
              <w:ind w:right="1"/>
              <w:jc w:val="center"/>
              <w:rPr>
                <w:rFonts w:ascii="宋体" w:hAnsi="宋体" w:cs="宋体" w:eastAsia="宋体" w:hint="default"/>
                <w:sz w:val="20"/>
                <w:szCs w:val="20"/>
              </w:rPr>
            </w:pPr>
            <w:r>
              <w:rPr>
                <w:rFonts w:ascii="宋体" w:hAnsi="宋体" w:cs="宋体" w:eastAsia="宋体" w:hint="default"/>
                <w:sz w:val="20"/>
                <w:szCs w:val="20"/>
              </w:rPr>
              <w:t>广州</w:t>
            </w:r>
          </w:p>
        </w:tc>
        <w:tc>
          <w:tcPr>
            <w:tcW w:w="1638"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28"/>
              <w:ind w:right="1"/>
              <w:jc w:val="center"/>
              <w:rPr>
                <w:rFonts w:ascii="宋体" w:hAnsi="宋体" w:cs="宋体" w:eastAsia="宋体" w:hint="default"/>
                <w:sz w:val="20"/>
                <w:szCs w:val="20"/>
              </w:rPr>
            </w:pPr>
            <w:r>
              <w:rPr>
                <w:rFonts w:ascii="宋体" w:hAnsi="宋体" w:cs="宋体" w:eastAsia="宋体" w:hint="default"/>
                <w:sz w:val="20"/>
                <w:szCs w:val="20"/>
              </w:rPr>
              <w:t>深圳</w:t>
            </w:r>
          </w:p>
        </w:tc>
        <w:tc>
          <w:tcPr>
            <w:tcW w:w="1567" w:type="dxa"/>
            <w:gridSpan w:val="2"/>
            <w:tcBorders>
              <w:top w:val="single" w:sz="17" w:space="0" w:color="000000"/>
              <w:left w:val="single" w:sz="8" w:space="0" w:color="000000"/>
              <w:bottom w:val="single" w:sz="8" w:space="0" w:color="000000"/>
              <w:right w:val="single" w:sz="17" w:space="0" w:color="000000"/>
            </w:tcBorders>
          </w:tcPr>
          <w:p>
            <w:pPr>
              <w:pStyle w:val="TableParagraph"/>
              <w:spacing w:line="240" w:lineRule="auto" w:before="28"/>
              <w:ind w:left="11" w:right="0"/>
              <w:jc w:val="center"/>
              <w:rPr>
                <w:rFonts w:ascii="宋体" w:hAnsi="宋体" w:cs="宋体" w:eastAsia="宋体" w:hint="default"/>
                <w:sz w:val="20"/>
                <w:szCs w:val="20"/>
              </w:rPr>
            </w:pPr>
            <w:r>
              <w:rPr>
                <w:rFonts w:ascii="宋体" w:hAnsi="宋体" w:cs="宋体" w:eastAsia="宋体" w:hint="default"/>
                <w:sz w:val="20"/>
                <w:szCs w:val="20"/>
              </w:rPr>
              <w:t>天津</w:t>
            </w:r>
          </w:p>
        </w:tc>
      </w:tr>
      <w:tr>
        <w:trPr>
          <w:trHeight w:val="344" w:hRule="exact"/>
        </w:trPr>
        <w:tc>
          <w:tcPr>
            <w:tcW w:w="1189" w:type="dxa"/>
            <w:vMerge/>
            <w:tcBorders>
              <w:left w:val="single" w:sz="17" w:space="0" w:color="000000"/>
              <w:bottom w:val="single" w:sz="8" w:space="0" w:color="000000"/>
              <w:right w:val="single" w:sz="8" w:space="0" w:color="000000"/>
            </w:tcBorders>
          </w:tcPr>
          <w:p>
            <w:pPr/>
          </w:p>
        </w:tc>
        <w:tc>
          <w:tcPr>
            <w:tcW w:w="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1"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占比</w:t>
            </w:r>
          </w:p>
        </w:tc>
        <w:tc>
          <w:tcPr>
            <w:tcW w:w="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占比</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18"/>
              <w:jc w:val="right"/>
              <w:rPr>
                <w:rFonts w:ascii="宋体" w:hAnsi="宋体" w:cs="宋体" w:eastAsia="宋体" w:hint="default"/>
                <w:sz w:val="20"/>
                <w:szCs w:val="20"/>
              </w:rPr>
            </w:pPr>
            <w:r>
              <w:rPr>
                <w:rFonts w:ascii="宋体" w:hAnsi="宋体" w:cs="宋体" w:eastAsia="宋体" w:hint="default"/>
                <w:sz w:val="20"/>
                <w:szCs w:val="20"/>
              </w:rPr>
              <w:t>占比</w:t>
            </w:r>
          </w:p>
        </w:tc>
        <w:tc>
          <w:tcPr>
            <w:tcW w:w="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center"/>
              <w:rPr>
                <w:rFonts w:ascii="宋体" w:hAnsi="宋体" w:cs="宋体" w:eastAsia="宋体" w:hint="default"/>
                <w:sz w:val="20"/>
                <w:szCs w:val="20"/>
              </w:rPr>
            </w:pPr>
            <w:r>
              <w:rPr>
                <w:rFonts w:ascii="宋体" w:hAnsi="宋体" w:cs="宋体" w:eastAsia="宋体" w:hint="default"/>
                <w:sz w:val="20"/>
                <w:szCs w:val="20"/>
              </w:rPr>
              <w:t>数量</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占比</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833"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7"/>
              <w:ind w:left="11" w:right="0"/>
              <w:jc w:val="center"/>
              <w:rPr>
                <w:rFonts w:ascii="宋体" w:hAnsi="宋体" w:cs="宋体" w:eastAsia="宋体" w:hint="default"/>
                <w:sz w:val="20"/>
                <w:szCs w:val="20"/>
              </w:rPr>
            </w:pPr>
            <w:r>
              <w:rPr>
                <w:rFonts w:ascii="宋体" w:hAnsi="宋体" w:cs="宋体" w:eastAsia="宋体" w:hint="default"/>
                <w:sz w:val="20"/>
                <w:szCs w:val="20"/>
              </w:rPr>
              <w:t>占比</w:t>
            </w:r>
          </w:p>
        </w:tc>
      </w:tr>
      <w:tr>
        <w:trPr>
          <w:trHeight w:val="320" w:hRule="exact"/>
        </w:trPr>
        <w:tc>
          <w:tcPr>
            <w:tcW w:w="1189"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旗舰店</w:t>
            </w:r>
          </w:p>
        </w:tc>
        <w:tc>
          <w:tcPr>
            <w:tcW w:w="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25</w:t>
            </w:r>
          </w:p>
        </w:tc>
        <w:tc>
          <w:tcPr>
            <w:tcW w:w="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34.25%</w:t>
            </w:r>
          </w:p>
        </w:tc>
        <w:tc>
          <w:tcPr>
            <w:tcW w:w="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23</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33.82%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8</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08"/>
              <w:jc w:val="right"/>
              <w:rPr>
                <w:rFonts w:ascii="Times New Roman" w:hAnsi="Times New Roman" w:cs="Times New Roman" w:eastAsia="Times New Roman" w:hint="default"/>
                <w:sz w:val="20"/>
                <w:szCs w:val="20"/>
              </w:rPr>
            </w:pPr>
            <w:r>
              <w:rPr>
                <w:rFonts w:ascii="Times New Roman"/>
                <w:spacing w:val="-1"/>
                <w:sz w:val="20"/>
              </w:rPr>
              <w:t>19.51%</w:t>
            </w:r>
          </w:p>
        </w:tc>
        <w:tc>
          <w:tcPr>
            <w:tcW w:w="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12</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30.00%</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9</w:t>
            </w:r>
          </w:p>
        </w:tc>
        <w:tc>
          <w:tcPr>
            <w:tcW w:w="833"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8"/>
              <w:ind w:left="14" w:right="0"/>
              <w:jc w:val="center"/>
              <w:rPr>
                <w:rFonts w:ascii="Times New Roman" w:hAnsi="Times New Roman" w:cs="Times New Roman" w:eastAsia="Times New Roman" w:hint="default"/>
                <w:sz w:val="20"/>
                <w:szCs w:val="20"/>
              </w:rPr>
            </w:pPr>
            <w:r>
              <w:rPr>
                <w:rFonts w:ascii="Times New Roman"/>
                <w:sz w:val="20"/>
              </w:rPr>
              <w:t>28.12%</w:t>
            </w:r>
          </w:p>
        </w:tc>
      </w:tr>
      <w:tr>
        <w:trPr>
          <w:trHeight w:val="320" w:hRule="exact"/>
        </w:trPr>
        <w:tc>
          <w:tcPr>
            <w:tcW w:w="1189"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中心店</w:t>
            </w:r>
          </w:p>
        </w:tc>
        <w:tc>
          <w:tcPr>
            <w:tcW w:w="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38</w:t>
            </w:r>
          </w:p>
        </w:tc>
        <w:tc>
          <w:tcPr>
            <w:tcW w:w="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52.05%</w:t>
            </w:r>
          </w:p>
        </w:tc>
        <w:tc>
          <w:tcPr>
            <w:tcW w:w="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23</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33.82%</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16</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08"/>
              <w:jc w:val="right"/>
              <w:rPr>
                <w:rFonts w:ascii="Times New Roman" w:hAnsi="Times New Roman" w:cs="Times New Roman" w:eastAsia="Times New Roman" w:hint="default"/>
                <w:sz w:val="20"/>
                <w:szCs w:val="20"/>
              </w:rPr>
            </w:pPr>
            <w:r>
              <w:rPr>
                <w:rFonts w:ascii="Times New Roman"/>
                <w:spacing w:val="-1"/>
                <w:sz w:val="20"/>
              </w:rPr>
              <w:t>39.02%</w:t>
            </w:r>
          </w:p>
        </w:tc>
        <w:tc>
          <w:tcPr>
            <w:tcW w:w="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10</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25.00%</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pacing w:val="-4"/>
                <w:sz w:val="20"/>
              </w:rPr>
              <w:t>11</w:t>
            </w:r>
          </w:p>
        </w:tc>
        <w:tc>
          <w:tcPr>
            <w:tcW w:w="833"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8"/>
              <w:ind w:left="14" w:right="0"/>
              <w:jc w:val="center"/>
              <w:rPr>
                <w:rFonts w:ascii="Times New Roman" w:hAnsi="Times New Roman" w:cs="Times New Roman" w:eastAsia="Times New Roman" w:hint="default"/>
                <w:sz w:val="20"/>
                <w:szCs w:val="20"/>
              </w:rPr>
            </w:pPr>
            <w:r>
              <w:rPr>
                <w:rFonts w:ascii="Times New Roman"/>
                <w:sz w:val="20"/>
              </w:rPr>
              <w:t>34.37%</w:t>
            </w:r>
          </w:p>
        </w:tc>
      </w:tr>
      <w:tr>
        <w:trPr>
          <w:trHeight w:val="319" w:hRule="exact"/>
        </w:trPr>
        <w:tc>
          <w:tcPr>
            <w:tcW w:w="1189"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社区店</w:t>
            </w:r>
          </w:p>
        </w:tc>
        <w:tc>
          <w:tcPr>
            <w:tcW w:w="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9</w:t>
            </w:r>
          </w:p>
        </w:tc>
        <w:tc>
          <w:tcPr>
            <w:tcW w:w="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12.33%</w:t>
            </w:r>
          </w:p>
        </w:tc>
        <w:tc>
          <w:tcPr>
            <w:tcW w:w="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16</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23.54%</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17</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08"/>
              <w:jc w:val="right"/>
              <w:rPr>
                <w:rFonts w:ascii="Times New Roman" w:hAnsi="Times New Roman" w:cs="Times New Roman" w:eastAsia="Times New Roman" w:hint="default"/>
                <w:sz w:val="20"/>
                <w:szCs w:val="20"/>
              </w:rPr>
            </w:pPr>
            <w:r>
              <w:rPr>
                <w:rFonts w:ascii="Times New Roman"/>
                <w:spacing w:val="-1"/>
                <w:sz w:val="20"/>
              </w:rPr>
              <w:t>41.47%</w:t>
            </w:r>
          </w:p>
        </w:tc>
        <w:tc>
          <w:tcPr>
            <w:tcW w:w="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14</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35.00%</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pacing w:val="-4"/>
                <w:sz w:val="20"/>
              </w:rPr>
              <w:t>11</w:t>
            </w:r>
          </w:p>
        </w:tc>
        <w:tc>
          <w:tcPr>
            <w:tcW w:w="833"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8"/>
              <w:ind w:left="14" w:right="0"/>
              <w:jc w:val="center"/>
              <w:rPr>
                <w:rFonts w:ascii="Times New Roman" w:hAnsi="Times New Roman" w:cs="Times New Roman" w:eastAsia="Times New Roman" w:hint="default"/>
                <w:sz w:val="20"/>
                <w:szCs w:val="20"/>
              </w:rPr>
            </w:pPr>
            <w:r>
              <w:rPr>
                <w:rFonts w:ascii="Times New Roman"/>
                <w:sz w:val="20"/>
              </w:rPr>
              <w:t>34.37%</w:t>
            </w:r>
          </w:p>
        </w:tc>
      </w:tr>
      <w:tr>
        <w:trPr>
          <w:trHeight w:val="320" w:hRule="exact"/>
        </w:trPr>
        <w:tc>
          <w:tcPr>
            <w:tcW w:w="1189"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精品店</w:t>
            </w:r>
          </w:p>
        </w:tc>
        <w:tc>
          <w:tcPr>
            <w:tcW w:w="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1</w:t>
            </w:r>
          </w:p>
        </w:tc>
        <w:tc>
          <w:tcPr>
            <w:tcW w:w="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1.37%</w:t>
            </w:r>
          </w:p>
        </w:tc>
        <w:tc>
          <w:tcPr>
            <w:tcW w:w="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5</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7.35%</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w:t>
            </w:r>
          </w:p>
        </w:tc>
        <w:tc>
          <w:tcPr>
            <w:tcW w:w="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4</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10.00%</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w:t>
            </w:r>
          </w:p>
        </w:tc>
        <w:tc>
          <w:tcPr>
            <w:tcW w:w="833"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8"/>
              <w:ind w:left="12" w:right="0"/>
              <w:jc w:val="center"/>
              <w:rPr>
                <w:rFonts w:ascii="Times New Roman" w:hAnsi="Times New Roman" w:cs="Times New Roman" w:eastAsia="Times New Roman" w:hint="default"/>
                <w:sz w:val="20"/>
                <w:szCs w:val="20"/>
              </w:rPr>
            </w:pPr>
            <w:r>
              <w:rPr>
                <w:rFonts w:ascii="Times New Roman"/>
                <w:w w:val="100"/>
                <w:sz w:val="20"/>
              </w:rPr>
              <w:t>-</w:t>
            </w:r>
          </w:p>
        </w:tc>
      </w:tr>
      <w:tr>
        <w:trPr>
          <w:trHeight w:val="320" w:hRule="exact"/>
        </w:trPr>
        <w:tc>
          <w:tcPr>
            <w:tcW w:w="1189"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县镇店</w:t>
            </w:r>
          </w:p>
        </w:tc>
        <w:tc>
          <w:tcPr>
            <w:tcW w:w="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w:t>
            </w:r>
          </w:p>
        </w:tc>
        <w:tc>
          <w:tcPr>
            <w:tcW w:w="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w:t>
            </w:r>
          </w:p>
        </w:tc>
        <w:tc>
          <w:tcPr>
            <w:tcW w:w="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1</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1.47%</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w:t>
            </w:r>
          </w:p>
        </w:tc>
        <w:tc>
          <w:tcPr>
            <w:tcW w:w="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1</w:t>
            </w:r>
          </w:p>
        </w:tc>
        <w:tc>
          <w:tcPr>
            <w:tcW w:w="833"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8"/>
              <w:ind w:left="11" w:right="0"/>
              <w:jc w:val="center"/>
              <w:rPr>
                <w:rFonts w:ascii="Times New Roman" w:hAnsi="Times New Roman" w:cs="Times New Roman" w:eastAsia="Times New Roman" w:hint="default"/>
                <w:sz w:val="20"/>
                <w:szCs w:val="20"/>
              </w:rPr>
            </w:pPr>
            <w:r>
              <w:rPr>
                <w:rFonts w:ascii="Times New Roman"/>
                <w:sz w:val="20"/>
              </w:rPr>
              <w:t>3.14%</w:t>
            </w:r>
          </w:p>
        </w:tc>
      </w:tr>
      <w:tr>
        <w:trPr>
          <w:trHeight w:val="331" w:hRule="exact"/>
        </w:trPr>
        <w:tc>
          <w:tcPr>
            <w:tcW w:w="1189" w:type="dxa"/>
            <w:tcBorders>
              <w:top w:val="single" w:sz="8" w:space="0" w:color="000000"/>
              <w:left w:val="single" w:sz="17" w:space="0" w:color="000000"/>
              <w:bottom w:val="single" w:sz="17"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61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73</w:t>
            </w:r>
          </w:p>
        </w:tc>
        <w:tc>
          <w:tcPr>
            <w:tcW w:w="96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100%</w:t>
            </w:r>
          </w:p>
        </w:tc>
        <w:tc>
          <w:tcPr>
            <w:tcW w:w="715"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68</w:t>
            </w:r>
          </w:p>
        </w:tc>
        <w:tc>
          <w:tcPr>
            <w:tcW w:w="96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100%</w:t>
            </w:r>
          </w:p>
        </w:tc>
        <w:tc>
          <w:tcPr>
            <w:tcW w:w="68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41</w:t>
            </w:r>
          </w:p>
        </w:tc>
        <w:tc>
          <w:tcPr>
            <w:tcW w:w="86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9"/>
              <w:ind w:right="172"/>
              <w:jc w:val="right"/>
              <w:rPr>
                <w:rFonts w:ascii="Times New Roman" w:hAnsi="Times New Roman" w:cs="Times New Roman" w:eastAsia="Times New Roman" w:hint="default"/>
                <w:sz w:val="21"/>
                <w:szCs w:val="21"/>
              </w:rPr>
            </w:pPr>
            <w:r>
              <w:rPr>
                <w:rFonts w:ascii="Times New Roman"/>
                <w:spacing w:val="-1"/>
                <w:sz w:val="21"/>
              </w:rPr>
              <w:t>100%</w:t>
            </w:r>
          </w:p>
        </w:tc>
        <w:tc>
          <w:tcPr>
            <w:tcW w:w="67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40</w:t>
            </w:r>
          </w:p>
        </w:tc>
        <w:tc>
          <w:tcPr>
            <w:tcW w:w="96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100%</w:t>
            </w:r>
          </w:p>
        </w:tc>
        <w:tc>
          <w:tcPr>
            <w:tcW w:w="73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32</w:t>
            </w:r>
          </w:p>
        </w:tc>
        <w:tc>
          <w:tcPr>
            <w:tcW w:w="833"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48"/>
              <w:ind w:left="13" w:right="0"/>
              <w:jc w:val="center"/>
              <w:rPr>
                <w:rFonts w:ascii="Times New Roman" w:hAnsi="Times New Roman" w:cs="Times New Roman" w:eastAsia="Times New Roman" w:hint="default"/>
                <w:sz w:val="20"/>
                <w:szCs w:val="20"/>
              </w:rPr>
            </w:pPr>
            <w:r>
              <w:rPr>
                <w:rFonts w:ascii="Times New Roman"/>
                <w:sz w:val="20"/>
              </w:rPr>
              <w:t>100%</w:t>
            </w:r>
          </w:p>
        </w:tc>
      </w:tr>
    </w:tbl>
    <w:p>
      <w:pPr>
        <w:spacing w:line="240" w:lineRule="auto" w:before="7"/>
        <w:rPr>
          <w:rFonts w:ascii="宋体" w:hAnsi="宋体" w:cs="宋体" w:eastAsia="宋体" w:hint="default"/>
          <w:sz w:val="26"/>
          <w:szCs w:val="26"/>
        </w:rPr>
      </w:pPr>
    </w:p>
    <w:tbl>
      <w:tblPr>
        <w:tblW w:w="0" w:type="auto"/>
        <w:jc w:val="left"/>
        <w:tblInd w:w="210" w:type="dxa"/>
        <w:tblLayout w:type="fixed"/>
        <w:tblCellMar>
          <w:top w:w="0" w:type="dxa"/>
          <w:left w:w="0" w:type="dxa"/>
          <w:bottom w:w="0" w:type="dxa"/>
          <w:right w:w="0" w:type="dxa"/>
        </w:tblCellMar>
        <w:tblLook w:val="01E0"/>
      </w:tblPr>
      <w:tblGrid>
        <w:gridCol w:w="1189"/>
        <w:gridCol w:w="616"/>
        <w:gridCol w:w="964"/>
        <w:gridCol w:w="715"/>
        <w:gridCol w:w="962"/>
        <w:gridCol w:w="682"/>
        <w:gridCol w:w="860"/>
        <w:gridCol w:w="676"/>
        <w:gridCol w:w="962"/>
        <w:gridCol w:w="607"/>
        <w:gridCol w:w="960"/>
      </w:tblGrid>
      <w:tr>
        <w:trPr>
          <w:trHeight w:val="348" w:hRule="exact"/>
        </w:trPr>
        <w:tc>
          <w:tcPr>
            <w:tcW w:w="1189" w:type="dxa"/>
            <w:vMerge w:val="restart"/>
            <w:tcBorders>
              <w:top w:val="single" w:sz="17" w:space="0" w:color="000000"/>
              <w:left w:val="single" w:sz="17" w:space="0" w:color="000000"/>
              <w:right w:val="single" w:sz="8" w:space="0" w:color="000000"/>
            </w:tcBorders>
          </w:tcPr>
          <w:p>
            <w:pPr>
              <w:pStyle w:val="TableParagraph"/>
              <w:spacing w:line="256" w:lineRule="auto" w:before="137"/>
              <w:ind w:left="86" w:right="269" w:firstLine="40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w w:val="100"/>
                <w:sz w:val="20"/>
                <w:szCs w:val="20"/>
              </w:rPr>
              <w:t> </w:t>
            </w:r>
            <w:r>
              <w:rPr>
                <w:rFonts w:ascii="宋体" w:hAnsi="宋体" w:cs="宋体" w:eastAsia="宋体" w:hint="default"/>
                <w:sz w:val="20"/>
                <w:szCs w:val="20"/>
              </w:rPr>
              <w:t>类型</w:t>
            </w:r>
          </w:p>
        </w:tc>
        <w:tc>
          <w:tcPr>
            <w:tcW w:w="1579"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重庆</w:t>
            </w:r>
          </w:p>
        </w:tc>
        <w:tc>
          <w:tcPr>
            <w:tcW w:w="1678"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南京</w:t>
            </w:r>
          </w:p>
        </w:tc>
        <w:tc>
          <w:tcPr>
            <w:tcW w:w="1542"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sz w:val="20"/>
                <w:szCs w:val="20"/>
              </w:rPr>
              <w:t>杭州</w:t>
            </w:r>
          </w:p>
        </w:tc>
        <w:tc>
          <w:tcPr>
            <w:tcW w:w="1638"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sz w:val="20"/>
                <w:szCs w:val="20"/>
              </w:rPr>
              <w:t>成都</w:t>
            </w:r>
          </w:p>
        </w:tc>
        <w:tc>
          <w:tcPr>
            <w:tcW w:w="1567" w:type="dxa"/>
            <w:gridSpan w:val="2"/>
            <w:tcBorders>
              <w:top w:val="single" w:sz="17" w:space="0" w:color="000000"/>
              <w:left w:val="single" w:sz="8" w:space="0" w:color="000000"/>
              <w:bottom w:val="single" w:sz="8" w:space="0" w:color="000000"/>
              <w:right w:val="single" w:sz="17" w:space="0" w:color="000000"/>
            </w:tcBorders>
          </w:tcPr>
          <w:p>
            <w:pPr>
              <w:pStyle w:val="TableParagraph"/>
              <w:spacing w:line="240" w:lineRule="auto" w:before="10"/>
              <w:ind w:left="11" w:right="0"/>
              <w:jc w:val="center"/>
              <w:rPr>
                <w:rFonts w:ascii="宋体" w:hAnsi="宋体" w:cs="宋体" w:eastAsia="宋体" w:hint="default"/>
                <w:sz w:val="20"/>
                <w:szCs w:val="20"/>
              </w:rPr>
            </w:pPr>
            <w:r>
              <w:rPr>
                <w:rFonts w:ascii="宋体" w:hAnsi="宋体" w:cs="宋体" w:eastAsia="宋体" w:hint="default"/>
                <w:sz w:val="20"/>
                <w:szCs w:val="20"/>
              </w:rPr>
              <w:t>武汉</w:t>
            </w:r>
          </w:p>
        </w:tc>
      </w:tr>
      <w:tr>
        <w:trPr>
          <w:trHeight w:val="581" w:hRule="exact"/>
        </w:trPr>
        <w:tc>
          <w:tcPr>
            <w:tcW w:w="1189" w:type="dxa"/>
            <w:vMerge/>
            <w:tcBorders>
              <w:left w:val="single" w:sz="17" w:space="0" w:color="000000"/>
              <w:bottom w:val="single" w:sz="8" w:space="0" w:color="000000"/>
              <w:right w:val="single" w:sz="8" w:space="0" w:color="000000"/>
            </w:tcBorders>
          </w:tcPr>
          <w:p>
            <w:pPr/>
          </w:p>
        </w:tc>
        <w:tc>
          <w:tcPr>
            <w:tcW w:w="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1"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1"/>
              <w:jc w:val="center"/>
              <w:rPr>
                <w:rFonts w:ascii="宋体" w:hAnsi="宋体" w:cs="宋体" w:eastAsia="宋体" w:hint="default"/>
                <w:sz w:val="20"/>
                <w:szCs w:val="20"/>
              </w:rPr>
            </w:pPr>
            <w:r>
              <w:rPr>
                <w:rFonts w:ascii="宋体" w:hAnsi="宋体" w:cs="宋体" w:eastAsia="宋体" w:hint="default"/>
                <w:sz w:val="20"/>
                <w:szCs w:val="20"/>
              </w:rPr>
              <w:t>占比</w:t>
            </w:r>
          </w:p>
        </w:tc>
        <w:tc>
          <w:tcPr>
            <w:tcW w:w="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0"/>
              <w:jc w:val="center"/>
              <w:rPr>
                <w:rFonts w:ascii="宋体" w:hAnsi="宋体" w:cs="宋体" w:eastAsia="宋体" w:hint="default"/>
                <w:sz w:val="20"/>
                <w:szCs w:val="20"/>
              </w:rPr>
            </w:pPr>
            <w:r>
              <w:rPr>
                <w:rFonts w:ascii="宋体" w:hAnsi="宋体" w:cs="宋体" w:eastAsia="宋体" w:hint="default"/>
                <w:sz w:val="20"/>
                <w:szCs w:val="20"/>
              </w:rPr>
              <w:t>占比</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218"/>
              <w:jc w:val="right"/>
              <w:rPr>
                <w:rFonts w:ascii="宋体" w:hAnsi="宋体" w:cs="宋体" w:eastAsia="宋体" w:hint="default"/>
                <w:sz w:val="20"/>
                <w:szCs w:val="20"/>
              </w:rPr>
            </w:pPr>
            <w:r>
              <w:rPr>
                <w:rFonts w:ascii="宋体" w:hAnsi="宋体" w:cs="宋体" w:eastAsia="宋体" w:hint="default"/>
                <w:sz w:val="20"/>
                <w:szCs w:val="20"/>
              </w:rPr>
              <w:t>占比</w:t>
            </w:r>
          </w:p>
        </w:tc>
        <w:tc>
          <w:tcPr>
            <w:tcW w:w="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1"/>
              <w:jc w:val="center"/>
              <w:rPr>
                <w:rFonts w:ascii="宋体" w:hAnsi="宋体" w:cs="宋体" w:eastAsia="宋体" w:hint="default"/>
                <w:sz w:val="20"/>
                <w:szCs w:val="20"/>
              </w:rPr>
            </w:pPr>
            <w:r>
              <w:rPr>
                <w:rFonts w:ascii="宋体" w:hAnsi="宋体" w:cs="宋体" w:eastAsia="宋体" w:hint="default"/>
                <w:sz w:val="20"/>
                <w:szCs w:val="20"/>
              </w:rPr>
              <w:t>数量</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0"/>
              <w:jc w:val="center"/>
              <w:rPr>
                <w:rFonts w:ascii="宋体" w:hAnsi="宋体" w:cs="宋体" w:eastAsia="宋体" w:hint="default"/>
                <w:sz w:val="20"/>
                <w:szCs w:val="20"/>
              </w:rPr>
            </w:pPr>
            <w:r>
              <w:rPr>
                <w:rFonts w:ascii="宋体" w:hAnsi="宋体" w:cs="宋体" w:eastAsia="宋体" w:hint="default"/>
                <w:sz w:val="20"/>
                <w:szCs w:val="20"/>
              </w:rPr>
              <w:t>占比</w:t>
            </w:r>
          </w:p>
        </w:tc>
        <w:tc>
          <w:tcPr>
            <w:tcW w:w="607"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left="193" w:right="192"/>
              <w:jc w:val="left"/>
              <w:rPr>
                <w:rFonts w:ascii="宋体" w:hAnsi="宋体" w:cs="宋体" w:eastAsia="宋体" w:hint="default"/>
                <w:sz w:val="20"/>
                <w:szCs w:val="20"/>
              </w:rPr>
            </w:pPr>
            <w:r>
              <w:rPr>
                <w:rFonts w:ascii="宋体" w:hAnsi="宋体" w:cs="宋体" w:eastAsia="宋体" w:hint="default"/>
                <w:sz w:val="20"/>
                <w:szCs w:val="20"/>
              </w:rPr>
              <w:t>数</w:t>
            </w:r>
            <w:r>
              <w:rPr>
                <w:rFonts w:ascii="宋体" w:hAnsi="宋体" w:cs="宋体" w:eastAsia="宋体" w:hint="default"/>
                <w:w w:val="100"/>
                <w:sz w:val="20"/>
                <w:szCs w:val="20"/>
              </w:rPr>
              <w:t> </w:t>
            </w:r>
            <w:r>
              <w:rPr>
                <w:rFonts w:ascii="宋体" w:hAnsi="宋体" w:cs="宋体" w:eastAsia="宋体" w:hint="default"/>
                <w:sz w:val="20"/>
                <w:szCs w:val="20"/>
              </w:rPr>
              <w:t>量</w:t>
            </w:r>
          </w:p>
        </w:tc>
        <w:tc>
          <w:tcPr>
            <w:tcW w:w="960"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31"/>
              <w:ind w:left="11" w:right="0"/>
              <w:jc w:val="center"/>
              <w:rPr>
                <w:rFonts w:ascii="宋体" w:hAnsi="宋体" w:cs="宋体" w:eastAsia="宋体" w:hint="default"/>
                <w:sz w:val="20"/>
                <w:szCs w:val="20"/>
              </w:rPr>
            </w:pPr>
            <w:r>
              <w:rPr>
                <w:rFonts w:ascii="宋体" w:hAnsi="宋体" w:cs="宋体" w:eastAsia="宋体" w:hint="default"/>
                <w:sz w:val="20"/>
                <w:szCs w:val="20"/>
              </w:rPr>
              <w:t>占比</w:t>
            </w:r>
          </w:p>
        </w:tc>
      </w:tr>
      <w:tr>
        <w:trPr>
          <w:trHeight w:val="319" w:hRule="exact"/>
        </w:trPr>
        <w:tc>
          <w:tcPr>
            <w:tcW w:w="1189"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旗舰店</w:t>
            </w:r>
          </w:p>
        </w:tc>
        <w:tc>
          <w:tcPr>
            <w:tcW w:w="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6</w:t>
            </w:r>
          </w:p>
        </w:tc>
        <w:tc>
          <w:tcPr>
            <w:tcW w:w="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15.00%</w:t>
            </w:r>
          </w:p>
        </w:tc>
        <w:tc>
          <w:tcPr>
            <w:tcW w:w="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7</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21.87%</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9</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08"/>
              <w:jc w:val="right"/>
              <w:rPr>
                <w:rFonts w:ascii="Times New Roman" w:hAnsi="Times New Roman" w:cs="Times New Roman" w:eastAsia="Times New Roman" w:hint="default"/>
                <w:sz w:val="20"/>
                <w:szCs w:val="20"/>
              </w:rPr>
            </w:pPr>
            <w:r>
              <w:rPr>
                <w:rFonts w:ascii="Times New Roman"/>
                <w:spacing w:val="-1"/>
                <w:sz w:val="20"/>
              </w:rPr>
              <w:t>42.86%</w:t>
            </w:r>
          </w:p>
        </w:tc>
        <w:tc>
          <w:tcPr>
            <w:tcW w:w="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8</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42.10%</w:t>
            </w:r>
          </w:p>
        </w:tc>
        <w:tc>
          <w:tcPr>
            <w:tcW w:w="6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6</w:t>
            </w:r>
          </w:p>
        </w:tc>
        <w:tc>
          <w:tcPr>
            <w:tcW w:w="960"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8"/>
              <w:ind w:left="12" w:right="0"/>
              <w:jc w:val="center"/>
              <w:rPr>
                <w:rFonts w:ascii="Times New Roman" w:hAnsi="Times New Roman" w:cs="Times New Roman" w:eastAsia="Times New Roman" w:hint="default"/>
                <w:sz w:val="20"/>
                <w:szCs w:val="20"/>
              </w:rPr>
            </w:pPr>
            <w:r>
              <w:rPr>
                <w:rFonts w:ascii="Times New Roman"/>
                <w:sz w:val="20"/>
              </w:rPr>
              <w:t>33.33%</w:t>
            </w:r>
          </w:p>
        </w:tc>
      </w:tr>
      <w:tr>
        <w:trPr>
          <w:trHeight w:val="320" w:hRule="exact"/>
        </w:trPr>
        <w:tc>
          <w:tcPr>
            <w:tcW w:w="1189"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中心店</w:t>
            </w:r>
          </w:p>
        </w:tc>
        <w:tc>
          <w:tcPr>
            <w:tcW w:w="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pacing w:val="-4"/>
                <w:sz w:val="20"/>
              </w:rPr>
              <w:t>11</w:t>
            </w:r>
          </w:p>
        </w:tc>
        <w:tc>
          <w:tcPr>
            <w:tcW w:w="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27.50%</w:t>
            </w:r>
          </w:p>
        </w:tc>
        <w:tc>
          <w:tcPr>
            <w:tcW w:w="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13</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40.63%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8</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08"/>
              <w:jc w:val="right"/>
              <w:rPr>
                <w:rFonts w:ascii="Times New Roman" w:hAnsi="Times New Roman" w:cs="Times New Roman" w:eastAsia="Times New Roman" w:hint="default"/>
                <w:sz w:val="20"/>
                <w:szCs w:val="20"/>
              </w:rPr>
            </w:pPr>
            <w:r>
              <w:rPr>
                <w:rFonts w:ascii="Times New Roman"/>
                <w:spacing w:val="-1"/>
                <w:sz w:val="20"/>
              </w:rPr>
              <w:t>38.10%</w:t>
            </w:r>
          </w:p>
        </w:tc>
        <w:tc>
          <w:tcPr>
            <w:tcW w:w="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5</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26.32%</w:t>
            </w:r>
          </w:p>
        </w:tc>
        <w:tc>
          <w:tcPr>
            <w:tcW w:w="6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7</w:t>
            </w:r>
          </w:p>
        </w:tc>
        <w:tc>
          <w:tcPr>
            <w:tcW w:w="960"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8"/>
              <w:ind w:left="12" w:right="0"/>
              <w:jc w:val="center"/>
              <w:rPr>
                <w:rFonts w:ascii="Times New Roman" w:hAnsi="Times New Roman" w:cs="Times New Roman" w:eastAsia="Times New Roman" w:hint="default"/>
                <w:sz w:val="20"/>
                <w:szCs w:val="20"/>
              </w:rPr>
            </w:pPr>
            <w:r>
              <w:rPr>
                <w:rFonts w:ascii="Times New Roman"/>
                <w:sz w:val="20"/>
              </w:rPr>
              <w:t>38.89%</w:t>
            </w:r>
          </w:p>
        </w:tc>
      </w:tr>
      <w:tr>
        <w:trPr>
          <w:trHeight w:val="320" w:hRule="exact"/>
        </w:trPr>
        <w:tc>
          <w:tcPr>
            <w:tcW w:w="1189"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社区店</w:t>
            </w:r>
          </w:p>
        </w:tc>
        <w:tc>
          <w:tcPr>
            <w:tcW w:w="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22</w:t>
            </w:r>
          </w:p>
        </w:tc>
        <w:tc>
          <w:tcPr>
            <w:tcW w:w="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55.00%</w:t>
            </w:r>
          </w:p>
        </w:tc>
        <w:tc>
          <w:tcPr>
            <w:tcW w:w="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7</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21.87%</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2</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59"/>
              <w:jc w:val="right"/>
              <w:rPr>
                <w:rFonts w:ascii="Times New Roman" w:hAnsi="Times New Roman" w:cs="Times New Roman" w:eastAsia="Times New Roman" w:hint="default"/>
                <w:sz w:val="20"/>
                <w:szCs w:val="20"/>
              </w:rPr>
            </w:pPr>
            <w:r>
              <w:rPr>
                <w:rFonts w:ascii="Times New Roman"/>
                <w:spacing w:val="-1"/>
                <w:sz w:val="20"/>
              </w:rPr>
              <w:t>9.52%</w:t>
            </w:r>
          </w:p>
        </w:tc>
        <w:tc>
          <w:tcPr>
            <w:tcW w:w="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6</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31.58%</w:t>
            </w:r>
          </w:p>
        </w:tc>
        <w:tc>
          <w:tcPr>
            <w:tcW w:w="6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5</w:t>
            </w:r>
          </w:p>
        </w:tc>
        <w:tc>
          <w:tcPr>
            <w:tcW w:w="960"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8"/>
              <w:ind w:left="12" w:right="0"/>
              <w:jc w:val="center"/>
              <w:rPr>
                <w:rFonts w:ascii="Times New Roman" w:hAnsi="Times New Roman" w:cs="Times New Roman" w:eastAsia="Times New Roman" w:hint="default"/>
                <w:sz w:val="20"/>
                <w:szCs w:val="20"/>
              </w:rPr>
            </w:pPr>
            <w:r>
              <w:rPr>
                <w:rFonts w:ascii="Times New Roman"/>
                <w:sz w:val="20"/>
              </w:rPr>
              <w:t>27.78%</w:t>
            </w:r>
          </w:p>
        </w:tc>
      </w:tr>
      <w:tr>
        <w:trPr>
          <w:trHeight w:val="319" w:hRule="exact"/>
        </w:trPr>
        <w:tc>
          <w:tcPr>
            <w:tcW w:w="1189"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精品店</w:t>
            </w:r>
          </w:p>
        </w:tc>
        <w:tc>
          <w:tcPr>
            <w:tcW w:w="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w:t>
            </w:r>
          </w:p>
        </w:tc>
        <w:tc>
          <w:tcPr>
            <w:tcW w:w="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w:t>
            </w:r>
          </w:p>
        </w:tc>
        <w:tc>
          <w:tcPr>
            <w:tcW w:w="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w:t>
            </w:r>
          </w:p>
        </w:tc>
        <w:tc>
          <w:tcPr>
            <w:tcW w:w="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w:t>
            </w:r>
          </w:p>
        </w:tc>
        <w:tc>
          <w:tcPr>
            <w:tcW w:w="6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w:t>
            </w:r>
          </w:p>
        </w:tc>
        <w:tc>
          <w:tcPr>
            <w:tcW w:w="960"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8"/>
              <w:ind w:left="11" w:right="0"/>
              <w:jc w:val="center"/>
              <w:rPr>
                <w:rFonts w:ascii="Times New Roman" w:hAnsi="Times New Roman" w:cs="Times New Roman" w:eastAsia="Times New Roman" w:hint="default"/>
                <w:sz w:val="20"/>
                <w:szCs w:val="20"/>
              </w:rPr>
            </w:pPr>
            <w:r>
              <w:rPr>
                <w:rFonts w:ascii="Times New Roman"/>
                <w:w w:val="100"/>
                <w:sz w:val="20"/>
              </w:rPr>
              <w:t>-</w:t>
            </w:r>
          </w:p>
        </w:tc>
      </w:tr>
      <w:tr>
        <w:trPr>
          <w:trHeight w:val="320" w:hRule="exact"/>
        </w:trPr>
        <w:tc>
          <w:tcPr>
            <w:tcW w:w="1189"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县镇店</w:t>
            </w:r>
          </w:p>
        </w:tc>
        <w:tc>
          <w:tcPr>
            <w:tcW w:w="6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1</w:t>
            </w:r>
          </w:p>
        </w:tc>
        <w:tc>
          <w:tcPr>
            <w:tcW w:w="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2.50%</w:t>
            </w:r>
          </w:p>
        </w:tc>
        <w:tc>
          <w:tcPr>
            <w:tcW w:w="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5</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15.63%</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2</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59"/>
              <w:jc w:val="right"/>
              <w:rPr>
                <w:rFonts w:ascii="Times New Roman" w:hAnsi="Times New Roman" w:cs="Times New Roman" w:eastAsia="Times New Roman" w:hint="default"/>
                <w:sz w:val="20"/>
                <w:szCs w:val="20"/>
              </w:rPr>
            </w:pPr>
            <w:r>
              <w:rPr>
                <w:rFonts w:ascii="Times New Roman"/>
                <w:spacing w:val="-1"/>
                <w:sz w:val="20"/>
              </w:rPr>
              <w:t>9.52%</w:t>
            </w:r>
          </w:p>
        </w:tc>
        <w:tc>
          <w:tcPr>
            <w:tcW w:w="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100"/>
                <w:sz w:val="20"/>
              </w:rPr>
              <w:t>-</w:t>
            </w:r>
          </w:p>
        </w:tc>
        <w:tc>
          <w:tcPr>
            <w:tcW w:w="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w:t>
            </w:r>
          </w:p>
        </w:tc>
        <w:tc>
          <w:tcPr>
            <w:tcW w:w="6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100"/>
                <w:sz w:val="20"/>
              </w:rPr>
              <w:t>-</w:t>
            </w:r>
          </w:p>
        </w:tc>
        <w:tc>
          <w:tcPr>
            <w:tcW w:w="960"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8"/>
              <w:ind w:left="11" w:right="0"/>
              <w:jc w:val="center"/>
              <w:rPr>
                <w:rFonts w:ascii="Times New Roman" w:hAnsi="Times New Roman" w:cs="Times New Roman" w:eastAsia="Times New Roman" w:hint="default"/>
                <w:sz w:val="20"/>
                <w:szCs w:val="20"/>
              </w:rPr>
            </w:pPr>
            <w:r>
              <w:rPr>
                <w:rFonts w:ascii="Times New Roman"/>
                <w:w w:val="100"/>
                <w:sz w:val="20"/>
              </w:rPr>
              <w:t>-</w:t>
            </w:r>
          </w:p>
        </w:tc>
      </w:tr>
      <w:tr>
        <w:trPr>
          <w:trHeight w:val="334" w:hRule="exact"/>
        </w:trPr>
        <w:tc>
          <w:tcPr>
            <w:tcW w:w="1189" w:type="dxa"/>
            <w:tcBorders>
              <w:top w:val="single" w:sz="8" w:space="0" w:color="000000"/>
              <w:left w:val="single" w:sz="17" w:space="0" w:color="000000"/>
              <w:bottom w:val="single" w:sz="17"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61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40</w:t>
            </w:r>
          </w:p>
        </w:tc>
        <w:tc>
          <w:tcPr>
            <w:tcW w:w="96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100%</w:t>
            </w:r>
          </w:p>
        </w:tc>
        <w:tc>
          <w:tcPr>
            <w:tcW w:w="715"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32</w:t>
            </w:r>
          </w:p>
        </w:tc>
        <w:tc>
          <w:tcPr>
            <w:tcW w:w="96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100%</w:t>
            </w:r>
          </w:p>
        </w:tc>
        <w:tc>
          <w:tcPr>
            <w:tcW w:w="68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21</w:t>
            </w:r>
          </w:p>
        </w:tc>
        <w:tc>
          <w:tcPr>
            <w:tcW w:w="86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9"/>
              <w:ind w:right="172"/>
              <w:jc w:val="right"/>
              <w:rPr>
                <w:rFonts w:ascii="Times New Roman" w:hAnsi="Times New Roman" w:cs="Times New Roman" w:eastAsia="Times New Roman" w:hint="default"/>
                <w:sz w:val="21"/>
                <w:szCs w:val="21"/>
              </w:rPr>
            </w:pPr>
            <w:r>
              <w:rPr>
                <w:rFonts w:ascii="Times New Roman"/>
                <w:spacing w:val="-1"/>
                <w:sz w:val="21"/>
              </w:rPr>
              <w:t>100%</w:t>
            </w:r>
          </w:p>
        </w:tc>
        <w:tc>
          <w:tcPr>
            <w:tcW w:w="67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19</w:t>
            </w:r>
          </w:p>
        </w:tc>
        <w:tc>
          <w:tcPr>
            <w:tcW w:w="96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100%</w:t>
            </w:r>
          </w:p>
        </w:tc>
        <w:tc>
          <w:tcPr>
            <w:tcW w:w="60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18</w:t>
            </w:r>
          </w:p>
        </w:tc>
        <w:tc>
          <w:tcPr>
            <w:tcW w:w="960"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48"/>
              <w:ind w:left="12" w:right="0"/>
              <w:jc w:val="center"/>
              <w:rPr>
                <w:rFonts w:ascii="Times New Roman" w:hAnsi="Times New Roman" w:cs="Times New Roman" w:eastAsia="Times New Roman" w:hint="default"/>
                <w:sz w:val="20"/>
                <w:szCs w:val="20"/>
              </w:rPr>
            </w:pPr>
            <w:r>
              <w:rPr>
                <w:rFonts w:ascii="Times New Roman"/>
                <w:sz w:val="20"/>
              </w:rPr>
              <w:t>100%</w:t>
            </w:r>
          </w:p>
        </w:tc>
      </w:tr>
    </w:tbl>
    <w:p>
      <w:pPr>
        <w:spacing w:line="241" w:lineRule="exact" w:before="0"/>
        <w:ind w:left="205" w:right="0" w:firstLine="0"/>
        <w:jc w:val="left"/>
        <w:rPr>
          <w:rFonts w:ascii="宋体" w:hAnsi="宋体" w:cs="宋体" w:eastAsia="宋体" w:hint="default"/>
          <w:sz w:val="21"/>
          <w:szCs w:val="21"/>
        </w:rPr>
      </w:pPr>
      <w:r>
        <w:rPr>
          <w:rFonts w:ascii="宋体" w:hAnsi="宋体" w:cs="宋体" w:eastAsia="宋体" w:hint="default"/>
          <w:spacing w:val="-5"/>
          <w:sz w:val="21"/>
          <w:szCs w:val="21"/>
        </w:rPr>
        <w:t>注：统计中包括上述城市下辖郊区、县的连锁店开设情况。目前公司的精品店主要分布在北京、上海、</w:t>
      </w:r>
    </w:p>
    <w:p>
      <w:pPr>
        <w:spacing w:before="108"/>
        <w:ind w:left="101" w:right="0" w:firstLine="0"/>
        <w:jc w:val="left"/>
        <w:rPr>
          <w:rFonts w:ascii="宋体" w:hAnsi="宋体" w:cs="宋体" w:eastAsia="宋体" w:hint="default"/>
          <w:sz w:val="21"/>
          <w:szCs w:val="21"/>
        </w:rPr>
      </w:pPr>
      <w:r>
        <w:rPr>
          <w:rFonts w:ascii="宋体" w:hAnsi="宋体" w:cs="宋体" w:eastAsia="宋体" w:hint="default"/>
          <w:sz w:val="21"/>
          <w:szCs w:val="21"/>
        </w:rPr>
        <w:t>深圳。后期公司将进一步推进在经济发达地区的精品店开设。</w:t>
      </w:r>
    </w:p>
    <w:p>
      <w:pPr>
        <w:pStyle w:val="BodyText"/>
        <w:spacing w:line="292" w:lineRule="auto" w:before="101"/>
        <w:ind w:left="940" w:right="0" w:hanging="120"/>
        <w:jc w:val="left"/>
      </w:pPr>
      <w:r>
        <w:rPr/>
        <w:t>（</w:t>
      </w:r>
      <w:r>
        <w:rPr>
          <w:rFonts w:ascii="Times New Roman" w:hAnsi="Times New Roman" w:cs="Times New Roman" w:eastAsia="Times New Roman" w:hint="default"/>
        </w:rPr>
        <w:t>3</w:t>
      </w:r>
      <w:r>
        <w:rPr/>
        <w:t>）连锁店市场分布情况 报告期内，公司继续贯彻“横向扩张”与“纵向渗透”相结合、多业态店面同步</w:t>
      </w:r>
    </w:p>
    <w:p>
      <w:pPr>
        <w:pStyle w:val="BodyText"/>
        <w:spacing w:line="240" w:lineRule="auto" w:before="70"/>
        <w:ind w:left="340" w:right="0"/>
        <w:jc w:val="left"/>
      </w:pPr>
      <w:r>
        <w:rPr/>
        <w:t>开发的连锁发展模式，在进一步完善区域内布局的基础上，实现区域间的均衡发展。</w:t>
      </w:r>
    </w:p>
    <w:p>
      <w:pPr>
        <w:pStyle w:val="BodyText"/>
        <w:tabs>
          <w:tab w:pos="1239" w:val="left" w:leader="none"/>
        </w:tabs>
        <w:spacing w:line="314" w:lineRule="auto" w:before="122"/>
        <w:ind w:left="340" w:right="313" w:firstLine="4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加大一、二级市场空白商圈以及新兴商圈的开发，重点加强 </w:t>
      </w:r>
      <w:r>
        <w:rPr>
          <w:rFonts w:ascii="Times New Roman" w:hAnsi="Times New Roman" w:cs="Times New Roman" w:eastAsia="Times New Roman" w:hint="default"/>
        </w:rPr>
        <w:t>Expo</w:t>
      </w:r>
      <w:r>
        <w:rPr>
          <w:rFonts w:ascii="Times New Roman" w:hAnsi="Times New Roman" w:cs="Times New Roman" w:eastAsia="Times New Roman" w:hint="default"/>
          <w:spacing w:val="-1"/>
        </w:rPr>
        <w:t> </w:t>
      </w:r>
      <w:r>
        <w:rPr/>
        <w:t>旗舰店、区 域旗舰店建设，适当补充开设社区店；</w:t>
      </w:r>
    </w:p>
    <w:p>
      <w:pPr>
        <w:pStyle w:val="BodyText"/>
        <w:tabs>
          <w:tab w:pos="1239" w:val="left" w:leader="none"/>
        </w:tabs>
        <w:spacing w:line="316" w:lineRule="auto" w:before="48"/>
        <w:ind w:left="340" w:right="314" w:firstLine="4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spacing w:val="-1"/>
        </w:rPr>
        <w:t>抓住机遇，加快三、四级市场的开发，尤其在管理平台以及物流平台相对成熟</w:t>
      </w:r>
      <w:r>
        <w:rPr/>
        <w:t> 的华东、华南地区已全面展开。</w:t>
      </w:r>
    </w:p>
    <w:p>
      <w:pPr>
        <w:pStyle w:val="BodyText"/>
        <w:tabs>
          <w:tab w:pos="8259" w:val="left" w:leader="none"/>
        </w:tabs>
        <w:spacing w:line="333" w:lineRule="auto" w:before="46"/>
        <w:ind w:left="340" w:right="312" w:firstLine="480"/>
        <w:jc w:val="left"/>
        <w:rPr>
          <w:sz w:val="21"/>
          <w:szCs w:val="21"/>
        </w:rPr>
      </w:pPr>
      <w:r>
        <w:rPr>
          <w:spacing w:val="-3"/>
        </w:rPr>
        <w:t>报告期末，公司大陆地区三、四级市场连锁店店面数量占比提升较快，这是与中国</w:t>
      </w:r>
      <w:r>
        <w:rPr/>
        <w:t> 城市化进程的发展相吻合的。</w:t>
        <w:tab/>
      </w:r>
      <w:r>
        <w:rPr>
          <w:sz w:val="21"/>
          <w:szCs w:val="21"/>
        </w:rPr>
        <w:t>（单位</w:t>
      </w:r>
      <w:r>
        <w:rPr>
          <w:rFonts w:ascii="Times New Roman" w:hAnsi="Times New Roman" w:cs="Times New Roman" w:eastAsia="Times New Roman" w:hint="default"/>
          <w:sz w:val="21"/>
          <w:szCs w:val="21"/>
        </w:rPr>
        <w:t>:</w:t>
      </w:r>
      <w:r>
        <w:rPr>
          <w:sz w:val="21"/>
          <w:szCs w:val="21"/>
        </w:rPr>
        <w:t>家）</w:t>
      </w:r>
    </w:p>
    <w:p>
      <w:pPr>
        <w:spacing w:line="240" w:lineRule="auto" w:before="13"/>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081"/>
        <w:gridCol w:w="920"/>
        <w:gridCol w:w="1060"/>
        <w:gridCol w:w="732"/>
        <w:gridCol w:w="1248"/>
        <w:gridCol w:w="1051"/>
        <w:gridCol w:w="1247"/>
        <w:gridCol w:w="1051"/>
        <w:gridCol w:w="970"/>
      </w:tblGrid>
      <w:tr>
        <w:trPr>
          <w:trHeight w:val="329" w:hRule="exact"/>
        </w:trPr>
        <w:tc>
          <w:tcPr>
            <w:tcW w:w="1081" w:type="dxa"/>
            <w:vMerge w:val="restart"/>
            <w:tcBorders>
              <w:top w:val="single" w:sz="17" w:space="0" w:color="000000"/>
              <w:left w:val="single" w:sz="17"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0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80" w:type="dxa"/>
            <w:gridSpan w:val="2"/>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1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0" w:type="dxa"/>
            <w:gridSpan w:val="2"/>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1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29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3" w:lineRule="exact"/>
              <w:ind w:left="513" w:right="0"/>
              <w:jc w:val="left"/>
              <w:rPr>
                <w:rFonts w:ascii="宋体" w:hAnsi="宋体" w:cs="宋体" w:eastAsia="宋体" w:hint="default"/>
                <w:sz w:val="21"/>
                <w:szCs w:val="21"/>
              </w:rPr>
            </w:pPr>
            <w:r>
              <w:rPr>
                <w:rFonts w:ascii="宋体" w:hAnsi="宋体" w:cs="宋体" w:eastAsia="宋体" w:hint="default"/>
                <w:sz w:val="21"/>
                <w:szCs w:val="21"/>
              </w:rPr>
              <w:t>增减变化情况</w:t>
            </w:r>
          </w:p>
        </w:tc>
        <w:tc>
          <w:tcPr>
            <w:tcW w:w="2021" w:type="dxa"/>
            <w:gridSpan w:val="2"/>
            <w:tcBorders>
              <w:top w:val="single" w:sz="17" w:space="0" w:color="000000"/>
              <w:left w:val="single" w:sz="4" w:space="0" w:color="000000"/>
              <w:bottom w:val="single" w:sz="4" w:space="0" w:color="000000"/>
              <w:right w:val="single" w:sz="17" w:space="0" w:color="000000"/>
            </w:tcBorders>
          </w:tcPr>
          <w:p>
            <w:pPr>
              <w:pStyle w:val="TableParagraph"/>
              <w:spacing w:line="259" w:lineRule="exact"/>
              <w:ind w:left="1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590" w:hRule="exact"/>
        </w:trPr>
        <w:tc>
          <w:tcPr>
            <w:tcW w:w="1081" w:type="dxa"/>
            <w:vMerge/>
            <w:tcBorders>
              <w:left w:val="single" w:sz="17"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z w:val="21"/>
                <w:szCs w:val="21"/>
              </w:rPr>
              <w:t>占比</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08" w:right="0"/>
              <w:jc w:val="left"/>
              <w:rPr>
                <w:rFonts w:ascii="宋体" w:hAnsi="宋体" w:cs="宋体" w:eastAsia="宋体" w:hint="default"/>
                <w:sz w:val="21"/>
                <w:szCs w:val="21"/>
              </w:rPr>
            </w:pPr>
            <w:r>
              <w:rPr>
                <w:rFonts w:ascii="宋体" w:hAnsi="宋体" w:cs="宋体" w:eastAsia="宋体" w:hint="default"/>
                <w:sz w:val="21"/>
                <w:szCs w:val="21"/>
              </w:rPr>
              <w:t>占比</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9"/>
              <w:ind w:left="310" w:right="308"/>
              <w:jc w:val="left"/>
              <w:rPr>
                <w:rFonts w:ascii="宋体" w:hAnsi="宋体" w:cs="宋体" w:eastAsia="宋体" w:hint="default"/>
                <w:sz w:val="21"/>
                <w:szCs w:val="21"/>
              </w:rPr>
            </w:pPr>
            <w:r>
              <w:rPr>
                <w:rFonts w:ascii="宋体" w:hAnsi="宋体" w:cs="宋体" w:eastAsia="宋体" w:hint="default"/>
                <w:sz w:val="21"/>
                <w:szCs w:val="21"/>
              </w:rPr>
              <w:t>数量 变化</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占比变化</w:t>
            </w:r>
          </w:p>
          <w:p>
            <w:pPr>
              <w:pStyle w:val="TableParagraph"/>
              <w:spacing w:line="240" w:lineRule="auto" w:before="30"/>
              <w:ind w:right="1"/>
              <w:jc w:val="center"/>
              <w:rPr>
                <w:rFonts w:ascii="Times New Roman" w:hAnsi="Times New Roman" w:cs="Times New Roman" w:eastAsia="Times New Roman" w:hint="default"/>
                <w:sz w:val="21"/>
                <w:szCs w:val="21"/>
              </w:rPr>
            </w:pPr>
            <w:r>
              <w:rPr>
                <w:rFonts w:ascii="Times New Roman"/>
                <w:sz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1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7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37"/>
              <w:ind w:left="268" w:right="0"/>
              <w:jc w:val="left"/>
              <w:rPr>
                <w:rFonts w:ascii="宋体" w:hAnsi="宋体" w:cs="宋体" w:eastAsia="宋体" w:hint="default"/>
                <w:sz w:val="21"/>
                <w:szCs w:val="21"/>
              </w:rPr>
            </w:pPr>
            <w:r>
              <w:rPr>
                <w:rFonts w:ascii="宋体" w:hAnsi="宋体" w:cs="宋体" w:eastAsia="宋体" w:hint="default"/>
                <w:sz w:val="21"/>
                <w:szCs w:val="21"/>
              </w:rPr>
              <w:t>占比</w:t>
            </w:r>
          </w:p>
        </w:tc>
      </w:tr>
      <w:tr>
        <w:trPr>
          <w:trHeight w:val="295" w:hRule="exact"/>
        </w:trPr>
        <w:tc>
          <w:tcPr>
            <w:tcW w:w="1081"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right="17"/>
              <w:jc w:val="center"/>
              <w:rPr>
                <w:rFonts w:ascii="宋体" w:hAnsi="宋体" w:cs="宋体" w:eastAsia="宋体" w:hint="default"/>
                <w:sz w:val="21"/>
                <w:szCs w:val="21"/>
              </w:rPr>
            </w:pPr>
            <w:r>
              <w:rPr>
                <w:rFonts w:ascii="宋体" w:hAnsi="宋体" w:cs="宋体" w:eastAsia="宋体" w:hint="default"/>
                <w:sz w:val="21"/>
                <w:szCs w:val="21"/>
              </w:rPr>
              <w:t>一级市场</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525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40.05%</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435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93"/>
              <w:jc w:val="right"/>
              <w:rPr>
                <w:rFonts w:ascii="Times New Roman" w:hAnsi="Times New Roman" w:cs="Times New Roman" w:eastAsia="Times New Roman" w:hint="default"/>
                <w:sz w:val="21"/>
                <w:szCs w:val="21"/>
              </w:rPr>
            </w:pPr>
            <w:r>
              <w:rPr>
                <w:rFonts w:ascii="Times New Roman"/>
                <w:spacing w:val="-1"/>
                <w:sz w:val="21"/>
              </w:rPr>
              <w:t>46.23%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90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-6.18%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Times New Roman" w:hAnsi="Times New Roman" w:cs="Times New Roman" w:eastAsia="Times New Roman" w:hint="default"/>
                <w:sz w:val="21"/>
                <w:szCs w:val="21"/>
              </w:rPr>
            </w:pPr>
            <w:r>
              <w:rPr>
                <w:rFonts w:ascii="Times New Roman"/>
                <w:sz w:val="21"/>
              </w:rPr>
              <w:t>394</w:t>
            </w:r>
          </w:p>
        </w:tc>
        <w:tc>
          <w:tcPr>
            <w:tcW w:w="97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right="83"/>
              <w:jc w:val="right"/>
              <w:rPr>
                <w:rFonts w:ascii="Times New Roman" w:hAnsi="Times New Roman" w:cs="Times New Roman" w:eastAsia="Times New Roman" w:hint="default"/>
                <w:sz w:val="21"/>
                <w:szCs w:val="21"/>
              </w:rPr>
            </w:pPr>
            <w:r>
              <w:rPr>
                <w:rFonts w:ascii="Times New Roman"/>
                <w:spacing w:val="-1"/>
                <w:sz w:val="21"/>
              </w:rPr>
              <w:t>48.52%</w:t>
            </w:r>
          </w:p>
        </w:tc>
      </w:tr>
      <w:tr>
        <w:trPr>
          <w:trHeight w:val="295" w:hRule="exact"/>
        </w:trPr>
        <w:tc>
          <w:tcPr>
            <w:tcW w:w="1081"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right="17"/>
              <w:jc w:val="center"/>
              <w:rPr>
                <w:rFonts w:ascii="宋体" w:hAnsi="宋体" w:cs="宋体" w:eastAsia="宋体" w:hint="default"/>
                <w:sz w:val="21"/>
                <w:szCs w:val="21"/>
              </w:rPr>
            </w:pPr>
            <w:r>
              <w:rPr>
                <w:rFonts w:ascii="宋体" w:hAnsi="宋体" w:cs="宋体" w:eastAsia="宋体" w:hint="default"/>
                <w:sz w:val="21"/>
                <w:szCs w:val="21"/>
              </w:rPr>
              <w:t>二级市场</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379</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28.91%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292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93"/>
              <w:jc w:val="right"/>
              <w:rPr>
                <w:rFonts w:ascii="Times New Roman" w:hAnsi="Times New Roman" w:cs="Times New Roman" w:eastAsia="Times New Roman" w:hint="default"/>
                <w:sz w:val="21"/>
                <w:szCs w:val="21"/>
              </w:rPr>
            </w:pPr>
            <w:r>
              <w:rPr>
                <w:rFonts w:ascii="Times New Roman"/>
                <w:spacing w:val="-1"/>
                <w:sz w:val="21"/>
              </w:rPr>
              <w:t>31.03%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87</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-2.12%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Times New Roman" w:hAnsi="Times New Roman" w:cs="Times New Roman" w:eastAsia="Times New Roman" w:hint="default"/>
                <w:sz w:val="21"/>
                <w:szCs w:val="21"/>
              </w:rPr>
            </w:pPr>
            <w:r>
              <w:rPr>
                <w:rFonts w:ascii="Times New Roman"/>
                <w:sz w:val="21"/>
              </w:rPr>
              <w:t>253</w:t>
            </w:r>
          </w:p>
        </w:tc>
        <w:tc>
          <w:tcPr>
            <w:tcW w:w="97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right="83"/>
              <w:jc w:val="right"/>
              <w:rPr>
                <w:rFonts w:ascii="Times New Roman" w:hAnsi="Times New Roman" w:cs="Times New Roman" w:eastAsia="Times New Roman" w:hint="default"/>
                <w:sz w:val="21"/>
                <w:szCs w:val="21"/>
              </w:rPr>
            </w:pPr>
            <w:r>
              <w:rPr>
                <w:rFonts w:ascii="Times New Roman"/>
                <w:spacing w:val="-1"/>
                <w:sz w:val="21"/>
              </w:rPr>
              <w:t>31.16%</w:t>
            </w:r>
          </w:p>
        </w:tc>
      </w:tr>
      <w:tr>
        <w:trPr>
          <w:trHeight w:val="295" w:hRule="exact"/>
        </w:trPr>
        <w:tc>
          <w:tcPr>
            <w:tcW w:w="1081"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right="17"/>
              <w:jc w:val="center"/>
              <w:rPr>
                <w:rFonts w:ascii="宋体" w:hAnsi="宋体" w:cs="宋体" w:eastAsia="宋体" w:hint="default"/>
                <w:sz w:val="21"/>
                <w:szCs w:val="21"/>
              </w:rPr>
            </w:pPr>
            <w:r>
              <w:rPr>
                <w:rFonts w:ascii="宋体" w:hAnsi="宋体" w:cs="宋体" w:eastAsia="宋体" w:hint="default"/>
                <w:sz w:val="21"/>
                <w:szCs w:val="21"/>
              </w:rPr>
              <w:t>三级市场</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303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23.11%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174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93"/>
              <w:jc w:val="right"/>
              <w:rPr>
                <w:rFonts w:ascii="Times New Roman" w:hAnsi="Times New Roman" w:cs="Times New Roman" w:eastAsia="Times New Roman" w:hint="default"/>
                <w:sz w:val="21"/>
                <w:szCs w:val="21"/>
              </w:rPr>
            </w:pPr>
            <w:r>
              <w:rPr>
                <w:rFonts w:ascii="Times New Roman"/>
                <w:spacing w:val="-1"/>
                <w:sz w:val="21"/>
              </w:rPr>
              <w:t>18.49%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129</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4.62%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3" w:right="0"/>
              <w:jc w:val="left"/>
              <w:rPr>
                <w:rFonts w:ascii="Times New Roman" w:hAnsi="Times New Roman" w:cs="Times New Roman" w:eastAsia="Times New Roman" w:hint="default"/>
                <w:sz w:val="21"/>
                <w:szCs w:val="21"/>
              </w:rPr>
            </w:pPr>
            <w:r>
              <w:rPr>
                <w:rFonts w:ascii="Times New Roman"/>
                <w:sz w:val="21"/>
              </w:rPr>
              <w:t>132</w:t>
            </w:r>
          </w:p>
        </w:tc>
        <w:tc>
          <w:tcPr>
            <w:tcW w:w="97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right="83"/>
              <w:jc w:val="right"/>
              <w:rPr>
                <w:rFonts w:ascii="Times New Roman" w:hAnsi="Times New Roman" w:cs="Times New Roman" w:eastAsia="Times New Roman" w:hint="default"/>
                <w:sz w:val="21"/>
                <w:szCs w:val="21"/>
              </w:rPr>
            </w:pPr>
            <w:r>
              <w:rPr>
                <w:rFonts w:ascii="Times New Roman"/>
                <w:spacing w:val="-1"/>
                <w:sz w:val="21"/>
              </w:rPr>
              <w:t>16.26%</w:t>
            </w:r>
          </w:p>
        </w:tc>
      </w:tr>
      <w:tr>
        <w:trPr>
          <w:trHeight w:val="294" w:hRule="exact"/>
        </w:trPr>
        <w:tc>
          <w:tcPr>
            <w:tcW w:w="1081"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right="17"/>
              <w:jc w:val="center"/>
              <w:rPr>
                <w:rFonts w:ascii="宋体" w:hAnsi="宋体" w:cs="宋体" w:eastAsia="宋体" w:hint="default"/>
                <w:sz w:val="21"/>
                <w:szCs w:val="21"/>
              </w:rPr>
            </w:pPr>
            <w:r>
              <w:rPr>
                <w:rFonts w:ascii="宋体" w:hAnsi="宋体" w:cs="宋体" w:eastAsia="宋体" w:hint="default"/>
                <w:sz w:val="21"/>
                <w:szCs w:val="21"/>
              </w:rPr>
              <w:t>四级市场</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104</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7.93%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40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46"/>
              <w:jc w:val="right"/>
              <w:rPr>
                <w:rFonts w:ascii="Times New Roman" w:hAnsi="Times New Roman" w:cs="Times New Roman" w:eastAsia="Times New Roman" w:hint="default"/>
                <w:sz w:val="21"/>
                <w:szCs w:val="21"/>
              </w:rPr>
            </w:pPr>
            <w:r>
              <w:rPr>
                <w:rFonts w:ascii="Times New Roman"/>
                <w:spacing w:val="-1"/>
                <w:sz w:val="21"/>
              </w:rPr>
              <w:t>4.25%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64</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3.68%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15" w:right="0"/>
              <w:jc w:val="left"/>
              <w:rPr>
                <w:rFonts w:ascii="Times New Roman" w:hAnsi="Times New Roman" w:cs="Times New Roman" w:eastAsia="Times New Roman" w:hint="default"/>
                <w:sz w:val="21"/>
                <w:szCs w:val="21"/>
              </w:rPr>
            </w:pPr>
            <w:r>
              <w:rPr>
                <w:rFonts w:ascii="Times New Roman"/>
                <w:sz w:val="21"/>
              </w:rPr>
              <w:t>33</w:t>
            </w:r>
          </w:p>
        </w:tc>
        <w:tc>
          <w:tcPr>
            <w:tcW w:w="97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right="85"/>
              <w:jc w:val="right"/>
              <w:rPr>
                <w:rFonts w:ascii="Times New Roman" w:hAnsi="Times New Roman" w:cs="Times New Roman" w:eastAsia="Times New Roman" w:hint="default"/>
                <w:sz w:val="21"/>
                <w:szCs w:val="21"/>
              </w:rPr>
            </w:pPr>
            <w:r>
              <w:rPr>
                <w:rFonts w:ascii="Times New Roman"/>
                <w:spacing w:val="-1"/>
                <w:sz w:val="21"/>
              </w:rPr>
              <w:t>4.06%</w:t>
            </w:r>
          </w:p>
        </w:tc>
      </w:tr>
      <w:tr>
        <w:trPr>
          <w:trHeight w:val="329" w:hRule="exact"/>
        </w:trPr>
        <w:tc>
          <w:tcPr>
            <w:tcW w:w="1081" w:type="dxa"/>
            <w:tcBorders>
              <w:top w:val="single" w:sz="4" w:space="0" w:color="000000"/>
              <w:left w:val="single" w:sz="17" w:space="0" w:color="000000"/>
              <w:bottom w:val="single" w:sz="17" w:space="0" w:color="000000"/>
              <w:right w:val="single" w:sz="4" w:space="0" w:color="000000"/>
            </w:tcBorders>
          </w:tcPr>
          <w:p>
            <w:pPr>
              <w:pStyle w:val="TableParagraph"/>
              <w:spacing w:line="254" w:lineRule="exact"/>
              <w:ind w:right="17"/>
              <w:jc w:val="center"/>
              <w:rPr>
                <w:rFonts w:ascii="宋体" w:hAnsi="宋体" w:cs="宋体" w:eastAsia="宋体" w:hint="default"/>
                <w:sz w:val="21"/>
                <w:szCs w:val="21"/>
              </w:rPr>
            </w:pPr>
            <w:r>
              <w:rPr>
                <w:rFonts w:ascii="宋体" w:hAnsi="宋体" w:cs="宋体" w:eastAsia="宋体" w:hint="default"/>
                <w:sz w:val="21"/>
                <w:szCs w:val="21"/>
              </w:rPr>
              <w:t>合计</w:t>
            </w:r>
          </w:p>
        </w:tc>
        <w:tc>
          <w:tcPr>
            <w:tcW w:w="9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1311</w:t>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100.00%</w:t>
            </w:r>
          </w:p>
        </w:tc>
        <w:tc>
          <w:tcPr>
            <w:tcW w:w="73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941</w:t>
            </w:r>
          </w:p>
        </w:tc>
        <w:tc>
          <w:tcPr>
            <w:tcW w:w="124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7"/>
              <w:ind w:right="242"/>
              <w:jc w:val="right"/>
              <w:rPr>
                <w:rFonts w:ascii="Times New Roman" w:hAnsi="Times New Roman" w:cs="Times New Roman" w:eastAsia="Times New Roman" w:hint="default"/>
                <w:sz w:val="21"/>
                <w:szCs w:val="21"/>
              </w:rPr>
            </w:pPr>
            <w:r>
              <w:rPr>
                <w:rFonts w:ascii="Times New Roman"/>
                <w:spacing w:val="-1"/>
                <w:sz w:val="21"/>
              </w:rPr>
              <w:t>100.00%</w:t>
            </w:r>
          </w:p>
        </w:tc>
        <w:tc>
          <w:tcPr>
            <w:tcW w:w="105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370</w:t>
            </w:r>
          </w:p>
        </w:tc>
        <w:tc>
          <w:tcPr>
            <w:tcW w:w="124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5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7"/>
              <w:ind w:left="363" w:right="0"/>
              <w:jc w:val="left"/>
              <w:rPr>
                <w:rFonts w:ascii="Times New Roman" w:hAnsi="Times New Roman" w:cs="Times New Roman" w:eastAsia="Times New Roman" w:hint="default"/>
                <w:sz w:val="21"/>
                <w:szCs w:val="21"/>
              </w:rPr>
            </w:pPr>
            <w:r>
              <w:rPr>
                <w:rFonts w:ascii="Times New Roman"/>
                <w:sz w:val="21"/>
              </w:rPr>
              <w:t>812</w:t>
            </w:r>
          </w:p>
        </w:tc>
        <w:tc>
          <w:tcPr>
            <w:tcW w:w="970"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27"/>
              <w:ind w:right="84"/>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65" w:lineRule="exact" w:before="0"/>
        <w:ind w:left="760" w:right="0" w:firstLine="0"/>
        <w:jc w:val="left"/>
        <w:rPr>
          <w:rFonts w:ascii="宋体" w:hAnsi="宋体" w:cs="宋体" w:eastAsia="宋体" w:hint="default"/>
          <w:sz w:val="21"/>
          <w:szCs w:val="21"/>
        </w:rPr>
      </w:pPr>
      <w:r>
        <w:rPr>
          <w:rFonts w:ascii="宋体" w:hAnsi="宋体" w:cs="宋体" w:eastAsia="宋体" w:hint="default"/>
          <w:sz w:val="21"/>
          <w:szCs w:val="21"/>
        </w:rPr>
        <w:t>注：为更好地体现连锁店按市场分布情况，公司于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年对市场级别进一步细分：一级市场</w:t>
      </w:r>
    </w:p>
    <w:p>
      <w:pPr>
        <w:spacing w:line="244" w:lineRule="auto" w:before="0"/>
        <w:ind w:left="339" w:right="295" w:firstLine="0"/>
        <w:jc w:val="left"/>
        <w:rPr>
          <w:rFonts w:ascii="宋体" w:hAnsi="宋体" w:cs="宋体" w:eastAsia="宋体" w:hint="default"/>
          <w:sz w:val="21"/>
          <w:szCs w:val="21"/>
        </w:rPr>
      </w:pPr>
      <w:r>
        <w:rPr>
          <w:rFonts w:ascii="宋体" w:hAnsi="宋体" w:cs="宋体" w:eastAsia="宋体" w:hint="default"/>
          <w:sz w:val="21"/>
          <w:szCs w:val="21"/>
        </w:rPr>
        <w:t>指副省级以上城市；二级市场指一级市场以外的地级市；三级市场指一二级市场下辖的县、县级市 或远郊区；四级市场主要指镇级城市。</w:t>
      </w:r>
    </w:p>
    <w:p>
      <w:pPr>
        <w:spacing w:after="0" w:line="244" w:lineRule="auto"/>
        <w:jc w:val="left"/>
        <w:rPr>
          <w:rFonts w:ascii="宋体" w:hAnsi="宋体" w:cs="宋体" w:eastAsia="宋体" w:hint="default"/>
          <w:sz w:val="21"/>
          <w:szCs w:val="21"/>
        </w:rPr>
        <w:sectPr>
          <w:pgSz w:w="11910" w:h="16840"/>
          <w:pgMar w:header="748" w:footer="714" w:top="980" w:bottom="900" w:left="1100" w:right="1120"/>
        </w:sectPr>
      </w:pPr>
    </w:p>
    <w:p>
      <w:pPr>
        <w:spacing w:line="240" w:lineRule="auto" w:before="7"/>
        <w:rPr>
          <w:rFonts w:ascii="宋体" w:hAnsi="宋体" w:cs="宋体" w:eastAsia="宋体" w:hint="default"/>
          <w:sz w:val="29"/>
          <w:szCs w:val="29"/>
        </w:rPr>
      </w:pPr>
    </w:p>
    <w:p>
      <w:pPr>
        <w:pStyle w:val="BodyText"/>
        <w:spacing w:line="240" w:lineRule="auto" w:before="26"/>
        <w:ind w:left="720" w:right="2202"/>
        <w:jc w:val="left"/>
      </w:pPr>
      <w:r>
        <w:rPr/>
        <w:t>（三）连锁店经营质量分析</w:t>
      </w:r>
    </w:p>
    <w:p>
      <w:pPr>
        <w:pStyle w:val="BodyText"/>
        <w:spacing w:line="352" w:lineRule="auto" w:before="154"/>
        <w:ind w:left="240" w:right="252" w:firstLine="480"/>
        <w:jc w:val="both"/>
      </w:pPr>
      <w:r>
        <w:rPr>
          <w:rFonts w:ascii="Times New Roman" w:hAnsi="Times New Roman" w:cs="Times New Roman" w:eastAsia="Times New Roman" w:hint="default"/>
          <w:spacing w:val="-3"/>
        </w:rPr>
        <w:t>1</w:t>
      </w:r>
      <w:r>
        <w:rPr>
          <w:spacing w:val="-3"/>
        </w:rPr>
        <w:t>、报告期内，公司进一步加强商品规划体系建设，丰富商品品类，连锁店</w:t>
      </w:r>
      <w:r>
        <w:rPr>
          <w:spacing w:val="-57"/>
        </w:rPr>
        <w:t> </w:t>
      </w:r>
      <w:r>
        <w:rPr>
          <w:rFonts w:ascii="Times New Roman" w:hAnsi="Times New Roman" w:cs="Times New Roman" w:eastAsia="Times New Roman" w:hint="default"/>
        </w:rPr>
        <w:t>SKU</w:t>
      </w:r>
      <w:r>
        <w:rPr>
          <w:rFonts w:ascii="Times New Roman" w:hAnsi="Times New Roman" w:cs="Times New Roman" w:eastAsia="Times New Roman" w:hint="default"/>
          <w:spacing w:val="2"/>
        </w:rPr>
        <w:t> </w:t>
      </w:r>
      <w:r>
        <w:rPr/>
        <w:t>数 </w:t>
      </w:r>
      <w:r>
        <w:rPr>
          <w:spacing w:val="-3"/>
        </w:rPr>
        <w:t>量有效提升，商品丰富度提高；进一步加强对店面销售技能、服务规范的管理，强化人</w:t>
      </w:r>
      <w:r>
        <w:rPr>
          <w:spacing w:val="-98"/>
        </w:rPr>
        <w:t> </w:t>
      </w:r>
      <w:r>
        <w:rPr>
          <w:spacing w:val="-98"/>
        </w:rPr>
      </w:r>
      <w:r>
        <w:rPr>
          <w:spacing w:val="-3"/>
        </w:rPr>
        <w:t>员引进、培训以及激励体系的建设，而部分产品、部分区域的公司自营体系的推进也取</w:t>
      </w:r>
      <w:r>
        <w:rPr>
          <w:spacing w:val="-96"/>
        </w:rPr>
        <w:t> </w:t>
      </w:r>
      <w:r>
        <w:rPr>
          <w:spacing w:val="-96"/>
        </w:rPr>
      </w:r>
      <w:r>
        <w:rPr>
          <w:spacing w:val="-3"/>
        </w:rPr>
        <w:t>得一定成绩。年内公司综合品牌形象提升较大、知名度进一步提升，美誉度增强，公司</w:t>
      </w:r>
      <w:r>
        <w:rPr>
          <w:spacing w:val="-98"/>
        </w:rPr>
        <w:t> </w:t>
      </w:r>
      <w:r>
        <w:rPr>
          <w:spacing w:val="-98"/>
        </w:rPr>
      </w:r>
      <w:r>
        <w:rPr/>
        <w:t>连锁店运营能力持续提升。</w:t>
      </w:r>
    </w:p>
    <w:p>
      <w:pPr>
        <w:pStyle w:val="BodyText"/>
        <w:spacing w:line="338" w:lineRule="auto" w:before="41"/>
        <w:ind w:left="240" w:right="253" w:firstLine="480"/>
        <w:jc w:val="both"/>
      </w:pPr>
      <w:r>
        <w:rPr>
          <w:rFonts w:ascii="Times New Roman" w:hAnsi="Times New Roman" w:cs="Times New Roman" w:eastAsia="Times New Roman" w:hint="default"/>
          <w:spacing w:val="-7"/>
        </w:rPr>
        <w:t>2</w:t>
      </w:r>
      <w:r>
        <w:rPr>
          <w:spacing w:val="-7"/>
        </w:rPr>
        <w:t>、随着“家电下乡”、“以旧换新”政策的深入推进，以及家电产品升级换代趋势</w:t>
      </w:r>
      <w:r>
        <w:rPr/>
        <w:t> 显现，家电销售整体增长态势趋好。</w:t>
      </w:r>
    </w:p>
    <w:p>
      <w:pPr>
        <w:pStyle w:val="BodyText"/>
        <w:spacing w:line="338" w:lineRule="auto" w:before="55"/>
        <w:ind w:left="240" w:right="253" w:firstLine="480"/>
        <w:jc w:val="both"/>
      </w:pPr>
      <w:r>
        <w:rPr/>
        <w:t>综上，公司可比店面（指</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日当日及之前开设的店面）全年销售收入 同比上升</w:t>
      </w:r>
      <w:r>
        <w:rPr>
          <w:spacing w:val="-60"/>
        </w:rPr>
        <w:t> </w:t>
      </w:r>
      <w:r>
        <w:rPr>
          <w:rFonts w:ascii="Times New Roman" w:hAnsi="Times New Roman" w:cs="Times New Roman" w:eastAsia="Times New Roman" w:hint="default"/>
        </w:rPr>
        <w:t>15.97%</w:t>
      </w:r>
      <w:r>
        <w:rPr/>
        <w:t>。</w:t>
      </w:r>
    </w:p>
    <w:p>
      <w:pPr>
        <w:pStyle w:val="BodyText"/>
        <w:spacing w:line="240" w:lineRule="auto" w:before="27"/>
        <w:ind w:left="720" w:right="119"/>
        <w:jc w:val="left"/>
      </w:pPr>
      <w:r>
        <w:rPr/>
        <w:t>公司大陆地区可比店面按店面类型及市场类型分布经营质量情况：</w:t>
      </w:r>
    </w:p>
    <w:p>
      <w:pPr>
        <w:spacing w:line="240" w:lineRule="auto" w:before="10"/>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3086"/>
        <w:gridCol w:w="1932"/>
        <w:gridCol w:w="2051"/>
        <w:gridCol w:w="2176"/>
      </w:tblGrid>
      <w:tr>
        <w:trPr>
          <w:trHeight w:val="444" w:hRule="exact"/>
        </w:trPr>
        <w:tc>
          <w:tcPr>
            <w:tcW w:w="308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2"/>
              <w:ind w:right="7"/>
              <w:jc w:val="center"/>
              <w:rPr>
                <w:rFonts w:ascii="宋体" w:hAnsi="宋体" w:cs="宋体" w:eastAsia="宋体" w:hint="default"/>
                <w:sz w:val="21"/>
                <w:szCs w:val="21"/>
              </w:rPr>
            </w:pPr>
            <w:r>
              <w:rPr>
                <w:rFonts w:ascii="宋体" w:hAnsi="宋体" w:cs="宋体" w:eastAsia="宋体" w:hint="default"/>
                <w:sz w:val="21"/>
                <w:szCs w:val="21"/>
              </w:rPr>
              <w:t>店面类型</w:t>
            </w:r>
          </w:p>
        </w:tc>
        <w:tc>
          <w:tcPr>
            <w:tcW w:w="19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旗舰店</w:t>
            </w:r>
          </w:p>
        </w:tc>
        <w:tc>
          <w:tcPr>
            <w:tcW w:w="20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中心店</w:t>
            </w:r>
          </w:p>
        </w:tc>
        <w:tc>
          <w:tcPr>
            <w:tcW w:w="217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2"/>
              <w:ind w:right="756"/>
              <w:jc w:val="right"/>
              <w:rPr>
                <w:rFonts w:ascii="宋体" w:hAnsi="宋体" w:cs="宋体" w:eastAsia="宋体" w:hint="default"/>
                <w:sz w:val="21"/>
                <w:szCs w:val="21"/>
              </w:rPr>
            </w:pPr>
            <w:r>
              <w:rPr>
                <w:rFonts w:ascii="宋体" w:hAnsi="宋体" w:cs="宋体" w:eastAsia="宋体" w:hint="default"/>
                <w:sz w:val="21"/>
                <w:szCs w:val="21"/>
              </w:rPr>
              <w:t>社区店</w:t>
            </w:r>
          </w:p>
        </w:tc>
      </w:tr>
      <w:tr>
        <w:trPr>
          <w:trHeight w:val="466" w:hRule="exact"/>
        </w:trPr>
        <w:tc>
          <w:tcPr>
            <w:tcW w:w="308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right="7"/>
              <w:jc w:val="center"/>
              <w:rPr>
                <w:rFonts w:ascii="宋体" w:hAnsi="宋体" w:cs="宋体" w:eastAsia="宋体" w:hint="default"/>
                <w:sz w:val="21"/>
                <w:szCs w:val="21"/>
              </w:rPr>
            </w:pPr>
            <w:r>
              <w:rPr>
                <w:rFonts w:ascii="宋体" w:hAnsi="宋体" w:cs="宋体" w:eastAsia="宋体" w:hint="default"/>
                <w:sz w:val="21"/>
                <w:szCs w:val="21"/>
              </w:rPr>
              <w:t>可比店面销售同比增长</w:t>
            </w:r>
          </w:p>
        </w:tc>
        <w:tc>
          <w:tcPr>
            <w:tcW w:w="19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16.18%</w:t>
            </w:r>
          </w:p>
        </w:tc>
        <w:tc>
          <w:tcPr>
            <w:tcW w:w="20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14.69%</w:t>
            </w:r>
          </w:p>
        </w:tc>
        <w:tc>
          <w:tcPr>
            <w:tcW w:w="217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9"/>
              <w:ind w:right="746"/>
              <w:jc w:val="right"/>
              <w:rPr>
                <w:rFonts w:ascii="Times New Roman" w:hAnsi="Times New Roman" w:cs="Times New Roman" w:eastAsia="Times New Roman" w:hint="default"/>
                <w:sz w:val="21"/>
                <w:szCs w:val="21"/>
              </w:rPr>
            </w:pPr>
            <w:r>
              <w:rPr>
                <w:rFonts w:ascii="Times New Roman"/>
                <w:spacing w:val="-1"/>
                <w:sz w:val="21"/>
              </w:rPr>
              <w:t>16.74%</w:t>
            </w:r>
          </w:p>
        </w:tc>
      </w:tr>
    </w:tbl>
    <w:p>
      <w:pPr>
        <w:spacing w:line="240" w:lineRule="auto" w:before="8"/>
        <w:rPr>
          <w:rFonts w:ascii="宋体" w:hAnsi="宋体" w:cs="宋体" w:eastAsia="宋体"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2502"/>
        <w:gridCol w:w="1562"/>
        <w:gridCol w:w="1661"/>
        <w:gridCol w:w="1763"/>
        <w:gridCol w:w="1762"/>
      </w:tblGrid>
      <w:tr>
        <w:trPr>
          <w:trHeight w:val="445" w:hRule="exact"/>
        </w:trPr>
        <w:tc>
          <w:tcPr>
            <w:tcW w:w="250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2"/>
              <w:ind w:right="8"/>
              <w:jc w:val="center"/>
              <w:rPr>
                <w:rFonts w:ascii="宋体" w:hAnsi="宋体" w:cs="宋体" w:eastAsia="宋体" w:hint="default"/>
                <w:sz w:val="21"/>
                <w:szCs w:val="21"/>
              </w:rPr>
            </w:pPr>
            <w:r>
              <w:rPr>
                <w:rFonts w:ascii="宋体" w:hAnsi="宋体" w:cs="宋体" w:eastAsia="宋体" w:hint="default"/>
                <w:sz w:val="21"/>
                <w:szCs w:val="21"/>
              </w:rPr>
              <w:t>市场级别</w:t>
            </w:r>
          </w:p>
        </w:tc>
        <w:tc>
          <w:tcPr>
            <w:tcW w:w="15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一级市场</w:t>
            </w:r>
          </w:p>
        </w:tc>
        <w:tc>
          <w:tcPr>
            <w:tcW w:w="16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二级市场</w:t>
            </w:r>
          </w:p>
        </w:tc>
        <w:tc>
          <w:tcPr>
            <w:tcW w:w="17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三级市场</w:t>
            </w:r>
          </w:p>
        </w:tc>
        <w:tc>
          <w:tcPr>
            <w:tcW w:w="176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四级市场</w:t>
            </w:r>
          </w:p>
        </w:tc>
      </w:tr>
      <w:tr>
        <w:trPr>
          <w:trHeight w:val="464" w:hRule="exact"/>
        </w:trPr>
        <w:tc>
          <w:tcPr>
            <w:tcW w:w="250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right="8"/>
              <w:jc w:val="center"/>
              <w:rPr>
                <w:rFonts w:ascii="宋体" w:hAnsi="宋体" w:cs="宋体" w:eastAsia="宋体" w:hint="default"/>
                <w:sz w:val="21"/>
                <w:szCs w:val="21"/>
              </w:rPr>
            </w:pPr>
            <w:r>
              <w:rPr>
                <w:rFonts w:ascii="宋体" w:hAnsi="宋体" w:cs="宋体" w:eastAsia="宋体" w:hint="default"/>
                <w:sz w:val="21"/>
                <w:szCs w:val="21"/>
              </w:rPr>
              <w:t>可比店面销售同比增长</w:t>
            </w:r>
          </w:p>
        </w:tc>
        <w:tc>
          <w:tcPr>
            <w:tcW w:w="15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15.73%</w:t>
            </w: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15.37%</w:t>
            </w:r>
          </w:p>
        </w:tc>
        <w:tc>
          <w:tcPr>
            <w:tcW w:w="17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18.77%</w:t>
            </w:r>
          </w:p>
        </w:tc>
        <w:tc>
          <w:tcPr>
            <w:tcW w:w="176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9"/>
              <w:ind w:left="11" w:right="0"/>
              <w:jc w:val="center"/>
              <w:rPr>
                <w:rFonts w:ascii="Times New Roman" w:hAnsi="Times New Roman" w:cs="Times New Roman" w:eastAsia="Times New Roman" w:hint="default"/>
                <w:sz w:val="21"/>
                <w:szCs w:val="21"/>
              </w:rPr>
            </w:pPr>
            <w:r>
              <w:rPr>
                <w:rFonts w:ascii="Times New Roman"/>
                <w:sz w:val="21"/>
              </w:rPr>
              <w:t>19.73%</w:t>
            </w:r>
          </w:p>
        </w:tc>
      </w:tr>
    </w:tbl>
    <w:p>
      <w:pPr>
        <w:spacing w:line="272" w:lineRule="exact" w:before="113"/>
        <w:ind w:left="660" w:right="238" w:hanging="420"/>
        <w:jc w:val="left"/>
        <w:rPr>
          <w:rFonts w:ascii="宋体" w:hAnsi="宋体" w:cs="宋体" w:eastAsia="宋体" w:hint="default"/>
          <w:sz w:val="21"/>
          <w:szCs w:val="21"/>
        </w:rPr>
      </w:pPr>
      <w:r>
        <w:rPr>
          <w:rFonts w:ascii="宋体" w:hAnsi="宋体" w:cs="宋体" w:eastAsia="宋体" w:hint="default"/>
          <w:sz w:val="21"/>
          <w:szCs w:val="21"/>
        </w:rPr>
        <w:t>注：公司于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年开始推进精品店、县镇店的开发，故暂无可比门店情况；四级市场店面为公司 以前年度在江、浙、粤等富裕地区的镇级市场以常规店模式开设的店面。</w:t>
      </w:r>
    </w:p>
    <w:p>
      <w:pPr>
        <w:pStyle w:val="BodyText"/>
        <w:spacing w:line="345" w:lineRule="auto" w:before="89"/>
        <w:ind w:left="240" w:right="250" w:firstLine="480"/>
        <w:jc w:val="both"/>
      </w:pPr>
      <w:r>
        <w:rPr>
          <w:rFonts w:ascii="Wingdings" w:hAnsi="Wingdings" w:cs="Wingdings" w:eastAsia="Wingdings" w:hint="default"/>
        </w:rPr>
        <w:t></w:t>
      </w:r>
      <w:r>
        <w:rPr>
          <w:rFonts w:ascii="Wingdings" w:hAnsi="Wingdings" w:cs="Wingdings" w:eastAsia="Wingdings" w:hint="default"/>
          <w:spacing w:val="-44"/>
        </w:rPr>
        <w:t></w:t>
      </w:r>
      <w:r>
        <w:rPr>
          <w:rFonts w:ascii="Times New Roman" w:hAnsi="Times New Roman" w:cs="Times New Roman" w:eastAsia="Times New Roman" w:hint="default"/>
          <w:spacing w:val="-44"/>
        </w:rPr>
      </w:r>
      <w:r>
        <w:rPr/>
        <w:t>店面类型方面，报告期内，公司加大对重点、核心店面的改造投入，创新推出 </w:t>
      </w:r>
      <w:r>
        <w:rPr>
          <w:rFonts w:ascii="Times New Roman" w:hAnsi="Times New Roman" w:cs="Times New Roman" w:eastAsia="Times New Roman" w:hint="default"/>
        </w:rPr>
        <w:t>Expo</w:t>
      </w:r>
      <w:r>
        <w:rPr>
          <w:rFonts w:ascii="Times New Roman" w:hAnsi="Times New Roman" w:cs="Times New Roman" w:eastAsia="Times New Roman" w:hint="default"/>
          <w:spacing w:val="56"/>
        </w:rPr>
        <w:t> </w:t>
      </w:r>
      <w:r>
        <w:rPr/>
        <w:t>旗舰店模式，使得此种类型店面在改造完成后销售增长明显；随着城镇化进程的 </w:t>
      </w:r>
      <w:r>
        <w:rPr>
          <w:spacing w:val="-3"/>
        </w:rPr>
        <w:t>推进，社区消费需求增多，以及公司通过合理规划，优化社区店商品结构，并尝试推进</w:t>
      </w:r>
      <w:r>
        <w:rPr>
          <w:spacing w:val="-98"/>
        </w:rPr>
        <w:t> </w:t>
      </w:r>
      <w:r>
        <w:rPr>
          <w:spacing w:val="-98"/>
        </w:rPr>
      </w:r>
      <w:r>
        <w:rPr/>
        <w:t>社区店自营，带来社区店可比店面销售增幅较大。</w:t>
      </w:r>
    </w:p>
    <w:p>
      <w:pPr>
        <w:pStyle w:val="BodyText"/>
        <w:spacing w:line="348" w:lineRule="auto" w:before="48"/>
        <w:ind w:left="240" w:right="250" w:firstLine="480"/>
        <w:jc w:val="both"/>
      </w:pPr>
      <w:r>
        <w:rPr>
          <w:rFonts w:ascii="Wingdings" w:hAnsi="Wingdings" w:cs="Wingdings" w:eastAsia="Wingdings" w:hint="default"/>
        </w:rPr>
        <w:t></w:t>
      </w:r>
      <w:r>
        <w:rPr>
          <w:rFonts w:ascii="Wingdings" w:hAnsi="Wingdings" w:cs="Wingdings" w:eastAsia="Wingdings" w:hint="default"/>
          <w:spacing w:val="-44"/>
        </w:rPr>
        <w:t></w:t>
      </w:r>
      <w:r>
        <w:rPr>
          <w:rFonts w:ascii="Times New Roman" w:hAnsi="Times New Roman" w:cs="Times New Roman" w:eastAsia="Times New Roman" w:hint="default"/>
          <w:spacing w:val="-44"/>
        </w:rPr>
      </w:r>
      <w:r>
        <w:rPr/>
        <w:t>随着物流、售后等后台平台建设的加强，我司跨区域管理模式进一步成熟，同 </w:t>
      </w:r>
      <w:r>
        <w:rPr>
          <w:spacing w:val="-3"/>
        </w:rPr>
        <w:t>时公司还积极响应国家政策，推进家电下乡销售，在三、四级市场消费能力上升的基础</w:t>
      </w:r>
      <w:r>
        <w:rPr>
          <w:spacing w:val="-98"/>
        </w:rPr>
        <w:t> </w:t>
      </w:r>
      <w:r>
        <w:rPr>
          <w:spacing w:val="-98"/>
        </w:rPr>
      </w:r>
      <w:r>
        <w:rPr/>
        <w:t>上，报告期内三、四级市场店面可比销售收入增长迅速。</w:t>
      </w:r>
    </w:p>
    <w:p>
      <w:pPr>
        <w:pStyle w:val="BodyText"/>
        <w:spacing w:line="240" w:lineRule="auto" w:before="46"/>
        <w:ind w:left="720" w:right="2202"/>
        <w:jc w:val="left"/>
      </w:pPr>
      <w:r>
        <w:rPr/>
        <w:t>（四）经营成果及原因分析</w:t>
      </w:r>
    </w:p>
    <w:p>
      <w:pPr>
        <w:tabs>
          <w:tab w:pos="7516" w:val="left" w:leader="none"/>
        </w:tabs>
        <w:spacing w:before="154"/>
        <w:ind w:left="961" w:right="119"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1</w:t>
      </w:r>
      <w:r>
        <w:rPr>
          <w:rFonts w:ascii="宋体" w:hAnsi="宋体" w:cs="宋体" w:eastAsia="宋体" w:hint="default"/>
          <w:sz w:val="24"/>
          <w:szCs w:val="24"/>
        </w:rPr>
        <w:t>、经营结果及原因综述</w:t>
        <w:tab/>
      </w:r>
      <w:r>
        <w:rPr>
          <w:rFonts w:ascii="宋体" w:hAnsi="宋体" w:cs="宋体" w:eastAsia="宋体" w:hint="default"/>
          <w:sz w:val="21"/>
          <w:szCs w:val="21"/>
        </w:rPr>
        <w:t>（单位：千元）</w:t>
      </w:r>
    </w:p>
    <w:p>
      <w:pPr>
        <w:spacing w:line="240" w:lineRule="auto" w:before="5"/>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3088"/>
        <w:gridCol w:w="1670"/>
        <w:gridCol w:w="1672"/>
        <w:gridCol w:w="1204"/>
        <w:gridCol w:w="1612"/>
      </w:tblGrid>
      <w:tr>
        <w:trPr>
          <w:trHeight w:val="578" w:hRule="exact"/>
        </w:trPr>
        <w:tc>
          <w:tcPr>
            <w:tcW w:w="3088" w:type="dxa"/>
            <w:tcBorders>
              <w:top w:val="single" w:sz="17" w:space="0" w:color="000000"/>
              <w:left w:val="single" w:sz="17" w:space="0" w:color="000000"/>
              <w:bottom w:val="single" w:sz="8" w:space="0" w:color="000000"/>
              <w:right w:val="single" w:sz="8" w:space="0" w:color="000000"/>
            </w:tcBorders>
          </w:tcPr>
          <w:p>
            <w:pPr>
              <w:pStyle w:val="TableParagraph"/>
              <w:spacing w:line="240" w:lineRule="auto" w:before="104"/>
              <w:ind w:right="11"/>
              <w:jc w:val="center"/>
              <w:rPr>
                <w:rFonts w:ascii="宋体" w:hAnsi="宋体" w:cs="宋体" w:eastAsia="宋体" w:hint="default"/>
                <w:sz w:val="21"/>
                <w:szCs w:val="21"/>
              </w:rPr>
            </w:pPr>
            <w:r>
              <w:rPr>
                <w:rFonts w:ascii="宋体" w:hAnsi="宋体" w:cs="宋体" w:eastAsia="宋体" w:hint="default"/>
                <w:sz w:val="21"/>
                <w:szCs w:val="21"/>
              </w:rPr>
              <w:t>项目</w:t>
            </w:r>
          </w:p>
        </w:tc>
        <w:tc>
          <w:tcPr>
            <w:tcW w:w="167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4"/>
              <w:ind w:right="132"/>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672"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4"/>
              <w:ind w:right="13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04" w:type="dxa"/>
            <w:tcBorders>
              <w:top w:val="single" w:sz="17" w:space="0" w:color="000000"/>
              <w:left w:val="single" w:sz="8" w:space="0" w:color="000000"/>
              <w:bottom w:val="single" w:sz="8" w:space="0" w:color="000000"/>
              <w:right w:val="single" w:sz="8" w:space="0" w:color="000000"/>
            </w:tcBorders>
          </w:tcPr>
          <w:p>
            <w:pPr>
              <w:pStyle w:val="TableParagraph"/>
              <w:spacing w:line="242" w:lineRule="exact"/>
              <w:ind w:left="277" w:right="0"/>
              <w:jc w:val="left"/>
              <w:rPr>
                <w:rFonts w:ascii="宋体" w:hAnsi="宋体" w:cs="宋体" w:eastAsia="宋体" w:hint="default"/>
                <w:sz w:val="21"/>
                <w:szCs w:val="21"/>
              </w:rPr>
            </w:pPr>
            <w:r>
              <w:rPr>
                <w:rFonts w:ascii="宋体" w:hAnsi="宋体" w:cs="宋体" w:eastAsia="宋体" w:hint="default"/>
                <w:sz w:val="21"/>
                <w:szCs w:val="21"/>
              </w:rPr>
              <w:t>增减率</w:t>
            </w:r>
          </w:p>
          <w:p>
            <w:pPr>
              <w:pStyle w:val="TableParagraph"/>
              <w:spacing w:line="289" w:lineRule="exact"/>
              <w:ind w:left="29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2" w:type="dxa"/>
            <w:tcBorders>
              <w:top w:val="single" w:sz="17" w:space="0" w:color="000000"/>
              <w:left w:val="single" w:sz="8" w:space="0" w:color="000000"/>
              <w:bottom w:val="single" w:sz="8" w:space="0" w:color="000000"/>
              <w:right w:val="single" w:sz="17" w:space="0" w:color="000000"/>
            </w:tcBorders>
          </w:tcPr>
          <w:p>
            <w:pPr>
              <w:pStyle w:val="TableParagraph"/>
              <w:spacing w:line="240" w:lineRule="auto" w:before="104"/>
              <w:ind w:right="91"/>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66" w:hRule="exact"/>
        </w:trPr>
        <w:tc>
          <w:tcPr>
            <w:tcW w:w="3088"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3"/>
              <w:ind w:left="86"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pacing w:val="-1"/>
                <w:sz w:val="21"/>
              </w:rPr>
              <w:t>75,504,739</w:t>
            </w:r>
          </w:p>
        </w:tc>
        <w:tc>
          <w:tcPr>
            <w:tcW w:w="16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58,300,149</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21"/>
                <w:szCs w:val="21"/>
              </w:rPr>
            </w:pPr>
            <w:r>
              <w:rPr>
                <w:rFonts w:ascii="Times New Roman"/>
                <w:spacing w:val="-1"/>
                <w:sz w:val="21"/>
              </w:rPr>
              <w:t>29.51%</w:t>
            </w:r>
          </w:p>
        </w:tc>
        <w:tc>
          <w:tcPr>
            <w:tcW w:w="161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51"/>
              <w:ind w:right="84"/>
              <w:jc w:val="right"/>
              <w:rPr>
                <w:rFonts w:ascii="Times New Roman" w:hAnsi="Times New Roman" w:cs="Times New Roman" w:eastAsia="Times New Roman" w:hint="default"/>
                <w:sz w:val="21"/>
                <w:szCs w:val="21"/>
              </w:rPr>
            </w:pPr>
            <w:r>
              <w:rPr>
                <w:rFonts w:ascii="Times New Roman"/>
                <w:spacing w:val="-1"/>
                <w:sz w:val="21"/>
              </w:rPr>
              <w:t>49,896,709</w:t>
            </w:r>
          </w:p>
        </w:tc>
      </w:tr>
      <w:tr>
        <w:trPr>
          <w:trHeight w:val="365" w:hRule="exact"/>
        </w:trPr>
        <w:tc>
          <w:tcPr>
            <w:tcW w:w="3088"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3"/>
              <w:ind w:left="8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pacing w:val="-1"/>
                <w:sz w:val="21"/>
              </w:rPr>
              <w:t>62,040,712</w:t>
            </w:r>
          </w:p>
        </w:tc>
        <w:tc>
          <w:tcPr>
            <w:tcW w:w="16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48,185,789</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21"/>
                <w:szCs w:val="21"/>
              </w:rPr>
            </w:pPr>
            <w:r>
              <w:rPr>
                <w:rFonts w:ascii="Times New Roman"/>
                <w:spacing w:val="-1"/>
                <w:sz w:val="21"/>
              </w:rPr>
              <w:t>28.75%</w:t>
            </w:r>
          </w:p>
        </w:tc>
        <w:tc>
          <w:tcPr>
            <w:tcW w:w="161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51"/>
              <w:ind w:right="84"/>
              <w:jc w:val="right"/>
              <w:rPr>
                <w:rFonts w:ascii="Times New Roman" w:hAnsi="Times New Roman" w:cs="Times New Roman" w:eastAsia="Times New Roman" w:hint="default"/>
                <w:sz w:val="21"/>
                <w:szCs w:val="21"/>
              </w:rPr>
            </w:pPr>
            <w:r>
              <w:rPr>
                <w:rFonts w:ascii="Times New Roman"/>
                <w:spacing w:val="-1"/>
                <w:sz w:val="21"/>
              </w:rPr>
              <w:t>41,334,756</w:t>
            </w:r>
          </w:p>
        </w:tc>
      </w:tr>
      <w:tr>
        <w:trPr>
          <w:trHeight w:val="378" w:hRule="exact"/>
        </w:trPr>
        <w:tc>
          <w:tcPr>
            <w:tcW w:w="3088" w:type="dxa"/>
            <w:tcBorders>
              <w:top w:val="single" w:sz="8" w:space="0" w:color="000000"/>
              <w:left w:val="single" w:sz="17" w:space="0" w:color="000000"/>
              <w:bottom w:val="single" w:sz="17" w:space="0" w:color="000000"/>
              <w:right w:val="single" w:sz="8" w:space="0" w:color="000000"/>
            </w:tcBorders>
          </w:tcPr>
          <w:p>
            <w:pPr>
              <w:pStyle w:val="TableParagraph"/>
              <w:spacing w:line="240" w:lineRule="auto" w:before="3"/>
              <w:ind w:left="86"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7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pacing w:val="-1"/>
                <w:sz w:val="21"/>
              </w:rPr>
              <w:t>6,809,109</w:t>
            </w:r>
          </w:p>
        </w:tc>
        <w:tc>
          <w:tcPr>
            <w:tcW w:w="167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5,192,356</w:t>
            </w:r>
          </w:p>
        </w:tc>
        <w:tc>
          <w:tcPr>
            <w:tcW w:w="120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pacing w:val="-1"/>
                <w:sz w:val="21"/>
              </w:rPr>
              <w:t>31.14%</w:t>
            </w:r>
          </w:p>
        </w:tc>
        <w:tc>
          <w:tcPr>
            <w:tcW w:w="1612"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51"/>
              <w:ind w:right="86"/>
              <w:jc w:val="right"/>
              <w:rPr>
                <w:rFonts w:ascii="Times New Roman" w:hAnsi="Times New Roman" w:cs="Times New Roman" w:eastAsia="Times New Roman" w:hint="default"/>
                <w:sz w:val="21"/>
                <w:szCs w:val="21"/>
              </w:rPr>
            </w:pPr>
            <w:r>
              <w:rPr>
                <w:rFonts w:ascii="Times New Roman"/>
                <w:spacing w:val="-1"/>
                <w:sz w:val="21"/>
              </w:rPr>
              <w:t>4,780,468</w:t>
            </w:r>
          </w:p>
        </w:tc>
      </w:tr>
    </w:tbl>
    <w:p>
      <w:pPr>
        <w:spacing w:after="0" w:line="240" w:lineRule="auto"/>
        <w:jc w:val="right"/>
        <w:rPr>
          <w:rFonts w:ascii="Times New Roman" w:hAnsi="Times New Roman" w:cs="Times New Roman" w:eastAsia="Times New Roman" w:hint="default"/>
          <w:sz w:val="21"/>
          <w:szCs w:val="21"/>
        </w:rPr>
        <w:sectPr>
          <w:pgSz w:w="11910" w:h="16840"/>
          <w:pgMar w:header="748" w:footer="714" w:top="980" w:bottom="900" w:left="1200" w:right="11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3088"/>
        <w:gridCol w:w="1670"/>
        <w:gridCol w:w="1672"/>
        <w:gridCol w:w="1204"/>
        <w:gridCol w:w="1612"/>
      </w:tblGrid>
      <w:tr>
        <w:trPr>
          <w:trHeight w:val="378" w:hRule="exact"/>
        </w:trPr>
        <w:tc>
          <w:tcPr>
            <w:tcW w:w="3088" w:type="dxa"/>
            <w:tcBorders>
              <w:top w:val="single" w:sz="17" w:space="0" w:color="000000"/>
              <w:left w:val="single" w:sz="17" w:space="0" w:color="000000"/>
              <w:bottom w:val="single" w:sz="8" w:space="0" w:color="000000"/>
              <w:right w:val="single" w:sz="8" w:space="0" w:color="000000"/>
            </w:tcBorders>
          </w:tcPr>
          <w:p>
            <w:pPr>
              <w:pStyle w:val="TableParagraph"/>
              <w:spacing w:line="240" w:lineRule="auto" w:before="4"/>
              <w:ind w:left="86"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7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52"/>
              <w:ind w:right="95"/>
              <w:jc w:val="right"/>
              <w:rPr>
                <w:rFonts w:ascii="Times New Roman" w:hAnsi="Times New Roman" w:cs="Times New Roman" w:eastAsia="Times New Roman" w:hint="default"/>
                <w:sz w:val="21"/>
                <w:szCs w:val="21"/>
              </w:rPr>
            </w:pPr>
            <w:r>
              <w:rPr>
                <w:rFonts w:ascii="Times New Roman"/>
                <w:spacing w:val="-2"/>
                <w:sz w:val="21"/>
              </w:rPr>
              <w:t>1,250,311</w:t>
            </w:r>
          </w:p>
        </w:tc>
        <w:tc>
          <w:tcPr>
            <w:tcW w:w="1672"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21"/>
                <w:szCs w:val="21"/>
              </w:rPr>
            </w:pPr>
            <w:r>
              <w:rPr>
                <w:rFonts w:ascii="Times New Roman"/>
                <w:spacing w:val="-1"/>
                <w:sz w:val="21"/>
              </w:rPr>
              <w:t>912,093</w:t>
            </w:r>
          </w:p>
        </w:tc>
        <w:tc>
          <w:tcPr>
            <w:tcW w:w="1204"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21"/>
                <w:szCs w:val="21"/>
              </w:rPr>
            </w:pPr>
            <w:r>
              <w:rPr>
                <w:rFonts w:ascii="Times New Roman"/>
                <w:spacing w:val="-1"/>
                <w:sz w:val="21"/>
              </w:rPr>
              <w:t>37.08%</w:t>
            </w:r>
          </w:p>
        </w:tc>
        <w:tc>
          <w:tcPr>
            <w:tcW w:w="1612" w:type="dxa"/>
            <w:tcBorders>
              <w:top w:val="single" w:sz="17" w:space="0" w:color="000000"/>
              <w:left w:val="single" w:sz="8" w:space="0" w:color="000000"/>
              <w:bottom w:val="single" w:sz="8" w:space="0" w:color="000000"/>
              <w:right w:val="single" w:sz="17" w:space="0" w:color="000000"/>
            </w:tcBorders>
          </w:tcPr>
          <w:p>
            <w:pPr>
              <w:pStyle w:val="TableParagraph"/>
              <w:spacing w:line="240" w:lineRule="auto" w:before="52"/>
              <w:ind w:right="84"/>
              <w:jc w:val="right"/>
              <w:rPr>
                <w:rFonts w:ascii="Times New Roman" w:hAnsi="Times New Roman" w:cs="Times New Roman" w:eastAsia="Times New Roman" w:hint="default"/>
                <w:sz w:val="21"/>
                <w:szCs w:val="21"/>
              </w:rPr>
            </w:pPr>
            <w:r>
              <w:rPr>
                <w:rFonts w:ascii="Times New Roman"/>
                <w:spacing w:val="-1"/>
                <w:sz w:val="21"/>
              </w:rPr>
              <w:t>784,521</w:t>
            </w:r>
          </w:p>
        </w:tc>
      </w:tr>
      <w:tr>
        <w:trPr>
          <w:trHeight w:val="365" w:hRule="exact"/>
        </w:trPr>
        <w:tc>
          <w:tcPr>
            <w:tcW w:w="3088"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3"/>
              <w:ind w:left="86" w:right="0"/>
              <w:jc w:val="left"/>
              <w:rPr>
                <w:rFonts w:ascii="宋体" w:hAnsi="宋体" w:cs="宋体" w:eastAsia="宋体" w:hint="default"/>
                <w:sz w:val="21"/>
                <w:szCs w:val="21"/>
              </w:rPr>
            </w:pPr>
            <w:r>
              <w:rPr>
                <w:rFonts w:ascii="宋体" w:hAnsi="宋体" w:cs="宋体" w:eastAsia="宋体" w:hint="default"/>
                <w:sz w:val="21"/>
                <w:szCs w:val="21"/>
              </w:rPr>
              <w:t>财务收入—净额</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pacing w:val="-1"/>
                <w:sz w:val="21"/>
              </w:rPr>
              <w:t>360,769</w:t>
            </w:r>
          </w:p>
        </w:tc>
        <w:tc>
          <w:tcPr>
            <w:tcW w:w="16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172,924</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108.63%</w:t>
            </w:r>
          </w:p>
        </w:tc>
        <w:tc>
          <w:tcPr>
            <w:tcW w:w="161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51"/>
              <w:ind w:right="84"/>
              <w:jc w:val="right"/>
              <w:rPr>
                <w:rFonts w:ascii="Times New Roman" w:hAnsi="Times New Roman" w:cs="Times New Roman" w:eastAsia="Times New Roman" w:hint="default"/>
                <w:sz w:val="21"/>
                <w:szCs w:val="21"/>
              </w:rPr>
            </w:pPr>
            <w:r>
              <w:rPr>
                <w:rFonts w:ascii="Times New Roman"/>
                <w:spacing w:val="-1"/>
                <w:sz w:val="21"/>
              </w:rPr>
              <w:t>223,290</w:t>
            </w:r>
          </w:p>
        </w:tc>
      </w:tr>
      <w:tr>
        <w:trPr>
          <w:trHeight w:val="365" w:hRule="exact"/>
        </w:trPr>
        <w:tc>
          <w:tcPr>
            <w:tcW w:w="3088"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3"/>
              <w:ind w:left="86"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pacing w:val="-1"/>
                <w:sz w:val="21"/>
              </w:rPr>
              <w:t>5,431,948</w:t>
            </w:r>
          </w:p>
        </w:tc>
        <w:tc>
          <w:tcPr>
            <w:tcW w:w="16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3,875,032</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pacing w:val="-1"/>
                <w:sz w:val="21"/>
              </w:rPr>
              <w:t>40.18%</w:t>
            </w:r>
          </w:p>
        </w:tc>
        <w:tc>
          <w:tcPr>
            <w:tcW w:w="161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51"/>
              <w:ind w:right="86"/>
              <w:jc w:val="right"/>
              <w:rPr>
                <w:rFonts w:ascii="Times New Roman" w:hAnsi="Times New Roman" w:cs="Times New Roman" w:eastAsia="Times New Roman" w:hint="default"/>
                <w:sz w:val="21"/>
                <w:szCs w:val="21"/>
              </w:rPr>
            </w:pPr>
            <w:r>
              <w:rPr>
                <w:rFonts w:ascii="Times New Roman"/>
                <w:spacing w:val="-1"/>
                <w:sz w:val="21"/>
              </w:rPr>
              <w:t>2,964,374</w:t>
            </w:r>
          </w:p>
        </w:tc>
      </w:tr>
      <w:tr>
        <w:trPr>
          <w:trHeight w:val="366" w:hRule="exact"/>
        </w:trPr>
        <w:tc>
          <w:tcPr>
            <w:tcW w:w="3088"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3"/>
              <w:ind w:left="8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pacing w:val="-1"/>
                <w:sz w:val="21"/>
              </w:rPr>
              <w:t>5,402,044</w:t>
            </w:r>
          </w:p>
        </w:tc>
        <w:tc>
          <w:tcPr>
            <w:tcW w:w="16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3,926,367</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pacing w:val="-1"/>
                <w:sz w:val="21"/>
              </w:rPr>
              <w:t>37.58%</w:t>
            </w:r>
          </w:p>
        </w:tc>
        <w:tc>
          <w:tcPr>
            <w:tcW w:w="161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51"/>
              <w:ind w:right="86"/>
              <w:jc w:val="right"/>
              <w:rPr>
                <w:rFonts w:ascii="Times New Roman" w:hAnsi="Times New Roman" w:cs="Times New Roman" w:eastAsia="Times New Roman" w:hint="default"/>
                <w:sz w:val="21"/>
                <w:szCs w:val="21"/>
              </w:rPr>
            </w:pPr>
            <w:r>
              <w:rPr>
                <w:rFonts w:ascii="Times New Roman"/>
                <w:spacing w:val="-1"/>
                <w:sz w:val="21"/>
              </w:rPr>
              <w:t>2,950,873</w:t>
            </w:r>
          </w:p>
        </w:tc>
      </w:tr>
      <w:tr>
        <w:trPr>
          <w:trHeight w:val="365" w:hRule="exact"/>
        </w:trPr>
        <w:tc>
          <w:tcPr>
            <w:tcW w:w="3088"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3"/>
              <w:ind w:left="86"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21"/>
                <w:szCs w:val="21"/>
              </w:rPr>
            </w:pPr>
            <w:r>
              <w:rPr>
                <w:rFonts w:ascii="Times New Roman"/>
                <w:spacing w:val="-2"/>
                <w:sz w:val="21"/>
              </w:rPr>
              <w:t>4,011,820</w:t>
            </w:r>
            <w:r>
              <w:rPr>
                <w:rFonts w:ascii="Times New Roman"/>
                <w:sz w:val="21"/>
              </w:rPr>
            </w:r>
          </w:p>
        </w:tc>
        <w:tc>
          <w:tcPr>
            <w:tcW w:w="16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21"/>
                <w:szCs w:val="21"/>
              </w:rPr>
            </w:pPr>
            <w:r>
              <w:rPr>
                <w:rFonts w:ascii="Times New Roman"/>
                <w:spacing w:val="-1"/>
                <w:sz w:val="21"/>
              </w:rPr>
              <w:t>2,889,956</w:t>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pacing w:val="-1"/>
                <w:sz w:val="21"/>
              </w:rPr>
              <w:t>38.82%</w:t>
            </w:r>
          </w:p>
        </w:tc>
        <w:tc>
          <w:tcPr>
            <w:tcW w:w="161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51"/>
              <w:ind w:right="85"/>
              <w:jc w:val="right"/>
              <w:rPr>
                <w:rFonts w:ascii="Times New Roman" w:hAnsi="Times New Roman" w:cs="Times New Roman" w:eastAsia="Times New Roman" w:hint="default"/>
                <w:sz w:val="21"/>
                <w:szCs w:val="21"/>
              </w:rPr>
            </w:pPr>
            <w:r>
              <w:rPr>
                <w:rFonts w:ascii="Times New Roman"/>
                <w:spacing w:val="-1"/>
                <w:sz w:val="21"/>
              </w:rPr>
              <w:t>2,170,189</w:t>
            </w:r>
          </w:p>
        </w:tc>
      </w:tr>
      <w:tr>
        <w:trPr>
          <w:trHeight w:val="378" w:hRule="exact"/>
        </w:trPr>
        <w:tc>
          <w:tcPr>
            <w:tcW w:w="3088" w:type="dxa"/>
            <w:tcBorders>
              <w:top w:val="single" w:sz="8" w:space="0" w:color="000000"/>
              <w:left w:val="single" w:sz="17" w:space="0" w:color="000000"/>
              <w:bottom w:val="single" w:sz="17" w:space="0" w:color="000000"/>
              <w:right w:val="single" w:sz="8" w:space="0" w:color="000000"/>
            </w:tcBorders>
          </w:tcPr>
          <w:p>
            <w:pPr>
              <w:pStyle w:val="TableParagraph"/>
              <w:spacing w:line="240" w:lineRule="auto" w:before="3"/>
              <w:ind w:left="86"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7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21"/>
                <w:szCs w:val="21"/>
              </w:rPr>
            </w:pPr>
            <w:r>
              <w:rPr>
                <w:rFonts w:ascii="Times New Roman"/>
                <w:spacing w:val="-1"/>
                <w:sz w:val="21"/>
              </w:rPr>
              <w:t>3,881,336</w:t>
            </w:r>
          </w:p>
        </w:tc>
        <w:tc>
          <w:tcPr>
            <w:tcW w:w="167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21"/>
                <w:szCs w:val="21"/>
              </w:rPr>
            </w:pPr>
            <w:r>
              <w:rPr>
                <w:rFonts w:ascii="Times New Roman"/>
                <w:spacing w:val="-1"/>
                <w:sz w:val="21"/>
              </w:rPr>
              <w:t>5,554,942</w:t>
            </w:r>
          </w:p>
        </w:tc>
        <w:tc>
          <w:tcPr>
            <w:tcW w:w="120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-30.13%</w:t>
            </w:r>
          </w:p>
        </w:tc>
        <w:tc>
          <w:tcPr>
            <w:tcW w:w="1612"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51"/>
              <w:ind w:right="85"/>
              <w:jc w:val="right"/>
              <w:rPr>
                <w:rFonts w:ascii="Times New Roman" w:hAnsi="Times New Roman" w:cs="Times New Roman" w:eastAsia="Times New Roman" w:hint="default"/>
                <w:sz w:val="21"/>
                <w:szCs w:val="21"/>
              </w:rPr>
            </w:pPr>
            <w:r>
              <w:rPr>
                <w:rFonts w:ascii="Times New Roman"/>
                <w:spacing w:val="-1"/>
                <w:sz w:val="21"/>
              </w:rPr>
              <w:t>3,819,141</w:t>
            </w:r>
          </w:p>
        </w:tc>
      </w:tr>
    </w:tbl>
    <w:p>
      <w:pPr>
        <w:pStyle w:val="BodyText"/>
        <w:spacing w:line="338" w:lineRule="auto" w:before="81"/>
        <w:ind w:left="720" w:right="252"/>
        <w:jc w:val="left"/>
      </w:pPr>
      <w:r>
        <w:rPr/>
        <w:t>（</w:t>
      </w:r>
      <w:r>
        <w:rPr>
          <w:rFonts w:ascii="Times New Roman" w:hAnsi="Times New Roman" w:cs="Times New Roman" w:eastAsia="Times New Roman" w:hint="default"/>
        </w:rPr>
        <w:t>1</w:t>
      </w:r>
      <w:r>
        <w:rPr/>
        <w:t>） 营业收入变化情况 </w:t>
      </w:r>
      <w:r>
        <w:rPr>
          <w:spacing w:val="-3"/>
        </w:rPr>
        <w:t>报告期内，面对较好的外部环境，公司抓住时机，加快网络建设，店面经营质量不</w:t>
      </w:r>
    </w:p>
    <w:p>
      <w:pPr>
        <w:pStyle w:val="BodyText"/>
        <w:spacing w:line="338" w:lineRule="auto" w:before="55"/>
        <w:ind w:left="240" w:right="119"/>
        <w:jc w:val="left"/>
      </w:pPr>
      <w:r>
        <w:rPr>
          <w:spacing w:val="-2"/>
        </w:rPr>
        <w:t>断提升，终端销售和服务能力进一步增强，公司实现营业收入较上年同期增长</w:t>
      </w:r>
      <w:r>
        <w:rPr>
          <w:spacing w:val="-47"/>
        </w:rPr>
        <w:t> </w:t>
      </w:r>
      <w:r>
        <w:rPr>
          <w:rFonts w:ascii="Times New Roman" w:hAnsi="Times New Roman" w:cs="Times New Roman" w:eastAsia="Times New Roman" w:hint="default"/>
        </w:rPr>
        <w:t>29.51%</w:t>
      </w:r>
      <w:r>
        <w:rPr/>
        <w:t>，</w:t>
      </w:r>
      <w:r>
        <w:rPr>
          <w:spacing w:val="-118"/>
        </w:rPr>
        <w:t> </w:t>
      </w:r>
      <w:r>
        <w:rPr/>
        <w:t>其中主营业务收入同比增长</w:t>
      </w:r>
      <w:r>
        <w:rPr>
          <w:spacing w:val="-60"/>
        </w:rPr>
        <w:t> </w:t>
      </w:r>
      <w:r>
        <w:rPr>
          <w:rFonts w:ascii="Times New Roman" w:hAnsi="Times New Roman" w:cs="Times New Roman" w:eastAsia="Times New Roman" w:hint="default"/>
        </w:rPr>
        <w:t>30.14</w:t>
      </w:r>
      <w:r>
        <w:rPr/>
        <w:t>％。</w:t>
      </w:r>
    </w:p>
    <w:p>
      <w:pPr>
        <w:pStyle w:val="BodyText"/>
        <w:spacing w:line="240" w:lineRule="auto" w:before="147"/>
        <w:ind w:left="720" w:right="2202"/>
        <w:jc w:val="left"/>
      </w:pPr>
      <w:r>
        <w:rPr/>
        <w:t>（</w:t>
      </w:r>
      <w:r>
        <w:rPr>
          <w:rFonts w:ascii="Times New Roman" w:hAnsi="Times New Roman" w:cs="Times New Roman" w:eastAsia="Times New Roman" w:hint="default"/>
        </w:rPr>
        <w:t>2</w:t>
      </w:r>
      <w:r>
        <w:rPr/>
        <w:t>） 毛利率变化情况</w:t>
      </w:r>
    </w:p>
    <w:p>
      <w:pPr>
        <w:spacing w:line="240" w:lineRule="auto" w:before="5"/>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341"/>
        <w:gridCol w:w="1548"/>
        <w:gridCol w:w="1589"/>
        <w:gridCol w:w="1984"/>
        <w:gridCol w:w="1786"/>
      </w:tblGrid>
      <w:tr>
        <w:trPr>
          <w:trHeight w:val="348" w:hRule="exact"/>
        </w:trPr>
        <w:tc>
          <w:tcPr>
            <w:tcW w:w="2341" w:type="dxa"/>
            <w:tcBorders>
              <w:top w:val="single" w:sz="17" w:space="0" w:color="000000"/>
              <w:left w:val="single" w:sz="17" w:space="0" w:color="000000"/>
              <w:bottom w:val="single" w:sz="8" w:space="0" w:color="000000"/>
              <w:right w:val="single" w:sz="8" w:space="0" w:color="000000"/>
            </w:tcBorders>
          </w:tcPr>
          <w:p>
            <w:pPr>
              <w:pStyle w:val="TableParagraph"/>
              <w:spacing w:line="264" w:lineRule="exact"/>
              <w:ind w:right="11"/>
              <w:jc w:val="center"/>
              <w:rPr>
                <w:rFonts w:ascii="宋体" w:hAnsi="宋体" w:cs="宋体" w:eastAsia="宋体" w:hint="default"/>
                <w:sz w:val="21"/>
                <w:szCs w:val="21"/>
              </w:rPr>
            </w:pPr>
            <w:r>
              <w:rPr>
                <w:rFonts w:ascii="宋体" w:hAnsi="宋体" w:cs="宋体" w:eastAsia="宋体" w:hint="default"/>
                <w:sz w:val="21"/>
                <w:szCs w:val="21"/>
              </w:rPr>
              <w:t>项目</w:t>
            </w:r>
          </w:p>
        </w:tc>
        <w:tc>
          <w:tcPr>
            <w:tcW w:w="1548" w:type="dxa"/>
            <w:tcBorders>
              <w:top w:val="single" w:sz="17" w:space="0" w:color="000000"/>
              <w:left w:val="single" w:sz="8" w:space="0" w:color="000000"/>
              <w:bottom w:val="single" w:sz="8" w:space="0" w:color="000000"/>
              <w:right w:val="single" w:sz="8" w:space="0" w:color="000000"/>
            </w:tcBorders>
          </w:tcPr>
          <w:p>
            <w:pPr>
              <w:pStyle w:val="TableParagraph"/>
              <w:spacing w:line="27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89" w:type="dxa"/>
            <w:tcBorders>
              <w:top w:val="single" w:sz="17" w:space="0" w:color="000000"/>
              <w:left w:val="single" w:sz="8" w:space="0" w:color="000000"/>
              <w:bottom w:val="single" w:sz="8" w:space="0" w:color="000000"/>
              <w:right w:val="single" w:sz="8" w:space="0" w:color="000000"/>
            </w:tcBorders>
          </w:tcPr>
          <w:p>
            <w:pPr>
              <w:pStyle w:val="TableParagraph"/>
              <w:spacing w:line="27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84" w:type="dxa"/>
            <w:tcBorders>
              <w:top w:val="single" w:sz="17"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增减变化</w:t>
            </w:r>
          </w:p>
        </w:tc>
        <w:tc>
          <w:tcPr>
            <w:tcW w:w="1786" w:type="dxa"/>
            <w:tcBorders>
              <w:top w:val="single" w:sz="17" w:space="0" w:color="000000"/>
              <w:left w:val="single" w:sz="8" w:space="0" w:color="000000"/>
              <w:bottom w:val="single" w:sz="8" w:space="0" w:color="000000"/>
              <w:right w:val="single" w:sz="17" w:space="0" w:color="000000"/>
            </w:tcBorders>
          </w:tcPr>
          <w:p>
            <w:pPr>
              <w:pStyle w:val="TableParagraph"/>
              <w:spacing w:line="279"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35" w:hRule="exact"/>
        </w:trPr>
        <w:tc>
          <w:tcPr>
            <w:tcW w:w="2341" w:type="dxa"/>
            <w:tcBorders>
              <w:top w:val="single" w:sz="8" w:space="0" w:color="000000"/>
              <w:left w:val="single" w:sz="17" w:space="0" w:color="000000"/>
              <w:bottom w:val="single" w:sz="8" w:space="0" w:color="000000"/>
              <w:right w:val="single" w:sz="8" w:space="0" w:color="000000"/>
            </w:tcBorders>
          </w:tcPr>
          <w:p>
            <w:pPr>
              <w:pStyle w:val="TableParagraph"/>
              <w:spacing w:line="278" w:lineRule="exact"/>
              <w:ind w:right="11"/>
              <w:jc w:val="center"/>
              <w:rPr>
                <w:rFonts w:ascii="宋体" w:hAnsi="宋体" w:cs="宋体" w:eastAsia="宋体" w:hint="default"/>
                <w:sz w:val="21"/>
                <w:szCs w:val="21"/>
              </w:rPr>
            </w:pPr>
            <w:r>
              <w:rPr>
                <w:rFonts w:ascii="宋体" w:hAnsi="宋体" w:cs="宋体" w:eastAsia="宋体" w:hint="default"/>
                <w:sz w:val="21"/>
                <w:szCs w:val="21"/>
              </w:rPr>
              <w:t>主营业务毛利率（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16.59%</w:t>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15.66%</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1"/>
              <w:jc w:val="center"/>
              <w:rPr>
                <w:rFonts w:ascii="宋体" w:hAnsi="宋体" w:cs="宋体" w:eastAsia="宋体" w:hint="default"/>
                <w:sz w:val="21"/>
                <w:szCs w:val="21"/>
              </w:rPr>
            </w:pPr>
            <w:r>
              <w:rPr>
                <w:rFonts w:ascii="宋体" w:hAnsi="宋体" w:cs="宋体" w:eastAsia="宋体" w:hint="default"/>
                <w:sz w:val="21"/>
                <w:szCs w:val="21"/>
              </w:rPr>
              <w:t>上升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786"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5"/>
              <w:ind w:left="11" w:right="0"/>
              <w:jc w:val="center"/>
              <w:rPr>
                <w:rFonts w:ascii="Times New Roman" w:hAnsi="Times New Roman" w:cs="Times New Roman" w:eastAsia="Times New Roman" w:hint="default"/>
                <w:sz w:val="21"/>
                <w:szCs w:val="21"/>
              </w:rPr>
            </w:pPr>
            <w:r>
              <w:rPr>
                <w:rFonts w:ascii="Times New Roman"/>
                <w:sz w:val="21"/>
              </w:rPr>
              <w:t>14.53%</w:t>
            </w:r>
          </w:p>
        </w:tc>
      </w:tr>
      <w:tr>
        <w:trPr>
          <w:trHeight w:val="336" w:hRule="exact"/>
        </w:trPr>
        <w:tc>
          <w:tcPr>
            <w:tcW w:w="2341" w:type="dxa"/>
            <w:tcBorders>
              <w:top w:val="single" w:sz="8" w:space="0" w:color="000000"/>
              <w:left w:val="single" w:sz="17" w:space="0" w:color="000000"/>
              <w:bottom w:val="single" w:sz="8" w:space="0" w:color="000000"/>
              <w:right w:val="single" w:sz="8" w:space="0" w:color="000000"/>
            </w:tcBorders>
          </w:tcPr>
          <w:p>
            <w:pPr>
              <w:pStyle w:val="TableParagraph"/>
              <w:spacing w:line="278" w:lineRule="exact"/>
              <w:ind w:right="11"/>
              <w:jc w:val="center"/>
              <w:rPr>
                <w:rFonts w:ascii="宋体" w:hAnsi="宋体" w:cs="宋体" w:eastAsia="宋体" w:hint="default"/>
                <w:sz w:val="21"/>
                <w:szCs w:val="21"/>
              </w:rPr>
            </w:pPr>
            <w:r>
              <w:rPr>
                <w:rFonts w:ascii="宋体" w:hAnsi="宋体" w:cs="宋体" w:eastAsia="宋体" w:hint="default"/>
                <w:sz w:val="21"/>
                <w:szCs w:val="21"/>
              </w:rPr>
              <w:t>其他业务率（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1.55%</w:t>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2.07%</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1"/>
              <w:jc w:val="center"/>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0.52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786"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5"/>
              <w:ind w:left="10" w:right="0"/>
              <w:jc w:val="center"/>
              <w:rPr>
                <w:rFonts w:ascii="Times New Roman" w:hAnsi="Times New Roman" w:cs="Times New Roman" w:eastAsia="Times New Roman" w:hint="default"/>
                <w:sz w:val="21"/>
                <w:szCs w:val="21"/>
              </w:rPr>
            </w:pPr>
            <w:r>
              <w:rPr>
                <w:rFonts w:ascii="Times New Roman"/>
                <w:sz w:val="21"/>
              </w:rPr>
              <w:t>3.19%</w:t>
            </w:r>
          </w:p>
        </w:tc>
      </w:tr>
      <w:tr>
        <w:trPr>
          <w:trHeight w:val="348" w:hRule="exact"/>
        </w:trPr>
        <w:tc>
          <w:tcPr>
            <w:tcW w:w="2341" w:type="dxa"/>
            <w:tcBorders>
              <w:top w:val="single" w:sz="8" w:space="0" w:color="000000"/>
              <w:left w:val="single" w:sz="17" w:space="0" w:color="000000"/>
              <w:bottom w:val="single" w:sz="17" w:space="0" w:color="000000"/>
              <w:right w:val="single" w:sz="8" w:space="0" w:color="000000"/>
            </w:tcBorders>
          </w:tcPr>
          <w:p>
            <w:pPr>
              <w:pStyle w:val="TableParagraph"/>
              <w:spacing w:line="278" w:lineRule="exact"/>
              <w:ind w:right="11"/>
              <w:jc w:val="center"/>
              <w:rPr>
                <w:rFonts w:ascii="宋体" w:hAnsi="宋体" w:cs="宋体" w:eastAsia="宋体" w:hint="default"/>
                <w:sz w:val="21"/>
                <w:szCs w:val="21"/>
              </w:rPr>
            </w:pPr>
            <w:r>
              <w:rPr>
                <w:rFonts w:ascii="宋体" w:hAnsi="宋体" w:cs="宋体" w:eastAsia="宋体" w:hint="default"/>
                <w:sz w:val="21"/>
                <w:szCs w:val="21"/>
              </w:rPr>
              <w:t>综合毛利率（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4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18.14%</w:t>
            </w:r>
          </w:p>
        </w:tc>
        <w:tc>
          <w:tcPr>
            <w:tcW w:w="158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17.73%</w:t>
            </w:r>
          </w:p>
        </w:tc>
        <w:tc>
          <w:tcPr>
            <w:tcW w:w="1984" w:type="dxa"/>
            <w:tcBorders>
              <w:top w:val="single" w:sz="8" w:space="0" w:color="000000"/>
              <w:left w:val="single" w:sz="8" w:space="0" w:color="000000"/>
              <w:bottom w:val="single" w:sz="17" w:space="0" w:color="000000"/>
              <w:right w:val="single" w:sz="8" w:space="0" w:color="000000"/>
            </w:tcBorders>
          </w:tcPr>
          <w:p>
            <w:pPr>
              <w:pStyle w:val="TableParagraph"/>
              <w:spacing w:line="278" w:lineRule="exact"/>
              <w:ind w:right="1"/>
              <w:jc w:val="center"/>
              <w:rPr>
                <w:rFonts w:ascii="宋体" w:hAnsi="宋体" w:cs="宋体" w:eastAsia="宋体" w:hint="default"/>
                <w:sz w:val="21"/>
                <w:szCs w:val="21"/>
              </w:rPr>
            </w:pPr>
            <w:r>
              <w:rPr>
                <w:rFonts w:ascii="宋体" w:hAnsi="宋体" w:cs="宋体" w:eastAsia="宋体" w:hint="default"/>
                <w:sz w:val="21"/>
                <w:szCs w:val="21"/>
              </w:rPr>
              <w:t>上升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786"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35"/>
              <w:ind w:left="11" w:right="0"/>
              <w:jc w:val="center"/>
              <w:rPr>
                <w:rFonts w:ascii="Times New Roman" w:hAnsi="Times New Roman" w:cs="Times New Roman" w:eastAsia="Times New Roman" w:hint="default"/>
                <w:sz w:val="21"/>
                <w:szCs w:val="21"/>
              </w:rPr>
            </w:pPr>
            <w:r>
              <w:rPr>
                <w:rFonts w:ascii="Times New Roman"/>
                <w:sz w:val="21"/>
              </w:rPr>
              <w:t>17.72%</w:t>
            </w:r>
          </w:p>
        </w:tc>
      </w:tr>
    </w:tbl>
    <w:p>
      <w:pPr>
        <w:pStyle w:val="BodyText"/>
        <w:spacing w:line="240" w:lineRule="auto" w:before="81"/>
        <w:ind w:left="720" w:right="119"/>
        <w:jc w:val="left"/>
      </w:pPr>
      <w:r>
        <w:rPr/>
        <w:t>报告期内，公司实现主营业务毛利率同比提升 </w:t>
      </w:r>
      <w:r>
        <w:rPr>
          <w:rFonts w:ascii="Times New Roman" w:hAnsi="Times New Roman" w:cs="Times New Roman" w:eastAsia="Times New Roman" w:hint="default"/>
        </w:rPr>
        <w:t>0.93</w:t>
      </w:r>
      <w:r>
        <w:rPr>
          <w:rFonts w:ascii="Times New Roman" w:hAnsi="Times New Roman" w:cs="Times New Roman" w:eastAsia="Times New Roman" w:hint="default"/>
          <w:spacing w:val="28"/>
        </w:rPr>
        <w:t> </w:t>
      </w:r>
      <w:r>
        <w:rPr/>
        <w:t>个百分点，其他业务利润率同</w:t>
      </w:r>
    </w:p>
    <w:p>
      <w:pPr>
        <w:pStyle w:val="BodyText"/>
        <w:spacing w:line="240" w:lineRule="auto" w:before="135"/>
        <w:ind w:left="239" w:right="119"/>
        <w:jc w:val="left"/>
      </w:pPr>
      <w:r>
        <w:rPr/>
        <w:t>比下降</w:t>
      </w:r>
      <w:r>
        <w:rPr>
          <w:spacing w:val="-60"/>
        </w:rPr>
        <w:t> </w:t>
      </w:r>
      <w:r>
        <w:rPr>
          <w:rFonts w:ascii="Times New Roman" w:hAnsi="Times New Roman" w:cs="Times New Roman" w:eastAsia="Times New Roman" w:hint="default"/>
        </w:rPr>
        <w:t>0.52 </w:t>
      </w:r>
      <w:r>
        <w:rPr/>
        <w:t>个百分点，综合毛利率同比增长</w:t>
      </w:r>
      <w:r>
        <w:rPr>
          <w:spacing w:val="-60"/>
        </w:rPr>
        <w:t> </w:t>
      </w:r>
      <w:r>
        <w:rPr>
          <w:rFonts w:ascii="Times New Roman" w:hAnsi="Times New Roman" w:cs="Times New Roman" w:eastAsia="Times New Roman" w:hint="default"/>
        </w:rPr>
        <w:t>0.41 </w:t>
      </w:r>
      <w:r>
        <w:rPr/>
        <w:t>个百分点，主要原因为：</w:t>
      </w:r>
    </w:p>
    <w:p>
      <w:pPr>
        <w:spacing w:line="240" w:lineRule="auto" w:before="7"/>
        <w:rPr>
          <w:rFonts w:ascii="宋体" w:hAnsi="宋体" w:cs="宋体" w:eastAsia="宋体" w:hint="default"/>
          <w:sz w:val="19"/>
          <w:szCs w:val="19"/>
        </w:rPr>
      </w:pPr>
    </w:p>
    <w:p>
      <w:pPr>
        <w:pStyle w:val="BodyText"/>
        <w:spacing w:line="338" w:lineRule="auto"/>
        <w:ind w:left="239" w:right="250" w:firstLine="480"/>
        <w:jc w:val="both"/>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公司进一步践行零供采购合作模式简单化，通过信息平台的运用，不断完善供 应链对接功能，提高合作效率，零供双方的合作关系更加和谐。</w:t>
      </w:r>
    </w:p>
    <w:p>
      <w:pPr>
        <w:pStyle w:val="BodyText"/>
        <w:spacing w:line="338" w:lineRule="auto" w:before="175"/>
        <w:ind w:left="239" w:right="242" w:firstLine="480"/>
        <w:jc w:val="both"/>
      </w:pPr>
      <w:r>
        <w:rPr>
          <w:rFonts w:ascii="Wingdings" w:hAnsi="Wingdings" w:cs="Wingdings" w:eastAsia="Wingdings" w:hint="default"/>
        </w:rPr>
        <w:t></w:t>
      </w:r>
      <w:r>
        <w:rPr>
          <w:rFonts w:ascii="Times New Roman" w:hAnsi="Times New Roman" w:cs="Times New Roman" w:eastAsia="Times New Roman" w:hint="default"/>
        </w:rPr>
      </w:r>
      <w:r>
        <w:rPr/>
        <w:t>定制、包销、</w:t>
      </w:r>
      <w:r>
        <w:rPr>
          <w:rFonts w:ascii="Times New Roman" w:hAnsi="Times New Roman" w:cs="Times New Roman" w:eastAsia="Times New Roman" w:hint="default"/>
        </w:rPr>
        <w:t>OEM</w:t>
      </w:r>
      <w:r>
        <w:rPr/>
        <w:t>、</w:t>
      </w:r>
      <w:r>
        <w:rPr>
          <w:rFonts w:ascii="Times New Roman" w:hAnsi="Times New Roman" w:cs="Times New Roman" w:eastAsia="Times New Roman" w:hint="default"/>
        </w:rPr>
        <w:t>ODM</w:t>
      </w:r>
      <w:r>
        <w:rPr>
          <w:rFonts w:ascii="Times New Roman" w:hAnsi="Times New Roman" w:cs="Times New Roman" w:eastAsia="Times New Roman" w:hint="default"/>
          <w:spacing w:val="-1"/>
        </w:rPr>
        <w:t> </w:t>
      </w:r>
      <w:r>
        <w:rPr/>
        <w:t>等采购手段的不断深入推进，有助于各品类产品毛 利的提升；</w:t>
      </w:r>
      <w:r>
        <w:rPr>
          <w:rFonts w:ascii="Times New Roman" w:hAnsi="Times New Roman" w:cs="Times New Roman" w:eastAsia="Times New Roman" w:hint="default"/>
        </w:rPr>
        <w:t>3C</w:t>
      </w:r>
      <w:r>
        <w:rPr>
          <w:rFonts w:ascii="Times New Roman" w:hAnsi="Times New Roman" w:cs="Times New Roman" w:eastAsia="Times New Roman" w:hint="default"/>
          <w:spacing w:val="48"/>
        </w:rPr>
        <w:t> </w:t>
      </w:r>
      <w:r>
        <w:rPr/>
        <w:t>品类产品随着销售规模的扩大，合同政策有所提升，同时公司还加大该 类产品单品运作的比例，加强周边产品的销售，带来</w:t>
      </w:r>
      <w:r>
        <w:rPr>
          <w:spacing w:val="-60"/>
        </w:rPr>
        <w:t> </w:t>
      </w:r>
      <w:r>
        <w:rPr>
          <w:rFonts w:ascii="Times New Roman" w:hAnsi="Times New Roman" w:cs="Times New Roman" w:eastAsia="Times New Roman" w:hint="default"/>
        </w:rPr>
        <w:t>3C</w:t>
      </w:r>
      <w:r>
        <w:rPr>
          <w:rFonts w:ascii="Times New Roman" w:hAnsi="Times New Roman" w:cs="Times New Roman" w:eastAsia="Times New Roman" w:hint="default"/>
          <w:spacing w:val="-1"/>
        </w:rPr>
        <w:t> </w:t>
      </w:r>
      <w:r>
        <w:rPr/>
        <w:t>品类的毛利率水平提升较快。</w:t>
      </w:r>
    </w:p>
    <w:p>
      <w:pPr>
        <w:pStyle w:val="BodyText"/>
        <w:spacing w:line="240" w:lineRule="auto" w:before="27"/>
        <w:ind w:left="720" w:right="2202"/>
        <w:jc w:val="left"/>
      </w:pPr>
      <w:r>
        <w:rPr/>
        <w:t>（</w:t>
      </w:r>
      <w:r>
        <w:rPr>
          <w:rFonts w:ascii="Times New Roman" w:hAnsi="Times New Roman" w:cs="Times New Roman" w:eastAsia="Times New Roman" w:hint="default"/>
        </w:rPr>
        <w:t>3</w:t>
      </w:r>
      <w:r>
        <w:rPr/>
        <w:t>）三项费用率变化情况</w:t>
      </w:r>
    </w:p>
    <w:p>
      <w:pPr>
        <w:spacing w:line="240" w:lineRule="auto" w:before="5"/>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1876"/>
        <w:gridCol w:w="1799"/>
        <w:gridCol w:w="1748"/>
        <w:gridCol w:w="2050"/>
        <w:gridCol w:w="1772"/>
      </w:tblGrid>
      <w:tr>
        <w:trPr>
          <w:trHeight w:val="348" w:hRule="exact"/>
        </w:trPr>
        <w:tc>
          <w:tcPr>
            <w:tcW w:w="1876" w:type="dxa"/>
            <w:tcBorders>
              <w:top w:val="single" w:sz="17" w:space="0" w:color="000000"/>
              <w:left w:val="single" w:sz="17" w:space="0" w:color="000000"/>
              <w:bottom w:val="single" w:sz="8" w:space="0" w:color="000000"/>
              <w:right w:val="single" w:sz="8" w:space="0" w:color="000000"/>
            </w:tcBorders>
          </w:tcPr>
          <w:p>
            <w:pPr>
              <w:pStyle w:val="TableParagraph"/>
              <w:spacing w:line="264" w:lineRule="exact"/>
              <w:ind w:right="1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9" w:type="dxa"/>
            <w:tcBorders>
              <w:top w:val="single" w:sz="17" w:space="0" w:color="000000"/>
              <w:left w:val="single" w:sz="8" w:space="0" w:color="000000"/>
              <w:bottom w:val="single" w:sz="8" w:space="0" w:color="000000"/>
              <w:right w:val="single" w:sz="8" w:space="0" w:color="000000"/>
            </w:tcBorders>
          </w:tcPr>
          <w:p>
            <w:pPr>
              <w:pStyle w:val="TableParagraph"/>
              <w:spacing w:line="259" w:lineRule="exact"/>
              <w:ind w:left="5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48" w:type="dxa"/>
            <w:tcBorders>
              <w:top w:val="single" w:sz="17" w:space="0" w:color="000000"/>
              <w:left w:val="single" w:sz="8" w:space="0" w:color="000000"/>
              <w:bottom w:val="single" w:sz="8" w:space="0" w:color="000000"/>
              <w:right w:val="single" w:sz="8" w:space="0" w:color="000000"/>
            </w:tcBorders>
          </w:tcPr>
          <w:p>
            <w:pPr>
              <w:pStyle w:val="TableParagraph"/>
              <w:spacing w:line="279" w:lineRule="exact"/>
              <w:ind w:right="521"/>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50" w:type="dxa"/>
            <w:tcBorders>
              <w:top w:val="single" w:sz="17" w:space="0" w:color="000000"/>
              <w:left w:val="single" w:sz="8" w:space="0" w:color="000000"/>
              <w:bottom w:val="single" w:sz="8" w:space="0" w:color="000000"/>
              <w:right w:val="single" w:sz="8"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增减变化</w:t>
            </w:r>
          </w:p>
        </w:tc>
        <w:tc>
          <w:tcPr>
            <w:tcW w:w="1772" w:type="dxa"/>
            <w:tcBorders>
              <w:top w:val="single" w:sz="17" w:space="0" w:color="000000"/>
              <w:left w:val="single" w:sz="8" w:space="0" w:color="000000"/>
              <w:bottom w:val="single" w:sz="8" w:space="0" w:color="000000"/>
              <w:right w:val="single" w:sz="17" w:space="0" w:color="000000"/>
            </w:tcBorders>
          </w:tcPr>
          <w:p>
            <w:pPr>
              <w:pStyle w:val="TableParagraph"/>
              <w:spacing w:line="279" w:lineRule="exact"/>
              <w:ind w:left="5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35" w:hRule="exact"/>
        </w:trPr>
        <w:tc>
          <w:tcPr>
            <w:tcW w:w="1876" w:type="dxa"/>
            <w:tcBorders>
              <w:top w:val="single" w:sz="8" w:space="0" w:color="000000"/>
              <w:left w:val="single" w:sz="17" w:space="0" w:color="000000"/>
              <w:bottom w:val="single" w:sz="8" w:space="0" w:color="000000"/>
              <w:right w:val="single" w:sz="8"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销售费用率</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617" w:right="0"/>
              <w:jc w:val="left"/>
              <w:rPr>
                <w:rFonts w:ascii="Times New Roman" w:hAnsi="Times New Roman" w:cs="Times New Roman" w:eastAsia="Times New Roman" w:hint="default"/>
                <w:sz w:val="21"/>
                <w:szCs w:val="21"/>
              </w:rPr>
            </w:pPr>
            <w:r>
              <w:rPr>
                <w:rFonts w:ascii="Times New Roman"/>
                <w:sz w:val="21"/>
              </w:rPr>
              <w:t>9.17%</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591"/>
              <w:jc w:val="right"/>
              <w:rPr>
                <w:rFonts w:ascii="Times New Roman" w:hAnsi="Times New Roman" w:cs="Times New Roman" w:eastAsia="Times New Roman" w:hint="default"/>
                <w:sz w:val="21"/>
                <w:szCs w:val="21"/>
              </w:rPr>
            </w:pPr>
            <w:r>
              <w:rPr>
                <w:rFonts w:ascii="Times New Roman"/>
                <w:spacing w:val="-1"/>
                <w:sz w:val="21"/>
              </w:rPr>
              <w:t>9.10%</w:t>
            </w:r>
          </w:p>
        </w:tc>
        <w:tc>
          <w:tcPr>
            <w:tcW w:w="2050"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77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5"/>
              <w:ind w:right="83"/>
              <w:jc w:val="right"/>
              <w:rPr>
                <w:rFonts w:ascii="Times New Roman" w:hAnsi="Times New Roman" w:cs="Times New Roman" w:eastAsia="Times New Roman" w:hint="default"/>
                <w:sz w:val="21"/>
                <w:szCs w:val="21"/>
              </w:rPr>
            </w:pPr>
            <w:r>
              <w:rPr>
                <w:rFonts w:ascii="Times New Roman"/>
                <w:spacing w:val="-1"/>
                <w:sz w:val="21"/>
              </w:rPr>
              <w:t>9.90%</w:t>
            </w:r>
          </w:p>
        </w:tc>
      </w:tr>
      <w:tr>
        <w:trPr>
          <w:trHeight w:val="336" w:hRule="exact"/>
        </w:trPr>
        <w:tc>
          <w:tcPr>
            <w:tcW w:w="1876" w:type="dxa"/>
            <w:tcBorders>
              <w:top w:val="single" w:sz="8" w:space="0" w:color="000000"/>
              <w:left w:val="single" w:sz="17" w:space="0" w:color="000000"/>
              <w:bottom w:val="single" w:sz="8" w:space="0" w:color="000000"/>
              <w:right w:val="single" w:sz="8"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管理费用率</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617" w:right="0"/>
              <w:jc w:val="left"/>
              <w:rPr>
                <w:rFonts w:ascii="Times New Roman" w:hAnsi="Times New Roman" w:cs="Times New Roman" w:eastAsia="Times New Roman" w:hint="default"/>
                <w:sz w:val="21"/>
                <w:szCs w:val="21"/>
              </w:rPr>
            </w:pPr>
            <w:r>
              <w:rPr>
                <w:rFonts w:ascii="Times New Roman"/>
                <w:sz w:val="21"/>
              </w:rPr>
              <w:t>1.68%</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591"/>
              <w:jc w:val="right"/>
              <w:rPr>
                <w:rFonts w:ascii="Times New Roman" w:hAnsi="Times New Roman" w:cs="Times New Roman" w:eastAsia="Times New Roman" w:hint="default"/>
                <w:sz w:val="21"/>
                <w:szCs w:val="21"/>
              </w:rPr>
            </w:pPr>
            <w:r>
              <w:rPr>
                <w:rFonts w:ascii="Times New Roman"/>
                <w:spacing w:val="-1"/>
                <w:sz w:val="21"/>
              </w:rPr>
              <w:t>1.60%</w:t>
            </w:r>
          </w:p>
        </w:tc>
        <w:tc>
          <w:tcPr>
            <w:tcW w:w="2050"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77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5"/>
              <w:ind w:right="83"/>
              <w:jc w:val="right"/>
              <w:rPr>
                <w:rFonts w:ascii="Times New Roman" w:hAnsi="Times New Roman" w:cs="Times New Roman" w:eastAsia="Times New Roman" w:hint="default"/>
                <w:sz w:val="21"/>
                <w:szCs w:val="21"/>
              </w:rPr>
            </w:pPr>
            <w:r>
              <w:rPr>
                <w:rFonts w:ascii="Times New Roman"/>
                <w:spacing w:val="-1"/>
                <w:sz w:val="21"/>
              </w:rPr>
              <w:t>1.62%</w:t>
            </w:r>
          </w:p>
        </w:tc>
      </w:tr>
      <w:tr>
        <w:trPr>
          <w:trHeight w:val="335" w:hRule="exact"/>
        </w:trPr>
        <w:tc>
          <w:tcPr>
            <w:tcW w:w="1876" w:type="dxa"/>
            <w:tcBorders>
              <w:top w:val="single" w:sz="8" w:space="0" w:color="000000"/>
              <w:left w:val="single" w:sz="17" w:space="0" w:color="000000"/>
              <w:bottom w:val="single" w:sz="8" w:space="0" w:color="000000"/>
              <w:right w:val="single" w:sz="8"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财务费用率</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83" w:right="0"/>
              <w:jc w:val="left"/>
              <w:rPr>
                <w:rFonts w:ascii="Times New Roman" w:hAnsi="Times New Roman" w:cs="Times New Roman" w:eastAsia="Times New Roman" w:hint="default"/>
                <w:sz w:val="21"/>
                <w:szCs w:val="21"/>
              </w:rPr>
            </w:pPr>
            <w:r>
              <w:rPr>
                <w:rFonts w:ascii="Times New Roman"/>
                <w:sz w:val="21"/>
              </w:rPr>
              <w:t>-0.49%</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555"/>
              <w:jc w:val="right"/>
              <w:rPr>
                <w:rFonts w:ascii="Times New Roman" w:hAnsi="Times New Roman" w:cs="Times New Roman" w:eastAsia="Times New Roman" w:hint="default"/>
                <w:sz w:val="21"/>
                <w:szCs w:val="21"/>
              </w:rPr>
            </w:pPr>
            <w:r>
              <w:rPr>
                <w:rFonts w:ascii="Times New Roman"/>
                <w:w w:val="95"/>
                <w:sz w:val="21"/>
              </w:rPr>
              <w:t>-0.30%</w:t>
            </w:r>
            <w:r>
              <w:rPr>
                <w:rFonts w:ascii="Times New Roman"/>
                <w:sz w:val="21"/>
              </w:rPr>
            </w:r>
          </w:p>
        </w:tc>
        <w:tc>
          <w:tcPr>
            <w:tcW w:w="2050"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77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5"/>
              <w:ind w:right="84"/>
              <w:jc w:val="right"/>
              <w:rPr>
                <w:rFonts w:ascii="Times New Roman" w:hAnsi="Times New Roman" w:cs="Times New Roman" w:eastAsia="Times New Roman" w:hint="default"/>
                <w:sz w:val="21"/>
                <w:szCs w:val="21"/>
              </w:rPr>
            </w:pPr>
            <w:r>
              <w:rPr>
                <w:rFonts w:ascii="Times New Roman"/>
                <w:w w:val="95"/>
                <w:sz w:val="21"/>
              </w:rPr>
              <w:t>-0.46%</w:t>
            </w:r>
            <w:r>
              <w:rPr>
                <w:rFonts w:ascii="Times New Roman"/>
                <w:sz w:val="21"/>
              </w:rPr>
            </w:r>
          </w:p>
        </w:tc>
      </w:tr>
      <w:tr>
        <w:trPr>
          <w:trHeight w:val="348" w:hRule="exact"/>
        </w:trPr>
        <w:tc>
          <w:tcPr>
            <w:tcW w:w="1876" w:type="dxa"/>
            <w:tcBorders>
              <w:top w:val="single" w:sz="8" w:space="0" w:color="000000"/>
              <w:left w:val="single" w:sz="17" w:space="0" w:color="000000"/>
              <w:bottom w:val="single" w:sz="17" w:space="0" w:color="000000"/>
              <w:right w:val="single" w:sz="8" w:space="0" w:color="000000"/>
            </w:tcBorders>
          </w:tcPr>
          <w:p>
            <w:pPr>
              <w:pStyle w:val="TableParagraph"/>
              <w:spacing w:line="262" w:lineRule="exact"/>
              <w:ind w:right="12"/>
              <w:jc w:val="center"/>
              <w:rPr>
                <w:rFonts w:ascii="宋体" w:hAnsi="宋体" w:cs="宋体" w:eastAsia="宋体" w:hint="default"/>
                <w:sz w:val="21"/>
                <w:szCs w:val="21"/>
              </w:rPr>
            </w:pPr>
            <w:r>
              <w:rPr>
                <w:rFonts w:ascii="宋体" w:hAnsi="宋体" w:cs="宋体" w:eastAsia="宋体" w:hint="default"/>
                <w:sz w:val="21"/>
                <w:szCs w:val="21"/>
              </w:rPr>
              <w:t>三项费用率</w:t>
            </w:r>
          </w:p>
        </w:tc>
        <w:tc>
          <w:tcPr>
            <w:tcW w:w="179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5"/>
              <w:ind w:left="565" w:right="0"/>
              <w:jc w:val="left"/>
              <w:rPr>
                <w:rFonts w:ascii="Times New Roman" w:hAnsi="Times New Roman" w:cs="Times New Roman" w:eastAsia="Times New Roman" w:hint="default"/>
                <w:sz w:val="21"/>
                <w:szCs w:val="21"/>
              </w:rPr>
            </w:pPr>
            <w:r>
              <w:rPr>
                <w:rFonts w:ascii="Times New Roman"/>
                <w:sz w:val="21"/>
              </w:rPr>
              <w:t>10.36%</w:t>
            </w:r>
          </w:p>
        </w:tc>
        <w:tc>
          <w:tcPr>
            <w:tcW w:w="174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5"/>
              <w:ind w:right="537"/>
              <w:jc w:val="right"/>
              <w:rPr>
                <w:rFonts w:ascii="Times New Roman" w:hAnsi="Times New Roman" w:cs="Times New Roman" w:eastAsia="Times New Roman" w:hint="default"/>
                <w:sz w:val="21"/>
                <w:szCs w:val="21"/>
              </w:rPr>
            </w:pPr>
            <w:r>
              <w:rPr>
                <w:rFonts w:ascii="Times New Roman"/>
                <w:spacing w:val="-1"/>
                <w:sz w:val="21"/>
              </w:rPr>
              <w:t>10.40%</w:t>
            </w:r>
          </w:p>
        </w:tc>
        <w:tc>
          <w:tcPr>
            <w:tcW w:w="2050" w:type="dxa"/>
            <w:tcBorders>
              <w:top w:val="single" w:sz="8" w:space="0" w:color="000000"/>
              <w:left w:val="single" w:sz="8" w:space="0" w:color="000000"/>
              <w:bottom w:val="single" w:sz="17" w:space="0" w:color="000000"/>
              <w:right w:val="single" w:sz="8" w:space="0" w:color="000000"/>
            </w:tcBorders>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772"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35"/>
              <w:ind w:right="83"/>
              <w:jc w:val="right"/>
              <w:rPr>
                <w:rFonts w:ascii="Times New Roman" w:hAnsi="Times New Roman" w:cs="Times New Roman" w:eastAsia="Times New Roman" w:hint="default"/>
                <w:sz w:val="21"/>
                <w:szCs w:val="21"/>
              </w:rPr>
            </w:pPr>
            <w:r>
              <w:rPr>
                <w:rFonts w:ascii="Times New Roman"/>
                <w:spacing w:val="-2"/>
                <w:sz w:val="21"/>
              </w:rPr>
              <w:t>11.06%</w:t>
            </w:r>
          </w:p>
        </w:tc>
      </w:tr>
    </w:tbl>
    <w:p>
      <w:pPr>
        <w:pStyle w:val="BodyText"/>
        <w:spacing w:line="292" w:lineRule="exact"/>
        <w:ind w:left="240" w:right="119" w:firstLine="540"/>
        <w:jc w:val="left"/>
      </w:pPr>
      <w:r>
        <w:rPr>
          <w:rFonts w:ascii="Wingdings" w:hAnsi="Wingdings" w:cs="Wingdings" w:eastAsia="Wingdings" w:hint="default"/>
        </w:rPr>
        <w:t></w:t>
      </w:r>
      <w:r>
        <w:rPr>
          <w:rFonts w:ascii="Wingdings" w:hAnsi="Wingdings" w:cs="Wingdings" w:eastAsia="Wingdings" w:hint="default"/>
          <w:spacing w:val="-102"/>
        </w:rPr>
        <w:t></w:t>
      </w:r>
      <w:r>
        <w:rPr>
          <w:rFonts w:ascii="Times New Roman" w:hAnsi="Times New Roman" w:cs="Times New Roman" w:eastAsia="Times New Roman" w:hint="default"/>
          <w:spacing w:val="-102"/>
        </w:rPr>
      </w:r>
      <w:r>
        <w:rPr/>
        <w:t>报告期内公司新开店数量超过以往历年水平，带来费用投入较快增长，尤其四</w:t>
      </w:r>
    </w:p>
    <w:p>
      <w:pPr>
        <w:pStyle w:val="BodyText"/>
        <w:spacing w:line="357" w:lineRule="auto" w:before="137"/>
        <w:ind w:left="240" w:right="119"/>
        <w:jc w:val="left"/>
      </w:pPr>
      <w:r>
        <w:rPr>
          <w:spacing w:val="-3"/>
        </w:rPr>
        <w:t>季度开店数量多，费用增长较快，同时，公司还开展了一系列二十周年庆典活动，加大</w:t>
      </w:r>
      <w:r>
        <w:rPr>
          <w:spacing w:val="-98"/>
        </w:rPr>
        <w:t> </w:t>
      </w:r>
      <w:r>
        <w:rPr>
          <w:spacing w:val="-98"/>
        </w:rPr>
      </w:r>
      <w:r>
        <w:rPr/>
        <w:t>品牌宣传投入，使得公司费用绝对值增长较快。</w:t>
      </w:r>
    </w:p>
    <w:p>
      <w:pPr>
        <w:pStyle w:val="BodyText"/>
        <w:spacing w:line="338" w:lineRule="auto" w:before="36"/>
        <w:ind w:left="240" w:right="144" w:firstLine="60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年快速的网络拓展，虽然短期内带来费用的集中增长，但是长远看来能够为 公司未来的发展提供良好的增长后劲，也有助于公司在租金尚未大幅度上涨的情况下，</w:t>
      </w:r>
    </w:p>
    <w:p>
      <w:pPr>
        <w:spacing w:after="0" w:line="338" w:lineRule="auto"/>
        <w:jc w:val="left"/>
        <w:sectPr>
          <w:pgSz w:w="11910" w:h="16840"/>
          <w:pgMar w:header="748" w:footer="714" w:top="980" w:bottom="900" w:left="1200" w:right="1180"/>
        </w:sectPr>
      </w:pPr>
    </w:p>
    <w:p>
      <w:pPr>
        <w:spacing w:line="240" w:lineRule="auto" w:before="7"/>
        <w:rPr>
          <w:rFonts w:ascii="宋体" w:hAnsi="宋体" w:cs="宋体" w:eastAsia="宋体" w:hint="default"/>
          <w:sz w:val="29"/>
          <w:szCs w:val="29"/>
        </w:rPr>
      </w:pPr>
    </w:p>
    <w:p>
      <w:pPr>
        <w:pStyle w:val="BodyText"/>
        <w:spacing w:line="357" w:lineRule="auto" w:before="26"/>
        <w:ind w:left="240" w:right="119"/>
        <w:jc w:val="left"/>
      </w:pPr>
      <w:r>
        <w:rPr>
          <w:spacing w:val="-3"/>
        </w:rPr>
        <w:t>锁定较长的租约。另外随着品牌宣传投入效益的逐步体现，企业形象也有力提升，可以</w:t>
      </w:r>
      <w:r>
        <w:rPr>
          <w:spacing w:val="-96"/>
        </w:rPr>
        <w:t> </w:t>
      </w:r>
      <w:r>
        <w:rPr>
          <w:spacing w:val="-96"/>
        </w:rPr>
      </w:r>
      <w:r>
        <w:rPr/>
        <w:t>获得更多的客户信赖。</w:t>
      </w:r>
    </w:p>
    <w:p>
      <w:pPr>
        <w:pStyle w:val="BodyText"/>
        <w:spacing w:line="357" w:lineRule="auto" w:before="36"/>
        <w:ind w:left="240" w:right="144" w:firstLine="600"/>
        <w:jc w:val="left"/>
      </w:pPr>
      <w:r>
        <w:rPr/>
        <w:t>依托公司已经形成的较为成熟的后台管理平台，运用共享模式，在快速开店中， 连锁规模优势充分发挥，边际效应得以释放；另报告期内可比门店销售收入情况较好， </w:t>
      </w:r>
      <w:r>
        <w:rPr>
          <w:spacing w:val="11"/>
        </w:rPr>
        <w:t>使得销售费用率以及管理费用率仍保持一个相对稳定的水平，分别较上年同期增加</w:t>
      </w:r>
      <w:r>
        <w:rPr>
          <w:spacing w:val="11"/>
        </w:rPr>
        <w:t> </w:t>
      </w:r>
      <w:r>
        <w:rPr>
          <w:rFonts w:ascii="Times New Roman" w:hAnsi="Times New Roman" w:cs="Times New Roman" w:eastAsia="Times New Roman" w:hint="default"/>
        </w:rPr>
        <w:t>0.07</w:t>
      </w:r>
      <w:r>
        <w:rPr/>
        <w:t>、</w:t>
      </w:r>
      <w:r>
        <w:rPr>
          <w:rFonts w:ascii="Times New Roman" w:hAnsi="Times New Roman" w:cs="Times New Roman" w:eastAsia="Times New Roman" w:hint="default"/>
        </w:rPr>
        <w:t>0.08 </w:t>
      </w:r>
      <w:r>
        <w:rPr/>
        <w:t>个百分点。</w:t>
      </w:r>
    </w:p>
    <w:p>
      <w:pPr>
        <w:pStyle w:val="BodyText"/>
        <w:spacing w:line="350" w:lineRule="auto" w:before="5"/>
        <w:ind w:left="240" w:right="250" w:firstLine="540"/>
        <w:jc w:val="both"/>
      </w:pPr>
      <w:r>
        <w:rPr>
          <w:rFonts w:ascii="Wingdings" w:hAnsi="Wingdings" w:cs="Wingdings" w:eastAsia="Wingdings" w:hint="default"/>
        </w:rPr>
        <w:t></w:t>
      </w:r>
      <w:r>
        <w:rPr>
          <w:rFonts w:ascii="Wingdings" w:hAnsi="Wingdings" w:cs="Wingdings" w:eastAsia="Wingdings" w:hint="default"/>
          <w:spacing w:val="-105"/>
        </w:rPr>
        <w:t></w:t>
      </w:r>
      <w:r>
        <w:rPr>
          <w:rFonts w:ascii="Times New Roman" w:hAnsi="Times New Roman" w:cs="Times New Roman" w:eastAsia="Times New Roman" w:hint="default"/>
          <w:spacing w:val="-105"/>
        </w:rPr>
      </w:r>
      <w:r>
        <w:rPr/>
        <w:t>报告期内，公司通过合理规划有效提高资金效益，加强银企合作，一方面，较 </w:t>
      </w:r>
      <w:r>
        <w:rPr>
          <w:spacing w:val="-3"/>
        </w:rPr>
        <w:t>多的采用银行承兑汇票的方式支付供应商货款，相应的银行货币资金规模增大，带来利</w:t>
      </w:r>
      <w:r>
        <w:rPr>
          <w:spacing w:val="-98"/>
        </w:rPr>
        <w:t> </w:t>
      </w:r>
      <w:r>
        <w:rPr>
          <w:spacing w:val="-98"/>
        </w:rPr>
      </w:r>
      <w:r>
        <w:rPr>
          <w:spacing w:val="-3"/>
        </w:rPr>
        <w:t>息收入增加；另一方面，合理制定资金计划，购买了银行固定收益产品，也使得产生的</w:t>
      </w:r>
      <w:r>
        <w:rPr>
          <w:spacing w:val="-98"/>
        </w:rPr>
        <w:t> </w:t>
      </w:r>
      <w:r>
        <w:rPr>
          <w:spacing w:val="-98"/>
        </w:rPr>
      </w:r>
      <w:r>
        <w:rPr/>
        <w:t>利息收入有所增加，公司财务费用率同比下降</w:t>
      </w:r>
      <w:r>
        <w:rPr>
          <w:spacing w:val="-60"/>
        </w:rPr>
        <w:t> </w:t>
      </w:r>
      <w:r>
        <w:rPr>
          <w:rFonts w:ascii="Times New Roman" w:hAnsi="Times New Roman" w:cs="Times New Roman" w:eastAsia="Times New Roman" w:hint="default"/>
        </w:rPr>
        <w:t>0.19 </w:t>
      </w:r>
      <w:r>
        <w:rPr/>
        <w:t>个百分点。</w:t>
      </w:r>
    </w:p>
    <w:p>
      <w:pPr>
        <w:pStyle w:val="BodyText"/>
        <w:spacing w:line="314" w:lineRule="auto" w:before="13"/>
        <w:ind w:left="720" w:right="119"/>
        <w:jc w:val="left"/>
      </w:pPr>
      <w:r>
        <w:rPr/>
        <w:t>（</w:t>
      </w:r>
      <w:r>
        <w:rPr>
          <w:rFonts w:ascii="Times New Roman" w:hAnsi="Times New Roman" w:cs="Times New Roman" w:eastAsia="Times New Roman" w:hint="default"/>
        </w:rPr>
        <w:t>4</w:t>
      </w:r>
      <w:r>
        <w:rPr/>
        <w:t>）归属于上市公司股东的净利润变化情况 </w:t>
      </w:r>
      <w:r>
        <w:rPr>
          <w:spacing w:val="-6"/>
        </w:rPr>
        <w:t>鉴于上述（</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3</w:t>
      </w:r>
      <w:r>
        <w:rPr>
          <w:spacing w:val="-6"/>
        </w:rPr>
        <w:t>）项，报告期内，公司综合经营质量继续保持持续稳定的增长，</w:t>
      </w:r>
    </w:p>
    <w:p>
      <w:pPr>
        <w:pStyle w:val="BodyText"/>
        <w:spacing w:line="314" w:lineRule="auto" w:before="22"/>
        <w:ind w:left="720" w:right="3664" w:hanging="480"/>
        <w:jc w:val="left"/>
      </w:pPr>
      <w:r>
        <w:rPr/>
        <w:t>实现归属于上市公司股东的净利润同比增长</w:t>
      </w:r>
      <w:r>
        <w:rPr>
          <w:spacing w:val="-60"/>
        </w:rPr>
        <w:t> </w:t>
      </w:r>
      <w:r>
        <w:rPr>
          <w:rFonts w:ascii="Times New Roman" w:hAnsi="Times New Roman" w:cs="Times New Roman" w:eastAsia="Times New Roman" w:hint="default"/>
        </w:rPr>
        <w:t>38.82%</w:t>
      </w:r>
      <w:r>
        <w:rPr/>
        <w:t>。 </w:t>
      </w:r>
      <w:r>
        <w:rPr>
          <w:rFonts w:ascii="Times New Roman" w:hAnsi="Times New Roman" w:cs="Times New Roman" w:eastAsia="Times New Roman" w:hint="default"/>
        </w:rPr>
        <w:t>2</w:t>
      </w:r>
      <w:r>
        <w:rPr/>
        <w:t>、主营业务情况分析</w:t>
      </w:r>
    </w:p>
    <w:p>
      <w:pPr>
        <w:pStyle w:val="BodyText"/>
        <w:spacing w:line="314" w:lineRule="auto" w:before="22"/>
        <w:ind w:left="240" w:right="253" w:firstLine="480"/>
        <w:jc w:val="both"/>
      </w:pPr>
      <w:r>
        <w:rPr/>
        <w:t>（</w:t>
      </w:r>
      <w:r>
        <w:rPr>
          <w:rFonts w:ascii="Times New Roman" w:hAnsi="Times New Roman" w:cs="Times New Roman" w:eastAsia="Times New Roman" w:hint="default"/>
        </w:rPr>
        <w:t>1</w:t>
      </w:r>
      <w:r>
        <w:rPr/>
        <w:t>）报告期内公司主营业务范围为：家用电器及消费类电子产品的销售和服务， 未发生变更。</w:t>
      </w:r>
    </w:p>
    <w:p>
      <w:pPr>
        <w:pStyle w:val="BodyText"/>
        <w:tabs>
          <w:tab w:pos="7679" w:val="left" w:leader="none"/>
        </w:tabs>
        <w:spacing w:line="240" w:lineRule="auto" w:before="48"/>
        <w:ind w:left="720" w:right="119"/>
        <w:jc w:val="left"/>
        <w:rPr>
          <w:sz w:val="21"/>
          <w:szCs w:val="21"/>
        </w:rPr>
      </w:pPr>
      <w:r>
        <w:rPr/>
        <w:t>（</w:t>
      </w:r>
      <w:r>
        <w:rPr>
          <w:rFonts w:ascii="Times New Roman" w:hAnsi="Times New Roman" w:cs="Times New Roman" w:eastAsia="Times New Roman" w:hint="default"/>
        </w:rPr>
        <w:t>2</w:t>
      </w:r>
      <w:r>
        <w:rPr/>
        <w:t>）报告期内公司主营业务收入、主营业务利润的构成情况：</w:t>
        <w:tab/>
      </w:r>
      <w:r>
        <w:rPr>
          <w:sz w:val="21"/>
          <w:szCs w:val="21"/>
        </w:rPr>
        <w:t>（单位：千元）</w:t>
      </w:r>
    </w:p>
    <w:p>
      <w:pPr>
        <w:pStyle w:val="BodyText"/>
        <w:spacing w:line="240" w:lineRule="auto" w:before="104"/>
        <w:ind w:left="719" w:right="2202"/>
        <w:jc w:val="left"/>
      </w:pPr>
      <w:r>
        <w:rPr>
          <w:rFonts w:ascii="Times New Roman" w:hAnsi="Times New Roman" w:cs="Times New Roman" w:eastAsia="Times New Roman" w:hint="default"/>
        </w:rPr>
        <w:t>A</w:t>
      </w:r>
      <w:r>
        <w:rPr/>
        <w:t>、主营业务分行业、产品情况表：</w:t>
      </w:r>
    </w:p>
    <w:p>
      <w:pPr>
        <w:spacing w:line="240" w:lineRule="auto" w:before="13"/>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610"/>
        <w:gridCol w:w="1289"/>
        <w:gridCol w:w="1300"/>
        <w:gridCol w:w="929"/>
        <w:gridCol w:w="1116"/>
        <w:gridCol w:w="1114"/>
        <w:gridCol w:w="1888"/>
      </w:tblGrid>
      <w:tr>
        <w:trPr>
          <w:trHeight w:val="992" w:hRule="exact"/>
        </w:trPr>
        <w:tc>
          <w:tcPr>
            <w:tcW w:w="1610" w:type="dxa"/>
            <w:tcBorders>
              <w:top w:val="single" w:sz="17" w:space="0" w:color="000000"/>
              <w:left w:val="single" w:sz="17"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1"/>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289"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exact"/>
              <w:ind w:left="424" w:right="212" w:hanging="210"/>
              <w:jc w:val="left"/>
              <w:rPr>
                <w:rFonts w:ascii="宋体" w:hAnsi="宋体" w:cs="宋体" w:eastAsia="宋体" w:hint="default"/>
                <w:sz w:val="21"/>
                <w:szCs w:val="21"/>
              </w:rPr>
            </w:pPr>
            <w:r>
              <w:rPr>
                <w:rFonts w:ascii="宋体" w:hAnsi="宋体" w:cs="宋体" w:eastAsia="宋体" w:hint="default"/>
                <w:sz w:val="21"/>
                <w:szCs w:val="21"/>
              </w:rPr>
              <w:t>主营业务 收入</w:t>
            </w:r>
          </w:p>
        </w:tc>
        <w:tc>
          <w:tcPr>
            <w:tcW w:w="130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exact"/>
              <w:ind w:left="429" w:right="218" w:hanging="210"/>
              <w:jc w:val="left"/>
              <w:rPr>
                <w:rFonts w:ascii="宋体" w:hAnsi="宋体" w:cs="宋体" w:eastAsia="宋体" w:hint="default"/>
                <w:sz w:val="21"/>
                <w:szCs w:val="21"/>
              </w:rPr>
            </w:pPr>
            <w:r>
              <w:rPr>
                <w:rFonts w:ascii="宋体" w:hAnsi="宋体" w:cs="宋体" w:eastAsia="宋体" w:hint="default"/>
                <w:sz w:val="21"/>
                <w:szCs w:val="21"/>
              </w:rPr>
              <w:t>主营业务 成本</w:t>
            </w:r>
          </w:p>
        </w:tc>
        <w:tc>
          <w:tcPr>
            <w:tcW w:w="929" w:type="dxa"/>
            <w:tcBorders>
              <w:top w:val="single" w:sz="17" w:space="0" w:color="000000"/>
              <w:left w:val="single" w:sz="8" w:space="0" w:color="000000"/>
              <w:bottom w:val="single" w:sz="8" w:space="0" w:color="000000"/>
              <w:right w:val="single" w:sz="8" w:space="0" w:color="000000"/>
            </w:tcBorders>
          </w:tcPr>
          <w:p>
            <w:pPr>
              <w:pStyle w:val="TableParagraph"/>
              <w:spacing w:line="240" w:lineRule="exact" w:before="122"/>
              <w:ind w:left="98" w:right="-6" w:firstLine="40"/>
              <w:jc w:val="left"/>
              <w:rPr>
                <w:rFonts w:ascii="宋体" w:hAnsi="宋体" w:cs="宋体" w:eastAsia="宋体" w:hint="default"/>
                <w:sz w:val="21"/>
                <w:szCs w:val="21"/>
              </w:rPr>
            </w:pPr>
            <w:r>
              <w:rPr>
                <w:rFonts w:ascii="宋体" w:hAnsi="宋体" w:cs="宋体" w:eastAsia="宋体" w:hint="default"/>
                <w:sz w:val="21"/>
                <w:szCs w:val="21"/>
              </w:rPr>
              <w:t>主营业 务毛利 </w:t>
            </w:r>
            <w:r>
              <w:rPr>
                <w:rFonts w:ascii="宋体" w:hAnsi="宋体" w:cs="宋体" w:eastAsia="宋体" w:hint="default"/>
                <w:spacing w:val="-6"/>
                <w:sz w:val="21"/>
                <w:szCs w:val="21"/>
              </w:rPr>
              <w:t>率（％）</w:t>
            </w:r>
          </w:p>
        </w:tc>
        <w:tc>
          <w:tcPr>
            <w:tcW w:w="1116" w:type="dxa"/>
            <w:tcBorders>
              <w:top w:val="single" w:sz="17" w:space="0" w:color="000000"/>
              <w:left w:val="single" w:sz="8" w:space="0" w:color="000000"/>
              <w:bottom w:val="single" w:sz="8" w:space="0" w:color="000000"/>
              <w:right w:val="single" w:sz="8" w:space="0" w:color="000000"/>
            </w:tcBorders>
          </w:tcPr>
          <w:p>
            <w:pPr>
              <w:pStyle w:val="TableParagraph"/>
              <w:spacing w:line="240" w:lineRule="exact" w:before="2"/>
              <w:ind w:left="128" w:right="126"/>
              <w:jc w:val="both"/>
              <w:rPr>
                <w:rFonts w:ascii="宋体" w:hAnsi="宋体" w:cs="宋体" w:eastAsia="宋体" w:hint="default"/>
                <w:sz w:val="21"/>
                <w:szCs w:val="21"/>
              </w:rPr>
            </w:pPr>
            <w:r>
              <w:rPr>
                <w:rFonts w:ascii="宋体" w:hAnsi="宋体" w:cs="宋体" w:eastAsia="宋体" w:hint="default"/>
                <w:sz w:val="21"/>
                <w:szCs w:val="21"/>
              </w:rPr>
              <w:t>主营业务 收入比上 年同期增 减（％）</w:t>
            </w:r>
          </w:p>
        </w:tc>
        <w:tc>
          <w:tcPr>
            <w:tcW w:w="1114" w:type="dxa"/>
            <w:tcBorders>
              <w:top w:val="single" w:sz="17" w:space="0" w:color="000000"/>
              <w:left w:val="single" w:sz="8" w:space="0" w:color="000000"/>
              <w:bottom w:val="single" w:sz="8" w:space="0" w:color="000000"/>
              <w:right w:val="single" w:sz="8" w:space="0" w:color="000000"/>
            </w:tcBorders>
          </w:tcPr>
          <w:p>
            <w:pPr>
              <w:pStyle w:val="TableParagraph"/>
              <w:spacing w:line="240" w:lineRule="exact" w:before="2"/>
              <w:ind w:left="127" w:right="125"/>
              <w:jc w:val="both"/>
              <w:rPr>
                <w:rFonts w:ascii="宋体" w:hAnsi="宋体" w:cs="宋体" w:eastAsia="宋体" w:hint="default"/>
                <w:sz w:val="21"/>
                <w:szCs w:val="21"/>
              </w:rPr>
            </w:pPr>
            <w:r>
              <w:rPr>
                <w:rFonts w:ascii="宋体" w:hAnsi="宋体" w:cs="宋体" w:eastAsia="宋体" w:hint="default"/>
                <w:sz w:val="21"/>
                <w:szCs w:val="21"/>
              </w:rPr>
              <w:t>主营业务 成本比上 年同期增 减（％）</w:t>
            </w:r>
          </w:p>
        </w:tc>
        <w:tc>
          <w:tcPr>
            <w:tcW w:w="1888" w:type="dxa"/>
            <w:tcBorders>
              <w:top w:val="single" w:sz="17" w:space="0" w:color="000000"/>
              <w:left w:val="single" w:sz="8" w:space="0" w:color="000000"/>
              <w:bottom w:val="single" w:sz="8" w:space="0" w:color="000000"/>
              <w:right w:val="single" w:sz="17"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exact"/>
              <w:ind w:left="199" w:right="185"/>
              <w:jc w:val="left"/>
              <w:rPr>
                <w:rFonts w:ascii="宋体" w:hAnsi="宋体" w:cs="宋体" w:eastAsia="宋体" w:hint="default"/>
                <w:sz w:val="21"/>
                <w:szCs w:val="21"/>
              </w:rPr>
            </w:pPr>
            <w:r>
              <w:rPr>
                <w:rFonts w:ascii="宋体" w:hAnsi="宋体" w:cs="宋体" w:eastAsia="宋体" w:hint="default"/>
                <w:sz w:val="21"/>
                <w:szCs w:val="21"/>
              </w:rPr>
              <w:t>主营业务毛利率 比上年同期增减</w:t>
            </w:r>
          </w:p>
        </w:tc>
      </w:tr>
      <w:tr>
        <w:trPr>
          <w:trHeight w:val="294" w:hRule="exact"/>
        </w:trPr>
        <w:tc>
          <w:tcPr>
            <w:tcW w:w="1610" w:type="dxa"/>
            <w:tcBorders>
              <w:top w:val="single" w:sz="8" w:space="0" w:color="000000"/>
              <w:left w:val="single" w:sz="17" w:space="0" w:color="000000"/>
              <w:bottom w:val="single" w:sz="8" w:space="0" w:color="000000"/>
              <w:right w:val="single" w:sz="8" w:space="0" w:color="000000"/>
            </w:tcBorders>
          </w:tcPr>
          <w:p>
            <w:pPr>
              <w:pStyle w:val="TableParagraph"/>
              <w:spacing w:line="242" w:lineRule="exact"/>
              <w:ind w:right="11"/>
              <w:jc w:val="center"/>
              <w:rPr>
                <w:rFonts w:ascii="宋体" w:hAnsi="宋体" w:cs="宋体" w:eastAsia="宋体" w:hint="default"/>
                <w:sz w:val="21"/>
                <w:szCs w:val="21"/>
              </w:rPr>
            </w:pPr>
            <w:r>
              <w:rPr>
                <w:rFonts w:ascii="宋体" w:hAnsi="宋体" w:cs="宋体" w:eastAsia="宋体" w:hint="default"/>
                <w:sz w:val="21"/>
                <w:szCs w:val="21"/>
              </w:rPr>
              <w:t>零售业</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74,227,457</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61,915,817</w:t>
            </w:r>
          </w:p>
        </w:tc>
        <w:tc>
          <w:tcPr>
            <w:tcW w:w="9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16.59%</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30.14%</w:t>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28.71%</w:t>
            </w:r>
          </w:p>
        </w:tc>
        <w:tc>
          <w:tcPr>
            <w:tcW w:w="1888" w:type="dxa"/>
            <w:tcBorders>
              <w:top w:val="single" w:sz="8" w:space="0" w:color="000000"/>
              <w:left w:val="single" w:sz="8" w:space="0" w:color="000000"/>
              <w:bottom w:val="single" w:sz="8" w:space="0" w:color="000000"/>
              <w:right w:val="single" w:sz="17" w:space="0" w:color="000000"/>
            </w:tcBorders>
          </w:tcPr>
          <w:p>
            <w:pPr>
              <w:pStyle w:val="TableParagraph"/>
              <w:spacing w:line="258" w:lineRule="exact"/>
              <w:ind w:left="12" w:right="0"/>
              <w:jc w:val="center"/>
              <w:rPr>
                <w:rFonts w:ascii="宋体" w:hAnsi="宋体" w:cs="宋体" w:eastAsia="宋体" w:hint="default"/>
                <w:sz w:val="21"/>
                <w:szCs w:val="21"/>
              </w:rPr>
            </w:pPr>
            <w:r>
              <w:rPr>
                <w:rFonts w:ascii="宋体" w:hAnsi="宋体" w:cs="宋体" w:eastAsia="宋体" w:hint="default"/>
                <w:spacing w:val="-6"/>
                <w:sz w:val="21"/>
                <w:szCs w:val="21"/>
              </w:rPr>
              <w:t>上升</w:t>
            </w:r>
            <w:r>
              <w:rPr>
                <w:rFonts w:ascii="宋体" w:hAnsi="宋体" w:cs="宋体" w:eastAsia="宋体" w:hint="default"/>
                <w:spacing w:val="-67"/>
                <w:sz w:val="21"/>
                <w:szCs w:val="21"/>
              </w:rPr>
              <w:t> </w:t>
            </w:r>
            <w:r>
              <w:rPr>
                <w:rFonts w:ascii="Times New Roman" w:hAnsi="Times New Roman" w:cs="Times New Roman" w:eastAsia="Times New Roman" w:hint="default"/>
                <w:spacing w:val="-5"/>
                <w:sz w:val="21"/>
                <w:szCs w:val="21"/>
              </w:rPr>
              <w:t>0.93</w:t>
            </w:r>
            <w:r>
              <w:rPr>
                <w:rFonts w:ascii="Times New Roman" w:hAnsi="Times New Roman" w:cs="Times New Roman" w:eastAsia="Times New Roman" w:hint="default"/>
                <w:spacing w:val="-7"/>
                <w:sz w:val="21"/>
                <w:szCs w:val="21"/>
              </w:rPr>
              <w:t> </w:t>
            </w:r>
            <w:r>
              <w:rPr>
                <w:rFonts w:ascii="宋体" w:hAnsi="宋体" w:cs="宋体" w:eastAsia="宋体" w:hint="default"/>
                <w:spacing w:val="-13"/>
                <w:sz w:val="21"/>
                <w:szCs w:val="21"/>
              </w:rPr>
              <w:t>个百分点</w:t>
            </w:r>
            <w:r>
              <w:rPr>
                <w:rFonts w:ascii="宋体" w:hAnsi="宋体" w:cs="宋体" w:eastAsia="宋体" w:hint="default"/>
                <w:sz w:val="21"/>
                <w:szCs w:val="21"/>
              </w:rPr>
            </w:r>
          </w:p>
        </w:tc>
      </w:tr>
      <w:tr>
        <w:trPr>
          <w:trHeight w:val="306" w:hRule="exact"/>
        </w:trPr>
        <w:tc>
          <w:tcPr>
            <w:tcW w:w="1610" w:type="dxa"/>
            <w:tcBorders>
              <w:top w:val="single" w:sz="8" w:space="0" w:color="000000"/>
              <w:left w:val="single" w:sz="17" w:space="0" w:color="000000"/>
              <w:bottom w:val="single" w:sz="17" w:space="0" w:color="000000"/>
              <w:right w:val="single" w:sz="8" w:space="0" w:color="000000"/>
            </w:tcBorders>
          </w:tcPr>
          <w:p>
            <w:pPr>
              <w:pStyle w:val="TableParagraph"/>
              <w:spacing w:line="242" w:lineRule="exact"/>
              <w:ind w:right="11"/>
              <w:jc w:val="center"/>
              <w:rPr>
                <w:rFonts w:ascii="宋体" w:hAnsi="宋体" w:cs="宋体" w:eastAsia="宋体" w:hint="default"/>
                <w:sz w:val="21"/>
                <w:szCs w:val="21"/>
              </w:rPr>
            </w:pPr>
            <w:r>
              <w:rPr>
                <w:rFonts w:ascii="宋体" w:hAnsi="宋体" w:cs="宋体" w:eastAsia="宋体" w:hint="default"/>
                <w:spacing w:val="-12"/>
                <w:sz w:val="21"/>
                <w:szCs w:val="21"/>
              </w:rPr>
              <w:t>其中：关联交易</w:t>
            </w:r>
            <w:r>
              <w:rPr>
                <w:rFonts w:ascii="宋体" w:hAnsi="宋体" w:cs="宋体" w:eastAsia="宋体" w:hint="default"/>
                <w:sz w:val="21"/>
                <w:szCs w:val="21"/>
              </w:rPr>
            </w:r>
          </w:p>
        </w:tc>
        <w:tc>
          <w:tcPr>
            <w:tcW w:w="128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2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88"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15"/>
              <w:ind w:left="1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1"/>
        <w:rPr>
          <w:rFonts w:ascii="宋体" w:hAnsi="宋体" w:cs="宋体" w:eastAsia="宋体" w:hint="default"/>
          <w:sz w:val="21"/>
          <w:szCs w:val="21"/>
        </w:rPr>
      </w:pPr>
    </w:p>
    <w:tbl>
      <w:tblPr>
        <w:tblW w:w="0" w:type="auto"/>
        <w:jc w:val="left"/>
        <w:tblInd w:w="117" w:type="dxa"/>
        <w:tblLayout w:type="fixed"/>
        <w:tblCellMar>
          <w:top w:w="0" w:type="dxa"/>
          <w:left w:w="0" w:type="dxa"/>
          <w:bottom w:w="0" w:type="dxa"/>
          <w:right w:w="0" w:type="dxa"/>
        </w:tblCellMar>
        <w:tblLook w:val="01E0"/>
      </w:tblPr>
      <w:tblGrid>
        <w:gridCol w:w="1600"/>
        <w:gridCol w:w="1300"/>
        <w:gridCol w:w="1300"/>
        <w:gridCol w:w="930"/>
        <w:gridCol w:w="1117"/>
        <w:gridCol w:w="1114"/>
        <w:gridCol w:w="1885"/>
      </w:tblGrid>
      <w:tr>
        <w:trPr>
          <w:trHeight w:val="1112" w:hRule="exact"/>
        </w:trPr>
        <w:tc>
          <w:tcPr>
            <w:tcW w:w="160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69"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3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4" w:right="169" w:hanging="156"/>
              <w:jc w:val="left"/>
              <w:rPr>
                <w:rFonts w:ascii="宋体" w:hAnsi="宋体" w:cs="宋体" w:eastAsia="宋体" w:hint="default"/>
                <w:sz w:val="21"/>
                <w:szCs w:val="21"/>
              </w:rPr>
            </w:pPr>
            <w:r>
              <w:rPr>
                <w:rFonts w:ascii="宋体" w:hAnsi="宋体" w:cs="宋体" w:eastAsia="宋体" w:hint="default"/>
                <w:sz w:val="21"/>
                <w:szCs w:val="21"/>
              </w:rPr>
              <w:t>主营业务 收入</w:t>
            </w:r>
          </w:p>
        </w:tc>
        <w:tc>
          <w:tcPr>
            <w:tcW w:w="13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4" w:right="169" w:hanging="156"/>
              <w:jc w:val="left"/>
              <w:rPr>
                <w:rFonts w:ascii="宋体" w:hAnsi="宋体" w:cs="宋体" w:eastAsia="宋体" w:hint="default"/>
                <w:sz w:val="21"/>
                <w:szCs w:val="21"/>
              </w:rPr>
            </w:pPr>
            <w:r>
              <w:rPr>
                <w:rFonts w:ascii="宋体" w:hAnsi="宋体" w:cs="宋体" w:eastAsia="宋体" w:hint="default"/>
                <w:sz w:val="21"/>
                <w:szCs w:val="21"/>
              </w:rPr>
              <w:t>主营业务 成本</w:t>
            </w:r>
          </w:p>
        </w:tc>
        <w:tc>
          <w:tcPr>
            <w:tcW w:w="930"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106"/>
              <w:ind w:left="145" w:right="143"/>
              <w:jc w:val="center"/>
              <w:rPr>
                <w:rFonts w:ascii="宋体" w:hAnsi="宋体" w:cs="宋体" w:eastAsia="宋体" w:hint="default"/>
                <w:sz w:val="21"/>
                <w:szCs w:val="21"/>
              </w:rPr>
            </w:pPr>
            <w:r>
              <w:rPr>
                <w:rFonts w:ascii="宋体" w:hAnsi="宋体" w:cs="宋体" w:eastAsia="宋体" w:hint="default"/>
                <w:sz w:val="21"/>
                <w:szCs w:val="21"/>
              </w:rPr>
              <w:t>主营业 务毛利 率</w:t>
            </w:r>
          </w:p>
        </w:tc>
        <w:tc>
          <w:tcPr>
            <w:tcW w:w="1117"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133" w:right="0"/>
              <w:jc w:val="both"/>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37" w:lineRule="auto" w:before="2"/>
              <w:ind w:left="103" w:right="56" w:firstLine="30"/>
              <w:jc w:val="both"/>
              <w:rPr>
                <w:rFonts w:ascii="宋体" w:hAnsi="宋体" w:cs="宋体" w:eastAsia="宋体" w:hint="default"/>
                <w:sz w:val="21"/>
                <w:szCs w:val="21"/>
              </w:rPr>
            </w:pPr>
            <w:r>
              <w:rPr>
                <w:rFonts w:ascii="宋体" w:hAnsi="宋体" w:cs="宋体" w:eastAsia="宋体" w:hint="default"/>
                <w:sz w:val="21"/>
                <w:szCs w:val="21"/>
              </w:rPr>
              <w:t>收入比上 年同期增 减 （％）</w:t>
            </w:r>
          </w:p>
        </w:tc>
        <w:tc>
          <w:tcPr>
            <w:tcW w:w="1114"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132" w:right="0"/>
              <w:jc w:val="both"/>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37" w:lineRule="auto" w:before="2"/>
              <w:ind w:left="132" w:right="129"/>
              <w:jc w:val="both"/>
              <w:rPr>
                <w:rFonts w:ascii="宋体" w:hAnsi="宋体" w:cs="宋体" w:eastAsia="宋体" w:hint="default"/>
                <w:sz w:val="21"/>
                <w:szCs w:val="21"/>
              </w:rPr>
            </w:pPr>
            <w:r>
              <w:rPr>
                <w:rFonts w:ascii="宋体" w:hAnsi="宋体" w:cs="宋体" w:eastAsia="宋体" w:hint="default"/>
                <w:sz w:val="21"/>
                <w:szCs w:val="21"/>
              </w:rPr>
              <w:t>成本比上 年同期增 减（％）</w:t>
            </w:r>
          </w:p>
        </w:tc>
        <w:tc>
          <w:tcPr>
            <w:tcW w:w="188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2" w:right="191"/>
              <w:jc w:val="left"/>
              <w:rPr>
                <w:rFonts w:ascii="宋体" w:hAnsi="宋体" w:cs="宋体" w:eastAsia="宋体" w:hint="default"/>
                <w:sz w:val="21"/>
                <w:szCs w:val="21"/>
              </w:rPr>
            </w:pPr>
            <w:r>
              <w:rPr>
                <w:rFonts w:ascii="宋体" w:hAnsi="宋体" w:cs="宋体" w:eastAsia="宋体" w:hint="default"/>
                <w:sz w:val="21"/>
                <w:szCs w:val="21"/>
              </w:rPr>
              <w:t>主营业务毛利率 比上年同期增减</w:t>
            </w:r>
          </w:p>
        </w:tc>
      </w:tr>
      <w:tr>
        <w:trPr>
          <w:trHeight w:val="556" w:hRule="exact"/>
        </w:trPr>
        <w:tc>
          <w:tcPr>
            <w:tcW w:w="1600"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12"/>
                <w:sz w:val="21"/>
                <w:szCs w:val="21"/>
              </w:rPr>
              <w:t>彩电、音像、碟</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19,713,007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15,950,653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19.09%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19.14%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17.65%</w:t>
            </w:r>
          </w:p>
        </w:tc>
        <w:tc>
          <w:tcPr>
            <w:tcW w:w="18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left="9" w:right="0"/>
              <w:jc w:val="center"/>
              <w:rPr>
                <w:rFonts w:ascii="宋体" w:hAnsi="宋体" w:cs="宋体" w:eastAsia="宋体" w:hint="default"/>
                <w:sz w:val="21"/>
                <w:szCs w:val="21"/>
              </w:rPr>
            </w:pPr>
            <w:r>
              <w:rPr>
                <w:rFonts w:ascii="宋体" w:hAnsi="宋体" w:cs="宋体" w:eastAsia="宋体" w:hint="default"/>
                <w:spacing w:val="-6"/>
                <w:sz w:val="21"/>
                <w:szCs w:val="21"/>
              </w:rPr>
              <w:t>上升</w:t>
            </w:r>
            <w:r>
              <w:rPr>
                <w:rFonts w:ascii="宋体" w:hAnsi="宋体" w:cs="宋体" w:eastAsia="宋体" w:hint="default"/>
                <w:spacing w:val="-67"/>
                <w:sz w:val="21"/>
                <w:szCs w:val="21"/>
              </w:rPr>
              <w:t> </w:t>
            </w:r>
            <w:r>
              <w:rPr>
                <w:rFonts w:ascii="Times New Roman" w:hAnsi="Times New Roman" w:cs="Times New Roman" w:eastAsia="Times New Roman" w:hint="default"/>
                <w:spacing w:val="-5"/>
                <w:sz w:val="21"/>
                <w:szCs w:val="21"/>
              </w:rPr>
              <w:t>1.03</w:t>
            </w:r>
            <w:r>
              <w:rPr>
                <w:rFonts w:ascii="Times New Roman" w:hAnsi="Times New Roman" w:cs="Times New Roman" w:eastAsia="Times New Roman" w:hint="default"/>
                <w:spacing w:val="-7"/>
                <w:sz w:val="21"/>
                <w:szCs w:val="21"/>
              </w:rPr>
              <w:t> </w:t>
            </w:r>
            <w:r>
              <w:rPr>
                <w:rFonts w:ascii="宋体" w:hAnsi="宋体" w:cs="宋体" w:eastAsia="宋体" w:hint="default"/>
                <w:spacing w:val="-13"/>
                <w:sz w:val="21"/>
                <w:szCs w:val="21"/>
              </w:rPr>
              <w:t>个百分点</w:t>
            </w:r>
            <w:r>
              <w:rPr>
                <w:rFonts w:ascii="宋体" w:hAnsi="宋体" w:cs="宋体" w:eastAsia="宋体" w:hint="default"/>
                <w:sz w:val="21"/>
                <w:szCs w:val="21"/>
              </w:rPr>
            </w:r>
          </w:p>
        </w:tc>
      </w:tr>
      <w:tr>
        <w:trPr>
          <w:trHeight w:val="294" w:hRule="exact"/>
        </w:trPr>
        <w:tc>
          <w:tcPr>
            <w:tcW w:w="1600"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pacing w:val="-9"/>
                <w:sz w:val="21"/>
                <w:szCs w:val="21"/>
              </w:rPr>
              <w:t>冰箱、洗衣机</w:t>
            </w:r>
            <w:r>
              <w:rPr>
                <w:rFonts w:ascii="宋体" w:hAnsi="宋体" w:cs="宋体" w:eastAsia="宋体" w:hint="default"/>
                <w:sz w:val="21"/>
                <w:szCs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12,937,736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2"/>
                <w:sz w:val="21"/>
              </w:rPr>
              <w:t>10,201,114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21.15%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25.35%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20.79%</w:t>
            </w:r>
          </w:p>
        </w:tc>
        <w:tc>
          <w:tcPr>
            <w:tcW w:w="1885" w:type="dxa"/>
            <w:tcBorders>
              <w:top w:val="single" w:sz="4" w:space="0" w:color="000000"/>
              <w:left w:val="single" w:sz="4" w:space="0" w:color="000000"/>
              <w:bottom w:val="single" w:sz="4" w:space="0" w:color="000000"/>
              <w:right w:val="single" w:sz="12" w:space="0" w:color="000000"/>
            </w:tcBorders>
          </w:tcPr>
          <w:p>
            <w:pPr>
              <w:pStyle w:val="TableParagraph"/>
              <w:spacing w:line="263" w:lineRule="exact"/>
              <w:ind w:left="9" w:right="0"/>
              <w:jc w:val="center"/>
              <w:rPr>
                <w:rFonts w:ascii="宋体" w:hAnsi="宋体" w:cs="宋体" w:eastAsia="宋体" w:hint="default"/>
                <w:sz w:val="21"/>
                <w:szCs w:val="21"/>
              </w:rPr>
            </w:pPr>
            <w:r>
              <w:rPr>
                <w:rFonts w:ascii="宋体" w:hAnsi="宋体" w:cs="宋体" w:eastAsia="宋体" w:hint="default"/>
                <w:spacing w:val="-6"/>
                <w:sz w:val="21"/>
                <w:szCs w:val="21"/>
              </w:rPr>
              <w:t>上升</w:t>
            </w:r>
            <w:r>
              <w:rPr>
                <w:rFonts w:ascii="宋体" w:hAnsi="宋体" w:cs="宋体" w:eastAsia="宋体" w:hint="default"/>
                <w:spacing w:val="-67"/>
                <w:sz w:val="21"/>
                <w:szCs w:val="21"/>
              </w:rPr>
              <w:t> </w:t>
            </w:r>
            <w:r>
              <w:rPr>
                <w:rFonts w:ascii="Times New Roman" w:hAnsi="Times New Roman" w:cs="Times New Roman" w:eastAsia="Times New Roman" w:hint="default"/>
                <w:spacing w:val="-5"/>
                <w:sz w:val="21"/>
                <w:szCs w:val="21"/>
              </w:rPr>
              <w:t>2.98</w:t>
            </w:r>
            <w:r>
              <w:rPr>
                <w:rFonts w:ascii="Times New Roman" w:hAnsi="Times New Roman" w:cs="Times New Roman" w:eastAsia="Times New Roman" w:hint="default"/>
                <w:spacing w:val="-7"/>
                <w:sz w:val="21"/>
                <w:szCs w:val="21"/>
              </w:rPr>
              <w:t> </w:t>
            </w:r>
            <w:r>
              <w:rPr>
                <w:rFonts w:ascii="宋体" w:hAnsi="宋体" w:cs="宋体" w:eastAsia="宋体" w:hint="default"/>
                <w:spacing w:val="-13"/>
                <w:sz w:val="21"/>
                <w:szCs w:val="21"/>
              </w:rPr>
              <w:t>个百分点</w:t>
            </w:r>
            <w:r>
              <w:rPr>
                <w:rFonts w:ascii="宋体" w:hAnsi="宋体" w:cs="宋体" w:eastAsia="宋体" w:hint="default"/>
                <w:sz w:val="21"/>
                <w:szCs w:val="21"/>
              </w:rPr>
            </w:r>
          </w:p>
        </w:tc>
      </w:tr>
      <w:tr>
        <w:trPr>
          <w:trHeight w:val="294" w:hRule="exact"/>
        </w:trPr>
        <w:tc>
          <w:tcPr>
            <w:tcW w:w="1600" w:type="dxa"/>
            <w:tcBorders>
              <w:top w:val="single" w:sz="4" w:space="0" w:color="000000"/>
              <w:left w:val="single" w:sz="12" w:space="0" w:color="000000"/>
              <w:bottom w:val="single" w:sz="4" w:space="0" w:color="000000"/>
              <w:right w:val="single" w:sz="4" w:space="0" w:color="000000"/>
            </w:tcBorders>
          </w:tcPr>
          <w:p>
            <w:pPr>
              <w:pStyle w:val="TableParagraph"/>
              <w:spacing w:line="263" w:lineRule="exact"/>
              <w:ind w:left="93" w:right="0"/>
              <w:jc w:val="left"/>
              <w:rPr>
                <w:rFonts w:ascii="宋体" w:hAnsi="宋体" w:cs="宋体" w:eastAsia="宋体" w:hint="default"/>
                <w:sz w:val="21"/>
                <w:szCs w:val="21"/>
              </w:rPr>
            </w:pPr>
            <w:r>
              <w:rPr>
                <w:rFonts w:ascii="宋体" w:hAnsi="宋体" w:cs="宋体" w:eastAsia="宋体" w:hint="default"/>
                <w:spacing w:val="-6"/>
                <w:sz w:val="21"/>
                <w:szCs w:val="21"/>
              </w:rPr>
              <w:t>数码及</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9"/>
                <w:sz w:val="21"/>
                <w:szCs w:val="21"/>
              </w:rPr>
              <w:t> </w:t>
            </w:r>
            <w:r>
              <w:rPr>
                <w:rFonts w:ascii="宋体" w:hAnsi="宋体" w:cs="宋体" w:eastAsia="宋体" w:hint="default"/>
                <w:spacing w:val="-9"/>
                <w:sz w:val="21"/>
                <w:szCs w:val="21"/>
              </w:rPr>
              <w:t>产品</w:t>
            </w:r>
            <w:r>
              <w:rPr>
                <w:rFonts w:ascii="宋体" w:hAnsi="宋体" w:cs="宋体" w:eastAsia="宋体" w:hint="default"/>
                <w:sz w:val="21"/>
                <w:szCs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12,364,458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2"/>
                <w:sz w:val="21"/>
              </w:rPr>
              <w:t>11,460,497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7.31%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56.17%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53.90%</w:t>
            </w:r>
          </w:p>
        </w:tc>
        <w:tc>
          <w:tcPr>
            <w:tcW w:w="1885" w:type="dxa"/>
            <w:tcBorders>
              <w:top w:val="single" w:sz="4" w:space="0" w:color="000000"/>
              <w:left w:val="single" w:sz="4" w:space="0" w:color="000000"/>
              <w:bottom w:val="single" w:sz="4" w:space="0" w:color="000000"/>
              <w:right w:val="single" w:sz="12" w:space="0" w:color="000000"/>
            </w:tcBorders>
          </w:tcPr>
          <w:p>
            <w:pPr>
              <w:pStyle w:val="TableParagraph"/>
              <w:spacing w:line="263" w:lineRule="exact"/>
              <w:ind w:left="9" w:right="0"/>
              <w:jc w:val="center"/>
              <w:rPr>
                <w:rFonts w:ascii="宋体" w:hAnsi="宋体" w:cs="宋体" w:eastAsia="宋体" w:hint="default"/>
                <w:sz w:val="21"/>
                <w:szCs w:val="21"/>
              </w:rPr>
            </w:pPr>
            <w:r>
              <w:rPr>
                <w:rFonts w:ascii="宋体" w:hAnsi="宋体" w:cs="宋体" w:eastAsia="宋体" w:hint="default"/>
                <w:spacing w:val="-6"/>
                <w:sz w:val="21"/>
                <w:szCs w:val="21"/>
              </w:rPr>
              <w:t>上升</w:t>
            </w:r>
            <w:r>
              <w:rPr>
                <w:rFonts w:ascii="宋体" w:hAnsi="宋体" w:cs="宋体" w:eastAsia="宋体" w:hint="default"/>
                <w:spacing w:val="-67"/>
                <w:sz w:val="21"/>
                <w:szCs w:val="21"/>
              </w:rPr>
              <w:t> </w:t>
            </w:r>
            <w:r>
              <w:rPr>
                <w:rFonts w:ascii="Times New Roman" w:hAnsi="Times New Roman" w:cs="Times New Roman" w:eastAsia="Times New Roman" w:hint="default"/>
                <w:spacing w:val="-5"/>
                <w:sz w:val="21"/>
                <w:szCs w:val="21"/>
              </w:rPr>
              <w:t>1.37</w:t>
            </w:r>
            <w:r>
              <w:rPr>
                <w:rFonts w:ascii="Times New Roman" w:hAnsi="Times New Roman" w:cs="Times New Roman" w:eastAsia="Times New Roman" w:hint="default"/>
                <w:spacing w:val="-7"/>
                <w:sz w:val="21"/>
                <w:szCs w:val="21"/>
              </w:rPr>
              <w:t> </w:t>
            </w:r>
            <w:r>
              <w:rPr>
                <w:rFonts w:ascii="宋体" w:hAnsi="宋体" w:cs="宋体" w:eastAsia="宋体" w:hint="default"/>
                <w:spacing w:val="-13"/>
                <w:sz w:val="21"/>
                <w:szCs w:val="21"/>
              </w:rPr>
              <w:t>个百分点</w:t>
            </w:r>
            <w:r>
              <w:rPr>
                <w:rFonts w:ascii="宋体" w:hAnsi="宋体" w:cs="宋体" w:eastAsia="宋体" w:hint="default"/>
                <w:sz w:val="21"/>
                <w:szCs w:val="21"/>
              </w:rPr>
            </w:r>
          </w:p>
        </w:tc>
      </w:tr>
      <w:tr>
        <w:trPr>
          <w:trHeight w:val="294" w:hRule="exact"/>
        </w:trPr>
        <w:tc>
          <w:tcPr>
            <w:tcW w:w="1600"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pacing w:val="-7"/>
                <w:sz w:val="21"/>
                <w:szCs w:val="21"/>
              </w:rPr>
              <w:t>空调器产品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9,698,574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7,932,245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18.21%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26.97%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26.09%</w:t>
            </w:r>
          </w:p>
        </w:tc>
        <w:tc>
          <w:tcPr>
            <w:tcW w:w="1885" w:type="dxa"/>
            <w:tcBorders>
              <w:top w:val="single" w:sz="4" w:space="0" w:color="000000"/>
              <w:left w:val="single" w:sz="4" w:space="0" w:color="000000"/>
              <w:bottom w:val="single" w:sz="4" w:space="0" w:color="000000"/>
              <w:right w:val="single" w:sz="12" w:space="0" w:color="000000"/>
            </w:tcBorders>
          </w:tcPr>
          <w:p>
            <w:pPr>
              <w:pStyle w:val="TableParagraph"/>
              <w:spacing w:line="263" w:lineRule="exact"/>
              <w:ind w:left="9" w:right="0"/>
              <w:jc w:val="center"/>
              <w:rPr>
                <w:rFonts w:ascii="宋体" w:hAnsi="宋体" w:cs="宋体" w:eastAsia="宋体" w:hint="default"/>
                <w:sz w:val="21"/>
                <w:szCs w:val="21"/>
              </w:rPr>
            </w:pPr>
            <w:r>
              <w:rPr>
                <w:rFonts w:ascii="宋体" w:hAnsi="宋体" w:cs="宋体" w:eastAsia="宋体" w:hint="default"/>
                <w:spacing w:val="-6"/>
                <w:sz w:val="21"/>
                <w:szCs w:val="21"/>
              </w:rPr>
              <w:t>上升</w:t>
            </w:r>
            <w:r>
              <w:rPr>
                <w:rFonts w:ascii="宋体" w:hAnsi="宋体" w:cs="宋体" w:eastAsia="宋体" w:hint="default"/>
                <w:spacing w:val="-67"/>
                <w:sz w:val="21"/>
                <w:szCs w:val="21"/>
              </w:rPr>
              <w:t> </w:t>
            </w:r>
            <w:r>
              <w:rPr>
                <w:rFonts w:ascii="Times New Roman" w:hAnsi="Times New Roman" w:cs="Times New Roman" w:eastAsia="Times New Roman" w:hint="default"/>
                <w:spacing w:val="-5"/>
                <w:sz w:val="21"/>
                <w:szCs w:val="21"/>
              </w:rPr>
              <w:t>0.57</w:t>
            </w:r>
            <w:r>
              <w:rPr>
                <w:rFonts w:ascii="Times New Roman" w:hAnsi="Times New Roman" w:cs="Times New Roman" w:eastAsia="Times New Roman" w:hint="default"/>
                <w:spacing w:val="-7"/>
                <w:sz w:val="21"/>
                <w:szCs w:val="21"/>
              </w:rPr>
              <w:t> </w:t>
            </w:r>
            <w:r>
              <w:rPr>
                <w:rFonts w:ascii="宋体" w:hAnsi="宋体" w:cs="宋体" w:eastAsia="宋体" w:hint="default"/>
                <w:spacing w:val="-13"/>
                <w:sz w:val="21"/>
                <w:szCs w:val="21"/>
              </w:rPr>
              <w:t>个百分点</w:t>
            </w:r>
            <w:r>
              <w:rPr>
                <w:rFonts w:ascii="宋体" w:hAnsi="宋体" w:cs="宋体" w:eastAsia="宋体" w:hint="default"/>
                <w:sz w:val="21"/>
                <w:szCs w:val="21"/>
              </w:rPr>
            </w:r>
          </w:p>
        </w:tc>
      </w:tr>
      <w:tr>
        <w:trPr>
          <w:trHeight w:val="294" w:hRule="exact"/>
        </w:trPr>
        <w:tc>
          <w:tcPr>
            <w:tcW w:w="1600"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pacing w:val="-7"/>
                <w:sz w:val="21"/>
                <w:szCs w:val="21"/>
              </w:rPr>
              <w:t>小家电产品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9,528,368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7,546,425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20.80%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19.67%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17.19%</w:t>
            </w:r>
          </w:p>
        </w:tc>
        <w:tc>
          <w:tcPr>
            <w:tcW w:w="1885" w:type="dxa"/>
            <w:tcBorders>
              <w:top w:val="single" w:sz="4" w:space="0" w:color="000000"/>
              <w:left w:val="single" w:sz="4" w:space="0" w:color="000000"/>
              <w:bottom w:val="single" w:sz="4" w:space="0" w:color="000000"/>
              <w:right w:val="single" w:sz="12" w:space="0" w:color="000000"/>
            </w:tcBorders>
          </w:tcPr>
          <w:p>
            <w:pPr>
              <w:pStyle w:val="TableParagraph"/>
              <w:spacing w:line="263" w:lineRule="exact"/>
              <w:ind w:left="9" w:right="0"/>
              <w:jc w:val="center"/>
              <w:rPr>
                <w:rFonts w:ascii="宋体" w:hAnsi="宋体" w:cs="宋体" w:eastAsia="宋体" w:hint="default"/>
                <w:sz w:val="21"/>
                <w:szCs w:val="21"/>
              </w:rPr>
            </w:pPr>
            <w:r>
              <w:rPr>
                <w:rFonts w:ascii="宋体" w:hAnsi="宋体" w:cs="宋体" w:eastAsia="宋体" w:hint="default"/>
                <w:spacing w:val="-6"/>
                <w:sz w:val="21"/>
                <w:szCs w:val="21"/>
              </w:rPr>
              <w:t>上升</w:t>
            </w:r>
            <w:r>
              <w:rPr>
                <w:rFonts w:ascii="宋体" w:hAnsi="宋体" w:cs="宋体" w:eastAsia="宋体" w:hint="default"/>
                <w:spacing w:val="-67"/>
                <w:sz w:val="21"/>
                <w:szCs w:val="21"/>
              </w:rPr>
              <w:t> </w:t>
            </w:r>
            <w:r>
              <w:rPr>
                <w:rFonts w:ascii="Times New Roman" w:hAnsi="Times New Roman" w:cs="Times New Roman" w:eastAsia="Times New Roman" w:hint="default"/>
                <w:spacing w:val="-5"/>
                <w:sz w:val="21"/>
                <w:szCs w:val="21"/>
              </w:rPr>
              <w:t>1.68</w:t>
            </w:r>
            <w:r>
              <w:rPr>
                <w:rFonts w:ascii="Times New Roman" w:hAnsi="Times New Roman" w:cs="Times New Roman" w:eastAsia="Times New Roman" w:hint="default"/>
                <w:spacing w:val="-7"/>
                <w:sz w:val="21"/>
                <w:szCs w:val="21"/>
              </w:rPr>
              <w:t> </w:t>
            </w:r>
            <w:r>
              <w:rPr>
                <w:rFonts w:ascii="宋体" w:hAnsi="宋体" w:cs="宋体" w:eastAsia="宋体" w:hint="default"/>
                <w:spacing w:val="-13"/>
                <w:sz w:val="21"/>
                <w:szCs w:val="21"/>
              </w:rPr>
              <w:t>个百分点</w:t>
            </w:r>
            <w:r>
              <w:rPr>
                <w:rFonts w:ascii="宋体" w:hAnsi="宋体" w:cs="宋体" w:eastAsia="宋体" w:hint="default"/>
                <w:sz w:val="21"/>
                <w:szCs w:val="21"/>
              </w:rPr>
            </w:r>
          </w:p>
        </w:tc>
      </w:tr>
      <w:tr>
        <w:trPr>
          <w:trHeight w:val="294" w:hRule="exact"/>
        </w:trPr>
        <w:tc>
          <w:tcPr>
            <w:tcW w:w="1600"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pacing w:val="-9"/>
                <w:sz w:val="21"/>
                <w:szCs w:val="21"/>
              </w:rPr>
              <w:t>通讯产品</w:t>
            </w:r>
            <w:r>
              <w:rPr>
                <w:rFonts w:ascii="宋体" w:hAnsi="宋体" w:cs="宋体" w:eastAsia="宋体" w:hint="default"/>
                <w:sz w:val="21"/>
                <w:szCs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8,898,849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8,007,147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10.02%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47.62%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43.53%</w:t>
            </w:r>
          </w:p>
        </w:tc>
        <w:tc>
          <w:tcPr>
            <w:tcW w:w="1885" w:type="dxa"/>
            <w:tcBorders>
              <w:top w:val="single" w:sz="4" w:space="0" w:color="000000"/>
              <w:left w:val="single" w:sz="4" w:space="0" w:color="000000"/>
              <w:bottom w:val="single" w:sz="4" w:space="0" w:color="000000"/>
              <w:right w:val="single" w:sz="12" w:space="0" w:color="000000"/>
            </w:tcBorders>
          </w:tcPr>
          <w:p>
            <w:pPr>
              <w:pStyle w:val="TableParagraph"/>
              <w:spacing w:line="263" w:lineRule="exact"/>
              <w:ind w:left="9" w:right="0"/>
              <w:jc w:val="center"/>
              <w:rPr>
                <w:rFonts w:ascii="宋体" w:hAnsi="宋体" w:cs="宋体" w:eastAsia="宋体" w:hint="default"/>
                <w:sz w:val="21"/>
                <w:szCs w:val="21"/>
              </w:rPr>
            </w:pPr>
            <w:r>
              <w:rPr>
                <w:rFonts w:ascii="宋体" w:hAnsi="宋体" w:cs="宋体" w:eastAsia="宋体" w:hint="default"/>
                <w:spacing w:val="-6"/>
                <w:sz w:val="21"/>
                <w:szCs w:val="21"/>
              </w:rPr>
              <w:t>上升</w:t>
            </w:r>
            <w:r>
              <w:rPr>
                <w:rFonts w:ascii="宋体" w:hAnsi="宋体" w:cs="宋体" w:eastAsia="宋体" w:hint="default"/>
                <w:spacing w:val="-67"/>
                <w:sz w:val="21"/>
                <w:szCs w:val="21"/>
              </w:rPr>
              <w:t> </w:t>
            </w:r>
            <w:r>
              <w:rPr>
                <w:rFonts w:ascii="Times New Roman" w:hAnsi="Times New Roman" w:cs="Times New Roman" w:eastAsia="Times New Roman" w:hint="default"/>
                <w:spacing w:val="-5"/>
                <w:sz w:val="21"/>
                <w:szCs w:val="21"/>
              </w:rPr>
              <w:t>2.56</w:t>
            </w:r>
            <w:r>
              <w:rPr>
                <w:rFonts w:ascii="Times New Roman" w:hAnsi="Times New Roman" w:cs="Times New Roman" w:eastAsia="Times New Roman" w:hint="default"/>
                <w:spacing w:val="-7"/>
                <w:sz w:val="21"/>
                <w:szCs w:val="21"/>
              </w:rPr>
              <w:t> </w:t>
            </w:r>
            <w:r>
              <w:rPr>
                <w:rFonts w:ascii="宋体" w:hAnsi="宋体" w:cs="宋体" w:eastAsia="宋体" w:hint="default"/>
                <w:spacing w:val="-13"/>
                <w:sz w:val="21"/>
                <w:szCs w:val="21"/>
              </w:rPr>
              <w:t>个百分点</w:t>
            </w:r>
            <w:r>
              <w:rPr>
                <w:rFonts w:ascii="宋体" w:hAnsi="宋体" w:cs="宋体" w:eastAsia="宋体" w:hint="default"/>
                <w:sz w:val="21"/>
                <w:szCs w:val="21"/>
              </w:rPr>
            </w:r>
          </w:p>
        </w:tc>
      </w:tr>
      <w:tr>
        <w:trPr>
          <w:trHeight w:val="294" w:hRule="exact"/>
        </w:trPr>
        <w:tc>
          <w:tcPr>
            <w:tcW w:w="1600"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pacing w:val="-9"/>
                <w:sz w:val="21"/>
                <w:szCs w:val="21"/>
              </w:rPr>
              <w:t>安装维修业务</w:t>
            </w:r>
            <w:r>
              <w:rPr>
                <w:rFonts w:ascii="宋体" w:hAnsi="宋体" w:cs="宋体" w:eastAsia="宋体" w:hint="default"/>
                <w:sz w:val="21"/>
                <w:szCs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854,589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586,434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31.38%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63.06%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86.76%</w:t>
            </w:r>
          </w:p>
        </w:tc>
        <w:tc>
          <w:tcPr>
            <w:tcW w:w="1885" w:type="dxa"/>
            <w:tcBorders>
              <w:top w:val="single" w:sz="4" w:space="0" w:color="000000"/>
              <w:left w:val="single" w:sz="4" w:space="0" w:color="000000"/>
              <w:bottom w:val="single" w:sz="4" w:space="0" w:color="000000"/>
              <w:right w:val="single" w:sz="12" w:space="0" w:color="000000"/>
            </w:tcBorders>
          </w:tcPr>
          <w:p>
            <w:pPr>
              <w:pStyle w:val="TableParagraph"/>
              <w:spacing w:line="263" w:lineRule="exact"/>
              <w:ind w:left="9" w:right="0"/>
              <w:jc w:val="center"/>
              <w:rPr>
                <w:rFonts w:ascii="宋体" w:hAnsi="宋体" w:cs="宋体" w:eastAsia="宋体" w:hint="default"/>
                <w:sz w:val="21"/>
                <w:szCs w:val="21"/>
              </w:rPr>
            </w:pPr>
            <w:r>
              <w:rPr>
                <w:rFonts w:ascii="宋体" w:hAnsi="宋体" w:cs="宋体" w:eastAsia="宋体" w:hint="default"/>
                <w:spacing w:val="-6"/>
                <w:sz w:val="21"/>
                <w:szCs w:val="21"/>
              </w:rPr>
              <w:t>下降</w:t>
            </w:r>
            <w:r>
              <w:rPr>
                <w:rFonts w:ascii="宋体" w:hAnsi="宋体" w:cs="宋体" w:eastAsia="宋体" w:hint="default"/>
                <w:spacing w:val="-67"/>
                <w:sz w:val="21"/>
                <w:szCs w:val="21"/>
              </w:rPr>
              <w:t> </w:t>
            </w:r>
            <w:r>
              <w:rPr>
                <w:rFonts w:ascii="Times New Roman" w:hAnsi="Times New Roman" w:cs="Times New Roman" w:eastAsia="Times New Roman" w:hint="default"/>
                <w:spacing w:val="-5"/>
                <w:sz w:val="21"/>
                <w:szCs w:val="21"/>
              </w:rPr>
              <w:t>8.70</w:t>
            </w:r>
            <w:r>
              <w:rPr>
                <w:rFonts w:ascii="Times New Roman" w:hAnsi="Times New Roman" w:cs="Times New Roman" w:eastAsia="Times New Roman" w:hint="default"/>
                <w:spacing w:val="-7"/>
                <w:sz w:val="21"/>
                <w:szCs w:val="21"/>
              </w:rPr>
              <w:t> </w:t>
            </w:r>
            <w:r>
              <w:rPr>
                <w:rFonts w:ascii="宋体" w:hAnsi="宋体" w:cs="宋体" w:eastAsia="宋体" w:hint="default"/>
                <w:spacing w:val="-13"/>
                <w:sz w:val="21"/>
                <w:szCs w:val="21"/>
              </w:rPr>
              <w:t>个百分点</w:t>
            </w:r>
            <w:r>
              <w:rPr>
                <w:rFonts w:ascii="宋体" w:hAnsi="宋体" w:cs="宋体" w:eastAsia="宋体" w:hint="default"/>
                <w:sz w:val="21"/>
                <w:szCs w:val="21"/>
              </w:rPr>
            </w:r>
          </w:p>
        </w:tc>
      </w:tr>
      <w:tr>
        <w:trPr>
          <w:trHeight w:val="294" w:hRule="exact"/>
        </w:trPr>
        <w:tc>
          <w:tcPr>
            <w:tcW w:w="1600"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pacing w:val="-9"/>
                <w:sz w:val="21"/>
                <w:szCs w:val="21"/>
              </w:rPr>
              <w:t>其他产品</w:t>
            </w:r>
            <w:r>
              <w:rPr>
                <w:rFonts w:ascii="宋体" w:hAnsi="宋体" w:cs="宋体" w:eastAsia="宋体" w:hint="default"/>
                <w:sz w:val="21"/>
                <w:szCs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231,876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231,302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0.25%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132.28%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640.81%</w:t>
            </w:r>
          </w:p>
        </w:tc>
        <w:tc>
          <w:tcPr>
            <w:tcW w:w="1885" w:type="dxa"/>
            <w:tcBorders>
              <w:top w:val="single" w:sz="4" w:space="0" w:color="000000"/>
              <w:left w:val="single" w:sz="4" w:space="0" w:color="000000"/>
              <w:bottom w:val="single" w:sz="4" w:space="0" w:color="000000"/>
              <w:right w:val="single" w:sz="12" w:space="0" w:color="000000"/>
            </w:tcBorders>
          </w:tcPr>
          <w:p>
            <w:pPr>
              <w:pStyle w:val="TableParagraph"/>
              <w:spacing w:line="263" w:lineRule="exact"/>
              <w:ind w:left="9" w:right="0"/>
              <w:jc w:val="center"/>
              <w:rPr>
                <w:rFonts w:ascii="宋体" w:hAnsi="宋体" w:cs="宋体" w:eastAsia="宋体" w:hint="default"/>
                <w:sz w:val="21"/>
                <w:szCs w:val="21"/>
              </w:rPr>
            </w:pPr>
            <w:r>
              <w:rPr>
                <w:rFonts w:ascii="宋体" w:hAnsi="宋体" w:cs="宋体" w:eastAsia="宋体" w:hint="default"/>
                <w:spacing w:val="-11"/>
                <w:sz w:val="21"/>
                <w:szCs w:val="21"/>
              </w:rPr>
              <w:t>下降</w:t>
            </w:r>
            <w:r>
              <w:rPr>
                <w:rFonts w:ascii="宋体" w:hAnsi="宋体" w:cs="宋体" w:eastAsia="宋体" w:hint="default"/>
                <w:spacing w:val="-76"/>
                <w:sz w:val="21"/>
                <w:szCs w:val="21"/>
              </w:rPr>
              <w:t> </w:t>
            </w:r>
            <w:r>
              <w:rPr>
                <w:rFonts w:ascii="Times New Roman" w:hAnsi="Times New Roman" w:cs="Times New Roman" w:eastAsia="Times New Roman" w:hint="default"/>
                <w:spacing w:val="-9"/>
                <w:sz w:val="21"/>
                <w:szCs w:val="21"/>
              </w:rPr>
              <w:t>68.47</w:t>
            </w:r>
            <w:r>
              <w:rPr>
                <w:rFonts w:ascii="Times New Roman" w:hAnsi="Times New Roman" w:cs="Times New Roman" w:eastAsia="Times New Roman" w:hint="default"/>
                <w:spacing w:val="-13"/>
                <w:sz w:val="21"/>
                <w:szCs w:val="21"/>
              </w:rPr>
              <w:t> </w:t>
            </w:r>
            <w:r>
              <w:rPr>
                <w:rFonts w:ascii="宋体" w:hAnsi="宋体" w:cs="宋体" w:eastAsia="宋体" w:hint="default"/>
                <w:spacing w:val="-21"/>
                <w:sz w:val="21"/>
                <w:szCs w:val="21"/>
              </w:rPr>
              <w:t>个百分点</w:t>
            </w:r>
            <w:r>
              <w:rPr>
                <w:rFonts w:ascii="宋体" w:hAnsi="宋体" w:cs="宋体" w:eastAsia="宋体" w:hint="default"/>
                <w:sz w:val="21"/>
                <w:szCs w:val="21"/>
              </w:rPr>
            </w:r>
          </w:p>
        </w:tc>
      </w:tr>
      <w:tr>
        <w:trPr>
          <w:trHeight w:val="305" w:hRule="exact"/>
        </w:trPr>
        <w:tc>
          <w:tcPr>
            <w:tcW w:w="1600" w:type="dxa"/>
            <w:tcBorders>
              <w:top w:val="single" w:sz="4" w:space="0" w:color="000000"/>
              <w:left w:val="single" w:sz="12" w:space="0" w:color="000000"/>
              <w:bottom w:val="single" w:sz="12" w:space="0" w:color="000000"/>
              <w:right w:val="single" w:sz="4" w:space="0" w:color="000000"/>
            </w:tcBorders>
          </w:tcPr>
          <w:p>
            <w:pPr>
              <w:pStyle w:val="TableParagraph"/>
              <w:spacing w:line="247" w:lineRule="exact"/>
              <w:ind w:right="8"/>
              <w:jc w:val="center"/>
              <w:rPr>
                <w:rFonts w:ascii="宋体" w:hAnsi="宋体" w:cs="宋体" w:eastAsia="宋体" w:hint="default"/>
                <w:sz w:val="21"/>
                <w:szCs w:val="21"/>
              </w:rPr>
            </w:pPr>
            <w:r>
              <w:rPr>
                <w:rFonts w:ascii="宋体" w:hAnsi="宋体" w:cs="宋体" w:eastAsia="宋体" w:hint="default"/>
                <w:sz w:val="21"/>
                <w:szCs w:val="21"/>
              </w:rPr>
              <w:t>合计</w:t>
            </w:r>
          </w:p>
        </w:tc>
        <w:tc>
          <w:tcPr>
            <w:tcW w:w="13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74,227,457</w:t>
            </w:r>
          </w:p>
        </w:tc>
        <w:tc>
          <w:tcPr>
            <w:tcW w:w="13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61,915,817</w:t>
            </w:r>
          </w:p>
        </w:tc>
        <w:tc>
          <w:tcPr>
            <w:tcW w:w="9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16.59%</w:t>
            </w:r>
          </w:p>
        </w:tc>
        <w:tc>
          <w:tcPr>
            <w:tcW w:w="11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30.14%</w:t>
            </w:r>
          </w:p>
        </w:tc>
        <w:tc>
          <w:tcPr>
            <w:tcW w:w="11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28.71%</w:t>
            </w:r>
          </w:p>
        </w:tc>
        <w:tc>
          <w:tcPr>
            <w:tcW w:w="1885" w:type="dxa"/>
            <w:tcBorders>
              <w:top w:val="single" w:sz="4" w:space="0" w:color="000000"/>
              <w:left w:val="single" w:sz="4" w:space="0" w:color="000000"/>
              <w:bottom w:val="single" w:sz="12" w:space="0" w:color="000000"/>
              <w:right w:val="single" w:sz="12" w:space="0" w:color="000000"/>
            </w:tcBorders>
          </w:tcPr>
          <w:p>
            <w:pPr>
              <w:pStyle w:val="TableParagraph"/>
              <w:spacing w:line="263" w:lineRule="exact"/>
              <w:ind w:left="9" w:right="0"/>
              <w:jc w:val="center"/>
              <w:rPr>
                <w:rFonts w:ascii="宋体" w:hAnsi="宋体" w:cs="宋体" w:eastAsia="宋体" w:hint="default"/>
                <w:sz w:val="21"/>
                <w:szCs w:val="21"/>
              </w:rPr>
            </w:pPr>
            <w:r>
              <w:rPr>
                <w:rFonts w:ascii="宋体" w:hAnsi="宋体" w:cs="宋体" w:eastAsia="宋体" w:hint="default"/>
                <w:spacing w:val="-6"/>
                <w:sz w:val="21"/>
                <w:szCs w:val="21"/>
              </w:rPr>
              <w:t>上升</w:t>
            </w:r>
            <w:r>
              <w:rPr>
                <w:rFonts w:ascii="宋体" w:hAnsi="宋体" w:cs="宋体" w:eastAsia="宋体" w:hint="default"/>
                <w:spacing w:val="-67"/>
                <w:sz w:val="21"/>
                <w:szCs w:val="21"/>
              </w:rPr>
              <w:t> </w:t>
            </w:r>
            <w:r>
              <w:rPr>
                <w:rFonts w:ascii="Times New Roman" w:hAnsi="Times New Roman" w:cs="Times New Roman" w:eastAsia="Times New Roman" w:hint="default"/>
                <w:spacing w:val="-5"/>
                <w:sz w:val="21"/>
                <w:szCs w:val="21"/>
              </w:rPr>
              <w:t>0.93</w:t>
            </w:r>
            <w:r>
              <w:rPr>
                <w:rFonts w:ascii="Times New Roman" w:hAnsi="Times New Roman" w:cs="Times New Roman" w:eastAsia="Times New Roman" w:hint="default"/>
                <w:spacing w:val="-7"/>
                <w:sz w:val="21"/>
                <w:szCs w:val="21"/>
              </w:rPr>
              <w:t> </w:t>
            </w:r>
            <w:r>
              <w:rPr>
                <w:rFonts w:ascii="宋体" w:hAnsi="宋体" w:cs="宋体" w:eastAsia="宋体" w:hint="default"/>
                <w:spacing w:val="-13"/>
                <w:sz w:val="21"/>
                <w:szCs w:val="21"/>
              </w:rPr>
              <w:t>个百分点</w:t>
            </w:r>
            <w:r>
              <w:rPr>
                <w:rFonts w:ascii="宋体" w:hAnsi="宋体" w:cs="宋体" w:eastAsia="宋体" w:hint="default"/>
                <w:sz w:val="21"/>
                <w:szCs w:val="21"/>
              </w:rPr>
            </w:r>
          </w:p>
        </w:tc>
      </w:tr>
    </w:tbl>
    <w:p>
      <w:pPr>
        <w:spacing w:after="0" w:line="263" w:lineRule="exact"/>
        <w:jc w:val="center"/>
        <w:rPr>
          <w:rFonts w:ascii="宋体" w:hAnsi="宋体" w:cs="宋体" w:eastAsia="宋体" w:hint="default"/>
          <w:sz w:val="21"/>
          <w:szCs w:val="21"/>
        </w:rPr>
        <w:sectPr>
          <w:pgSz w:w="11910" w:h="16840"/>
          <w:pgMar w:header="748" w:footer="714" w:top="980" w:bottom="900" w:left="1200" w:right="1180"/>
        </w:sectPr>
      </w:pPr>
    </w:p>
    <w:p>
      <w:pPr>
        <w:spacing w:line="240" w:lineRule="auto" w:before="7"/>
        <w:rPr>
          <w:rFonts w:ascii="宋体" w:hAnsi="宋体" w:cs="宋体" w:eastAsia="宋体" w:hint="default"/>
          <w:sz w:val="29"/>
          <w:szCs w:val="29"/>
        </w:rPr>
      </w:pPr>
    </w:p>
    <w:p>
      <w:pPr>
        <w:pStyle w:val="BodyText"/>
        <w:spacing w:line="240" w:lineRule="auto" w:before="26"/>
        <w:ind w:left="720" w:right="2202"/>
        <w:jc w:val="left"/>
      </w:pPr>
      <w:r>
        <w:rPr>
          <w:rFonts w:ascii="Times New Roman" w:hAnsi="Times New Roman" w:cs="Times New Roman" w:eastAsia="Times New Roman" w:hint="default"/>
        </w:rPr>
        <w:t>B</w:t>
      </w:r>
      <w:r>
        <w:rPr/>
        <w:t>、主营业务分地区情况表：</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3685"/>
        <w:gridCol w:w="2831"/>
        <w:gridCol w:w="2729"/>
      </w:tblGrid>
      <w:tr>
        <w:trPr>
          <w:trHeight w:val="653" w:hRule="exact"/>
        </w:trPr>
        <w:tc>
          <w:tcPr>
            <w:tcW w:w="368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47"/>
              <w:ind w:right="8"/>
              <w:jc w:val="center"/>
              <w:rPr>
                <w:rFonts w:ascii="宋体" w:hAnsi="宋体" w:cs="宋体" w:eastAsia="宋体" w:hint="default"/>
                <w:sz w:val="21"/>
                <w:szCs w:val="21"/>
              </w:rPr>
            </w:pPr>
            <w:r>
              <w:rPr>
                <w:rFonts w:ascii="宋体" w:hAnsi="宋体" w:cs="宋体" w:eastAsia="宋体" w:hint="default"/>
                <w:sz w:val="21"/>
                <w:szCs w:val="21"/>
              </w:rPr>
              <w:t>地区</w:t>
            </w:r>
          </w:p>
        </w:tc>
        <w:tc>
          <w:tcPr>
            <w:tcW w:w="28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7"/>
              <w:ind w:left="78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729" w:type="dxa"/>
            <w:tcBorders>
              <w:top w:val="single" w:sz="12" w:space="0" w:color="000000"/>
              <w:left w:val="single" w:sz="4" w:space="0" w:color="000000"/>
              <w:bottom w:val="single" w:sz="4" w:space="0" w:color="000000"/>
              <w:right w:val="single" w:sz="12" w:space="0" w:color="000000"/>
            </w:tcBorders>
          </w:tcPr>
          <w:p>
            <w:pPr>
              <w:pStyle w:val="TableParagraph"/>
              <w:spacing w:line="272" w:lineRule="exact" w:before="38"/>
              <w:ind w:left="939" w:right="193" w:hanging="736"/>
              <w:jc w:val="left"/>
              <w:rPr>
                <w:rFonts w:ascii="宋体" w:hAnsi="宋体" w:cs="宋体" w:eastAsia="宋体" w:hint="default"/>
                <w:sz w:val="21"/>
                <w:szCs w:val="21"/>
              </w:rPr>
            </w:pPr>
            <w:r>
              <w:rPr>
                <w:rFonts w:ascii="宋体" w:hAnsi="宋体" w:cs="宋体" w:eastAsia="宋体" w:hint="default"/>
                <w:sz w:val="21"/>
                <w:szCs w:val="21"/>
              </w:rPr>
              <w:t>主营业务收入比上年同期 增（％）</w:t>
            </w:r>
          </w:p>
        </w:tc>
      </w:tr>
      <w:tr>
        <w:trPr>
          <w:trHeight w:val="370" w:hRule="exact"/>
        </w:trPr>
        <w:tc>
          <w:tcPr>
            <w:tcW w:w="36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8"/>
              <w:jc w:val="center"/>
              <w:rPr>
                <w:rFonts w:ascii="宋体" w:hAnsi="宋体" w:cs="宋体" w:eastAsia="宋体" w:hint="default"/>
                <w:sz w:val="21"/>
                <w:szCs w:val="21"/>
              </w:rPr>
            </w:pPr>
            <w:r>
              <w:rPr>
                <w:rFonts w:ascii="宋体" w:hAnsi="宋体" w:cs="宋体" w:eastAsia="宋体" w:hint="default"/>
                <w:sz w:val="21"/>
                <w:szCs w:val="21"/>
              </w:rPr>
              <w:t>华东一区</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17,442,207</w:t>
            </w:r>
          </w:p>
        </w:tc>
        <w:tc>
          <w:tcPr>
            <w:tcW w:w="27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90"/>
              <w:jc w:val="right"/>
              <w:rPr>
                <w:rFonts w:ascii="Times New Roman" w:hAnsi="Times New Roman" w:cs="Times New Roman" w:eastAsia="Times New Roman" w:hint="default"/>
                <w:sz w:val="21"/>
                <w:szCs w:val="21"/>
              </w:rPr>
            </w:pPr>
            <w:r>
              <w:rPr>
                <w:rFonts w:ascii="Times New Roman"/>
                <w:spacing w:val="-1"/>
                <w:sz w:val="21"/>
              </w:rPr>
              <w:t>31.97%</w:t>
            </w:r>
          </w:p>
        </w:tc>
      </w:tr>
      <w:tr>
        <w:trPr>
          <w:trHeight w:val="368" w:hRule="exact"/>
        </w:trPr>
        <w:tc>
          <w:tcPr>
            <w:tcW w:w="36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8"/>
              <w:jc w:val="center"/>
              <w:rPr>
                <w:rFonts w:ascii="宋体" w:hAnsi="宋体" w:cs="宋体" w:eastAsia="宋体" w:hint="default"/>
                <w:sz w:val="21"/>
                <w:szCs w:val="21"/>
              </w:rPr>
            </w:pPr>
            <w:r>
              <w:rPr>
                <w:rFonts w:ascii="宋体" w:hAnsi="宋体" w:cs="宋体" w:eastAsia="宋体" w:hint="default"/>
                <w:sz w:val="21"/>
                <w:szCs w:val="21"/>
              </w:rPr>
              <w:t>华东二区</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13,581,781</w:t>
            </w:r>
          </w:p>
        </w:tc>
        <w:tc>
          <w:tcPr>
            <w:tcW w:w="27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90"/>
              <w:jc w:val="right"/>
              <w:rPr>
                <w:rFonts w:ascii="Times New Roman" w:hAnsi="Times New Roman" w:cs="Times New Roman" w:eastAsia="Times New Roman" w:hint="default"/>
                <w:sz w:val="21"/>
                <w:szCs w:val="21"/>
              </w:rPr>
            </w:pPr>
            <w:r>
              <w:rPr>
                <w:rFonts w:ascii="Times New Roman"/>
                <w:spacing w:val="-1"/>
                <w:sz w:val="21"/>
              </w:rPr>
              <w:t>24.09%</w:t>
            </w:r>
          </w:p>
        </w:tc>
      </w:tr>
      <w:tr>
        <w:trPr>
          <w:trHeight w:val="370" w:hRule="exact"/>
        </w:trPr>
        <w:tc>
          <w:tcPr>
            <w:tcW w:w="36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8"/>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2"/>
                <w:sz w:val="21"/>
              </w:rPr>
              <w:t>11,707,477</w:t>
            </w:r>
          </w:p>
        </w:tc>
        <w:tc>
          <w:tcPr>
            <w:tcW w:w="27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90"/>
              <w:jc w:val="right"/>
              <w:rPr>
                <w:rFonts w:ascii="Times New Roman" w:hAnsi="Times New Roman" w:cs="Times New Roman" w:eastAsia="Times New Roman" w:hint="default"/>
                <w:sz w:val="21"/>
                <w:szCs w:val="21"/>
              </w:rPr>
            </w:pPr>
            <w:r>
              <w:rPr>
                <w:rFonts w:ascii="Times New Roman"/>
                <w:spacing w:val="-1"/>
                <w:sz w:val="21"/>
              </w:rPr>
              <w:t>23.31%</w:t>
            </w:r>
          </w:p>
        </w:tc>
      </w:tr>
      <w:tr>
        <w:trPr>
          <w:trHeight w:val="368" w:hRule="exact"/>
        </w:trPr>
        <w:tc>
          <w:tcPr>
            <w:tcW w:w="36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8"/>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2"/>
                <w:sz w:val="21"/>
              </w:rPr>
              <w:t>11,349,500</w:t>
            </w:r>
          </w:p>
        </w:tc>
        <w:tc>
          <w:tcPr>
            <w:tcW w:w="27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90"/>
              <w:jc w:val="right"/>
              <w:rPr>
                <w:rFonts w:ascii="Times New Roman" w:hAnsi="Times New Roman" w:cs="Times New Roman" w:eastAsia="Times New Roman" w:hint="default"/>
                <w:sz w:val="21"/>
                <w:szCs w:val="21"/>
              </w:rPr>
            </w:pPr>
            <w:r>
              <w:rPr>
                <w:rFonts w:ascii="Times New Roman"/>
                <w:spacing w:val="-1"/>
                <w:sz w:val="21"/>
              </w:rPr>
              <w:t>35.58%</w:t>
            </w:r>
          </w:p>
        </w:tc>
      </w:tr>
      <w:tr>
        <w:trPr>
          <w:trHeight w:val="370" w:hRule="exact"/>
        </w:trPr>
        <w:tc>
          <w:tcPr>
            <w:tcW w:w="36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8"/>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7,513,241</w:t>
            </w:r>
          </w:p>
        </w:tc>
        <w:tc>
          <w:tcPr>
            <w:tcW w:w="27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90"/>
              <w:jc w:val="right"/>
              <w:rPr>
                <w:rFonts w:ascii="Times New Roman" w:hAnsi="Times New Roman" w:cs="Times New Roman" w:eastAsia="Times New Roman" w:hint="default"/>
                <w:sz w:val="21"/>
                <w:szCs w:val="21"/>
              </w:rPr>
            </w:pPr>
            <w:r>
              <w:rPr>
                <w:rFonts w:ascii="Times New Roman"/>
                <w:spacing w:val="-1"/>
                <w:sz w:val="21"/>
              </w:rPr>
              <w:t>29.28%</w:t>
            </w:r>
          </w:p>
        </w:tc>
      </w:tr>
      <w:tr>
        <w:trPr>
          <w:trHeight w:val="368" w:hRule="exact"/>
        </w:trPr>
        <w:tc>
          <w:tcPr>
            <w:tcW w:w="36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8"/>
              <w:jc w:val="center"/>
              <w:rPr>
                <w:rFonts w:ascii="宋体" w:hAnsi="宋体" w:cs="宋体" w:eastAsia="宋体" w:hint="default"/>
                <w:sz w:val="21"/>
                <w:szCs w:val="21"/>
              </w:rPr>
            </w:pPr>
            <w:r>
              <w:rPr>
                <w:rFonts w:ascii="宋体" w:hAnsi="宋体" w:cs="宋体" w:eastAsia="宋体" w:hint="default"/>
                <w:sz w:val="21"/>
                <w:szCs w:val="21"/>
              </w:rPr>
              <w:t>东北地区</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4,298,562</w:t>
            </w:r>
          </w:p>
        </w:tc>
        <w:tc>
          <w:tcPr>
            <w:tcW w:w="27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90"/>
              <w:jc w:val="right"/>
              <w:rPr>
                <w:rFonts w:ascii="Times New Roman" w:hAnsi="Times New Roman" w:cs="Times New Roman" w:eastAsia="Times New Roman" w:hint="default"/>
                <w:sz w:val="21"/>
                <w:szCs w:val="21"/>
              </w:rPr>
            </w:pPr>
            <w:r>
              <w:rPr>
                <w:rFonts w:ascii="Times New Roman"/>
                <w:spacing w:val="-1"/>
                <w:sz w:val="21"/>
              </w:rPr>
              <w:t>26.49%</w:t>
            </w:r>
          </w:p>
        </w:tc>
      </w:tr>
      <w:tr>
        <w:trPr>
          <w:trHeight w:val="370" w:hRule="exact"/>
        </w:trPr>
        <w:tc>
          <w:tcPr>
            <w:tcW w:w="36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8"/>
              <w:jc w:val="center"/>
              <w:rPr>
                <w:rFonts w:ascii="宋体" w:hAnsi="宋体" w:cs="宋体" w:eastAsia="宋体" w:hint="default"/>
                <w:sz w:val="21"/>
                <w:szCs w:val="21"/>
              </w:rPr>
            </w:pPr>
            <w:r>
              <w:rPr>
                <w:rFonts w:ascii="宋体" w:hAnsi="宋体" w:cs="宋体" w:eastAsia="宋体" w:hint="default"/>
                <w:sz w:val="21"/>
                <w:szCs w:val="21"/>
              </w:rPr>
              <w:t>华中地区</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4,245,513</w:t>
            </w:r>
          </w:p>
        </w:tc>
        <w:tc>
          <w:tcPr>
            <w:tcW w:w="27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90"/>
              <w:jc w:val="right"/>
              <w:rPr>
                <w:rFonts w:ascii="Times New Roman" w:hAnsi="Times New Roman" w:cs="Times New Roman" w:eastAsia="Times New Roman" w:hint="default"/>
                <w:sz w:val="21"/>
                <w:szCs w:val="21"/>
              </w:rPr>
            </w:pPr>
            <w:r>
              <w:rPr>
                <w:rFonts w:ascii="Times New Roman"/>
                <w:spacing w:val="-1"/>
                <w:sz w:val="21"/>
              </w:rPr>
              <w:t>31.63%</w:t>
            </w:r>
          </w:p>
        </w:tc>
      </w:tr>
      <w:tr>
        <w:trPr>
          <w:trHeight w:val="368" w:hRule="exact"/>
        </w:trPr>
        <w:tc>
          <w:tcPr>
            <w:tcW w:w="36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8"/>
              <w:jc w:val="center"/>
              <w:rPr>
                <w:rFonts w:ascii="宋体" w:hAnsi="宋体" w:cs="宋体" w:eastAsia="宋体" w:hint="default"/>
                <w:sz w:val="21"/>
                <w:szCs w:val="21"/>
              </w:rPr>
            </w:pPr>
            <w:r>
              <w:rPr>
                <w:rFonts w:ascii="宋体" w:hAnsi="宋体" w:cs="宋体" w:eastAsia="宋体" w:hint="default"/>
                <w:sz w:val="21"/>
                <w:szCs w:val="21"/>
              </w:rPr>
              <w:t>西北地区</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3,252,174</w:t>
            </w:r>
          </w:p>
        </w:tc>
        <w:tc>
          <w:tcPr>
            <w:tcW w:w="27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90"/>
              <w:jc w:val="right"/>
              <w:rPr>
                <w:rFonts w:ascii="Times New Roman" w:hAnsi="Times New Roman" w:cs="Times New Roman" w:eastAsia="Times New Roman" w:hint="default"/>
                <w:sz w:val="21"/>
                <w:szCs w:val="21"/>
              </w:rPr>
            </w:pPr>
            <w:r>
              <w:rPr>
                <w:rFonts w:ascii="Times New Roman"/>
                <w:spacing w:val="-1"/>
                <w:sz w:val="21"/>
              </w:rPr>
              <w:t>26.33%</w:t>
            </w:r>
          </w:p>
        </w:tc>
      </w:tr>
      <w:tr>
        <w:trPr>
          <w:trHeight w:val="370" w:hRule="exact"/>
        </w:trPr>
        <w:tc>
          <w:tcPr>
            <w:tcW w:w="36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7"/>
              <w:jc w:val="center"/>
              <w:rPr>
                <w:rFonts w:ascii="宋体" w:hAnsi="宋体" w:cs="宋体" w:eastAsia="宋体" w:hint="default"/>
                <w:sz w:val="21"/>
                <w:szCs w:val="21"/>
              </w:rPr>
            </w:pPr>
            <w:r>
              <w:rPr>
                <w:rFonts w:ascii="宋体" w:hAnsi="宋体" w:cs="宋体" w:eastAsia="宋体" w:hint="default"/>
                <w:sz w:val="21"/>
                <w:szCs w:val="21"/>
              </w:rPr>
              <w:t>香港地区（注）</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837,002</w:t>
            </w:r>
          </w:p>
        </w:tc>
        <w:tc>
          <w:tcPr>
            <w:tcW w:w="27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9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9" w:hRule="exact"/>
        </w:trPr>
        <w:tc>
          <w:tcPr>
            <w:tcW w:w="368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2"/>
              <w:ind w:right="8"/>
              <w:jc w:val="center"/>
              <w:rPr>
                <w:rFonts w:ascii="宋体" w:hAnsi="宋体" w:cs="宋体" w:eastAsia="宋体" w:hint="default"/>
                <w:sz w:val="21"/>
                <w:szCs w:val="21"/>
              </w:rPr>
            </w:pPr>
            <w:r>
              <w:rPr>
                <w:rFonts w:ascii="宋体" w:hAnsi="宋体" w:cs="宋体" w:eastAsia="宋体" w:hint="default"/>
                <w:sz w:val="21"/>
                <w:szCs w:val="21"/>
              </w:rPr>
              <w:t>合计</w:t>
            </w:r>
          </w:p>
        </w:tc>
        <w:tc>
          <w:tcPr>
            <w:tcW w:w="28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21"/>
                <w:szCs w:val="21"/>
              </w:rPr>
            </w:pPr>
            <w:r>
              <w:rPr>
                <w:rFonts w:ascii="Times New Roman"/>
                <w:spacing w:val="-1"/>
                <w:sz w:val="21"/>
              </w:rPr>
              <w:t>74,227,457</w:t>
            </w:r>
          </w:p>
        </w:tc>
        <w:tc>
          <w:tcPr>
            <w:tcW w:w="272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7"/>
              <w:ind w:left="11" w:right="0"/>
              <w:jc w:val="center"/>
              <w:rPr>
                <w:rFonts w:ascii="Times New Roman" w:hAnsi="Times New Roman" w:cs="Times New Roman" w:eastAsia="Times New Roman" w:hint="default"/>
                <w:sz w:val="21"/>
                <w:szCs w:val="21"/>
              </w:rPr>
            </w:pPr>
            <w:r>
              <w:rPr>
                <w:rFonts w:ascii="Times New Roman"/>
                <w:sz w:val="21"/>
              </w:rPr>
              <w:t>30.14%</w:t>
            </w:r>
          </w:p>
        </w:tc>
      </w:tr>
    </w:tbl>
    <w:p>
      <w:pPr>
        <w:spacing w:before="86"/>
        <w:ind w:left="660" w:right="0" w:firstLine="0"/>
        <w:jc w:val="left"/>
        <w:rPr>
          <w:rFonts w:ascii="宋体" w:hAnsi="宋体" w:cs="宋体" w:eastAsia="宋体" w:hint="default"/>
          <w:sz w:val="21"/>
          <w:szCs w:val="21"/>
        </w:rPr>
      </w:pPr>
      <w:r>
        <w:rPr>
          <w:rFonts w:ascii="宋体" w:hAnsi="宋体" w:cs="宋体" w:eastAsia="宋体" w:hint="default"/>
          <w:sz w:val="21"/>
          <w:szCs w:val="21"/>
        </w:rPr>
        <w:t>注：公司于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月全面开展在香港地区的家用电器及消费类电子产品的销售及服务业务，</w:t>
      </w:r>
    </w:p>
    <w:p>
      <w:pPr>
        <w:spacing w:before="119"/>
        <w:ind w:left="240" w:right="2202" w:firstLine="0"/>
        <w:jc w:val="left"/>
        <w:rPr>
          <w:rFonts w:ascii="宋体" w:hAnsi="宋体" w:cs="宋体" w:eastAsia="宋体" w:hint="default"/>
          <w:sz w:val="21"/>
          <w:szCs w:val="21"/>
        </w:rPr>
      </w:pPr>
      <w:r>
        <w:rPr>
          <w:rFonts w:ascii="宋体" w:hAnsi="宋体" w:cs="宋体" w:eastAsia="宋体" w:hint="default"/>
          <w:sz w:val="21"/>
          <w:szCs w:val="21"/>
        </w:rPr>
        <w:t>故香港地区销售收入为</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个月数据。</w:t>
      </w:r>
    </w:p>
    <w:p>
      <w:pPr>
        <w:spacing w:line="240" w:lineRule="auto" w:before="11"/>
        <w:rPr>
          <w:rFonts w:ascii="宋体" w:hAnsi="宋体" w:cs="宋体" w:eastAsia="宋体" w:hint="default"/>
          <w:sz w:val="17"/>
          <w:szCs w:val="17"/>
        </w:rPr>
      </w:pPr>
    </w:p>
    <w:p>
      <w:pPr>
        <w:pStyle w:val="BodyText"/>
        <w:spacing w:line="240" w:lineRule="auto"/>
        <w:ind w:left="720" w:right="119"/>
        <w:jc w:val="left"/>
      </w:pPr>
      <w:r>
        <w:rPr>
          <w:rFonts w:ascii="Times New Roman" w:hAnsi="Times New Roman" w:cs="Times New Roman" w:eastAsia="Times New Roman" w:hint="default"/>
        </w:rPr>
        <w:t>C</w:t>
      </w:r>
      <w:r>
        <w:rPr/>
        <w:t>、占公司主营业务收入或主营业务利润</w:t>
      </w:r>
      <w:r>
        <w:rPr>
          <w:spacing w:val="-61"/>
        </w:rPr>
        <w:t> </w:t>
      </w:r>
      <w:r>
        <w:rPr>
          <w:rFonts w:ascii="Times New Roman" w:hAnsi="Times New Roman" w:cs="Times New Roman" w:eastAsia="Times New Roman" w:hint="default"/>
        </w:rPr>
        <w:t>10%</w:t>
      </w:r>
      <w:r>
        <w:rPr/>
        <w:t>以上的主要产品情况：</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906"/>
        <w:gridCol w:w="1582"/>
        <w:gridCol w:w="1580"/>
        <w:gridCol w:w="1392"/>
        <w:gridCol w:w="1392"/>
        <w:gridCol w:w="1393"/>
      </w:tblGrid>
      <w:tr>
        <w:trPr>
          <w:trHeight w:val="359" w:hRule="exact"/>
        </w:trPr>
        <w:tc>
          <w:tcPr>
            <w:tcW w:w="1906" w:type="dxa"/>
            <w:tcBorders>
              <w:top w:val="single" w:sz="12" w:space="0" w:color="000000"/>
              <w:left w:val="single" w:sz="12" w:space="0" w:color="000000"/>
              <w:bottom w:val="single" w:sz="4" w:space="0" w:color="000000"/>
              <w:right w:val="single" w:sz="4" w:space="0" w:color="000000"/>
            </w:tcBorders>
          </w:tcPr>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1580"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主营业务成本</w:t>
            </w:r>
          </w:p>
        </w:tc>
        <w:tc>
          <w:tcPr>
            <w:tcW w:w="1392"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534"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1392"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1"/>
                <w:szCs w:val="21"/>
              </w:rPr>
            </w:pPr>
            <w:r>
              <w:rPr>
                <w:rFonts w:ascii="宋体" w:hAnsi="宋体" w:cs="宋体" w:eastAsia="宋体" w:hint="default"/>
                <w:sz w:val="21"/>
                <w:szCs w:val="21"/>
              </w:rPr>
              <w:t>占收入比率</w:t>
            </w:r>
          </w:p>
        </w:tc>
        <w:tc>
          <w:tcPr>
            <w:tcW w:w="1393" w:type="dxa"/>
            <w:tcBorders>
              <w:top w:val="single" w:sz="12" w:space="0" w:color="000000"/>
              <w:left w:val="single" w:sz="4" w:space="0" w:color="000000"/>
              <w:bottom w:val="single" w:sz="4" w:space="0" w:color="000000"/>
              <w:right w:val="single" w:sz="12" w:space="0" w:color="000000"/>
            </w:tcBorders>
          </w:tcPr>
          <w:p>
            <w:pPr>
              <w:pStyle w:val="TableParagraph"/>
              <w:spacing w:line="274" w:lineRule="exact"/>
              <w:ind w:right="102"/>
              <w:jc w:val="right"/>
              <w:rPr>
                <w:rFonts w:ascii="宋体" w:hAnsi="宋体" w:cs="宋体" w:eastAsia="宋体" w:hint="default"/>
                <w:sz w:val="21"/>
                <w:szCs w:val="21"/>
              </w:rPr>
            </w:pPr>
            <w:r>
              <w:rPr>
                <w:rFonts w:ascii="宋体" w:hAnsi="宋体" w:cs="宋体" w:eastAsia="宋体" w:hint="default"/>
                <w:sz w:val="21"/>
                <w:szCs w:val="21"/>
              </w:rPr>
              <w:t>占利润比率</w:t>
            </w:r>
          </w:p>
        </w:tc>
      </w:tr>
      <w:tr>
        <w:trPr>
          <w:trHeight w:val="370" w:hRule="exact"/>
        </w:trPr>
        <w:tc>
          <w:tcPr>
            <w:tcW w:w="19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彩电、音像、碟机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19,713,007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21"/>
                <w:szCs w:val="21"/>
              </w:rPr>
            </w:pPr>
            <w:r>
              <w:rPr>
                <w:rFonts w:ascii="Times New Roman"/>
                <w:spacing w:val="-1"/>
                <w:sz w:val="21"/>
              </w:rPr>
              <w:t>15,950,653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21"/>
                <w:szCs w:val="21"/>
              </w:rPr>
            </w:pPr>
            <w:r>
              <w:rPr>
                <w:rFonts w:ascii="Times New Roman"/>
                <w:spacing w:val="-1"/>
                <w:sz w:val="21"/>
              </w:rPr>
              <w:t>3,762,354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Times New Roman" w:hAnsi="Times New Roman" w:cs="Times New Roman" w:eastAsia="Times New Roman" w:hint="default"/>
                <w:sz w:val="21"/>
                <w:szCs w:val="21"/>
              </w:rPr>
            </w:pPr>
            <w:r>
              <w:rPr>
                <w:rFonts w:ascii="Times New Roman"/>
                <w:spacing w:val="-1"/>
                <w:sz w:val="21"/>
              </w:rPr>
              <w:t>26.56%</w:t>
            </w:r>
          </w:p>
        </w:tc>
        <w:tc>
          <w:tcPr>
            <w:tcW w:w="13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89"/>
              <w:jc w:val="right"/>
              <w:rPr>
                <w:rFonts w:ascii="Times New Roman" w:hAnsi="Times New Roman" w:cs="Times New Roman" w:eastAsia="Times New Roman" w:hint="default"/>
                <w:sz w:val="21"/>
                <w:szCs w:val="21"/>
              </w:rPr>
            </w:pPr>
            <w:r>
              <w:rPr>
                <w:rFonts w:ascii="Times New Roman"/>
                <w:spacing w:val="-1"/>
                <w:sz w:val="21"/>
              </w:rPr>
              <w:t>30.56%</w:t>
            </w:r>
          </w:p>
        </w:tc>
      </w:tr>
      <w:tr>
        <w:trPr>
          <w:trHeight w:val="368" w:hRule="exact"/>
        </w:trPr>
        <w:tc>
          <w:tcPr>
            <w:tcW w:w="19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冰箱、洗衣机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21"/>
                <w:szCs w:val="21"/>
              </w:rPr>
            </w:pPr>
            <w:r>
              <w:rPr>
                <w:rFonts w:ascii="Times New Roman"/>
                <w:spacing w:val="-1"/>
                <w:sz w:val="21"/>
              </w:rPr>
              <w:t>12,937,736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21"/>
                <w:szCs w:val="21"/>
              </w:rPr>
            </w:pPr>
            <w:r>
              <w:rPr>
                <w:rFonts w:ascii="Times New Roman"/>
                <w:spacing w:val="-2"/>
                <w:sz w:val="21"/>
              </w:rPr>
              <w:t>10,201,114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2,736,622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Times New Roman" w:hAnsi="Times New Roman" w:cs="Times New Roman" w:eastAsia="Times New Roman" w:hint="default"/>
                <w:sz w:val="21"/>
                <w:szCs w:val="21"/>
              </w:rPr>
            </w:pPr>
            <w:r>
              <w:rPr>
                <w:rFonts w:ascii="Times New Roman"/>
                <w:spacing w:val="-1"/>
                <w:sz w:val="21"/>
              </w:rPr>
              <w:t>17.43%</w:t>
            </w:r>
          </w:p>
        </w:tc>
        <w:tc>
          <w:tcPr>
            <w:tcW w:w="13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90"/>
              <w:jc w:val="right"/>
              <w:rPr>
                <w:rFonts w:ascii="Times New Roman" w:hAnsi="Times New Roman" w:cs="Times New Roman" w:eastAsia="Times New Roman" w:hint="default"/>
                <w:sz w:val="21"/>
                <w:szCs w:val="21"/>
              </w:rPr>
            </w:pPr>
            <w:r>
              <w:rPr>
                <w:rFonts w:ascii="Times New Roman"/>
                <w:spacing w:val="-1"/>
                <w:sz w:val="21"/>
              </w:rPr>
              <w:t>22.23%</w:t>
            </w:r>
          </w:p>
        </w:tc>
      </w:tr>
      <w:tr>
        <w:trPr>
          <w:trHeight w:val="370" w:hRule="exact"/>
        </w:trPr>
        <w:tc>
          <w:tcPr>
            <w:tcW w:w="19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数码及</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产品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12,364,458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21"/>
                <w:szCs w:val="21"/>
              </w:rPr>
            </w:pPr>
            <w:r>
              <w:rPr>
                <w:rFonts w:ascii="Times New Roman"/>
                <w:spacing w:val="-2"/>
                <w:sz w:val="21"/>
              </w:rPr>
              <w:t>11,460,497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903,961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Times New Roman" w:hAnsi="Times New Roman" w:cs="Times New Roman" w:eastAsia="Times New Roman" w:hint="default"/>
                <w:sz w:val="21"/>
                <w:szCs w:val="21"/>
              </w:rPr>
            </w:pPr>
            <w:r>
              <w:rPr>
                <w:rFonts w:ascii="Times New Roman"/>
                <w:spacing w:val="-1"/>
                <w:sz w:val="21"/>
              </w:rPr>
              <w:t>16.66%</w:t>
            </w:r>
          </w:p>
        </w:tc>
        <w:tc>
          <w:tcPr>
            <w:tcW w:w="13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91"/>
              <w:jc w:val="right"/>
              <w:rPr>
                <w:rFonts w:ascii="Times New Roman" w:hAnsi="Times New Roman" w:cs="Times New Roman" w:eastAsia="Times New Roman" w:hint="default"/>
                <w:sz w:val="21"/>
                <w:szCs w:val="21"/>
              </w:rPr>
            </w:pPr>
            <w:r>
              <w:rPr>
                <w:rFonts w:ascii="Times New Roman"/>
                <w:spacing w:val="-1"/>
                <w:sz w:val="21"/>
              </w:rPr>
              <w:t>7.34%</w:t>
            </w:r>
          </w:p>
        </w:tc>
      </w:tr>
      <w:tr>
        <w:trPr>
          <w:trHeight w:val="368" w:hRule="exact"/>
        </w:trPr>
        <w:tc>
          <w:tcPr>
            <w:tcW w:w="19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空调器产品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9,698,574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21"/>
                <w:szCs w:val="21"/>
              </w:rPr>
            </w:pPr>
            <w:r>
              <w:rPr>
                <w:rFonts w:ascii="Times New Roman"/>
                <w:spacing w:val="-1"/>
                <w:sz w:val="21"/>
              </w:rPr>
              <w:t>7,932,245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21"/>
                <w:szCs w:val="21"/>
              </w:rPr>
            </w:pPr>
            <w:r>
              <w:rPr>
                <w:rFonts w:ascii="Times New Roman"/>
                <w:spacing w:val="-1"/>
                <w:sz w:val="21"/>
              </w:rPr>
              <w:t>1,766,329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Times New Roman" w:hAnsi="Times New Roman" w:cs="Times New Roman" w:eastAsia="Times New Roman" w:hint="default"/>
                <w:sz w:val="21"/>
                <w:szCs w:val="21"/>
              </w:rPr>
            </w:pPr>
            <w:r>
              <w:rPr>
                <w:rFonts w:ascii="Times New Roman"/>
                <w:spacing w:val="-1"/>
                <w:sz w:val="21"/>
              </w:rPr>
              <w:t>13.07%</w:t>
            </w:r>
          </w:p>
        </w:tc>
        <w:tc>
          <w:tcPr>
            <w:tcW w:w="13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89"/>
              <w:jc w:val="right"/>
              <w:rPr>
                <w:rFonts w:ascii="Times New Roman" w:hAnsi="Times New Roman" w:cs="Times New Roman" w:eastAsia="Times New Roman" w:hint="default"/>
                <w:sz w:val="21"/>
                <w:szCs w:val="21"/>
              </w:rPr>
            </w:pPr>
            <w:r>
              <w:rPr>
                <w:rFonts w:ascii="Times New Roman"/>
                <w:spacing w:val="-1"/>
                <w:sz w:val="21"/>
              </w:rPr>
              <w:t>14.35%</w:t>
            </w:r>
          </w:p>
        </w:tc>
      </w:tr>
      <w:tr>
        <w:trPr>
          <w:trHeight w:val="370" w:hRule="exact"/>
        </w:trPr>
        <w:tc>
          <w:tcPr>
            <w:tcW w:w="19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小家电产品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9,528,368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21"/>
                <w:szCs w:val="21"/>
              </w:rPr>
            </w:pPr>
            <w:r>
              <w:rPr>
                <w:rFonts w:ascii="Times New Roman"/>
                <w:spacing w:val="-1"/>
                <w:sz w:val="21"/>
              </w:rPr>
              <w:t>7,546,425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21"/>
                <w:szCs w:val="21"/>
              </w:rPr>
            </w:pPr>
            <w:r>
              <w:rPr>
                <w:rFonts w:ascii="Times New Roman"/>
                <w:spacing w:val="-1"/>
                <w:sz w:val="21"/>
              </w:rPr>
              <w:t>1,981,943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Times New Roman" w:hAnsi="Times New Roman" w:cs="Times New Roman" w:eastAsia="Times New Roman" w:hint="default"/>
                <w:sz w:val="21"/>
                <w:szCs w:val="21"/>
              </w:rPr>
            </w:pPr>
            <w:r>
              <w:rPr>
                <w:rFonts w:ascii="Times New Roman"/>
                <w:spacing w:val="-1"/>
                <w:sz w:val="21"/>
              </w:rPr>
              <w:t>12.84%</w:t>
            </w:r>
          </w:p>
        </w:tc>
        <w:tc>
          <w:tcPr>
            <w:tcW w:w="13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7"/>
              <w:ind w:right="89"/>
              <w:jc w:val="right"/>
              <w:rPr>
                <w:rFonts w:ascii="Times New Roman" w:hAnsi="Times New Roman" w:cs="Times New Roman" w:eastAsia="Times New Roman" w:hint="default"/>
                <w:sz w:val="21"/>
                <w:szCs w:val="21"/>
              </w:rPr>
            </w:pPr>
            <w:r>
              <w:rPr>
                <w:rFonts w:ascii="Times New Roman"/>
                <w:spacing w:val="-1"/>
                <w:sz w:val="21"/>
              </w:rPr>
              <w:t>16.10%</w:t>
            </w:r>
          </w:p>
        </w:tc>
      </w:tr>
      <w:tr>
        <w:trPr>
          <w:trHeight w:val="379" w:hRule="exact"/>
        </w:trPr>
        <w:tc>
          <w:tcPr>
            <w:tcW w:w="190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通讯产品</w:t>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8,898,849</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21"/>
                <w:szCs w:val="21"/>
              </w:rPr>
            </w:pPr>
            <w:r>
              <w:rPr>
                <w:rFonts w:ascii="Times New Roman"/>
                <w:spacing w:val="-1"/>
                <w:sz w:val="21"/>
              </w:rPr>
              <w:t>8,007,147</w:t>
            </w:r>
          </w:p>
        </w:tc>
        <w:tc>
          <w:tcPr>
            <w:tcW w:w="1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891,702</w:t>
            </w:r>
          </w:p>
        </w:tc>
        <w:tc>
          <w:tcPr>
            <w:tcW w:w="1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2"/>
                <w:sz w:val="21"/>
              </w:rPr>
              <w:t>11.99%</w:t>
            </w:r>
          </w:p>
        </w:tc>
        <w:tc>
          <w:tcPr>
            <w:tcW w:w="13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7"/>
              <w:ind w:right="92"/>
              <w:jc w:val="right"/>
              <w:rPr>
                <w:rFonts w:ascii="Times New Roman" w:hAnsi="Times New Roman" w:cs="Times New Roman" w:eastAsia="Times New Roman" w:hint="default"/>
                <w:sz w:val="21"/>
                <w:szCs w:val="21"/>
              </w:rPr>
            </w:pPr>
            <w:r>
              <w:rPr>
                <w:rFonts w:ascii="Times New Roman"/>
                <w:spacing w:val="-1"/>
                <w:sz w:val="21"/>
              </w:rPr>
              <w:t>7.24%</w:t>
            </w:r>
          </w:p>
        </w:tc>
      </w:tr>
    </w:tbl>
    <w:p>
      <w:pPr>
        <w:pStyle w:val="BodyText"/>
        <w:spacing w:line="240" w:lineRule="auto" w:before="81"/>
        <w:ind w:left="720" w:right="2202"/>
        <w:jc w:val="left"/>
      </w:pPr>
      <w:r>
        <w:rPr/>
        <w:t>（</w:t>
      </w:r>
      <w:r>
        <w:rPr>
          <w:rFonts w:ascii="Times New Roman" w:hAnsi="Times New Roman" w:cs="Times New Roman" w:eastAsia="Times New Roman" w:hint="default"/>
        </w:rPr>
        <w:t>3</w:t>
      </w:r>
      <w:r>
        <w:rPr/>
        <w:t>）报告期内主营业务或结构及盈利能力变化的说明：</w:t>
      </w:r>
    </w:p>
    <w:p>
      <w:pPr>
        <w:pStyle w:val="BodyText"/>
        <w:spacing w:line="240" w:lineRule="auto" w:before="135"/>
        <w:ind w:left="720" w:right="2202"/>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产品销售及毛利变动整体情况：</w:t>
      </w:r>
    </w:p>
    <w:p>
      <w:pPr>
        <w:pStyle w:val="BodyText"/>
        <w:spacing w:line="352" w:lineRule="auto" w:before="137"/>
        <w:ind w:left="240" w:right="144" w:firstLine="480"/>
        <w:jc w:val="left"/>
      </w:pPr>
      <w:r>
        <w:rPr>
          <w:rFonts w:ascii="Times New Roman" w:hAnsi="Times New Roman" w:cs="Times New Roman" w:eastAsia="Times New Roman" w:hint="default"/>
        </w:rPr>
        <w:t>2010 </w:t>
      </w:r>
      <w:r>
        <w:rPr/>
        <w:t>年，公司产品多元化策略初现成效，</w:t>
      </w:r>
      <w:r>
        <w:rPr>
          <w:rFonts w:ascii="Times New Roman" w:hAnsi="Times New Roman" w:cs="Times New Roman" w:eastAsia="Times New Roman" w:hint="default"/>
        </w:rPr>
        <w:t>3C</w:t>
      </w:r>
      <w:r>
        <w:rPr>
          <w:rFonts w:ascii="Times New Roman" w:hAnsi="Times New Roman" w:cs="Times New Roman" w:eastAsia="Times New Roman" w:hint="default"/>
          <w:spacing w:val="-8"/>
        </w:rPr>
        <w:t> </w:t>
      </w:r>
      <w:r>
        <w:rPr/>
        <w:t>品类产品在多年培育的基础上，随着 新一轮增长机会的到来，收入迅速增长且随着经营能力的提升，盈利能力也提升较快； </w:t>
      </w:r>
      <w:r>
        <w:rPr>
          <w:spacing w:val="-3"/>
        </w:rPr>
        <w:t>公司对消费类电子行业、产品的把握能力进一步加大，已基本完成了面向家庭用户、个</w:t>
      </w:r>
      <w:r>
        <w:rPr>
          <w:spacing w:val="-96"/>
        </w:rPr>
        <w:t> </w:t>
      </w:r>
      <w:r>
        <w:rPr>
          <w:spacing w:val="-96"/>
        </w:rPr>
      </w:r>
      <w:r>
        <w:rPr>
          <w:spacing w:val="-3"/>
        </w:rPr>
        <w:t>人用户和企事业单位用户的产品资源整合，为公司丰富产品品类、扩大市场规模，抵御</w:t>
      </w:r>
      <w:r>
        <w:rPr>
          <w:spacing w:val="-96"/>
        </w:rPr>
        <w:t> </w:t>
      </w:r>
      <w:r>
        <w:rPr>
          <w:spacing w:val="-96"/>
        </w:rPr>
      </w:r>
      <w:r>
        <w:rPr/>
        <w:t>单一产品风险奠定了坚实的基础。</w:t>
      </w:r>
    </w:p>
    <w:p>
      <w:pPr>
        <w:pStyle w:val="BodyText"/>
        <w:spacing w:line="240" w:lineRule="auto" w:before="41"/>
        <w:ind w:left="720" w:right="2202"/>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分品类产品销售及毛利率变动情况如下：</w:t>
      </w:r>
    </w:p>
    <w:p>
      <w:pPr>
        <w:pStyle w:val="BodyText"/>
        <w:tabs>
          <w:tab w:pos="1139" w:val="left" w:leader="none"/>
        </w:tabs>
        <w:spacing w:line="338" w:lineRule="auto" w:before="137"/>
        <w:ind w:left="840" w:right="253" w:hanging="1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数码及</w:t>
      </w:r>
      <w:r>
        <w:rPr>
          <w:spacing w:val="-60"/>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产品 笔记本电脑市场正处于快速增长的阶段，且随着新技术的推动，</w:t>
      </w:r>
      <w:r>
        <w:rPr>
          <w:rFonts w:ascii="Times New Roman" w:hAnsi="Times New Roman" w:cs="Times New Roman" w:eastAsia="Times New Roman" w:hint="default"/>
        </w:rPr>
        <w:t>IT</w:t>
      </w:r>
      <w:r>
        <w:rPr>
          <w:rFonts w:ascii="Times New Roman" w:hAnsi="Times New Roman" w:cs="Times New Roman" w:eastAsia="Times New Roman" w:hint="default"/>
          <w:spacing w:val="-20"/>
        </w:rPr>
        <w:t> </w:t>
      </w:r>
      <w:r>
        <w:rPr/>
        <w:t>产品结构进一</w:t>
      </w:r>
    </w:p>
    <w:p>
      <w:pPr>
        <w:pStyle w:val="BodyText"/>
        <w:spacing w:line="240" w:lineRule="auto" w:before="27"/>
        <w:ind w:left="239" w:right="119"/>
        <w:jc w:val="left"/>
      </w:pPr>
      <w:r>
        <w:rPr>
          <w:spacing w:val="-3"/>
        </w:rPr>
        <w:t>步丰富，一体机、平板电脑均有较快增长，电脑市场发展迅速；连锁渠道凭借其规范化</w:t>
      </w:r>
    </w:p>
    <w:p>
      <w:pPr>
        <w:spacing w:after="0" w:line="240" w:lineRule="auto"/>
        <w:jc w:val="left"/>
        <w:sectPr>
          <w:pgSz w:w="11910" w:h="16840"/>
          <w:pgMar w:header="748" w:footer="714" w:top="980" w:bottom="900" w:left="1200" w:right="1180"/>
        </w:sectPr>
      </w:pPr>
    </w:p>
    <w:p>
      <w:pPr>
        <w:spacing w:line="240" w:lineRule="auto" w:before="7"/>
        <w:rPr>
          <w:rFonts w:ascii="宋体" w:hAnsi="宋体" w:cs="宋体" w:eastAsia="宋体" w:hint="default"/>
          <w:sz w:val="29"/>
          <w:szCs w:val="29"/>
        </w:rPr>
      </w:pPr>
    </w:p>
    <w:p>
      <w:pPr>
        <w:pStyle w:val="BodyText"/>
        <w:spacing w:line="350" w:lineRule="auto" w:before="26"/>
        <w:ind w:right="192"/>
        <w:jc w:val="both"/>
      </w:pPr>
      <w:r>
        <w:rPr>
          <w:spacing w:val="-3"/>
        </w:rPr>
        <w:t>运作，多样化产品以及专业化服务，消费者认可度、信任度逐步提高。在较好的外部环</w:t>
      </w:r>
      <w:r>
        <w:rPr>
          <w:spacing w:val="-98"/>
        </w:rPr>
        <w:t> </w:t>
      </w:r>
      <w:r>
        <w:rPr>
          <w:spacing w:val="-98"/>
        </w:rPr>
      </w:r>
      <w:r>
        <w:rPr>
          <w:spacing w:val="-3"/>
        </w:rPr>
        <w:t>境下，公司继续扩大电脑产品的门店覆盖率，加强终端销售技能的提升，电脑产品销售</w:t>
      </w:r>
      <w:r>
        <w:rPr>
          <w:spacing w:val="-96"/>
        </w:rPr>
        <w:t> </w:t>
      </w:r>
      <w:r>
        <w:rPr>
          <w:spacing w:val="-96"/>
        </w:rPr>
      </w:r>
      <w:r>
        <w:rPr/>
        <w:t>同比增长近</w:t>
      </w:r>
      <w:r>
        <w:rPr>
          <w:spacing w:val="-42"/>
        </w:rPr>
        <w:t> </w:t>
      </w:r>
      <w:r>
        <w:rPr>
          <w:rFonts w:ascii="Times New Roman" w:hAnsi="Times New Roman" w:cs="Times New Roman" w:eastAsia="Times New Roman" w:hint="default"/>
          <w:spacing w:val="-4"/>
        </w:rPr>
        <w:t>80%</w:t>
      </w:r>
      <w:r>
        <w:rPr>
          <w:spacing w:val="-4"/>
        </w:rPr>
        <w:t>；同时，公司还进一步优化与供应商的直供合作，注重差异化的产品推</w:t>
      </w:r>
      <w:r>
        <w:rPr>
          <w:spacing w:val="-117"/>
        </w:rPr>
        <w:t> </w:t>
      </w:r>
      <w:r>
        <w:rPr>
          <w:spacing w:val="-117"/>
        </w:rPr>
      </w:r>
      <w:r>
        <w:rPr/>
        <w:t>广策略，得到供应商较好的资源支持，也带来电脑产品毛利率水平持续提升。</w:t>
      </w:r>
    </w:p>
    <w:p>
      <w:pPr>
        <w:pStyle w:val="BodyText"/>
        <w:spacing w:line="357" w:lineRule="auto" w:before="43"/>
        <w:ind w:right="191" w:firstLine="600"/>
        <w:jc w:val="both"/>
      </w:pPr>
      <w:r>
        <w:rPr/>
        <w:t>数码产品方面，随着单反相机的进一步普及，高端产品销售态势良好，数码产品 </w:t>
      </w:r>
      <w:r>
        <w:rPr>
          <w:spacing w:val="-3"/>
        </w:rPr>
        <w:t>均价有所提升，带来数码产品的销售同比增长较快，同时，注重对高毛利单品的包销推</w:t>
      </w:r>
      <w:r>
        <w:rPr>
          <w:spacing w:val="-96"/>
        </w:rPr>
        <w:t> </w:t>
      </w:r>
      <w:r>
        <w:rPr>
          <w:spacing w:val="-96"/>
        </w:rPr>
      </w:r>
      <w:r>
        <w:rPr/>
        <w:t>广，产品毛利率也随之提升。</w:t>
      </w:r>
    </w:p>
    <w:p>
      <w:pPr>
        <w:pStyle w:val="BodyText"/>
        <w:tabs>
          <w:tab w:pos="1039" w:val="left" w:leader="none"/>
        </w:tabs>
        <w:spacing w:line="240" w:lineRule="auto" w:before="36"/>
        <w:ind w:left="620" w:right="84"/>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通讯产品</w:t>
      </w:r>
    </w:p>
    <w:p>
      <w:pPr>
        <w:pStyle w:val="BodyText"/>
        <w:spacing w:line="355" w:lineRule="auto" w:before="137"/>
        <w:ind w:right="93" w:firstLine="600"/>
        <w:jc w:val="left"/>
      </w:pPr>
      <w:r>
        <w:rPr>
          <w:rFonts w:ascii="Times New Roman" w:hAnsi="Times New Roman" w:cs="Times New Roman" w:eastAsia="Times New Roman" w:hint="default"/>
        </w:rPr>
        <w:t>3G</w:t>
      </w:r>
      <w:r>
        <w:rPr>
          <w:rFonts w:ascii="Times New Roman" w:hAnsi="Times New Roman" w:cs="Times New Roman" w:eastAsia="Times New Roman" w:hint="default"/>
          <w:spacing w:val="-2"/>
        </w:rPr>
        <w:t> </w:t>
      </w:r>
      <w:r>
        <w:rPr/>
        <w:t>与智能手机的普及成为通讯市场增长的新动力，公司敏锐把握行业发展趋势， </w:t>
      </w:r>
      <w:r>
        <w:rPr>
          <w:spacing w:val="-3"/>
        </w:rPr>
        <w:t>持续加强单品研究，创新合作模式，推进独家首销、深度包销等采购方式，抢占市场先</w:t>
      </w:r>
      <w:r>
        <w:rPr>
          <w:spacing w:val="-98"/>
        </w:rPr>
        <w:t> </w:t>
      </w:r>
      <w:r>
        <w:rPr>
          <w:spacing w:val="-98"/>
        </w:rPr>
      </w:r>
      <w:r>
        <w:rPr>
          <w:spacing w:val="-3"/>
        </w:rPr>
        <w:t>机；同时，公司率先与三大运营商达成全国范围内的战略合作关系，整合供应商、运营</w:t>
      </w:r>
      <w:r>
        <w:rPr>
          <w:spacing w:val="-98"/>
        </w:rPr>
        <w:t> </w:t>
      </w:r>
      <w:r>
        <w:rPr>
          <w:spacing w:val="-98"/>
        </w:rPr>
      </w:r>
      <w:r>
        <w:rPr>
          <w:spacing w:val="-3"/>
        </w:rPr>
        <w:t>商、零售商三方面资源，效果显著。此外，随着公司通讯产品的终端自营工作的持续推</w:t>
      </w:r>
      <w:r>
        <w:rPr>
          <w:spacing w:val="-98"/>
        </w:rPr>
        <w:t> </w:t>
      </w:r>
      <w:r>
        <w:rPr>
          <w:spacing w:val="-98"/>
        </w:rPr>
      </w:r>
      <w:r>
        <w:rPr>
          <w:spacing w:val="-3"/>
        </w:rPr>
        <w:t>进，终端销售能力提升的同时，也获得了供应商、运营商较好的政策支持，尤其在运营</w:t>
      </w:r>
      <w:r>
        <w:rPr>
          <w:spacing w:val="-98"/>
        </w:rPr>
        <w:t> </w:t>
      </w:r>
      <w:r>
        <w:rPr>
          <w:spacing w:val="-98"/>
        </w:rPr>
      </w:r>
      <w:r>
        <w:rPr>
          <w:spacing w:val="-3"/>
        </w:rPr>
        <w:t>商合约计划销售方面逐步实现突破。由此带来报告期内公司通讯产品的销售、毛利率同</w:t>
      </w:r>
      <w:r>
        <w:rPr>
          <w:spacing w:val="-98"/>
        </w:rPr>
        <w:t> </w:t>
      </w:r>
      <w:r>
        <w:rPr>
          <w:spacing w:val="-98"/>
        </w:rPr>
      </w:r>
      <w:r>
        <w:rPr/>
        <w:t>比实现较快增长。</w:t>
      </w:r>
    </w:p>
    <w:p>
      <w:pPr>
        <w:pStyle w:val="BodyText"/>
        <w:tabs>
          <w:tab w:pos="1039" w:val="left" w:leader="none"/>
        </w:tabs>
        <w:spacing w:line="240" w:lineRule="auto" w:before="38"/>
        <w:ind w:left="620" w:right="84"/>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彩电产品</w:t>
      </w:r>
    </w:p>
    <w:p>
      <w:pPr>
        <w:pStyle w:val="BodyText"/>
        <w:spacing w:line="345" w:lineRule="auto" w:before="137"/>
        <w:ind w:right="192" w:firstLine="600"/>
        <w:jc w:val="both"/>
      </w:pPr>
      <w:r>
        <w:rPr>
          <w:rFonts w:ascii="Times New Roman" w:hAnsi="Times New Roman" w:cs="Times New Roman" w:eastAsia="Times New Roman" w:hint="default"/>
        </w:rPr>
        <w:t>2010 </w:t>
      </w:r>
      <w:r>
        <w:rPr/>
        <w:t>年，彩电产品单价有所下降，销售增长有所放缓。相信随着 </w:t>
      </w:r>
      <w:r>
        <w:rPr>
          <w:rFonts w:ascii="Times New Roman" w:hAnsi="Times New Roman" w:cs="Times New Roman" w:eastAsia="Times New Roman" w:hint="default"/>
        </w:rPr>
        <w:t>LED</w:t>
      </w:r>
      <w:r>
        <w:rPr>
          <w:rFonts w:ascii="Times New Roman" w:hAnsi="Times New Roman" w:cs="Times New Roman" w:eastAsia="Times New Roman" w:hint="default"/>
          <w:spacing w:val="-21"/>
        </w:rPr>
        <w:t> </w:t>
      </w:r>
      <w:r>
        <w:rPr/>
        <w:t>产品占比 的提升，以及</w:t>
      </w:r>
      <w:r>
        <w:rPr>
          <w:spacing w:val="-25"/>
        </w:rPr>
        <w:t> </w:t>
      </w:r>
      <w:r>
        <w:rPr>
          <w:rFonts w:ascii="Times New Roman" w:hAnsi="Times New Roman" w:cs="Times New Roman" w:eastAsia="Times New Roman" w:hint="default"/>
        </w:rPr>
        <w:t>3D</w:t>
      </w:r>
      <w:r>
        <w:rPr/>
        <w:t>、网络电视技术的成熟，更新换代趋势得以延续；同时二、三级市场 </w:t>
      </w:r>
      <w:r>
        <w:rPr>
          <w:spacing w:val="-3"/>
        </w:rPr>
        <w:t>城镇化进程的加快，二、三级市场彩电行业更新换代进一步加快，彩电行业将迎来又一</w:t>
      </w:r>
      <w:r>
        <w:rPr>
          <w:spacing w:val="-96"/>
        </w:rPr>
        <w:t> </w:t>
      </w:r>
      <w:r>
        <w:rPr>
          <w:spacing w:val="-96"/>
        </w:rPr>
      </w:r>
      <w:r>
        <w:rPr/>
        <w:t>次发展机遇。</w:t>
      </w:r>
    </w:p>
    <w:p>
      <w:pPr>
        <w:pStyle w:val="BodyText"/>
        <w:spacing w:line="357" w:lineRule="auto" w:before="48"/>
        <w:ind w:right="191" w:firstLine="600"/>
        <w:jc w:val="both"/>
      </w:pPr>
      <w:r>
        <w:rPr/>
        <w:t>毛利率方面，随着零供关系的不断优化，差异化包销占比提升，以及报告期内公 司独家承销先锋彩电，毛利率水平保持稳中有升。</w:t>
      </w:r>
    </w:p>
    <w:p>
      <w:pPr>
        <w:pStyle w:val="BodyText"/>
        <w:tabs>
          <w:tab w:pos="1039" w:val="left" w:leader="none"/>
        </w:tabs>
        <w:spacing w:line="338" w:lineRule="auto" w:before="36"/>
        <w:ind w:left="620" w:right="194"/>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冰洗产品 </w:t>
      </w:r>
      <w:r>
        <w:rPr>
          <w:spacing w:val="-3"/>
        </w:rPr>
        <w:t>冰洗产品市场相对平稳，受益于产品升级、以及“家电下乡”、“以旧换新”政策</w:t>
      </w:r>
    </w:p>
    <w:p>
      <w:pPr>
        <w:pStyle w:val="BodyText"/>
        <w:spacing w:line="357" w:lineRule="auto" w:before="55"/>
        <w:ind w:right="192"/>
        <w:jc w:val="both"/>
      </w:pPr>
      <w:r>
        <w:rPr>
          <w:spacing w:val="-3"/>
        </w:rPr>
        <w:t>的深化推广，报告期内冰洗产品销售稳步增长。而零供关系持续优化，合同政策进一步</w:t>
      </w:r>
      <w:r>
        <w:rPr>
          <w:spacing w:val="-96"/>
        </w:rPr>
        <w:t> </w:t>
      </w:r>
      <w:r>
        <w:rPr>
          <w:spacing w:val="-96"/>
        </w:rPr>
      </w:r>
      <w:r>
        <w:rPr/>
        <w:t>提升，以及定制包销、自主产品销售的占比加大，冰洗产品的毛利率持续提升。</w:t>
      </w:r>
    </w:p>
    <w:p>
      <w:pPr>
        <w:pStyle w:val="BodyText"/>
        <w:tabs>
          <w:tab w:pos="1039" w:val="left" w:leader="none"/>
        </w:tabs>
        <w:spacing w:line="338" w:lineRule="auto" w:before="36"/>
        <w:ind w:left="740" w:right="192" w:hanging="1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空调产品 </w:t>
      </w:r>
      <w:r>
        <w:rPr>
          <w:spacing w:val="-7"/>
        </w:rPr>
        <w:t>“以旧换新”、“能效补贴”政策的推广继续刺激空调更新升级需求的释放，且随</w:t>
      </w:r>
    </w:p>
    <w:p>
      <w:pPr>
        <w:pStyle w:val="BodyText"/>
        <w:spacing w:line="357" w:lineRule="auto" w:before="55"/>
        <w:ind w:left="139" w:right="192"/>
        <w:jc w:val="both"/>
      </w:pPr>
      <w:r>
        <w:rPr>
          <w:spacing w:val="-3"/>
        </w:rPr>
        <w:t>着公司在二、三线市场的渠道下沉和“家电下乡”政策的拉动，也有效分享了该类市场</w:t>
      </w:r>
      <w:r>
        <w:rPr>
          <w:spacing w:val="-98"/>
        </w:rPr>
        <w:t> </w:t>
      </w:r>
      <w:r>
        <w:rPr>
          <w:spacing w:val="-98"/>
        </w:rPr>
      </w:r>
      <w:r>
        <w:rPr>
          <w:spacing w:val="-3"/>
        </w:rPr>
        <w:t>空调保有量的增加。报告期内，空调产品销售继续保持稳定增长，毛利率水平也持续稳</w:t>
      </w:r>
      <w:r>
        <w:rPr>
          <w:spacing w:val="-96"/>
        </w:rPr>
        <w:t> </w:t>
      </w:r>
      <w:r>
        <w:rPr>
          <w:spacing w:val="-96"/>
        </w:rPr>
      </w:r>
      <w:r>
        <w:rPr/>
        <w:t>定。</w:t>
      </w:r>
    </w:p>
    <w:p>
      <w:pPr>
        <w:spacing w:after="0" w:line="357" w:lineRule="auto"/>
        <w:jc w:val="both"/>
        <w:sectPr>
          <w:pgSz w:w="11910" w:h="16840"/>
          <w:pgMar w:header="748" w:footer="714" w:top="980" w:bottom="900" w:left="1300" w:right="1240"/>
        </w:sectPr>
      </w:pPr>
    </w:p>
    <w:p>
      <w:pPr>
        <w:spacing w:line="240" w:lineRule="auto" w:before="7"/>
        <w:rPr>
          <w:rFonts w:ascii="宋体" w:hAnsi="宋体" w:cs="宋体" w:eastAsia="宋体" w:hint="default"/>
          <w:sz w:val="29"/>
          <w:szCs w:val="29"/>
        </w:rPr>
      </w:pPr>
    </w:p>
    <w:p>
      <w:pPr>
        <w:pStyle w:val="BodyText"/>
        <w:tabs>
          <w:tab w:pos="1139" w:val="left" w:leader="none"/>
        </w:tabs>
        <w:spacing w:line="338" w:lineRule="auto" w:before="26"/>
        <w:ind w:left="840" w:right="251" w:hanging="1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小家电产品 生活电器产品众多，随着人民生活品质的提升，需求也在提升，市场空间巨大。</w:t>
      </w:r>
    </w:p>
    <w:p>
      <w:pPr>
        <w:pStyle w:val="BodyText"/>
        <w:spacing w:line="345" w:lineRule="auto" w:before="55"/>
        <w:ind w:left="240" w:right="252"/>
        <w:jc w:val="both"/>
      </w:pPr>
      <w:r>
        <w:rPr/>
        <w:t>公司不断丰富商品组，增加产品 </w:t>
      </w:r>
      <w:r>
        <w:rPr>
          <w:rFonts w:ascii="Times New Roman" w:hAnsi="Times New Roman" w:cs="Times New Roman" w:eastAsia="Times New Roman" w:hint="default"/>
        </w:rPr>
        <w:t>SKU</w:t>
      </w:r>
      <w:r>
        <w:rPr>
          <w:rFonts w:ascii="Times New Roman" w:hAnsi="Times New Roman" w:cs="Times New Roman" w:eastAsia="Times New Roman" w:hint="default"/>
          <w:spacing w:val="-34"/>
        </w:rPr>
        <w:t> </w:t>
      </w:r>
      <w:r>
        <w:rPr/>
        <w:t>数量，提高店面产品的丰富度；同时在大型节假 </w:t>
      </w:r>
      <w:r>
        <w:rPr>
          <w:spacing w:val="-3"/>
        </w:rPr>
        <w:t>日时，公司也采用大批量的定制、包销形式，提升产品市场竞争能力，促进销售。另为</w:t>
      </w:r>
      <w:r>
        <w:rPr>
          <w:spacing w:val="-96"/>
        </w:rPr>
        <w:t> </w:t>
      </w:r>
      <w:r>
        <w:rPr>
          <w:spacing w:val="-96"/>
        </w:rPr>
      </w:r>
      <w:r>
        <w:rPr/>
        <w:t>发挥规模采购的优势，公司报告期内推进联营模式转为供价代销采购模式，产品 </w:t>
      </w:r>
      <w:r>
        <w:rPr>
          <w:rFonts w:ascii="Times New Roman" w:hAnsi="Times New Roman" w:cs="Times New Roman" w:eastAsia="Times New Roman" w:hint="default"/>
        </w:rPr>
        <w:t>SKU</w:t>
      </w:r>
      <w:r>
        <w:rPr>
          <w:rFonts w:ascii="Times New Roman" w:hAnsi="Times New Roman" w:cs="Times New Roman" w:eastAsia="Times New Roman" w:hint="default"/>
          <w:w w:val="99"/>
        </w:rPr>
        <w:t> </w:t>
      </w:r>
      <w:r>
        <w:rPr/>
        <w:t>数量和综合毛利率水平进一步提升，终端市场价格也更具有竞争力。</w:t>
      </w:r>
    </w:p>
    <w:p>
      <w:pPr>
        <w:tabs>
          <w:tab w:pos="7319" w:val="left" w:leader="none"/>
        </w:tabs>
        <w:spacing w:before="48"/>
        <w:ind w:left="720" w:right="119"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3</w:t>
      </w:r>
      <w:r>
        <w:rPr>
          <w:rFonts w:ascii="宋体" w:hAnsi="宋体" w:cs="宋体" w:eastAsia="宋体" w:hint="default"/>
          <w:sz w:val="24"/>
          <w:szCs w:val="24"/>
        </w:rPr>
        <w:t>、销售费用和管理费用情况分析</w:t>
        <w:tab/>
      </w:r>
      <w:r>
        <w:rPr>
          <w:rFonts w:ascii="宋体" w:hAnsi="宋体" w:cs="宋体" w:eastAsia="宋体" w:hint="default"/>
          <w:sz w:val="21"/>
          <w:szCs w:val="21"/>
        </w:rPr>
        <w:t>（单位：千元）</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414"/>
        <w:gridCol w:w="1526"/>
        <w:gridCol w:w="1696"/>
        <w:gridCol w:w="1506"/>
        <w:gridCol w:w="1382"/>
        <w:gridCol w:w="1721"/>
      </w:tblGrid>
      <w:tr>
        <w:trPr>
          <w:trHeight w:val="347" w:hRule="exact"/>
        </w:trPr>
        <w:tc>
          <w:tcPr>
            <w:tcW w:w="1414" w:type="dxa"/>
            <w:vMerge w:val="restart"/>
            <w:tcBorders>
              <w:top w:val="single" w:sz="12" w:space="0" w:color="000000"/>
              <w:left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tabs>
                <w:tab w:pos="902" w:val="left" w:leader="none"/>
              </w:tabs>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2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85" w:lineRule="exact"/>
              <w:ind w:left="9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88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85" w:lineRule="exact"/>
              <w:ind w:left="7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721" w:type="dxa"/>
            <w:vMerge w:val="restart"/>
            <w:tcBorders>
              <w:top w:val="single" w:sz="12" w:space="0" w:color="000000"/>
              <w:left w:val="single" w:sz="4" w:space="0" w:color="000000"/>
              <w:right w:val="single" w:sz="12" w:space="0" w:color="000000"/>
            </w:tcBorders>
          </w:tcPr>
          <w:p>
            <w:pPr>
              <w:pStyle w:val="TableParagraph"/>
              <w:spacing w:line="272" w:lineRule="exact" w:before="148"/>
              <w:ind w:left="435" w:right="425"/>
              <w:jc w:val="left"/>
              <w:rPr>
                <w:rFonts w:ascii="宋体" w:hAnsi="宋体" w:cs="宋体" w:eastAsia="宋体" w:hint="default"/>
                <w:sz w:val="21"/>
                <w:szCs w:val="21"/>
              </w:rPr>
            </w:pPr>
            <w:r>
              <w:rPr>
                <w:rFonts w:ascii="宋体" w:hAnsi="宋体" w:cs="宋体" w:eastAsia="宋体" w:hint="default"/>
                <w:sz w:val="21"/>
                <w:szCs w:val="21"/>
              </w:rPr>
              <w:t>费用占比 变动情况</w:t>
            </w:r>
          </w:p>
        </w:tc>
      </w:tr>
      <w:tr>
        <w:trPr>
          <w:trHeight w:val="557" w:hRule="exact"/>
        </w:trPr>
        <w:tc>
          <w:tcPr>
            <w:tcW w:w="1414" w:type="dxa"/>
            <w:vMerge/>
            <w:tcBorders>
              <w:left w:val="single" w:sz="12"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2" w:right="0"/>
              <w:jc w:val="left"/>
              <w:rPr>
                <w:rFonts w:ascii="宋体" w:hAnsi="宋体" w:cs="宋体" w:eastAsia="宋体" w:hint="default"/>
                <w:sz w:val="21"/>
                <w:szCs w:val="21"/>
              </w:rPr>
            </w:pPr>
            <w:r>
              <w:rPr>
                <w:rFonts w:ascii="宋体" w:hAnsi="宋体" w:cs="宋体" w:eastAsia="宋体" w:hint="default"/>
                <w:sz w:val="21"/>
                <w:szCs w:val="21"/>
              </w:rPr>
              <w:t>占主营收入比</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占主营收入</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比</w:t>
            </w:r>
          </w:p>
        </w:tc>
        <w:tc>
          <w:tcPr>
            <w:tcW w:w="1721" w:type="dxa"/>
            <w:vMerge/>
            <w:tcBorders>
              <w:left w:val="single" w:sz="4" w:space="0" w:color="000000"/>
              <w:bottom w:val="single" w:sz="4" w:space="0" w:color="000000"/>
              <w:right w:val="single" w:sz="12" w:space="0" w:color="000000"/>
            </w:tcBorders>
          </w:tcPr>
          <w:p>
            <w:pPr/>
          </w:p>
        </w:tc>
      </w:tr>
      <w:tr>
        <w:trPr>
          <w:trHeight w:val="295" w:hRule="exact"/>
        </w:trPr>
        <w:tc>
          <w:tcPr>
            <w:tcW w:w="1414"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运杂费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388,804</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z w:val="20"/>
              </w:rPr>
              <w:t>0.52%</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295,644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0.52%</w:t>
            </w:r>
          </w:p>
        </w:tc>
        <w:tc>
          <w:tcPr>
            <w:tcW w:w="17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8"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94" w:hRule="exact"/>
        </w:trPr>
        <w:tc>
          <w:tcPr>
            <w:tcW w:w="1414"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广告促销费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spacing w:val="-1"/>
                <w:sz w:val="20"/>
              </w:rPr>
              <w:t>1,146,622</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z w:val="20"/>
              </w:rPr>
              <w:t>1.54%</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798,696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1.40%</w:t>
            </w:r>
          </w:p>
        </w:tc>
        <w:tc>
          <w:tcPr>
            <w:tcW w:w="17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center"/>
              <w:rPr>
                <w:rFonts w:ascii="Times New Roman" w:hAnsi="Times New Roman" w:cs="Times New Roman" w:eastAsia="Times New Roman" w:hint="default"/>
                <w:sz w:val="21"/>
                <w:szCs w:val="21"/>
              </w:rPr>
            </w:pPr>
            <w:r>
              <w:rPr>
                <w:rFonts w:ascii="Times New Roman"/>
                <w:sz w:val="21"/>
              </w:rPr>
              <w:t>0.14%</w:t>
            </w:r>
          </w:p>
        </w:tc>
      </w:tr>
      <w:tr>
        <w:trPr>
          <w:trHeight w:val="295" w:hRule="exact"/>
        </w:trPr>
        <w:tc>
          <w:tcPr>
            <w:tcW w:w="1414"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spacing w:val="-1"/>
                <w:sz w:val="20"/>
              </w:rPr>
              <w:t>2,610,233</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z w:val="20"/>
              </w:rPr>
              <w:t>3.52%</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2,092,760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3.67%</w:t>
            </w:r>
          </w:p>
        </w:tc>
        <w:tc>
          <w:tcPr>
            <w:tcW w:w="17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8" w:right="0"/>
              <w:jc w:val="center"/>
              <w:rPr>
                <w:rFonts w:ascii="Times New Roman" w:hAnsi="Times New Roman" w:cs="Times New Roman" w:eastAsia="Times New Roman" w:hint="default"/>
                <w:sz w:val="21"/>
                <w:szCs w:val="21"/>
              </w:rPr>
            </w:pPr>
            <w:r>
              <w:rPr>
                <w:rFonts w:ascii="Times New Roman"/>
                <w:sz w:val="21"/>
              </w:rPr>
              <w:t>-0.15%</w:t>
            </w:r>
          </w:p>
        </w:tc>
      </w:tr>
      <w:tr>
        <w:trPr>
          <w:trHeight w:val="295" w:hRule="exact"/>
        </w:trPr>
        <w:tc>
          <w:tcPr>
            <w:tcW w:w="1414"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人员费用</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spacing w:val="-1"/>
                <w:sz w:val="20"/>
              </w:rPr>
              <w:t>2,213,233</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z w:val="20"/>
              </w:rPr>
              <w:t>2.98%</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1,603,758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2.81%</w:t>
            </w:r>
          </w:p>
        </w:tc>
        <w:tc>
          <w:tcPr>
            <w:tcW w:w="17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8" w:right="0"/>
              <w:jc w:val="center"/>
              <w:rPr>
                <w:rFonts w:ascii="Times New Roman" w:hAnsi="Times New Roman" w:cs="Times New Roman" w:eastAsia="Times New Roman" w:hint="default"/>
                <w:sz w:val="21"/>
                <w:szCs w:val="21"/>
              </w:rPr>
            </w:pPr>
            <w:r>
              <w:rPr>
                <w:rFonts w:ascii="Times New Roman"/>
                <w:sz w:val="21"/>
              </w:rPr>
              <w:t>0.17%</w:t>
            </w:r>
          </w:p>
        </w:tc>
      </w:tr>
      <w:tr>
        <w:trPr>
          <w:trHeight w:val="295" w:hRule="exact"/>
        </w:trPr>
        <w:tc>
          <w:tcPr>
            <w:tcW w:w="1414"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463,832</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z w:val="20"/>
              </w:rPr>
              <w:t>0.62%</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360,399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0.63%</w:t>
            </w:r>
          </w:p>
        </w:tc>
        <w:tc>
          <w:tcPr>
            <w:tcW w:w="17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8" w:right="0"/>
              <w:jc w:val="center"/>
              <w:rPr>
                <w:rFonts w:ascii="Times New Roman" w:hAnsi="Times New Roman" w:cs="Times New Roman" w:eastAsia="Times New Roman" w:hint="default"/>
                <w:sz w:val="21"/>
                <w:szCs w:val="21"/>
              </w:rPr>
            </w:pPr>
            <w:r>
              <w:rPr>
                <w:rFonts w:ascii="Times New Roman"/>
                <w:sz w:val="21"/>
              </w:rPr>
              <w:t>-0.01%</w:t>
            </w:r>
          </w:p>
        </w:tc>
      </w:tr>
      <w:tr>
        <w:trPr>
          <w:trHeight w:val="295" w:hRule="exact"/>
        </w:trPr>
        <w:tc>
          <w:tcPr>
            <w:tcW w:w="1414"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装潢费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281,884</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z w:val="20"/>
              </w:rPr>
              <w:t>0.38%</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261,886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0.46%</w:t>
            </w:r>
          </w:p>
        </w:tc>
        <w:tc>
          <w:tcPr>
            <w:tcW w:w="17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8" w:right="0"/>
              <w:jc w:val="center"/>
              <w:rPr>
                <w:rFonts w:ascii="Times New Roman" w:hAnsi="Times New Roman" w:cs="Times New Roman" w:eastAsia="Times New Roman" w:hint="default"/>
                <w:sz w:val="21"/>
                <w:szCs w:val="21"/>
              </w:rPr>
            </w:pPr>
            <w:r>
              <w:rPr>
                <w:rFonts w:ascii="Times New Roman"/>
                <w:sz w:val="21"/>
              </w:rPr>
              <w:t>-0.08%</w:t>
            </w:r>
          </w:p>
        </w:tc>
      </w:tr>
      <w:tr>
        <w:trPr>
          <w:trHeight w:val="295" w:hRule="exact"/>
        </w:trPr>
        <w:tc>
          <w:tcPr>
            <w:tcW w:w="1414"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954,812</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z w:val="20"/>
              </w:rPr>
              <w:t>1.29%</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691,306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1.21%</w:t>
            </w:r>
          </w:p>
        </w:tc>
        <w:tc>
          <w:tcPr>
            <w:tcW w:w="17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center"/>
              <w:rPr>
                <w:rFonts w:ascii="Times New Roman" w:hAnsi="Times New Roman" w:cs="Times New Roman" w:eastAsia="Times New Roman" w:hint="default"/>
                <w:sz w:val="21"/>
                <w:szCs w:val="21"/>
              </w:rPr>
            </w:pPr>
            <w:r>
              <w:rPr>
                <w:rFonts w:ascii="Times New Roman"/>
                <w:sz w:val="21"/>
              </w:rPr>
              <w:t>0.08%</w:t>
            </w:r>
          </w:p>
        </w:tc>
      </w:tr>
      <w:tr>
        <w:trPr>
          <w:trHeight w:val="305" w:hRule="exact"/>
        </w:trPr>
        <w:tc>
          <w:tcPr>
            <w:tcW w:w="1414" w:type="dxa"/>
            <w:tcBorders>
              <w:top w:val="single" w:sz="4" w:space="0" w:color="000000"/>
              <w:left w:val="single" w:sz="12" w:space="0" w:color="000000"/>
              <w:bottom w:val="single" w:sz="12" w:space="0" w:color="000000"/>
              <w:right w:val="single" w:sz="4"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spacing w:val="-1"/>
                <w:sz w:val="20"/>
              </w:rPr>
              <w:t>8,059,420</w:t>
            </w:r>
          </w:p>
        </w:tc>
        <w:tc>
          <w:tcPr>
            <w:tcW w:w="16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10.85%</w:t>
            </w:r>
          </w:p>
        </w:tc>
        <w:tc>
          <w:tcPr>
            <w:tcW w:w="15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6,104,449</w:t>
            </w:r>
          </w:p>
        </w:tc>
        <w:tc>
          <w:tcPr>
            <w:tcW w:w="1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21"/>
                <w:szCs w:val="21"/>
              </w:rPr>
            </w:pPr>
            <w:r>
              <w:rPr>
                <w:rFonts w:ascii="Times New Roman"/>
                <w:spacing w:val="-1"/>
                <w:sz w:val="21"/>
              </w:rPr>
              <w:t>10.70%</w:t>
            </w:r>
          </w:p>
        </w:tc>
        <w:tc>
          <w:tcPr>
            <w:tcW w:w="172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0"/>
              <w:ind w:left="7" w:right="0"/>
              <w:jc w:val="center"/>
              <w:rPr>
                <w:rFonts w:ascii="Times New Roman" w:hAnsi="Times New Roman" w:cs="Times New Roman" w:eastAsia="Times New Roman" w:hint="default"/>
                <w:sz w:val="21"/>
                <w:szCs w:val="21"/>
              </w:rPr>
            </w:pPr>
            <w:r>
              <w:rPr>
                <w:rFonts w:ascii="Times New Roman"/>
                <w:sz w:val="21"/>
              </w:rPr>
              <w:t>0.15%</w:t>
            </w:r>
          </w:p>
        </w:tc>
      </w:tr>
    </w:tbl>
    <w:p>
      <w:pPr>
        <w:pStyle w:val="BodyText"/>
        <w:spacing w:line="345" w:lineRule="auto" w:before="81"/>
        <w:ind w:left="240" w:right="251"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5"/>
        </w:rPr>
        <w:t> </w:t>
      </w:r>
      <w:r>
        <w:rPr/>
        <w:t>年公司进一步加快开店速度并深入三、四级市场进行网络拓展，由此带来公 司在运营管理、物流配送、人员储备等方面的投入增加；同时，</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年作为公司创立</w:t>
      </w:r>
      <w:r>
        <w:rPr>
          <w:spacing w:val="1"/>
        </w:rPr>
        <w:t> </w:t>
      </w:r>
      <w:r>
        <w:rPr>
          <w:spacing w:val="-3"/>
        </w:rPr>
        <w:t>二十周年，在品牌宣传、广告促销等方面的投入也相应加大；但依托前期较为完善的内</w:t>
      </w:r>
      <w:r>
        <w:rPr>
          <w:spacing w:val="-96"/>
        </w:rPr>
        <w:t> </w:t>
      </w:r>
      <w:r>
        <w:rPr>
          <w:spacing w:val="-96"/>
        </w:rPr>
      </w:r>
      <w:r>
        <w:rPr>
          <w:spacing w:val="-3"/>
        </w:rPr>
        <w:t>控管理和信息平台，充分发挥“总部共享资源、区域灵活经营”这一高度扁平化的组织</w:t>
      </w:r>
      <w:r>
        <w:rPr>
          <w:spacing w:val="-98"/>
        </w:rPr>
        <w:t> </w:t>
      </w:r>
      <w:r>
        <w:rPr>
          <w:spacing w:val="-98"/>
        </w:rPr>
      </w:r>
      <w:r>
        <w:rPr>
          <w:spacing w:val="-3"/>
        </w:rPr>
        <w:t>和运营模式，报告期内，公司运营费用率仍保持相对合理的水平，较上年同期上升</w:t>
      </w:r>
      <w:r>
        <w:rPr>
          <w:spacing w:val="-45"/>
        </w:rPr>
        <w:t> </w:t>
      </w:r>
      <w:r>
        <w:rPr>
          <w:rFonts w:ascii="Times New Roman" w:hAnsi="Times New Roman" w:cs="Times New Roman" w:eastAsia="Times New Roman" w:hint="default"/>
        </w:rPr>
        <w:t>0.15</w:t>
      </w:r>
      <w:r>
        <w:rPr>
          <w:rFonts w:ascii="Times New Roman" w:hAnsi="Times New Roman" w:cs="Times New Roman" w:eastAsia="Times New Roman" w:hint="default"/>
          <w:spacing w:val="-58"/>
        </w:rPr>
        <w:t> </w:t>
      </w:r>
      <w:r>
        <w:rPr/>
        <w:t>个百分点。主要费率变动分析如下：</w:t>
      </w:r>
    </w:p>
    <w:p>
      <w:pPr>
        <w:pStyle w:val="BodyText"/>
        <w:spacing w:line="240" w:lineRule="auto" w:before="48"/>
        <w:ind w:left="787" w:right="2202"/>
        <w:jc w:val="left"/>
      </w:pPr>
      <w:r>
        <w:rPr/>
        <w:t>（</w:t>
      </w:r>
      <w:r>
        <w:rPr>
          <w:rFonts w:ascii="Times New Roman" w:hAnsi="Times New Roman" w:cs="Times New Roman" w:eastAsia="Times New Roman" w:hint="default"/>
        </w:rPr>
        <w:t>1</w:t>
      </w:r>
      <w:r>
        <w:rPr/>
        <w:t>）广告促销费率变动分析：</w:t>
      </w:r>
    </w:p>
    <w:p>
      <w:pPr>
        <w:pStyle w:val="BodyText"/>
        <w:spacing w:line="240" w:lineRule="auto" w:before="135"/>
        <w:ind w:left="720"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32"/>
        </w:rPr>
        <w:t> </w:t>
      </w:r>
      <w:r>
        <w:rPr/>
        <w:t>年由于受宏观环境的影响，公司在广告促销费投入方面相对保守、有所控制。</w:t>
      </w:r>
    </w:p>
    <w:p>
      <w:pPr>
        <w:pStyle w:val="BodyText"/>
        <w:spacing w:line="352" w:lineRule="auto" w:before="135"/>
        <w:ind w:left="240" w:right="251"/>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年消费市场较为活跃，广告投入产出效应较为明显。围绕创立二十周年，公司实</w:t>
      </w:r>
      <w:r>
        <w:rPr>
          <w:spacing w:val="-118"/>
        </w:rPr>
        <w:t> </w:t>
      </w:r>
      <w:r>
        <w:rPr>
          <w:spacing w:val="-118"/>
        </w:rPr>
      </w:r>
      <w:r>
        <w:rPr>
          <w:spacing w:val="-3"/>
        </w:rPr>
        <w:t>施了一系列品牌宣传计划，且针对世博会、世界杯、亚运会等热点事件开展专题促销宣</w:t>
      </w:r>
      <w:r>
        <w:rPr>
          <w:spacing w:val="-96"/>
        </w:rPr>
        <w:t> </w:t>
      </w:r>
      <w:r>
        <w:rPr>
          <w:spacing w:val="-96"/>
        </w:rPr>
      </w:r>
      <w:r>
        <w:rPr>
          <w:spacing w:val="-3"/>
        </w:rPr>
        <w:t>传，在促进销售的同时，进一步提升公司品牌形象。另外公司通过整合媒介资源，加大</w:t>
      </w:r>
      <w:r>
        <w:rPr>
          <w:spacing w:val="-98"/>
        </w:rPr>
        <w:t> </w:t>
      </w:r>
      <w:r>
        <w:rPr>
          <w:spacing w:val="-98"/>
        </w:rPr>
      </w:r>
      <w:r>
        <w:rPr>
          <w:spacing w:val="-3"/>
        </w:rPr>
        <w:t>了央视、五大卫视以及网络媒体的宣传投放。综上，公司广告促销费率较去年同期上升</w:t>
      </w:r>
      <w:r>
        <w:rPr>
          <w:spacing w:val="-96"/>
        </w:rPr>
        <w:t> </w:t>
      </w:r>
      <w:r>
        <w:rPr>
          <w:spacing w:val="-96"/>
        </w:rPr>
      </w:r>
      <w:r>
        <w:rPr>
          <w:rFonts w:ascii="Times New Roman" w:hAnsi="Times New Roman" w:cs="Times New Roman" w:eastAsia="Times New Roman" w:hint="default"/>
        </w:rPr>
        <w:t>0.14 </w:t>
      </w:r>
      <w:r>
        <w:rPr/>
        <w:t>个百分点，但整体来看，仍保持在合理水平。</w:t>
      </w:r>
    </w:p>
    <w:p>
      <w:pPr>
        <w:pStyle w:val="BodyText"/>
        <w:spacing w:line="240" w:lineRule="auto" w:before="11"/>
        <w:ind w:left="787" w:right="2202"/>
        <w:jc w:val="left"/>
      </w:pPr>
      <w:r>
        <w:rPr/>
        <w:t>（</w:t>
      </w:r>
      <w:r>
        <w:rPr>
          <w:rFonts w:ascii="Times New Roman" w:hAnsi="Times New Roman" w:cs="Times New Roman" w:eastAsia="Times New Roman" w:hint="default"/>
        </w:rPr>
        <w:t>2</w:t>
      </w:r>
      <w:r>
        <w:rPr/>
        <w:t>）租赁费用率变动分析：</w:t>
      </w:r>
    </w:p>
    <w:p>
      <w:pPr>
        <w:pStyle w:val="BodyText"/>
        <w:spacing w:line="338" w:lineRule="auto" w:before="135"/>
        <w:ind w:left="240" w:right="253" w:firstLine="480"/>
        <w:jc w:val="both"/>
      </w:pPr>
      <w:r>
        <w:rPr>
          <w:rFonts w:ascii="Wingdings" w:hAnsi="Wingdings" w:cs="Wingdings" w:eastAsia="Wingdings" w:hint="default"/>
        </w:rPr>
        <w:t></w:t>
      </w:r>
      <w:r>
        <w:rPr>
          <w:rFonts w:ascii="Wingdings" w:hAnsi="Wingdings" w:cs="Wingdings" w:eastAsia="Wingdings" w:hint="default"/>
          <w:spacing w:val="-85"/>
        </w:rPr>
        <w:t></w:t>
      </w:r>
      <w:r>
        <w:rPr>
          <w:rFonts w:ascii="Times New Roman" w:hAnsi="Times New Roman" w:cs="Times New Roman" w:eastAsia="Times New Roman" w:hint="default"/>
          <w:spacing w:val="-85"/>
        </w:rPr>
      </w:r>
      <w:r>
        <w:rPr/>
        <w:t>随着商品规划能力的提升，连锁店商品组、</w:t>
      </w:r>
      <w:r>
        <w:rPr>
          <w:rFonts w:ascii="Times New Roman" w:hAnsi="Times New Roman" w:cs="Times New Roman" w:eastAsia="Times New Roman" w:hint="default"/>
        </w:rPr>
        <w:t>SKU</w:t>
      </w:r>
      <w:r>
        <w:rPr>
          <w:rFonts w:ascii="Times New Roman" w:hAnsi="Times New Roman" w:cs="Times New Roman" w:eastAsia="Times New Roman" w:hint="default"/>
          <w:spacing w:val="-9"/>
        </w:rPr>
        <w:t> </w:t>
      </w:r>
      <w:r>
        <w:rPr/>
        <w:t>数量有效增加，产品进一步丰 富，店面坪效与经营质量稳步提升；</w:t>
      </w:r>
    </w:p>
    <w:p>
      <w:pPr>
        <w:spacing w:after="0" w:line="338" w:lineRule="auto"/>
        <w:jc w:val="both"/>
        <w:sectPr>
          <w:pgSz w:w="11910" w:h="16840"/>
          <w:pgMar w:header="748" w:footer="714" w:top="980" w:bottom="900" w:left="1200" w:right="1180"/>
        </w:sectPr>
      </w:pPr>
    </w:p>
    <w:p>
      <w:pPr>
        <w:spacing w:line="240" w:lineRule="auto" w:before="7"/>
        <w:rPr>
          <w:rFonts w:ascii="宋体" w:hAnsi="宋体" w:cs="宋体" w:eastAsia="宋体" w:hint="default"/>
          <w:sz w:val="29"/>
          <w:szCs w:val="29"/>
        </w:rPr>
      </w:pPr>
    </w:p>
    <w:p>
      <w:pPr>
        <w:pStyle w:val="BodyText"/>
        <w:spacing w:line="338" w:lineRule="auto" w:before="26"/>
        <w:ind w:left="340" w:right="349" w:firstLine="480"/>
        <w:jc w:val="left"/>
      </w:pPr>
      <w:r>
        <w:rPr>
          <w:rFonts w:ascii="Wingdings" w:hAnsi="Wingdings" w:cs="Wingdings" w:eastAsia="Wingdings" w:hint="default"/>
        </w:rPr>
        <w:t></w:t>
      </w:r>
      <w:r>
        <w:rPr>
          <w:rFonts w:ascii="Wingdings" w:hAnsi="Wingdings" w:cs="Wingdings" w:eastAsia="Wingdings" w:hint="default"/>
          <w:spacing w:val="-44"/>
        </w:rPr>
        <w:t></w:t>
      </w:r>
      <w:r>
        <w:rPr>
          <w:rFonts w:ascii="Times New Roman" w:hAnsi="Times New Roman" w:cs="Times New Roman" w:eastAsia="Times New Roman" w:hint="default"/>
          <w:spacing w:val="-44"/>
        </w:rPr>
      </w:r>
      <w:r>
        <w:rPr/>
        <w:t>公司持续推进店面优化，加强店面评估，通过转租、异业合作等形式提高连锁 店面积利用效率；</w:t>
      </w:r>
    </w:p>
    <w:p>
      <w:pPr>
        <w:pStyle w:val="BodyText"/>
        <w:spacing w:line="338" w:lineRule="auto" w:before="55"/>
        <w:ind w:left="820" w:right="424"/>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报告期内，公司整体销售情况较好，可比店面销售收入同比有较快增长。 综上，公司租金费用开支占主营业务收入的比例较去年同期降低</w:t>
      </w:r>
      <w:r>
        <w:rPr>
          <w:spacing w:val="-60"/>
        </w:rPr>
        <w:t> </w:t>
      </w:r>
      <w:r>
        <w:rPr>
          <w:rFonts w:ascii="Times New Roman" w:hAnsi="Times New Roman" w:cs="Times New Roman" w:eastAsia="Times New Roman" w:hint="default"/>
        </w:rPr>
        <w:t>0.15 </w:t>
      </w:r>
      <w:r>
        <w:rPr/>
        <w:t>个百分点。</w:t>
      </w:r>
    </w:p>
    <w:p>
      <w:pPr>
        <w:pStyle w:val="BodyText"/>
        <w:spacing w:line="338" w:lineRule="auto" w:before="27"/>
        <w:ind w:left="820" w:right="349"/>
        <w:jc w:val="left"/>
      </w:pPr>
      <w:r>
        <w:rPr/>
        <w:t>（</w:t>
      </w:r>
      <w:r>
        <w:rPr>
          <w:rFonts w:ascii="Times New Roman" w:hAnsi="Times New Roman" w:cs="Times New Roman" w:eastAsia="Times New Roman" w:hint="default"/>
        </w:rPr>
        <w:t>3</w:t>
      </w:r>
      <w:r>
        <w:rPr/>
        <w:t>）人员费用率变动分析： </w:t>
      </w:r>
      <w:r>
        <w:rPr>
          <w:spacing w:val="-3"/>
        </w:rPr>
        <w:t>报告期内，公司为提升员工价值体现，实施了一系列薪酬激励措施，分别于年初和</w:t>
      </w:r>
    </w:p>
    <w:p>
      <w:pPr>
        <w:pStyle w:val="BodyText"/>
        <w:spacing w:line="355" w:lineRule="auto" w:before="55"/>
        <w:ind w:left="340" w:right="244"/>
        <w:jc w:val="left"/>
      </w:pPr>
      <w:r>
        <w:rPr>
          <w:spacing w:val="-3"/>
        </w:rPr>
        <w:t>半年度实施了两次较大范围的加薪工作，带来薪酬费用同比提升较快。另外为配合推进</w:t>
      </w:r>
      <w:r>
        <w:rPr>
          <w:spacing w:val="-98"/>
        </w:rPr>
        <w:t> </w:t>
      </w:r>
      <w:r>
        <w:rPr>
          <w:spacing w:val="-98"/>
        </w:rPr>
      </w:r>
      <w:r>
        <w:rPr>
          <w:spacing w:val="-3"/>
        </w:rPr>
        <w:t>公司三、四级市场的发展以及自营销售等工作，公司年内还引进储备了较多人员，由此</w:t>
      </w:r>
      <w:r>
        <w:rPr>
          <w:spacing w:val="-96"/>
        </w:rPr>
        <w:t> </w:t>
      </w:r>
      <w:r>
        <w:rPr>
          <w:spacing w:val="-96"/>
        </w:rPr>
      </w:r>
      <w:r>
        <w:rPr/>
        <w:t>带来人员费用率同比增加 </w:t>
      </w:r>
      <w:r>
        <w:rPr>
          <w:rFonts w:ascii="Times New Roman" w:hAnsi="Times New Roman" w:cs="Times New Roman" w:eastAsia="Times New Roman" w:hint="default"/>
        </w:rPr>
        <w:t>0.17</w:t>
      </w:r>
      <w:r>
        <w:rPr>
          <w:rFonts w:ascii="Times New Roman" w:hAnsi="Times New Roman" w:cs="Times New Roman" w:eastAsia="Times New Roman" w:hint="default"/>
          <w:spacing w:val="28"/>
        </w:rPr>
        <w:t> </w:t>
      </w:r>
      <w:r>
        <w:rPr/>
        <w:t>个百分点。相信随着公司进一步加强人员绩效评估，人 员效率将得到有效提升，同时自营模式的逐步成熟，前期投入产出效益也将逐步体现。 公司认为企业价值的发展和员工价值的体现是统一的，我们还会持续的提升员工待遇， </w:t>
      </w:r>
      <w:r>
        <w:rPr>
          <w:spacing w:val="-3"/>
        </w:rPr>
        <w:t>但在不断优化的管理模式、业务流程，尤其是在信息化的广泛应用基础上，人效水平会</w:t>
      </w:r>
      <w:r>
        <w:rPr>
          <w:spacing w:val="-96"/>
        </w:rPr>
        <w:t> </w:t>
      </w:r>
      <w:r>
        <w:rPr>
          <w:spacing w:val="-96"/>
        </w:rPr>
      </w:r>
      <w:r>
        <w:rPr/>
        <w:t>不断提升，人员费用率水平将会得到有力的控制。</w:t>
      </w:r>
    </w:p>
    <w:p>
      <w:pPr>
        <w:pStyle w:val="BodyText"/>
        <w:spacing w:line="240" w:lineRule="auto" w:before="38"/>
        <w:ind w:left="820" w:right="349"/>
        <w:jc w:val="left"/>
      </w:pPr>
      <w:r>
        <w:rPr>
          <w:rFonts w:ascii="Times New Roman" w:hAnsi="Times New Roman" w:cs="Times New Roman" w:eastAsia="Times New Roman" w:hint="default"/>
        </w:rPr>
        <w:t>4</w:t>
      </w:r>
      <w:r>
        <w:rPr/>
        <w:t>、财务状况及相关指标变动情况及原因分析</w:t>
      </w:r>
    </w:p>
    <w:p>
      <w:pPr>
        <w:tabs>
          <w:tab w:pos="7419" w:val="left" w:leader="none"/>
        </w:tabs>
        <w:spacing w:before="104"/>
        <w:ind w:left="820" w:right="349" w:firstLine="0"/>
        <w:jc w:val="left"/>
        <w:rPr>
          <w:rFonts w:ascii="宋体" w:hAnsi="宋体" w:cs="宋体" w:eastAsia="宋体" w:hint="default"/>
          <w:sz w:val="21"/>
          <w:szCs w:val="21"/>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）资产构成情况及变动原因分析</w:t>
        <w:tab/>
      </w:r>
      <w:r>
        <w:rPr>
          <w:rFonts w:ascii="宋体" w:hAnsi="宋体" w:cs="宋体" w:eastAsia="宋体" w:hint="default"/>
          <w:sz w:val="21"/>
          <w:szCs w:val="21"/>
        </w:rPr>
        <w:t>（单位：千元）</w:t>
      </w:r>
    </w:p>
    <w:p>
      <w:pPr>
        <w:spacing w:line="240" w:lineRule="auto" w:before="13"/>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786"/>
        <w:gridCol w:w="1616"/>
        <w:gridCol w:w="1778"/>
        <w:gridCol w:w="1244"/>
        <w:gridCol w:w="1243"/>
        <w:gridCol w:w="1774"/>
      </w:tblGrid>
      <w:tr>
        <w:trPr>
          <w:trHeight w:val="313" w:hRule="exact"/>
        </w:trPr>
        <w:tc>
          <w:tcPr>
            <w:tcW w:w="1786" w:type="dxa"/>
            <w:vMerge w:val="restart"/>
            <w:tcBorders>
              <w:top w:val="single" w:sz="17" w:space="0" w:color="000000"/>
              <w:left w:val="single" w:sz="17"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项目</w:t>
            </w:r>
          </w:p>
        </w:tc>
        <w:tc>
          <w:tcPr>
            <w:tcW w:w="3395"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48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9" w:lineRule="exact"/>
              <w:ind w:left="818" w:right="0"/>
              <w:jc w:val="left"/>
              <w:rPr>
                <w:rFonts w:ascii="宋体" w:hAnsi="宋体" w:cs="宋体" w:eastAsia="宋体" w:hint="default"/>
                <w:sz w:val="21"/>
                <w:szCs w:val="21"/>
              </w:rPr>
            </w:pPr>
            <w:r>
              <w:rPr>
                <w:rFonts w:ascii="宋体" w:hAnsi="宋体" w:cs="宋体" w:eastAsia="宋体" w:hint="default"/>
                <w:sz w:val="21"/>
                <w:szCs w:val="21"/>
              </w:rPr>
              <w:t>增减情况</w:t>
            </w:r>
          </w:p>
        </w:tc>
        <w:tc>
          <w:tcPr>
            <w:tcW w:w="1774" w:type="dxa"/>
            <w:vMerge w:val="restart"/>
            <w:tcBorders>
              <w:top w:val="single" w:sz="17" w:space="0" w:color="000000"/>
              <w:left w:val="single" w:sz="4" w:space="0" w:color="000000"/>
              <w:right w:val="single" w:sz="17" w:space="0" w:color="000000"/>
            </w:tcBorders>
          </w:tcPr>
          <w:p>
            <w:pPr>
              <w:pStyle w:val="TableParagraph"/>
              <w:spacing w:line="282" w:lineRule="exact" w:before="93"/>
              <w:ind w:left="1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p>
          <w:p>
            <w:pPr>
              <w:pStyle w:val="TableParagraph"/>
              <w:spacing w:line="266" w:lineRule="exact"/>
              <w:ind w:left="15"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556" w:hRule="exact"/>
        </w:trPr>
        <w:tc>
          <w:tcPr>
            <w:tcW w:w="1786" w:type="dxa"/>
            <w:vMerge/>
            <w:tcBorders>
              <w:left w:val="single" w:sz="17"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31</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p>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2"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增减幅度</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74" w:type="dxa"/>
            <w:vMerge/>
            <w:tcBorders>
              <w:left w:val="single" w:sz="4" w:space="0" w:color="000000"/>
              <w:bottom w:val="single" w:sz="4" w:space="0" w:color="000000"/>
              <w:right w:val="single" w:sz="17" w:space="0" w:color="000000"/>
            </w:tcBorders>
          </w:tcPr>
          <w:p>
            <w:pPr/>
          </w:p>
        </w:tc>
      </w:tr>
      <w:tr>
        <w:trPr>
          <w:trHeight w:val="311" w:hRule="exact"/>
        </w:trPr>
        <w:tc>
          <w:tcPr>
            <w:tcW w:w="1786"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8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19,351,838</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21,960,978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-2,609,140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2"/>
                <w:sz w:val="21"/>
              </w:rPr>
              <w:t>-11.88%</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7"/>
              <w:ind w:right="84"/>
              <w:jc w:val="right"/>
              <w:rPr>
                <w:rFonts w:ascii="Times New Roman" w:hAnsi="Times New Roman" w:cs="Times New Roman" w:eastAsia="Times New Roman" w:hint="default"/>
                <w:sz w:val="21"/>
                <w:szCs w:val="21"/>
              </w:rPr>
            </w:pPr>
            <w:r>
              <w:rPr>
                <w:rFonts w:ascii="Times New Roman"/>
                <w:spacing w:val="-1"/>
                <w:sz w:val="21"/>
              </w:rPr>
              <w:t>10,574,232</w:t>
            </w:r>
          </w:p>
        </w:tc>
      </w:tr>
      <w:tr>
        <w:trPr>
          <w:trHeight w:val="310" w:hRule="exact"/>
        </w:trPr>
        <w:tc>
          <w:tcPr>
            <w:tcW w:w="1786"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86"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7,378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-7,378</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7"/>
              <w:ind w:right="8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10" w:hRule="exact"/>
        </w:trPr>
        <w:tc>
          <w:tcPr>
            <w:tcW w:w="1786"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8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2"/>
                <w:sz w:val="21"/>
              </w:rPr>
              <w:t>1,104,611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347,024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757,587</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218.31%</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7"/>
              <w:ind w:right="84"/>
              <w:jc w:val="right"/>
              <w:rPr>
                <w:rFonts w:ascii="Times New Roman" w:hAnsi="Times New Roman" w:cs="Times New Roman" w:eastAsia="Times New Roman" w:hint="default"/>
                <w:sz w:val="21"/>
                <w:szCs w:val="21"/>
              </w:rPr>
            </w:pPr>
            <w:r>
              <w:rPr>
                <w:rFonts w:ascii="Times New Roman"/>
                <w:spacing w:val="-2"/>
                <w:sz w:val="21"/>
              </w:rPr>
              <w:t>110,127</w:t>
            </w:r>
          </w:p>
        </w:tc>
      </w:tr>
      <w:tr>
        <w:trPr>
          <w:trHeight w:val="311" w:hRule="exact"/>
        </w:trPr>
        <w:tc>
          <w:tcPr>
            <w:tcW w:w="1786"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8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2,741,405</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1"/>
                <w:szCs w:val="21"/>
              </w:rPr>
            </w:pPr>
            <w:r>
              <w:rPr>
                <w:rFonts w:ascii="Times New Roman"/>
                <w:spacing w:val="-1"/>
                <w:sz w:val="21"/>
              </w:rPr>
              <w:t>947,924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1,793,481</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189.20%</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7"/>
              <w:ind w:right="84"/>
              <w:jc w:val="right"/>
              <w:rPr>
                <w:rFonts w:ascii="Times New Roman" w:hAnsi="Times New Roman" w:cs="Times New Roman" w:eastAsia="Times New Roman" w:hint="default"/>
                <w:sz w:val="21"/>
                <w:szCs w:val="21"/>
              </w:rPr>
            </w:pPr>
            <w:r>
              <w:rPr>
                <w:rFonts w:ascii="Times New Roman"/>
                <w:spacing w:val="-1"/>
                <w:sz w:val="21"/>
              </w:rPr>
              <w:t>1,081,882</w:t>
            </w:r>
          </w:p>
        </w:tc>
      </w:tr>
      <w:tr>
        <w:trPr>
          <w:trHeight w:val="310" w:hRule="exact"/>
        </w:trPr>
        <w:tc>
          <w:tcPr>
            <w:tcW w:w="1786"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8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975,737</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1"/>
                <w:szCs w:val="21"/>
              </w:rPr>
            </w:pPr>
            <w:r>
              <w:rPr>
                <w:rFonts w:ascii="Times New Roman"/>
                <w:spacing w:val="-2"/>
                <w:sz w:val="21"/>
              </w:rPr>
              <w:t>110,975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864,762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779.24%</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7"/>
              <w:ind w:right="85"/>
              <w:jc w:val="right"/>
              <w:rPr>
                <w:rFonts w:ascii="Times New Roman" w:hAnsi="Times New Roman" w:cs="Times New Roman" w:eastAsia="Times New Roman" w:hint="default"/>
                <w:sz w:val="21"/>
                <w:szCs w:val="21"/>
              </w:rPr>
            </w:pPr>
            <w:r>
              <w:rPr>
                <w:rFonts w:ascii="Times New Roman"/>
                <w:spacing w:val="-1"/>
                <w:sz w:val="21"/>
              </w:rPr>
              <w:t>94,392</w:t>
            </w:r>
          </w:p>
        </w:tc>
      </w:tr>
      <w:tr>
        <w:trPr>
          <w:trHeight w:val="310" w:hRule="exact"/>
        </w:trPr>
        <w:tc>
          <w:tcPr>
            <w:tcW w:w="1786"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8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9,474,449</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6,326,995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3,147,454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49.75%</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7"/>
              <w:ind w:right="85"/>
              <w:jc w:val="right"/>
              <w:rPr>
                <w:rFonts w:ascii="Times New Roman" w:hAnsi="Times New Roman" w:cs="Times New Roman" w:eastAsia="Times New Roman" w:hint="default"/>
                <w:sz w:val="21"/>
                <w:szCs w:val="21"/>
              </w:rPr>
            </w:pPr>
            <w:r>
              <w:rPr>
                <w:rFonts w:ascii="Times New Roman"/>
                <w:spacing w:val="-2"/>
                <w:sz w:val="21"/>
              </w:rPr>
              <w:t>4,908,211</w:t>
            </w:r>
          </w:p>
        </w:tc>
      </w:tr>
      <w:tr>
        <w:trPr>
          <w:trHeight w:val="311" w:hRule="exact"/>
        </w:trPr>
        <w:tc>
          <w:tcPr>
            <w:tcW w:w="1786"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86"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34,475,586</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30,196,264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4,279,322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14.17%</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7"/>
              <w:ind w:right="84"/>
              <w:jc w:val="right"/>
              <w:rPr>
                <w:rFonts w:ascii="Times New Roman" w:hAnsi="Times New Roman" w:cs="Times New Roman" w:eastAsia="Times New Roman" w:hint="default"/>
                <w:sz w:val="21"/>
                <w:szCs w:val="21"/>
              </w:rPr>
            </w:pPr>
            <w:r>
              <w:rPr>
                <w:rFonts w:ascii="Times New Roman"/>
                <w:spacing w:val="-1"/>
                <w:sz w:val="21"/>
              </w:rPr>
              <w:t>17,188,227</w:t>
            </w:r>
          </w:p>
        </w:tc>
      </w:tr>
      <w:tr>
        <w:trPr>
          <w:trHeight w:val="310" w:hRule="exact"/>
        </w:trPr>
        <w:tc>
          <w:tcPr>
            <w:tcW w:w="1786"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8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792,896</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597,374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195,522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32.73%</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7"/>
              <w:ind w:right="84"/>
              <w:jc w:val="right"/>
              <w:rPr>
                <w:rFonts w:ascii="Times New Roman" w:hAnsi="Times New Roman" w:cs="Times New Roman" w:eastAsia="Times New Roman" w:hint="default"/>
                <w:sz w:val="21"/>
                <w:szCs w:val="21"/>
              </w:rPr>
            </w:pPr>
            <w:r>
              <w:rPr>
                <w:rFonts w:ascii="Times New Roman"/>
                <w:spacing w:val="-1"/>
                <w:sz w:val="21"/>
              </w:rPr>
              <w:t>1,004</w:t>
            </w:r>
          </w:p>
        </w:tc>
      </w:tr>
      <w:tr>
        <w:trPr>
          <w:trHeight w:val="310" w:hRule="exact"/>
        </w:trPr>
        <w:tc>
          <w:tcPr>
            <w:tcW w:w="1786"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8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3,914,317</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2,895,971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1,018,346</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35.16%</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7"/>
              <w:ind w:right="85"/>
              <w:jc w:val="right"/>
              <w:rPr>
                <w:rFonts w:ascii="Times New Roman" w:hAnsi="Times New Roman" w:cs="Times New Roman" w:eastAsia="Times New Roman" w:hint="default"/>
                <w:sz w:val="21"/>
                <w:szCs w:val="21"/>
              </w:rPr>
            </w:pPr>
            <w:r>
              <w:rPr>
                <w:rFonts w:ascii="Times New Roman"/>
                <w:spacing w:val="-1"/>
                <w:sz w:val="21"/>
              </w:rPr>
              <w:t>3,316,431</w:t>
            </w:r>
          </w:p>
        </w:tc>
      </w:tr>
      <w:tr>
        <w:trPr>
          <w:trHeight w:val="311" w:hRule="exact"/>
        </w:trPr>
        <w:tc>
          <w:tcPr>
            <w:tcW w:w="1786"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86"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2,061,752</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408,528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1,653,224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404.68%</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7"/>
              <w:ind w:right="84"/>
              <w:jc w:val="right"/>
              <w:rPr>
                <w:rFonts w:ascii="Times New Roman" w:hAnsi="Times New Roman" w:cs="Times New Roman" w:eastAsia="Times New Roman" w:hint="default"/>
                <w:sz w:val="21"/>
                <w:szCs w:val="21"/>
              </w:rPr>
            </w:pPr>
            <w:r>
              <w:rPr>
                <w:rFonts w:ascii="Times New Roman"/>
                <w:spacing w:val="-1"/>
                <w:sz w:val="21"/>
              </w:rPr>
              <w:t>64,009</w:t>
            </w:r>
          </w:p>
        </w:tc>
      </w:tr>
      <w:tr>
        <w:trPr>
          <w:trHeight w:val="310" w:hRule="exact"/>
        </w:trPr>
        <w:tc>
          <w:tcPr>
            <w:tcW w:w="1786"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8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1,309,337</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764,874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544,463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71.18%</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7"/>
              <w:ind w:right="84"/>
              <w:jc w:val="right"/>
              <w:rPr>
                <w:rFonts w:ascii="Times New Roman" w:hAnsi="Times New Roman" w:cs="Times New Roman" w:eastAsia="Times New Roman" w:hint="default"/>
                <w:sz w:val="21"/>
                <w:szCs w:val="21"/>
              </w:rPr>
            </w:pPr>
            <w:r>
              <w:rPr>
                <w:rFonts w:ascii="Times New Roman"/>
                <w:spacing w:val="-1"/>
                <w:sz w:val="21"/>
              </w:rPr>
              <w:t>566,354</w:t>
            </w:r>
          </w:p>
        </w:tc>
      </w:tr>
      <w:tr>
        <w:trPr>
          <w:trHeight w:val="310" w:hRule="exact"/>
        </w:trPr>
        <w:tc>
          <w:tcPr>
            <w:tcW w:w="1786"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86"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22,125</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1"/>
                <w:szCs w:val="21"/>
              </w:rPr>
            </w:pPr>
            <w:r>
              <w:rPr>
                <w:rFonts w:ascii="Times New Roman"/>
                <w:spacing w:val="-1"/>
                <w:sz w:val="21"/>
              </w:rPr>
              <w:t>58,513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-36,388</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-62.19%</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7"/>
              <w:ind w:right="84"/>
              <w:jc w:val="right"/>
              <w:rPr>
                <w:rFonts w:ascii="Times New Roman" w:hAnsi="Times New Roman" w:cs="Times New Roman" w:eastAsia="Times New Roman" w:hint="default"/>
                <w:sz w:val="21"/>
                <w:szCs w:val="21"/>
              </w:rPr>
            </w:pPr>
            <w:r>
              <w:rPr>
                <w:rFonts w:ascii="Times New Roman"/>
                <w:spacing w:val="-1"/>
                <w:sz w:val="21"/>
              </w:rPr>
              <w:t>19,103</w:t>
            </w:r>
          </w:p>
        </w:tc>
      </w:tr>
      <w:tr>
        <w:trPr>
          <w:trHeight w:val="311" w:hRule="exact"/>
        </w:trPr>
        <w:tc>
          <w:tcPr>
            <w:tcW w:w="1786"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8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529,531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pacing w:val="-1"/>
                <w:sz w:val="21"/>
              </w:rPr>
              <w:t>237,942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291,589</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122.55%</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7"/>
              <w:ind w:right="84"/>
              <w:jc w:val="right"/>
              <w:rPr>
                <w:rFonts w:ascii="Times New Roman" w:hAnsi="Times New Roman" w:cs="Times New Roman" w:eastAsia="Times New Roman" w:hint="default"/>
                <w:sz w:val="21"/>
                <w:szCs w:val="21"/>
              </w:rPr>
            </w:pPr>
            <w:r>
              <w:rPr>
                <w:rFonts w:ascii="Times New Roman"/>
                <w:spacing w:val="-1"/>
                <w:sz w:val="21"/>
              </w:rPr>
              <w:t>233,253</w:t>
            </w:r>
          </w:p>
        </w:tc>
      </w:tr>
      <w:tr>
        <w:trPr>
          <w:trHeight w:val="310" w:hRule="exact"/>
        </w:trPr>
        <w:tc>
          <w:tcPr>
            <w:tcW w:w="1786"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8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9,431,796</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5,643,568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3,788,228</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67.12%</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7"/>
              <w:ind w:right="85"/>
              <w:jc w:val="right"/>
              <w:rPr>
                <w:rFonts w:ascii="Times New Roman" w:hAnsi="Times New Roman" w:cs="Times New Roman" w:eastAsia="Times New Roman" w:hint="default"/>
                <w:sz w:val="21"/>
                <w:szCs w:val="21"/>
              </w:rPr>
            </w:pPr>
            <w:r>
              <w:rPr>
                <w:rFonts w:ascii="Times New Roman"/>
                <w:spacing w:val="-1"/>
                <w:sz w:val="21"/>
              </w:rPr>
              <w:t>4,430,300</w:t>
            </w:r>
          </w:p>
        </w:tc>
      </w:tr>
      <w:tr>
        <w:trPr>
          <w:trHeight w:val="329" w:hRule="exact"/>
        </w:trPr>
        <w:tc>
          <w:tcPr>
            <w:tcW w:w="1786" w:type="dxa"/>
            <w:tcBorders>
              <w:top w:val="single" w:sz="4" w:space="0" w:color="000000"/>
              <w:left w:val="single" w:sz="17" w:space="0" w:color="000000"/>
              <w:bottom w:val="single" w:sz="17" w:space="0" w:color="000000"/>
              <w:right w:val="single" w:sz="4" w:space="0" w:color="000000"/>
            </w:tcBorders>
          </w:tcPr>
          <w:p>
            <w:pPr>
              <w:pStyle w:val="TableParagraph"/>
              <w:spacing w:line="254" w:lineRule="exact"/>
              <w:ind w:left="86"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1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43,907,382</w:t>
            </w:r>
          </w:p>
        </w:tc>
        <w:tc>
          <w:tcPr>
            <w:tcW w:w="177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35,839,832</w:t>
            </w:r>
          </w:p>
        </w:tc>
        <w:tc>
          <w:tcPr>
            <w:tcW w:w="124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8,067,550</w:t>
            </w:r>
          </w:p>
        </w:tc>
        <w:tc>
          <w:tcPr>
            <w:tcW w:w="124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22.51%</w:t>
            </w:r>
          </w:p>
        </w:tc>
        <w:tc>
          <w:tcPr>
            <w:tcW w:w="1774"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27"/>
              <w:ind w:right="84"/>
              <w:jc w:val="right"/>
              <w:rPr>
                <w:rFonts w:ascii="Times New Roman" w:hAnsi="Times New Roman" w:cs="Times New Roman" w:eastAsia="Times New Roman" w:hint="default"/>
                <w:sz w:val="21"/>
                <w:szCs w:val="21"/>
              </w:rPr>
            </w:pPr>
            <w:r>
              <w:rPr>
                <w:rFonts w:ascii="Times New Roman"/>
                <w:spacing w:val="-1"/>
                <w:sz w:val="21"/>
              </w:rPr>
              <w:t>21,618,527</w:t>
            </w:r>
          </w:p>
        </w:tc>
      </w:tr>
    </w:tbl>
    <w:p>
      <w:pPr>
        <w:pStyle w:val="BodyText"/>
        <w:spacing w:line="240" w:lineRule="auto" w:before="81"/>
        <w:ind w:left="820" w:right="349"/>
        <w:jc w:val="left"/>
      </w:pPr>
      <w:r>
        <w:rPr/>
        <w:t>① 交易性金融资产变化的主要原因：</w:t>
      </w:r>
    </w:p>
    <w:p>
      <w:pPr>
        <w:pStyle w:val="BodyText"/>
        <w:spacing w:line="240" w:lineRule="auto" w:before="154"/>
        <w:ind w:left="820" w:right="244"/>
        <w:jc w:val="left"/>
      </w:pPr>
      <w:r>
        <w:rPr/>
        <w:t>报告期内，公司境外子公司——</w:t>
      </w:r>
      <w:r>
        <w:rPr>
          <w:rFonts w:ascii="Times New Roman" w:hAnsi="Times New Roman" w:cs="Times New Roman" w:eastAsia="Times New Roman" w:hint="default"/>
        </w:rPr>
        <w:t>GRANDA MAGIC LIMITED</w:t>
      </w:r>
      <w:r>
        <w:rPr>
          <w:rFonts w:ascii="Times New Roman" w:hAnsi="Times New Roman" w:cs="Times New Roman" w:eastAsia="Times New Roman" w:hint="default"/>
          <w:spacing w:val="20"/>
        </w:rPr>
        <w:t> </w:t>
      </w:r>
      <w:r>
        <w:rPr/>
        <w:t>全部行使持有的日本</w:t>
      </w:r>
    </w:p>
    <w:p>
      <w:pPr>
        <w:pStyle w:val="BodyText"/>
        <w:spacing w:line="240" w:lineRule="auto" w:before="135"/>
        <w:ind w:left="340" w:right="244"/>
        <w:jc w:val="left"/>
      </w:pPr>
      <w:r>
        <w:rPr>
          <w:rFonts w:ascii="Times New Roman" w:hAnsi="Times New Roman" w:cs="Times New Roman" w:eastAsia="Times New Roman" w:hint="default"/>
          <w:spacing w:val="-1"/>
          <w:w w:val="99"/>
        </w:rPr>
        <w:t>LAO</w:t>
      </w:r>
      <w:r>
        <w:rPr>
          <w:rFonts w:ascii="Times New Roman" w:hAnsi="Times New Roman" w:cs="Times New Roman" w:eastAsia="Times New Roman" w:hint="default"/>
          <w:w w:val="99"/>
        </w:rPr>
        <w:t>X</w:t>
      </w:r>
      <w:r>
        <w:rPr>
          <w:rFonts w:ascii="Times New Roman" w:hAnsi="Times New Roman" w:cs="Times New Roman" w:eastAsia="Times New Roman" w:hint="default"/>
          <w:spacing w:val="-1"/>
        </w:rPr>
        <w:t> </w:t>
      </w:r>
      <w:r>
        <w:rPr/>
        <w:t>株式会社</w:t>
      </w:r>
      <w:r>
        <w:rPr>
          <w:spacing w:val="-60"/>
        </w:rPr>
        <w:t> </w:t>
      </w:r>
      <w:r>
        <w:rPr>
          <w:rFonts w:ascii="Times New Roman" w:hAnsi="Times New Roman" w:cs="Times New Roman" w:eastAsia="Times New Roman" w:hint="default"/>
        </w:rPr>
        <w:t>1,066 </w:t>
      </w:r>
      <w:r>
        <w:rPr/>
        <w:t>万份新股预约权</w:t>
      </w:r>
      <w:r>
        <w:rPr>
          <w:spacing w:val="-116"/>
        </w:rPr>
        <w:t>，</w:t>
      </w:r>
      <w:r>
        <w:rPr/>
        <w:t>以</w:t>
      </w:r>
      <w:r>
        <w:rPr>
          <w:spacing w:val="-60"/>
        </w:rPr>
        <w:t> </w:t>
      </w:r>
      <w:r>
        <w:rPr>
          <w:rFonts w:ascii="Times New Roman" w:hAnsi="Times New Roman" w:cs="Times New Roman" w:eastAsia="Times New Roman" w:hint="default"/>
        </w:rPr>
        <w:t>20 </w:t>
      </w:r>
      <w:r>
        <w:rPr/>
        <w:t>日元</w:t>
      </w:r>
      <w:r>
        <w:rPr>
          <w:rFonts w:ascii="Times New Roman" w:hAnsi="Times New Roman" w:cs="Times New Roman" w:eastAsia="Times New Roman" w:hint="default"/>
        </w:rPr>
        <w:t>/</w:t>
      </w:r>
      <w:r>
        <w:rPr/>
        <w:t>股的价格</w:t>
      </w:r>
      <w:r>
        <w:rPr>
          <w:spacing w:val="-116"/>
        </w:rPr>
        <w:t>，</w:t>
      </w:r>
      <w:r>
        <w:rPr/>
        <w:t>总投资</w:t>
      </w:r>
      <w:r>
        <w:rPr>
          <w:spacing w:val="-60"/>
        </w:rPr>
        <w:t> </w:t>
      </w:r>
      <w:r>
        <w:rPr>
          <w:rFonts w:ascii="Times New Roman" w:hAnsi="Times New Roman" w:cs="Times New Roman" w:eastAsia="Times New Roman" w:hint="default"/>
        </w:rPr>
        <w:t>21,320  </w:t>
      </w:r>
      <w:r>
        <w:rPr/>
        <w:t>万日</w:t>
      </w:r>
      <w:r>
        <w:rPr>
          <w:spacing w:val="-116"/>
        </w:rPr>
        <w:t>元</w:t>
      </w:r>
      <w:r>
        <w:rPr/>
        <w:t>（约</w:t>
      </w:r>
    </w:p>
    <w:p>
      <w:pPr>
        <w:pStyle w:val="BodyText"/>
        <w:spacing w:line="240" w:lineRule="auto" w:before="135"/>
        <w:ind w:left="340" w:right="244"/>
        <w:jc w:val="left"/>
      </w:pPr>
      <w:r>
        <w:rPr>
          <w:rFonts w:ascii="Times New Roman" w:hAnsi="Times New Roman" w:cs="Times New Roman" w:eastAsia="Times New Roman" w:hint="default"/>
        </w:rPr>
        <w:t>1,573 </w:t>
      </w:r>
      <w:r>
        <w:rPr/>
        <w:t>万元人民币）认购 </w:t>
      </w:r>
      <w:r>
        <w:rPr>
          <w:rFonts w:ascii="Times New Roman" w:hAnsi="Times New Roman" w:cs="Times New Roman" w:eastAsia="Times New Roman" w:hint="default"/>
        </w:rPr>
        <w:t>1,066</w:t>
      </w:r>
      <w:r>
        <w:rPr>
          <w:rFonts w:ascii="Times New Roman" w:hAnsi="Times New Roman" w:cs="Times New Roman" w:eastAsia="Times New Roman" w:hint="default"/>
          <w:spacing w:val="27"/>
        </w:rPr>
        <w:t> </w:t>
      </w:r>
      <w:r>
        <w:rPr/>
        <w:t>万股新股。交易完成后，公司境外子公司不再持有任何</w:t>
      </w:r>
    </w:p>
    <w:p>
      <w:pPr>
        <w:spacing w:after="0" w:line="240" w:lineRule="auto"/>
        <w:jc w:val="left"/>
        <w:sectPr>
          <w:pgSz w:w="11910" w:h="16840"/>
          <w:pgMar w:header="748" w:footer="714" w:top="980" w:bottom="900" w:left="1100" w:right="1080"/>
        </w:sectPr>
      </w:pPr>
    </w:p>
    <w:p>
      <w:pPr>
        <w:spacing w:line="240" w:lineRule="auto" w:before="7"/>
        <w:rPr>
          <w:rFonts w:ascii="宋体" w:hAnsi="宋体" w:cs="宋体" w:eastAsia="宋体" w:hint="default"/>
          <w:sz w:val="29"/>
          <w:szCs w:val="29"/>
        </w:rPr>
      </w:pPr>
    </w:p>
    <w:p>
      <w:pPr>
        <w:pStyle w:val="BodyText"/>
        <w:spacing w:line="240" w:lineRule="auto" w:before="26"/>
        <w:ind w:right="84"/>
        <w:jc w:val="left"/>
      </w:pPr>
      <w:r>
        <w:rPr/>
        <w:t>交易性金融资产，由此带来公司交易性金融资产较年初下降</w:t>
      </w:r>
      <w:r>
        <w:rPr>
          <w:spacing w:val="-60"/>
        </w:rPr>
        <w:t> </w:t>
      </w:r>
      <w:r>
        <w:rPr>
          <w:rFonts w:ascii="Times New Roman" w:hAnsi="Times New Roman" w:cs="Times New Roman" w:eastAsia="Times New Roman" w:hint="default"/>
        </w:rPr>
        <w:t>100%</w:t>
      </w:r>
      <w:r>
        <w:rPr/>
        <w:t>。</w:t>
      </w:r>
    </w:p>
    <w:p>
      <w:pPr>
        <w:pStyle w:val="BodyText"/>
        <w:spacing w:line="240" w:lineRule="auto" w:before="135"/>
        <w:ind w:left="620" w:right="84"/>
        <w:jc w:val="left"/>
      </w:pPr>
      <w:r>
        <w:rPr/>
        <w:t>② 应收账款变化的主要原因：</w:t>
      </w:r>
    </w:p>
    <w:p>
      <w:pPr>
        <w:pStyle w:val="BodyText"/>
        <w:spacing w:line="350" w:lineRule="auto" w:before="154"/>
        <w:ind w:right="84" w:firstLine="480"/>
        <w:jc w:val="left"/>
      </w:pPr>
      <w:r>
        <w:rPr/>
        <w:t>报告期内，“家电下乡”、“以旧换新” 等一系列拉动内需政策的实施，在促进 公司销售收入增长的同时，也带来了公司应收代垫财政补贴款的增加。截至报告期末， 公司代垫财政补贴款合计 </w:t>
      </w:r>
      <w:r>
        <w:rPr>
          <w:rFonts w:ascii="Times New Roman" w:hAnsi="Times New Roman" w:cs="Times New Roman" w:eastAsia="Times New Roman" w:hint="default"/>
        </w:rPr>
        <w:t>6.06</w:t>
      </w:r>
      <w:r>
        <w:rPr>
          <w:rFonts w:ascii="Times New Roman" w:hAnsi="Times New Roman" w:cs="Times New Roman" w:eastAsia="Times New Roman" w:hint="default"/>
          <w:spacing w:val="28"/>
        </w:rPr>
        <w:t> </w:t>
      </w:r>
      <w:r>
        <w:rPr/>
        <w:t>亿元，后期将加快该部分款项的结算。另外报告期内， 公司大力推进合约计划销售，应收运营商款项增加。</w:t>
      </w:r>
    </w:p>
    <w:p>
      <w:pPr>
        <w:pStyle w:val="BodyText"/>
        <w:spacing w:line="357" w:lineRule="auto" w:before="43"/>
        <w:ind w:left="620" w:right="84"/>
        <w:jc w:val="left"/>
      </w:pPr>
      <w:r>
        <w:rPr/>
        <w:t>③ 预付账款变化的主要原因： </w:t>
      </w:r>
      <w:r>
        <w:rPr>
          <w:spacing w:val="-3"/>
        </w:rPr>
        <w:t>公司为应对元旦、春节销售旺季，通过预付账款的形式储备货源。另外报告期内公</w:t>
      </w:r>
    </w:p>
    <w:p>
      <w:pPr>
        <w:pStyle w:val="BodyText"/>
        <w:spacing w:line="357" w:lineRule="auto" w:before="36"/>
        <w:ind w:right="84"/>
        <w:jc w:val="left"/>
      </w:pPr>
      <w:r>
        <w:rPr>
          <w:spacing w:val="-3"/>
        </w:rPr>
        <w:t>司加快了自建店和物流基地的选址速度，预付土地购置款较上年末有增加，由此带来预</w:t>
      </w:r>
      <w:r>
        <w:rPr>
          <w:spacing w:val="-98"/>
        </w:rPr>
        <w:t> </w:t>
      </w:r>
      <w:r>
        <w:rPr>
          <w:spacing w:val="-98"/>
        </w:rPr>
      </w:r>
      <w:r>
        <w:rPr/>
        <w:t>付帐款期末较期初增加</w:t>
      </w:r>
      <w:r>
        <w:rPr>
          <w:spacing w:val="-60"/>
        </w:rPr>
        <w:t> </w:t>
      </w:r>
      <w:r>
        <w:rPr>
          <w:rFonts w:ascii="Times New Roman" w:hAnsi="Times New Roman" w:cs="Times New Roman" w:eastAsia="Times New Roman" w:hint="default"/>
        </w:rPr>
        <w:t>189.20%</w:t>
      </w:r>
      <w:r>
        <w:rPr/>
        <w:t>。</w:t>
      </w:r>
    </w:p>
    <w:p>
      <w:pPr>
        <w:pStyle w:val="BodyText"/>
        <w:spacing w:line="357" w:lineRule="auto" w:before="5"/>
        <w:ind w:left="620" w:right="192"/>
        <w:jc w:val="left"/>
      </w:pPr>
      <w:r>
        <w:rPr/>
        <w:t>④ 其他应收款变化的主要原因： </w:t>
      </w:r>
      <w:r>
        <w:rPr>
          <w:spacing w:val="-3"/>
        </w:rPr>
        <w:t>报告期内，公司购买了银行保本固定收益产品，以及随着公司连锁网络规模和销售</w:t>
      </w:r>
    </w:p>
    <w:p>
      <w:pPr>
        <w:pStyle w:val="BodyText"/>
        <w:spacing w:line="357" w:lineRule="auto" w:before="36"/>
        <w:ind w:right="84"/>
        <w:jc w:val="left"/>
      </w:pPr>
      <w:r>
        <w:rPr>
          <w:spacing w:val="-3"/>
        </w:rPr>
        <w:t>收入的增长，支付的各项保证金、押金也相应增加，带来其他应收款期末余额较期初增</w:t>
      </w:r>
      <w:r>
        <w:rPr>
          <w:spacing w:val="-96"/>
        </w:rPr>
        <w:t> </w:t>
      </w:r>
      <w:r>
        <w:rPr>
          <w:spacing w:val="-96"/>
        </w:rPr>
      </w:r>
      <w:r>
        <w:rPr/>
        <w:t>加</w:t>
      </w:r>
      <w:r>
        <w:rPr>
          <w:spacing w:val="-60"/>
        </w:rPr>
        <w:t> </w:t>
      </w:r>
      <w:r>
        <w:rPr>
          <w:rFonts w:ascii="Times New Roman" w:hAnsi="Times New Roman" w:cs="Times New Roman" w:eastAsia="Times New Roman" w:hint="default"/>
        </w:rPr>
        <w:t>779.24%</w:t>
      </w:r>
      <w:r>
        <w:rPr/>
        <w:t>。</w:t>
      </w:r>
    </w:p>
    <w:p>
      <w:pPr>
        <w:pStyle w:val="BodyText"/>
        <w:spacing w:line="357" w:lineRule="auto" w:before="5"/>
        <w:ind w:left="620" w:right="84"/>
        <w:jc w:val="left"/>
      </w:pPr>
      <w:r>
        <w:rPr/>
        <w:t>⑤ 存货变化的主要原因： </w:t>
      </w:r>
      <w:r>
        <w:rPr>
          <w:spacing w:val="-3"/>
        </w:rPr>
        <w:t>公司针对传统元旦销售旺季，积极开展备货工作，且公司连锁店规模增加较快，由</w:t>
      </w:r>
    </w:p>
    <w:p>
      <w:pPr>
        <w:pStyle w:val="BodyText"/>
        <w:spacing w:line="240" w:lineRule="auto" w:before="36"/>
        <w:ind w:right="84"/>
        <w:jc w:val="left"/>
      </w:pPr>
      <w:r>
        <w:rPr/>
        <w:t>此带来期末存货较期初提升</w:t>
      </w:r>
      <w:r>
        <w:rPr>
          <w:spacing w:val="-60"/>
        </w:rPr>
        <w:t> </w:t>
      </w:r>
      <w:r>
        <w:rPr>
          <w:rFonts w:ascii="Times New Roman" w:hAnsi="Times New Roman" w:cs="Times New Roman" w:eastAsia="Times New Roman" w:hint="default"/>
        </w:rPr>
        <w:t>49.75%</w:t>
      </w:r>
      <w:r>
        <w:rPr/>
        <w:t>。</w:t>
      </w:r>
    </w:p>
    <w:p>
      <w:pPr>
        <w:pStyle w:val="BodyText"/>
        <w:spacing w:line="240" w:lineRule="auto" w:before="135"/>
        <w:ind w:left="619" w:right="84"/>
        <w:jc w:val="left"/>
      </w:pPr>
      <w:r>
        <w:rPr/>
        <w:t>⑥ 长期股权投资变化的主要原因：</w:t>
      </w:r>
    </w:p>
    <w:p>
      <w:pPr>
        <w:pStyle w:val="BodyText"/>
        <w:spacing w:line="338" w:lineRule="auto" w:before="154"/>
        <w:ind w:right="188" w:firstLine="480"/>
        <w:jc w:val="left"/>
      </w:pPr>
      <w:r>
        <w:rPr>
          <w:spacing w:val="-7"/>
        </w:rPr>
        <w:t>报告期内，公司下属子公司</w:t>
      </w:r>
      <w:r>
        <w:rPr>
          <w:spacing w:val="-61"/>
        </w:rPr>
        <w:t> </w:t>
      </w:r>
      <w:r>
        <w:rPr>
          <w:rFonts w:ascii="Times New Roman" w:hAnsi="Times New Roman" w:cs="Times New Roman" w:eastAsia="Times New Roman" w:hint="default"/>
        </w:rPr>
        <w:t>GRANDA</w:t>
      </w:r>
      <w:r>
        <w:rPr>
          <w:rFonts w:ascii="Times New Roman" w:hAnsi="Times New Roman" w:cs="Times New Roman" w:eastAsia="Times New Roman" w:hint="default"/>
          <w:spacing w:val="-15"/>
        </w:rPr>
        <w:t> </w:t>
      </w:r>
      <w:r>
        <w:rPr>
          <w:rFonts w:ascii="Times New Roman" w:hAnsi="Times New Roman" w:cs="Times New Roman" w:eastAsia="Times New Roman" w:hint="default"/>
        </w:rPr>
        <w:t>MAGIC</w:t>
      </w:r>
      <w:r>
        <w:rPr>
          <w:rFonts w:ascii="Times New Roman" w:hAnsi="Times New Roman" w:cs="Times New Roman" w:eastAsia="Times New Roman" w:hint="default"/>
          <w:spacing w:val="-1"/>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1"/>
        </w:rPr>
        <w:t> </w:t>
      </w:r>
      <w:r>
        <w:rPr/>
        <w:t>认购了日本</w:t>
      </w:r>
      <w:r>
        <w:rPr>
          <w:spacing w:val="-61"/>
        </w:rPr>
        <w:t> </w:t>
      </w:r>
      <w:r>
        <w:rPr>
          <w:rFonts w:ascii="Times New Roman" w:hAnsi="Times New Roman" w:cs="Times New Roman" w:eastAsia="Times New Roman" w:hint="default"/>
        </w:rPr>
        <w:t>LAOX</w:t>
      </w:r>
      <w:r>
        <w:rPr>
          <w:rFonts w:ascii="Times New Roman" w:hAnsi="Times New Roman" w:cs="Times New Roman" w:eastAsia="Times New Roman" w:hint="default"/>
          <w:spacing w:val="-1"/>
        </w:rPr>
        <w:t> </w:t>
      </w:r>
      <w:r>
        <w:rPr/>
        <w:t>定向发 行的</w:t>
      </w:r>
      <w:r>
        <w:rPr>
          <w:spacing w:val="-60"/>
        </w:rPr>
        <w:t> </w:t>
      </w:r>
      <w:r>
        <w:rPr>
          <w:rFonts w:ascii="Times New Roman" w:hAnsi="Times New Roman" w:cs="Times New Roman" w:eastAsia="Times New Roman" w:hint="default"/>
        </w:rPr>
        <w:t>2127.66 </w:t>
      </w:r>
      <w:r>
        <w:rPr/>
        <w:t>万股，带来长期股权投资期末余额较期初增加</w:t>
      </w:r>
      <w:r>
        <w:rPr>
          <w:spacing w:val="-60"/>
        </w:rPr>
        <w:t> </w:t>
      </w:r>
      <w:r>
        <w:rPr>
          <w:rFonts w:ascii="Times New Roman" w:hAnsi="Times New Roman" w:cs="Times New Roman" w:eastAsia="Times New Roman" w:hint="default"/>
        </w:rPr>
        <w:t>32.73%</w:t>
      </w:r>
      <w:r>
        <w:rPr/>
        <w:t>。</w:t>
      </w:r>
    </w:p>
    <w:p>
      <w:pPr>
        <w:pStyle w:val="BodyText"/>
        <w:spacing w:line="357" w:lineRule="auto" w:before="27"/>
        <w:ind w:left="620" w:right="84"/>
        <w:jc w:val="left"/>
      </w:pPr>
      <w:r>
        <w:rPr/>
        <w:t>⑦ 固定资产变化的主要原因： 报告期内，公司按照“租、建、并、购”的综合开发策略，新增八个购置店项目，</w:t>
      </w:r>
    </w:p>
    <w:p>
      <w:pPr>
        <w:pStyle w:val="BodyText"/>
        <w:spacing w:line="357" w:lineRule="auto" w:before="36"/>
        <w:ind w:right="84"/>
        <w:jc w:val="left"/>
      </w:pPr>
      <w:r>
        <w:rPr>
          <w:spacing w:val="-3"/>
        </w:rPr>
        <w:t>另外公司威海自建店、沈阳物流基地等在建工程完工转入固定资产，带来固定资产期末</w:t>
      </w:r>
      <w:r>
        <w:rPr>
          <w:spacing w:val="-98"/>
        </w:rPr>
        <w:t> </w:t>
      </w:r>
      <w:r>
        <w:rPr>
          <w:spacing w:val="-98"/>
        </w:rPr>
      </w:r>
      <w:r>
        <w:rPr/>
        <w:t>余额较上年同期增长</w:t>
      </w:r>
      <w:r>
        <w:rPr>
          <w:spacing w:val="-60"/>
        </w:rPr>
        <w:t> </w:t>
      </w:r>
      <w:r>
        <w:rPr>
          <w:rFonts w:ascii="Times New Roman" w:hAnsi="Times New Roman" w:cs="Times New Roman" w:eastAsia="Times New Roman" w:hint="default"/>
        </w:rPr>
        <w:t>35.16%</w:t>
      </w:r>
      <w:r>
        <w:rPr/>
        <w:t>。</w:t>
      </w:r>
    </w:p>
    <w:p>
      <w:pPr>
        <w:pStyle w:val="BodyText"/>
        <w:spacing w:line="357" w:lineRule="auto" w:before="5"/>
        <w:ind w:left="620" w:right="192"/>
        <w:jc w:val="left"/>
      </w:pPr>
      <w:r>
        <w:rPr/>
        <w:t>⑧ 在建工程变化的主要原因： </w:t>
      </w:r>
      <w:r>
        <w:rPr>
          <w:spacing w:val="-3"/>
        </w:rPr>
        <w:t>报告期内，公司南京徐庄总部尚未完全竣工和决算，以及公司年内加快了物流基地</w:t>
      </w:r>
    </w:p>
    <w:p>
      <w:pPr>
        <w:pStyle w:val="BodyText"/>
        <w:spacing w:line="357" w:lineRule="auto" w:before="36"/>
        <w:ind w:right="84"/>
        <w:jc w:val="left"/>
      </w:pPr>
      <w:r>
        <w:rPr>
          <w:spacing w:val="-3"/>
        </w:rPr>
        <w:t>的开发和建设，成都、无锡、天津等物流基地等陆续开工建设，带来本期在建工程期末</w:t>
      </w:r>
      <w:r>
        <w:rPr>
          <w:spacing w:val="-98"/>
        </w:rPr>
        <w:t> </w:t>
      </w:r>
      <w:r>
        <w:rPr>
          <w:spacing w:val="-98"/>
        </w:rPr>
      </w:r>
      <w:r>
        <w:rPr/>
        <w:t>余额较期初增加</w:t>
      </w:r>
      <w:r>
        <w:rPr>
          <w:spacing w:val="-60"/>
        </w:rPr>
        <w:t> </w:t>
      </w:r>
      <w:r>
        <w:rPr>
          <w:rFonts w:ascii="Times New Roman" w:hAnsi="Times New Roman" w:cs="Times New Roman" w:eastAsia="Times New Roman" w:hint="default"/>
        </w:rPr>
        <w:t>404.68%</w:t>
      </w:r>
      <w:r>
        <w:rPr/>
        <w:t>。</w:t>
      </w:r>
    </w:p>
    <w:p>
      <w:pPr>
        <w:pStyle w:val="BodyText"/>
        <w:spacing w:line="357" w:lineRule="auto" w:before="5"/>
        <w:ind w:left="620" w:right="192"/>
        <w:jc w:val="left"/>
      </w:pPr>
      <w:r>
        <w:rPr/>
        <w:t>⑨ 无形资产变化的主要原因： </w:t>
      </w:r>
      <w:r>
        <w:rPr>
          <w:spacing w:val="-3"/>
        </w:rPr>
        <w:t>报告期内，公司购置了部分地区的物流基地建设以及自建店的用地。同时公司加大</w:t>
      </w:r>
    </w:p>
    <w:p>
      <w:pPr>
        <w:pStyle w:val="BodyText"/>
        <w:spacing w:line="240" w:lineRule="auto" w:before="36"/>
        <w:ind w:right="84"/>
        <w:jc w:val="left"/>
      </w:pPr>
      <w:r>
        <w:rPr>
          <w:spacing w:val="3"/>
        </w:rPr>
        <w:t>了信息系统的投入，购置并研发了部分系统软件，带来无形资产期末余额较期初增加</w:t>
      </w:r>
      <w:r>
        <w:rPr/>
      </w:r>
    </w:p>
    <w:p>
      <w:pPr>
        <w:spacing w:after="0" w:line="240" w:lineRule="auto"/>
        <w:jc w:val="left"/>
        <w:sectPr>
          <w:footerReference w:type="default" r:id="rId30"/>
          <w:pgSz w:w="11910" w:h="16840"/>
          <w:pgMar w:footer="714" w:header="748" w:top="980" w:bottom="900" w:left="1300" w:right="1240"/>
          <w:pgNumType w:start="46"/>
        </w:sectPr>
      </w:pPr>
    </w:p>
    <w:p>
      <w:pPr>
        <w:spacing w:line="240" w:lineRule="auto" w:before="7"/>
        <w:rPr>
          <w:rFonts w:ascii="宋体" w:hAnsi="宋体" w:cs="宋体" w:eastAsia="宋体" w:hint="default"/>
          <w:sz w:val="29"/>
          <w:szCs w:val="29"/>
        </w:rPr>
      </w:pPr>
    </w:p>
    <w:p>
      <w:pPr>
        <w:pStyle w:val="BodyText"/>
        <w:spacing w:line="240" w:lineRule="auto" w:before="26"/>
        <w:ind w:left="300" w:right="332"/>
        <w:jc w:val="left"/>
      </w:pPr>
      <w:r>
        <w:rPr>
          <w:rFonts w:ascii="Times New Roman" w:hAnsi="Times New Roman" w:cs="Times New Roman" w:eastAsia="Times New Roman" w:hint="default"/>
        </w:rPr>
        <w:t>71.18%</w:t>
      </w:r>
      <w:r>
        <w:rPr/>
        <w:t>。</w:t>
      </w:r>
    </w:p>
    <w:p>
      <w:pPr>
        <w:pStyle w:val="BodyText"/>
        <w:spacing w:line="357" w:lineRule="auto" w:before="135"/>
        <w:ind w:left="780" w:right="332"/>
        <w:jc w:val="left"/>
      </w:pPr>
      <w:r>
        <w:rPr/>
        <w:t>⑩ 开发支出变化的主要原因： </w:t>
      </w:r>
      <w:r>
        <w:rPr>
          <w:spacing w:val="-3"/>
        </w:rPr>
        <w:t>随着研发项目的完成，开发支出逐步计入无形资产，带来期末开发支出余额较期初</w:t>
      </w:r>
    </w:p>
    <w:p>
      <w:pPr>
        <w:pStyle w:val="BodyText"/>
        <w:spacing w:line="240" w:lineRule="auto" w:before="36"/>
        <w:ind w:left="300" w:right="332"/>
        <w:jc w:val="left"/>
      </w:pPr>
      <w:r>
        <w:rPr/>
        <w:t>下降</w:t>
      </w:r>
      <w:r>
        <w:rPr>
          <w:spacing w:val="-60"/>
        </w:rPr>
        <w:t> </w:t>
      </w:r>
      <w:r>
        <w:rPr>
          <w:rFonts w:ascii="Times New Roman" w:hAnsi="Times New Roman" w:cs="Times New Roman" w:eastAsia="Times New Roman" w:hint="default"/>
        </w:rPr>
        <w:t>62.19%</w:t>
      </w:r>
      <w:r>
        <w:rPr/>
        <w:t>。</w:t>
      </w:r>
    </w:p>
    <w:p>
      <w:pPr>
        <w:pStyle w:val="BodyText"/>
        <w:spacing w:line="357" w:lineRule="auto" w:before="135"/>
        <w:ind w:left="780" w:right="332"/>
        <w:jc w:val="left"/>
      </w:pPr>
      <w:r>
        <w:rPr>
          <w:spacing w:val="-68"/>
          <w:w w:val="99"/>
        </w:rPr>
        <w:t>○</w:t>
      </w:r>
      <w:r>
        <w:rPr>
          <w:rFonts w:ascii="Times New Roman" w:hAnsi="Times New Roman" w:cs="Times New Roman" w:eastAsia="Times New Roman" w:hint="default"/>
          <w:spacing w:val="-68"/>
          <w:w w:val="99"/>
          <w:position w:val="3"/>
          <w:sz w:val="16"/>
          <w:szCs w:val="16"/>
        </w:rPr>
        <w:t>11</w:t>
      </w:r>
      <w:r>
        <w:rPr>
          <w:rFonts w:ascii="Times New Roman" w:hAnsi="Times New Roman" w:cs="Times New Roman" w:eastAsia="Times New Roman" w:hint="default"/>
          <w:spacing w:val="2"/>
          <w:w w:val="99"/>
          <w:position w:val="3"/>
          <w:sz w:val="16"/>
          <w:szCs w:val="16"/>
        </w:rPr>
        <w:t> </w:t>
      </w:r>
      <w:r>
        <w:rPr/>
        <w:t>长期待摊费用变化的主要原因： </w:t>
      </w:r>
      <w:r>
        <w:rPr>
          <w:spacing w:val="-3"/>
        </w:rPr>
        <w:t>报告期内，随着公司新开店、改造店数量增多，带来装修费投入增长较快，另外公</w:t>
      </w:r>
    </w:p>
    <w:p>
      <w:pPr>
        <w:pStyle w:val="BodyText"/>
        <w:spacing w:line="357" w:lineRule="auto" w:before="36"/>
        <w:ind w:left="300" w:right="332"/>
        <w:jc w:val="left"/>
      </w:pPr>
      <w:r>
        <w:rPr>
          <w:spacing w:val="-3"/>
        </w:rPr>
        <w:t>司“阳光包”延保业务销售情况较好，相应的保费支出增加，带来长期待摊费用较期初</w:t>
      </w:r>
      <w:r>
        <w:rPr>
          <w:spacing w:val="-98"/>
        </w:rPr>
        <w:t> </w:t>
      </w:r>
      <w:r>
        <w:rPr>
          <w:spacing w:val="-98"/>
        </w:rPr>
      </w:r>
      <w:r>
        <w:rPr/>
        <w:t>增长</w:t>
      </w:r>
      <w:r>
        <w:rPr>
          <w:spacing w:val="-60"/>
        </w:rPr>
        <w:t> </w:t>
      </w:r>
      <w:r>
        <w:rPr>
          <w:rFonts w:ascii="Times New Roman" w:hAnsi="Times New Roman" w:cs="Times New Roman" w:eastAsia="Times New Roman" w:hint="default"/>
        </w:rPr>
        <w:t>122.55%</w:t>
      </w:r>
      <w:r>
        <w:rPr/>
        <w:t>。</w:t>
      </w:r>
    </w:p>
    <w:p>
      <w:pPr>
        <w:pStyle w:val="BodyText"/>
        <w:spacing w:line="240" w:lineRule="auto" w:before="5"/>
        <w:ind w:left="779" w:right="332"/>
        <w:jc w:val="left"/>
      </w:pPr>
      <w:r>
        <w:rPr/>
        <w:t>上述原因使得公司报告期末资产总资产增加</w:t>
      </w:r>
      <w:r>
        <w:rPr>
          <w:spacing w:val="-60"/>
        </w:rPr>
        <w:t> </w:t>
      </w:r>
      <w:r>
        <w:rPr>
          <w:rFonts w:ascii="Times New Roman" w:hAnsi="Times New Roman" w:cs="Times New Roman" w:eastAsia="Times New Roman" w:hint="default"/>
        </w:rPr>
        <w:t>22.51%</w:t>
      </w:r>
      <w:r>
        <w:rPr/>
        <w:t>。</w:t>
      </w:r>
    </w:p>
    <w:p>
      <w:pPr>
        <w:tabs>
          <w:tab w:pos="7739" w:val="left" w:leader="none"/>
        </w:tabs>
        <w:spacing w:before="135"/>
        <w:ind w:left="780" w:right="332" w:firstLine="0"/>
        <w:jc w:val="left"/>
        <w:rPr>
          <w:rFonts w:ascii="宋体" w:hAnsi="宋体" w:cs="宋体" w:eastAsia="宋体" w:hint="default"/>
          <w:sz w:val="21"/>
          <w:szCs w:val="21"/>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）负债及股东权益构成情况及变动原因分析</w:t>
        <w:tab/>
      </w:r>
      <w:r>
        <w:rPr>
          <w:rFonts w:ascii="宋体" w:hAnsi="宋体" w:cs="宋体" w:eastAsia="宋体" w:hint="default"/>
          <w:sz w:val="21"/>
          <w:szCs w:val="21"/>
        </w:rPr>
        <w:t>（单位：千元）</w:t>
      </w:r>
    </w:p>
    <w:p>
      <w:pPr>
        <w:spacing w:line="240" w:lineRule="auto" w:before="5"/>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814"/>
        <w:gridCol w:w="1699"/>
        <w:gridCol w:w="1721"/>
        <w:gridCol w:w="1192"/>
        <w:gridCol w:w="1148"/>
        <w:gridCol w:w="1800"/>
      </w:tblGrid>
      <w:tr>
        <w:trPr>
          <w:trHeight w:val="301" w:hRule="exact"/>
        </w:trPr>
        <w:tc>
          <w:tcPr>
            <w:tcW w:w="1814" w:type="dxa"/>
            <w:vMerge w:val="restart"/>
            <w:tcBorders>
              <w:top w:val="single" w:sz="17" w:space="0" w:color="000000"/>
              <w:left w:val="single" w:sz="17"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4"/>
              <w:jc w:val="center"/>
              <w:rPr>
                <w:rFonts w:ascii="宋体" w:hAnsi="宋体" w:cs="宋体" w:eastAsia="宋体" w:hint="default"/>
                <w:sz w:val="21"/>
                <w:szCs w:val="21"/>
              </w:rPr>
            </w:pPr>
            <w:r>
              <w:rPr>
                <w:rFonts w:ascii="宋体" w:hAnsi="宋体" w:cs="宋体" w:eastAsia="宋体" w:hint="default"/>
                <w:sz w:val="21"/>
                <w:szCs w:val="21"/>
              </w:rPr>
              <w:t>项目</w:t>
            </w:r>
          </w:p>
        </w:tc>
        <w:tc>
          <w:tcPr>
            <w:tcW w:w="3420"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40"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3" w:lineRule="exact"/>
              <w:ind w:left="745" w:right="0"/>
              <w:jc w:val="left"/>
              <w:rPr>
                <w:rFonts w:ascii="宋体" w:hAnsi="宋体" w:cs="宋体" w:eastAsia="宋体" w:hint="default"/>
                <w:sz w:val="21"/>
                <w:szCs w:val="21"/>
              </w:rPr>
            </w:pPr>
            <w:r>
              <w:rPr>
                <w:rFonts w:ascii="宋体" w:hAnsi="宋体" w:cs="宋体" w:eastAsia="宋体" w:hint="default"/>
                <w:sz w:val="21"/>
                <w:szCs w:val="21"/>
              </w:rPr>
              <w:t>增减情况</w:t>
            </w:r>
          </w:p>
        </w:tc>
        <w:tc>
          <w:tcPr>
            <w:tcW w:w="1800" w:type="dxa"/>
            <w:vMerge w:val="restart"/>
            <w:tcBorders>
              <w:top w:val="single" w:sz="17" w:space="0" w:color="000000"/>
              <w:left w:val="single" w:sz="4" w:space="0" w:color="000000"/>
              <w:right w:val="single" w:sz="17" w:space="0" w:color="000000"/>
            </w:tcBorders>
          </w:tcPr>
          <w:p>
            <w:pPr>
              <w:pStyle w:val="TableParagraph"/>
              <w:spacing w:line="282" w:lineRule="exact" w:before="87"/>
              <w:ind w:left="1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p>
          <w:p>
            <w:pPr>
              <w:pStyle w:val="TableParagraph"/>
              <w:spacing w:line="266" w:lineRule="exact"/>
              <w:ind w:left="15" w:right="0"/>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556" w:hRule="exact"/>
        </w:trPr>
        <w:tc>
          <w:tcPr>
            <w:tcW w:w="1814" w:type="dxa"/>
            <w:vMerge/>
            <w:tcBorders>
              <w:left w:val="single" w:sz="17"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p>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p>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增减幅度</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00" w:type="dxa"/>
            <w:vMerge/>
            <w:tcBorders>
              <w:left w:val="single" w:sz="4" w:space="0" w:color="000000"/>
              <w:bottom w:val="single" w:sz="4" w:space="0" w:color="000000"/>
              <w:right w:val="single" w:sz="17" w:space="0" w:color="000000"/>
            </w:tcBorders>
          </w:tcPr>
          <w:p>
            <w:pPr/>
          </w:p>
        </w:tc>
      </w:tr>
      <w:tr>
        <w:trPr>
          <w:trHeight w:val="283" w:hRule="exact"/>
        </w:trPr>
        <w:tc>
          <w:tcPr>
            <w:tcW w:w="1814"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317,789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317,789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
              <w:ind w:right="85"/>
              <w:jc w:val="right"/>
              <w:rPr>
                <w:rFonts w:ascii="Times New Roman" w:hAnsi="Times New Roman" w:cs="Times New Roman" w:eastAsia="Times New Roman" w:hint="default"/>
                <w:sz w:val="21"/>
                <w:szCs w:val="21"/>
              </w:rPr>
            </w:pPr>
            <w:r>
              <w:rPr>
                <w:rFonts w:ascii="Times New Roman"/>
                <w:spacing w:val="-1"/>
                <w:sz w:val="21"/>
              </w:rPr>
              <w:t>156,000</w:t>
            </w:r>
          </w:p>
        </w:tc>
      </w:tr>
      <w:tr>
        <w:trPr>
          <w:trHeight w:val="283" w:hRule="exact"/>
        </w:trPr>
        <w:tc>
          <w:tcPr>
            <w:tcW w:w="1814"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6,839,024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2"/>
                <w:sz w:val="21"/>
              </w:rPr>
              <w:t>5,003,117</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1,835,907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36.70%</w:t>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
              <w:ind w:right="85"/>
              <w:jc w:val="right"/>
              <w:rPr>
                <w:rFonts w:ascii="Times New Roman" w:hAnsi="Times New Roman" w:cs="Times New Roman" w:eastAsia="Times New Roman" w:hint="default"/>
                <w:sz w:val="21"/>
                <w:szCs w:val="21"/>
              </w:rPr>
            </w:pPr>
            <w:r>
              <w:rPr>
                <w:rFonts w:ascii="Times New Roman"/>
                <w:spacing w:val="-1"/>
                <w:sz w:val="21"/>
              </w:rPr>
              <w:t>3,633,327</w:t>
            </w:r>
          </w:p>
        </w:tc>
      </w:tr>
      <w:tr>
        <w:trPr>
          <w:trHeight w:val="283" w:hRule="exact"/>
        </w:trPr>
        <w:tc>
          <w:tcPr>
            <w:tcW w:w="1814"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14,277,320</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13,999,191</w:t>
            </w:r>
            <w:r>
              <w:rPr>
                <w:rFonts w:ascii="Times New Roman"/>
                <w:sz w:val="21"/>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278,129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1.99%</w:t>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
              <w:ind w:right="85"/>
              <w:jc w:val="right"/>
              <w:rPr>
                <w:rFonts w:ascii="Times New Roman" w:hAnsi="Times New Roman" w:cs="Times New Roman" w:eastAsia="Times New Roman" w:hint="default"/>
                <w:sz w:val="21"/>
                <w:szCs w:val="21"/>
              </w:rPr>
            </w:pPr>
            <w:r>
              <w:rPr>
                <w:rFonts w:ascii="Times New Roman"/>
                <w:spacing w:val="-1"/>
                <w:sz w:val="21"/>
              </w:rPr>
              <w:t>7,096,536</w:t>
            </w:r>
          </w:p>
        </w:tc>
      </w:tr>
      <w:tr>
        <w:trPr>
          <w:trHeight w:val="283" w:hRule="exact"/>
        </w:trPr>
        <w:tc>
          <w:tcPr>
            <w:tcW w:w="1814"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393,820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276,792</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2"/>
                <w:sz w:val="21"/>
              </w:rPr>
              <w:t>117,028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42.28%</w:t>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
              <w:ind w:right="84"/>
              <w:jc w:val="right"/>
              <w:rPr>
                <w:rFonts w:ascii="Times New Roman" w:hAnsi="Times New Roman" w:cs="Times New Roman" w:eastAsia="Times New Roman" w:hint="default"/>
                <w:sz w:val="21"/>
                <w:szCs w:val="21"/>
              </w:rPr>
            </w:pPr>
            <w:r>
              <w:rPr>
                <w:rFonts w:ascii="Times New Roman"/>
                <w:spacing w:val="-1"/>
                <w:sz w:val="21"/>
              </w:rPr>
              <w:t>184,822</w:t>
            </w:r>
          </w:p>
        </w:tc>
      </w:tr>
      <w:tr>
        <w:trPr>
          <w:trHeight w:val="282" w:hRule="exact"/>
        </w:trPr>
        <w:tc>
          <w:tcPr>
            <w:tcW w:w="1814"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1,539,020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666,391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872,629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130.95%</w:t>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
              <w:ind w:right="84"/>
              <w:jc w:val="right"/>
              <w:rPr>
                <w:rFonts w:ascii="Times New Roman" w:hAnsi="Times New Roman" w:cs="Times New Roman" w:eastAsia="Times New Roman" w:hint="default"/>
                <w:sz w:val="21"/>
                <w:szCs w:val="21"/>
              </w:rPr>
            </w:pPr>
            <w:r>
              <w:rPr>
                <w:rFonts w:ascii="Times New Roman"/>
                <w:spacing w:val="-1"/>
                <w:sz w:val="21"/>
              </w:rPr>
              <w:t>608,046</w:t>
            </w:r>
          </w:p>
        </w:tc>
      </w:tr>
      <w:tr>
        <w:trPr>
          <w:trHeight w:val="283" w:hRule="exact"/>
        </w:trPr>
        <w:tc>
          <w:tcPr>
            <w:tcW w:w="1814"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24,534,348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20,718,839</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3,815,509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18.42%</w:t>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
              <w:ind w:right="84"/>
              <w:jc w:val="right"/>
              <w:rPr>
                <w:rFonts w:ascii="Times New Roman" w:hAnsi="Times New Roman" w:cs="Times New Roman" w:eastAsia="Times New Roman" w:hint="default"/>
                <w:sz w:val="21"/>
                <w:szCs w:val="21"/>
              </w:rPr>
            </w:pPr>
            <w:r>
              <w:rPr>
                <w:rFonts w:ascii="Times New Roman"/>
                <w:spacing w:val="-1"/>
                <w:sz w:val="21"/>
              </w:rPr>
              <w:t>12,478,565</w:t>
            </w:r>
          </w:p>
        </w:tc>
      </w:tr>
      <w:tr>
        <w:trPr>
          <w:trHeight w:val="283" w:hRule="exact"/>
        </w:trPr>
        <w:tc>
          <w:tcPr>
            <w:tcW w:w="1814"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493,248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189,271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303,977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160.60%</w:t>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
              <w:ind w:right="84"/>
              <w:jc w:val="right"/>
              <w:rPr>
                <w:rFonts w:ascii="Times New Roman" w:hAnsi="Times New Roman" w:cs="Times New Roman" w:eastAsia="Times New Roman" w:hint="default"/>
                <w:sz w:val="21"/>
                <w:szCs w:val="21"/>
              </w:rPr>
            </w:pPr>
            <w:r>
              <w:rPr>
                <w:rFonts w:ascii="Times New Roman"/>
                <w:spacing w:val="-1"/>
                <w:sz w:val="21"/>
              </w:rPr>
              <w:t>22,887</w:t>
            </w:r>
          </w:p>
        </w:tc>
      </w:tr>
      <w:tr>
        <w:trPr>
          <w:trHeight w:val="283" w:hRule="exact"/>
        </w:trPr>
        <w:tc>
          <w:tcPr>
            <w:tcW w:w="1814"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527,643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196,010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331,633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169.19%</w:t>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
              <w:ind w:right="84"/>
              <w:jc w:val="right"/>
              <w:rPr>
                <w:rFonts w:ascii="Times New Roman" w:hAnsi="Times New Roman" w:cs="Times New Roman" w:eastAsia="Times New Roman" w:hint="default"/>
                <w:sz w:val="21"/>
                <w:szCs w:val="21"/>
              </w:rPr>
            </w:pPr>
            <w:r>
              <w:rPr>
                <w:rFonts w:ascii="Times New Roman"/>
                <w:spacing w:val="-1"/>
                <w:sz w:val="21"/>
              </w:rPr>
              <w:t>27,642</w:t>
            </w:r>
          </w:p>
        </w:tc>
      </w:tr>
      <w:tr>
        <w:trPr>
          <w:trHeight w:val="283" w:hRule="exact"/>
        </w:trPr>
        <w:tc>
          <w:tcPr>
            <w:tcW w:w="1814"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25,061,991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20,914,849</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4,147,142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19.83%</w:t>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
              <w:ind w:right="84"/>
              <w:jc w:val="right"/>
              <w:rPr>
                <w:rFonts w:ascii="Times New Roman" w:hAnsi="Times New Roman" w:cs="Times New Roman" w:eastAsia="Times New Roman" w:hint="default"/>
                <w:sz w:val="21"/>
                <w:szCs w:val="21"/>
              </w:rPr>
            </w:pPr>
            <w:r>
              <w:rPr>
                <w:rFonts w:ascii="Times New Roman"/>
                <w:spacing w:val="-1"/>
                <w:sz w:val="21"/>
              </w:rPr>
              <w:t>12,506,207</w:t>
            </w:r>
          </w:p>
        </w:tc>
      </w:tr>
      <w:tr>
        <w:trPr>
          <w:trHeight w:val="283" w:hRule="exact"/>
        </w:trPr>
        <w:tc>
          <w:tcPr>
            <w:tcW w:w="1814"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6,996,212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4,664,141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2,332,071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50.00%</w:t>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
              <w:ind w:right="85"/>
              <w:jc w:val="right"/>
              <w:rPr>
                <w:rFonts w:ascii="Times New Roman" w:hAnsi="Times New Roman" w:cs="Times New Roman" w:eastAsia="Times New Roman" w:hint="default"/>
                <w:sz w:val="21"/>
                <w:szCs w:val="21"/>
              </w:rPr>
            </w:pPr>
            <w:r>
              <w:rPr>
                <w:rFonts w:ascii="Times New Roman"/>
                <w:spacing w:val="-1"/>
                <w:sz w:val="21"/>
              </w:rPr>
              <w:t>2,991,008</w:t>
            </w:r>
          </w:p>
        </w:tc>
      </w:tr>
      <w:tr>
        <w:trPr>
          <w:trHeight w:val="282" w:hRule="exact"/>
        </w:trPr>
        <w:tc>
          <w:tcPr>
            <w:tcW w:w="1814"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655,288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2,975,652</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-2,320,364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-77.98%</w:t>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
              <w:ind w:right="84"/>
              <w:jc w:val="right"/>
              <w:rPr>
                <w:rFonts w:ascii="Times New Roman" w:hAnsi="Times New Roman" w:cs="Times New Roman" w:eastAsia="Times New Roman" w:hint="default"/>
                <w:sz w:val="21"/>
                <w:szCs w:val="21"/>
              </w:rPr>
            </w:pPr>
            <w:r>
              <w:rPr>
                <w:rFonts w:ascii="Times New Roman"/>
                <w:spacing w:val="-1"/>
                <w:sz w:val="21"/>
              </w:rPr>
              <w:t>1,086,191</w:t>
            </w:r>
          </w:p>
        </w:tc>
      </w:tr>
      <w:tr>
        <w:trPr>
          <w:trHeight w:val="283" w:hRule="exact"/>
        </w:trPr>
        <w:tc>
          <w:tcPr>
            <w:tcW w:w="1814"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746,529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517,465</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229,064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44.27%</w:t>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
              <w:ind w:right="84"/>
              <w:jc w:val="right"/>
              <w:rPr>
                <w:rFonts w:ascii="Times New Roman" w:hAnsi="Times New Roman" w:cs="Times New Roman" w:eastAsia="Times New Roman" w:hint="default"/>
                <w:sz w:val="21"/>
                <w:szCs w:val="21"/>
              </w:rPr>
            </w:pPr>
            <w:r>
              <w:rPr>
                <w:rFonts w:ascii="Times New Roman"/>
                <w:spacing w:val="-1"/>
                <w:sz w:val="21"/>
              </w:rPr>
              <w:t>364,270</w:t>
            </w:r>
          </w:p>
        </w:tc>
      </w:tr>
      <w:tr>
        <w:trPr>
          <w:trHeight w:val="283" w:hRule="exact"/>
        </w:trPr>
        <w:tc>
          <w:tcPr>
            <w:tcW w:w="1814"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9,932,866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6,383,317</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3,549,549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55.61%</w:t>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
              <w:ind w:right="85"/>
              <w:jc w:val="right"/>
              <w:rPr>
                <w:rFonts w:ascii="Times New Roman" w:hAnsi="Times New Roman" w:cs="Times New Roman" w:eastAsia="Times New Roman" w:hint="default"/>
                <w:sz w:val="21"/>
                <w:szCs w:val="21"/>
              </w:rPr>
            </w:pPr>
            <w:r>
              <w:rPr>
                <w:rFonts w:ascii="Times New Roman"/>
                <w:spacing w:val="-1"/>
                <w:sz w:val="21"/>
              </w:rPr>
              <w:t>4,334,488</w:t>
            </w:r>
          </w:p>
        </w:tc>
      </w:tr>
      <w:tr>
        <w:trPr>
          <w:trHeight w:val="575" w:hRule="exact"/>
        </w:trPr>
        <w:tc>
          <w:tcPr>
            <w:tcW w:w="1814" w:type="dxa"/>
            <w:tcBorders>
              <w:top w:val="single" w:sz="4" w:space="0" w:color="000000"/>
              <w:left w:val="single" w:sz="17" w:space="0" w:color="000000"/>
              <w:bottom w:val="single" w:sz="17" w:space="0" w:color="000000"/>
              <w:right w:val="single" w:sz="4" w:space="0" w:color="000000"/>
            </w:tcBorders>
          </w:tcPr>
          <w:p>
            <w:pPr>
              <w:pStyle w:val="TableParagraph"/>
              <w:spacing w:line="240" w:lineRule="exact"/>
              <w:ind w:left="86" w:right="0"/>
              <w:jc w:val="left"/>
              <w:rPr>
                <w:rFonts w:ascii="宋体" w:hAnsi="宋体" w:cs="宋体" w:eastAsia="宋体" w:hint="default"/>
                <w:sz w:val="21"/>
                <w:szCs w:val="21"/>
              </w:rPr>
            </w:pPr>
            <w:r>
              <w:rPr>
                <w:rFonts w:ascii="宋体" w:hAnsi="宋体" w:cs="宋体" w:eastAsia="宋体" w:hint="default"/>
                <w:spacing w:val="17"/>
                <w:sz w:val="21"/>
                <w:szCs w:val="21"/>
              </w:rPr>
              <w:t>归属于母公司股</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东权益合计</w:t>
            </w:r>
          </w:p>
        </w:tc>
        <w:tc>
          <w:tcPr>
            <w:tcW w:w="169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18,338,189</w:t>
            </w:r>
          </w:p>
        </w:tc>
        <w:tc>
          <w:tcPr>
            <w:tcW w:w="172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21"/>
                <w:szCs w:val="21"/>
              </w:rPr>
            </w:pPr>
            <w:r>
              <w:rPr>
                <w:rFonts w:ascii="Times New Roman"/>
                <w:spacing w:val="-1"/>
                <w:sz w:val="21"/>
              </w:rPr>
              <w:t>14,540,346</w:t>
            </w:r>
          </w:p>
        </w:tc>
        <w:tc>
          <w:tcPr>
            <w:tcW w:w="11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3,797,843</w:t>
            </w:r>
          </w:p>
        </w:tc>
        <w:tc>
          <w:tcPr>
            <w:tcW w:w="114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26.12%</w:t>
            </w:r>
          </w:p>
        </w:tc>
        <w:tc>
          <w:tcPr>
            <w:tcW w:w="1800"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150"/>
              <w:ind w:right="84"/>
              <w:jc w:val="right"/>
              <w:rPr>
                <w:rFonts w:ascii="Times New Roman" w:hAnsi="Times New Roman" w:cs="Times New Roman" w:eastAsia="Times New Roman" w:hint="default"/>
                <w:sz w:val="21"/>
                <w:szCs w:val="21"/>
              </w:rPr>
            </w:pPr>
            <w:r>
              <w:rPr>
                <w:rFonts w:ascii="Times New Roman"/>
                <w:spacing w:val="-1"/>
                <w:sz w:val="21"/>
              </w:rPr>
              <w:t>8,775,957</w:t>
            </w:r>
          </w:p>
        </w:tc>
      </w:tr>
    </w:tbl>
    <w:p>
      <w:pPr>
        <w:pStyle w:val="BodyText"/>
        <w:spacing w:line="275" w:lineRule="exact"/>
        <w:ind w:left="840" w:right="332"/>
        <w:jc w:val="left"/>
      </w:pPr>
      <w:r>
        <w:rPr>
          <w:rFonts w:ascii="新宋体" w:hAnsi="新宋体" w:cs="新宋体" w:eastAsia="新宋体" w:hint="default"/>
        </w:rPr>
        <w:t>①</w:t>
      </w:r>
      <w:r>
        <w:rPr>
          <w:rFonts w:ascii="新宋体" w:hAnsi="新宋体" w:cs="新宋体" w:eastAsia="新宋体" w:hint="default"/>
          <w:spacing w:val="60"/>
        </w:rPr>
        <w:t> </w:t>
      </w:r>
      <w:r>
        <w:rPr/>
        <w:t>短期借款变化的主要原因：</w:t>
      </w:r>
    </w:p>
    <w:p>
      <w:pPr>
        <w:pStyle w:val="BodyText"/>
        <w:spacing w:line="357" w:lineRule="auto" w:before="154"/>
        <w:ind w:left="300" w:right="332" w:firstLine="480"/>
        <w:jc w:val="left"/>
      </w:pPr>
      <w:r>
        <w:rPr>
          <w:spacing w:val="-3"/>
        </w:rPr>
        <w:t>报告期内，公司子公司香港苏宁电器有限公司银行融资增加，带来短期借款期末余</w:t>
      </w:r>
      <w:r>
        <w:rPr/>
        <w:t> 额增加。</w:t>
      </w:r>
    </w:p>
    <w:p>
      <w:pPr>
        <w:pStyle w:val="BodyText"/>
        <w:spacing w:line="357" w:lineRule="auto" w:before="36"/>
        <w:ind w:left="780" w:right="332"/>
        <w:jc w:val="left"/>
      </w:pPr>
      <w:r>
        <w:rPr/>
        <w:t>② 应付账款变化的主要原因： </w:t>
      </w:r>
      <w:r>
        <w:rPr>
          <w:spacing w:val="-3"/>
        </w:rPr>
        <w:t>报告期末，为应对元旦、春节促销，公司阶段性备货较多，导致应付供应商款项较</w:t>
      </w:r>
    </w:p>
    <w:p>
      <w:pPr>
        <w:pStyle w:val="BodyText"/>
        <w:spacing w:line="240" w:lineRule="auto" w:before="36"/>
        <w:ind w:left="300" w:right="332"/>
        <w:jc w:val="left"/>
      </w:pPr>
      <w:r>
        <w:rPr/>
        <w:t>期初增加</w:t>
      </w:r>
      <w:r>
        <w:rPr>
          <w:spacing w:val="-60"/>
        </w:rPr>
        <w:t> </w:t>
      </w:r>
      <w:r>
        <w:rPr>
          <w:rFonts w:ascii="Times New Roman" w:hAnsi="Times New Roman" w:cs="Times New Roman" w:eastAsia="Times New Roman" w:hint="default"/>
        </w:rPr>
        <w:t>36.70%</w:t>
      </w:r>
      <w:r>
        <w:rPr/>
        <w:t>。</w:t>
      </w:r>
    </w:p>
    <w:p>
      <w:pPr>
        <w:pStyle w:val="BodyText"/>
        <w:spacing w:line="357" w:lineRule="auto" w:before="135"/>
        <w:ind w:left="780" w:right="332"/>
        <w:jc w:val="left"/>
      </w:pPr>
      <w:r>
        <w:rPr/>
        <w:t>③ 预收账款变化的主要原因： </w:t>
      </w:r>
      <w:r>
        <w:rPr>
          <w:spacing w:val="-3"/>
        </w:rPr>
        <w:t>随着公司连锁店面数量的增加以及销售规模的扩大，预收客户的货款有所增加，预</w:t>
      </w:r>
    </w:p>
    <w:p>
      <w:pPr>
        <w:pStyle w:val="BodyText"/>
        <w:spacing w:line="240" w:lineRule="auto" w:before="36"/>
        <w:ind w:left="300" w:right="332"/>
        <w:jc w:val="left"/>
      </w:pPr>
      <w:r>
        <w:rPr/>
        <w:t>收账款期末余额较期初增加</w:t>
      </w:r>
      <w:r>
        <w:rPr>
          <w:spacing w:val="-60"/>
        </w:rPr>
        <w:t> </w:t>
      </w:r>
      <w:r>
        <w:rPr>
          <w:rFonts w:ascii="Times New Roman" w:hAnsi="Times New Roman" w:cs="Times New Roman" w:eastAsia="Times New Roman" w:hint="default"/>
        </w:rPr>
        <w:t>42.28%</w:t>
      </w:r>
      <w:r>
        <w:rPr/>
        <w:t>。</w:t>
      </w:r>
    </w:p>
    <w:p>
      <w:pPr>
        <w:spacing w:after="0" w:line="240" w:lineRule="auto"/>
        <w:jc w:val="left"/>
        <w:sectPr>
          <w:pgSz w:w="11910" w:h="16840"/>
          <w:pgMar w:header="748" w:footer="714" w:top="980" w:bottom="900" w:left="1140" w:right="1100"/>
        </w:sectPr>
      </w:pPr>
    </w:p>
    <w:p>
      <w:pPr>
        <w:spacing w:line="240" w:lineRule="auto" w:before="7"/>
        <w:rPr>
          <w:rFonts w:ascii="宋体" w:hAnsi="宋体" w:cs="宋体" w:eastAsia="宋体" w:hint="default"/>
          <w:sz w:val="29"/>
          <w:szCs w:val="29"/>
        </w:rPr>
      </w:pPr>
    </w:p>
    <w:p>
      <w:pPr>
        <w:pStyle w:val="BodyText"/>
        <w:spacing w:line="357" w:lineRule="auto" w:before="26"/>
        <w:ind w:left="720" w:right="119"/>
        <w:jc w:val="left"/>
      </w:pPr>
      <w:r>
        <w:rPr/>
        <w:t>④ 其他应付款变化的主要原因： </w:t>
      </w:r>
      <w:r>
        <w:rPr>
          <w:spacing w:val="-3"/>
        </w:rPr>
        <w:t>随着公司在建工程项目的增加，应付工程款项相应增加；另外，随着公司连锁店面</w:t>
      </w:r>
    </w:p>
    <w:p>
      <w:pPr>
        <w:pStyle w:val="BodyText"/>
        <w:spacing w:line="357" w:lineRule="auto" w:before="36"/>
        <w:ind w:left="240" w:right="253"/>
        <w:jc w:val="both"/>
      </w:pPr>
      <w:r>
        <w:rPr>
          <w:spacing w:val="-3"/>
        </w:rPr>
        <w:t>数量的增加，收取的各项保证金及押金也有所增加，带来其他应付款期末余额较期初增</w:t>
      </w:r>
      <w:r>
        <w:rPr>
          <w:spacing w:val="-98"/>
        </w:rPr>
        <w:t> </w:t>
      </w:r>
      <w:r>
        <w:rPr>
          <w:spacing w:val="-98"/>
        </w:rPr>
      </w:r>
      <w:r>
        <w:rPr/>
        <w:t>加</w:t>
      </w:r>
      <w:r>
        <w:rPr>
          <w:spacing w:val="-60"/>
        </w:rPr>
        <w:t> </w:t>
      </w:r>
      <w:r>
        <w:rPr>
          <w:rFonts w:ascii="Times New Roman" w:hAnsi="Times New Roman" w:cs="Times New Roman" w:eastAsia="Times New Roman" w:hint="default"/>
        </w:rPr>
        <w:t>130.95%</w:t>
      </w:r>
      <w:r>
        <w:rPr/>
        <w:t>。</w:t>
      </w:r>
    </w:p>
    <w:p>
      <w:pPr>
        <w:pStyle w:val="BodyText"/>
        <w:spacing w:line="357" w:lineRule="auto" w:before="5"/>
        <w:ind w:left="720" w:right="119"/>
        <w:jc w:val="left"/>
      </w:pPr>
      <w:r>
        <w:rPr/>
        <w:t>⑤ 其他非流动负债变化的主要原因： </w:t>
      </w:r>
      <w:r>
        <w:rPr>
          <w:spacing w:val="-3"/>
        </w:rPr>
        <w:t>报告期内，公司加强了对自创服务产品“阳光包”的推广，通过专业化、系统化培</w:t>
      </w:r>
    </w:p>
    <w:p>
      <w:pPr>
        <w:pStyle w:val="BodyText"/>
        <w:spacing w:line="357" w:lineRule="auto" w:before="36"/>
        <w:ind w:left="240" w:right="252"/>
        <w:jc w:val="both"/>
      </w:pPr>
      <w:r>
        <w:rPr>
          <w:spacing w:val="-3"/>
        </w:rPr>
        <w:t>训，销售能力进一步加强，延保产品销售情况良好。由于公司所售的延保业务大多数未</w:t>
      </w:r>
      <w:r>
        <w:rPr>
          <w:spacing w:val="-96"/>
        </w:rPr>
        <w:t> </w:t>
      </w:r>
      <w:r>
        <w:rPr>
          <w:spacing w:val="-96"/>
        </w:rPr>
      </w:r>
      <w:r>
        <w:rPr>
          <w:spacing w:val="-3"/>
        </w:rPr>
        <w:t>过厂家正常的保修期，公司将业务收入确认为其他非流动负债，由此带来报告期末其他</w:t>
      </w:r>
      <w:r>
        <w:rPr>
          <w:spacing w:val="-98"/>
        </w:rPr>
        <w:t> </w:t>
      </w:r>
      <w:r>
        <w:rPr>
          <w:spacing w:val="-98"/>
        </w:rPr>
      </w:r>
      <w:r>
        <w:rPr/>
        <w:t>非流动负债余额较期初增长</w:t>
      </w:r>
      <w:r>
        <w:rPr>
          <w:spacing w:val="-60"/>
        </w:rPr>
        <w:t> </w:t>
      </w:r>
      <w:r>
        <w:rPr>
          <w:rFonts w:ascii="Times New Roman" w:hAnsi="Times New Roman" w:cs="Times New Roman" w:eastAsia="Times New Roman" w:hint="default"/>
        </w:rPr>
        <w:t>160.60%</w:t>
      </w:r>
      <w:r>
        <w:rPr/>
        <w:t>。</w:t>
      </w:r>
    </w:p>
    <w:p>
      <w:pPr>
        <w:pStyle w:val="BodyText"/>
        <w:spacing w:line="240" w:lineRule="auto" w:before="5"/>
        <w:ind w:left="719" w:right="119"/>
        <w:jc w:val="left"/>
      </w:pPr>
      <w:r>
        <w:rPr/>
        <w:t>⑥ 股本、资本公积、盈余公积、未分配利润变化的主要原因：</w:t>
      </w:r>
    </w:p>
    <w:p>
      <w:pPr>
        <w:pStyle w:val="BodyText"/>
        <w:spacing w:line="240" w:lineRule="auto" w:before="154"/>
        <w:ind w:left="720" w:right="119"/>
        <w:jc w:val="left"/>
      </w:pPr>
      <w:r>
        <w:rPr/>
        <w:t>报告期内实施完成</w:t>
      </w:r>
      <w:r>
        <w:rPr>
          <w:spacing w:val="-8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3"/>
        </w:rPr>
        <w:t> </w:t>
      </w:r>
      <w:r>
        <w:rPr/>
        <w:t>年度利润分配方案即以资本公积金转增股本方式每</w:t>
      </w:r>
      <w:r>
        <w:rPr>
          <w:spacing w:val="-83"/>
        </w:rPr>
        <w:t> </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股转</w:t>
      </w:r>
    </w:p>
    <w:p>
      <w:pPr>
        <w:pStyle w:val="BodyText"/>
        <w:spacing w:line="240" w:lineRule="auto" w:before="135"/>
        <w:ind w:left="240" w:right="0"/>
        <w:jc w:val="both"/>
      </w:pPr>
      <w:r>
        <w:rPr/>
        <w:t>增</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股，并每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股派发</w:t>
      </w:r>
      <w:r>
        <w:rPr>
          <w:spacing w:val="-46"/>
        </w:rPr>
        <w:t> </w:t>
      </w:r>
      <w:r>
        <w:rPr>
          <w:rFonts w:ascii="Times New Roman" w:hAnsi="Times New Roman" w:cs="Times New Roman" w:eastAsia="Times New Roman" w:hint="default"/>
        </w:rPr>
        <w:t>0.5</w:t>
      </w:r>
      <w:r>
        <w:rPr>
          <w:rFonts w:ascii="Times New Roman" w:hAnsi="Times New Roman" w:cs="Times New Roman" w:eastAsia="Times New Roman" w:hint="default"/>
          <w:spacing w:val="14"/>
        </w:rPr>
        <w:t> </w:t>
      </w:r>
      <w:r>
        <w:rPr/>
        <w:t>元（含税）现金红利，使得报告期末股本额、资本公积金</w:t>
      </w:r>
    </w:p>
    <w:p>
      <w:pPr>
        <w:pStyle w:val="BodyText"/>
        <w:spacing w:line="338" w:lineRule="auto" w:before="135"/>
        <w:ind w:left="240" w:right="120"/>
        <w:jc w:val="left"/>
      </w:pPr>
      <w:r>
        <w:rPr>
          <w:spacing w:val="-5"/>
        </w:rPr>
        <w:t>相应变动。同时，由于报告期实现归属于母公司股东利润</w:t>
      </w:r>
      <w:r>
        <w:rPr>
          <w:spacing w:val="-48"/>
        </w:rPr>
        <w:t> </w:t>
      </w:r>
      <w:r>
        <w:rPr>
          <w:rFonts w:ascii="Times New Roman" w:hAnsi="Times New Roman" w:cs="Times New Roman" w:eastAsia="Times New Roman" w:hint="default"/>
        </w:rPr>
        <w:t>40.12</w:t>
      </w:r>
      <w:r>
        <w:rPr>
          <w:rFonts w:ascii="Times New Roman" w:hAnsi="Times New Roman" w:cs="Times New Roman" w:eastAsia="Times New Roman" w:hint="default"/>
          <w:spacing w:val="12"/>
        </w:rPr>
        <w:t> </w:t>
      </w:r>
      <w:r>
        <w:rPr>
          <w:spacing w:val="-5"/>
        </w:rPr>
        <w:t>亿元，也带来盈余公积、</w:t>
      </w:r>
      <w:r>
        <w:rPr>
          <w:spacing w:val="-118"/>
        </w:rPr>
        <w:t> </w:t>
      </w:r>
      <w:r>
        <w:rPr>
          <w:spacing w:val="-118"/>
        </w:rPr>
      </w:r>
      <w:r>
        <w:rPr/>
        <w:t>未分配利润的增加。</w:t>
      </w:r>
    </w:p>
    <w:p>
      <w:pPr>
        <w:pStyle w:val="BodyText"/>
        <w:spacing w:line="240" w:lineRule="auto" w:before="55"/>
        <w:ind w:left="722" w:right="119"/>
        <w:jc w:val="left"/>
      </w:pPr>
      <w:r>
        <w:rPr>
          <w:spacing w:val="10"/>
        </w:rPr>
        <w:t>综上，报告期末，公司总负债余额、归属于母公司股权益余额较期初分别增加</w:t>
      </w:r>
      <w:r>
        <w:rPr/>
      </w:r>
    </w:p>
    <w:p>
      <w:pPr>
        <w:pStyle w:val="BodyText"/>
        <w:spacing w:line="240" w:lineRule="auto" w:before="154"/>
        <w:ind w:left="240" w:right="0"/>
        <w:jc w:val="both"/>
      </w:pPr>
      <w:r>
        <w:rPr>
          <w:rFonts w:ascii="Times New Roman" w:hAnsi="Times New Roman" w:cs="Times New Roman" w:eastAsia="Times New Roman" w:hint="default"/>
        </w:rPr>
        <w:t>19.83%</w:t>
      </w:r>
      <w:r>
        <w:rPr/>
        <w:t>、</w:t>
      </w:r>
      <w:r>
        <w:rPr>
          <w:rFonts w:ascii="Times New Roman" w:hAnsi="Times New Roman" w:cs="Times New Roman" w:eastAsia="Times New Roman" w:hint="default"/>
        </w:rPr>
        <w:t>26.12%</w:t>
      </w:r>
      <w:r>
        <w:rPr/>
        <w:t>。</w:t>
      </w:r>
    </w:p>
    <w:p>
      <w:pPr>
        <w:tabs>
          <w:tab w:pos="7679" w:val="left" w:leader="none"/>
        </w:tabs>
        <w:spacing w:before="135"/>
        <w:ind w:left="720" w:right="119" w:firstLine="0"/>
        <w:jc w:val="left"/>
        <w:rPr>
          <w:rFonts w:ascii="宋体" w:hAnsi="宋体" w:cs="宋体" w:eastAsia="宋体" w:hint="default"/>
          <w:sz w:val="21"/>
          <w:szCs w:val="21"/>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）其他损益类构成情况及变动原因分析</w:t>
        <w:tab/>
      </w:r>
      <w:r>
        <w:rPr>
          <w:rFonts w:ascii="宋体" w:hAnsi="宋体" w:cs="宋体" w:eastAsia="宋体" w:hint="default"/>
          <w:sz w:val="21"/>
          <w:szCs w:val="21"/>
        </w:rPr>
        <w:t>（单位：千元）</w:t>
      </w:r>
    </w:p>
    <w:p>
      <w:pPr>
        <w:spacing w:line="240" w:lineRule="auto" w:before="5"/>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1909"/>
        <w:gridCol w:w="1834"/>
        <w:gridCol w:w="1835"/>
        <w:gridCol w:w="1834"/>
        <w:gridCol w:w="1834"/>
      </w:tblGrid>
      <w:tr>
        <w:trPr>
          <w:trHeight w:val="343" w:hRule="exact"/>
        </w:trPr>
        <w:tc>
          <w:tcPr>
            <w:tcW w:w="1909" w:type="dxa"/>
            <w:tcBorders>
              <w:top w:val="single" w:sz="17" w:space="0" w:color="000000"/>
              <w:left w:val="single" w:sz="17" w:space="0" w:color="000000"/>
              <w:bottom w:val="single" w:sz="4" w:space="0" w:color="000000"/>
              <w:right w:val="single" w:sz="4" w:space="0" w:color="000000"/>
            </w:tcBorders>
          </w:tcPr>
          <w:p>
            <w:pPr>
              <w:pStyle w:val="TableParagraph"/>
              <w:spacing w:line="264" w:lineRule="exact"/>
              <w:ind w:right="17"/>
              <w:jc w:val="center"/>
              <w:rPr>
                <w:rFonts w:ascii="宋体" w:hAnsi="宋体" w:cs="宋体" w:eastAsia="宋体" w:hint="default"/>
                <w:sz w:val="21"/>
                <w:szCs w:val="21"/>
              </w:rPr>
            </w:pPr>
            <w:r>
              <w:rPr>
                <w:rFonts w:ascii="宋体" w:hAnsi="宋体" w:cs="宋体" w:eastAsia="宋体" w:hint="default"/>
                <w:sz w:val="21"/>
                <w:szCs w:val="21"/>
              </w:rPr>
              <w:t>项目</w:t>
            </w:r>
          </w:p>
        </w:tc>
        <w:tc>
          <w:tcPr>
            <w:tcW w:w="1834" w:type="dxa"/>
            <w:tcBorders>
              <w:top w:val="single" w:sz="17" w:space="0" w:color="000000"/>
              <w:left w:val="single" w:sz="4" w:space="0" w:color="000000"/>
              <w:bottom w:val="single" w:sz="4" w:space="0" w:color="000000"/>
              <w:right w:val="single" w:sz="4" w:space="0" w:color="000000"/>
            </w:tcBorders>
          </w:tcPr>
          <w:p>
            <w:pPr>
              <w:pStyle w:val="TableParagraph"/>
              <w:spacing w:line="279"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35" w:type="dxa"/>
            <w:tcBorders>
              <w:top w:val="single" w:sz="17" w:space="0" w:color="000000"/>
              <w:left w:val="single" w:sz="4" w:space="0" w:color="000000"/>
              <w:bottom w:val="single" w:sz="4" w:space="0" w:color="000000"/>
              <w:right w:val="single" w:sz="4" w:space="0" w:color="000000"/>
            </w:tcBorders>
          </w:tcPr>
          <w:p>
            <w:pPr>
              <w:pStyle w:val="TableParagraph"/>
              <w:spacing w:line="279" w:lineRule="exact"/>
              <w:ind w:right="102"/>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34" w:type="dxa"/>
            <w:tcBorders>
              <w:top w:val="single" w:sz="17"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hAnsi="宋体" w:cs="宋体" w:eastAsia="宋体" w:hint="default"/>
                <w:sz w:val="21"/>
                <w:szCs w:val="21"/>
              </w:rPr>
              <w:t>同比增减</w:t>
            </w:r>
          </w:p>
        </w:tc>
        <w:tc>
          <w:tcPr>
            <w:tcW w:w="1834" w:type="dxa"/>
            <w:tcBorders>
              <w:top w:val="single" w:sz="17" w:space="0" w:color="000000"/>
              <w:left w:val="single" w:sz="4" w:space="0" w:color="000000"/>
              <w:bottom w:val="single" w:sz="4" w:space="0" w:color="000000"/>
              <w:right w:val="single" w:sz="17" w:space="0" w:color="000000"/>
            </w:tcBorders>
          </w:tcPr>
          <w:p>
            <w:pPr>
              <w:pStyle w:val="TableParagraph"/>
              <w:spacing w:line="279" w:lineRule="exact"/>
              <w:ind w:right="84"/>
              <w:jc w:val="right"/>
              <w:rPr>
                <w:rFonts w:ascii="宋体" w:hAnsi="宋体" w:cs="宋体" w:eastAsia="宋体" w:hint="default"/>
                <w:sz w:val="21"/>
                <w:szCs w:val="21"/>
              </w:rPr>
            </w:pPr>
            <w:r>
              <w:rPr>
                <w:rFonts w:ascii="宋体" w:hAnsi="宋体" w:cs="宋体" w:eastAsia="宋体" w:hint="default"/>
                <w:sz w:val="21"/>
                <w:szCs w:val="21"/>
              </w:rPr>
              <w:t>增减幅度（</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5" w:hRule="exact"/>
        </w:trPr>
        <w:tc>
          <w:tcPr>
            <w:tcW w:w="1909" w:type="dxa"/>
            <w:tcBorders>
              <w:top w:val="single" w:sz="4" w:space="0" w:color="000000"/>
              <w:left w:val="single" w:sz="17"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268,129</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271,516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1"/>
                <w:sz w:val="21"/>
              </w:rPr>
              <w:t>-3,387</w:t>
            </w:r>
            <w:r>
              <w:rPr>
                <w:rFonts w:ascii="Times New Roman"/>
                <w:sz w:val="21"/>
              </w:rPr>
            </w:r>
          </w:p>
        </w:tc>
        <w:tc>
          <w:tcPr>
            <w:tcW w:w="183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5"/>
              <w:ind w:right="85"/>
              <w:jc w:val="right"/>
              <w:rPr>
                <w:rFonts w:ascii="Times New Roman" w:hAnsi="Times New Roman" w:cs="Times New Roman" w:eastAsia="Times New Roman" w:hint="default"/>
                <w:sz w:val="21"/>
                <w:szCs w:val="21"/>
              </w:rPr>
            </w:pPr>
            <w:r>
              <w:rPr>
                <w:rFonts w:ascii="Times New Roman"/>
                <w:spacing w:val="-1"/>
                <w:sz w:val="21"/>
              </w:rPr>
              <w:t>-1.25%</w:t>
            </w:r>
            <w:r>
              <w:rPr>
                <w:rFonts w:ascii="Times New Roman"/>
                <w:sz w:val="21"/>
              </w:rPr>
            </w:r>
          </w:p>
        </w:tc>
      </w:tr>
      <w:tr>
        <w:trPr>
          <w:trHeight w:val="325" w:hRule="exact"/>
        </w:trPr>
        <w:tc>
          <w:tcPr>
            <w:tcW w:w="190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8"/>
              <w:ind w:left="86"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75,924</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1"/>
                <w:sz w:val="21"/>
              </w:rPr>
              <w:t>32,335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43,589</w:t>
            </w:r>
          </w:p>
        </w:tc>
        <w:tc>
          <w:tcPr>
            <w:tcW w:w="183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5"/>
              <w:ind w:right="84"/>
              <w:jc w:val="right"/>
              <w:rPr>
                <w:rFonts w:ascii="Times New Roman" w:hAnsi="Times New Roman" w:cs="Times New Roman" w:eastAsia="Times New Roman" w:hint="default"/>
                <w:sz w:val="21"/>
                <w:szCs w:val="21"/>
              </w:rPr>
            </w:pPr>
            <w:r>
              <w:rPr>
                <w:rFonts w:ascii="Times New Roman"/>
                <w:spacing w:val="-1"/>
                <w:sz w:val="21"/>
              </w:rPr>
              <w:t>134.80%</w:t>
            </w:r>
          </w:p>
        </w:tc>
      </w:tr>
      <w:tr>
        <w:trPr>
          <w:trHeight w:val="324" w:hRule="exact"/>
        </w:trPr>
        <w:tc>
          <w:tcPr>
            <w:tcW w:w="190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8"/>
              <w:ind w:left="86"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10,625</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-3,952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14,577</w:t>
            </w:r>
          </w:p>
        </w:tc>
        <w:tc>
          <w:tcPr>
            <w:tcW w:w="183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5"/>
              <w:ind w:right="84"/>
              <w:jc w:val="right"/>
              <w:rPr>
                <w:rFonts w:ascii="Times New Roman" w:hAnsi="Times New Roman" w:cs="Times New Roman" w:eastAsia="Times New Roman" w:hint="default"/>
                <w:sz w:val="21"/>
                <w:szCs w:val="21"/>
              </w:rPr>
            </w:pPr>
            <w:r>
              <w:rPr>
                <w:rFonts w:ascii="Times New Roman"/>
                <w:spacing w:val="-1"/>
                <w:sz w:val="21"/>
              </w:rPr>
              <w:t>368.85%</w:t>
            </w:r>
          </w:p>
        </w:tc>
      </w:tr>
      <w:tr>
        <w:trPr>
          <w:trHeight w:val="325" w:hRule="exact"/>
        </w:trPr>
        <w:tc>
          <w:tcPr>
            <w:tcW w:w="190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8"/>
              <w:ind w:left="86"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72,465</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3"/>
                <w:sz w:val="21"/>
              </w:rPr>
              <w:t>111,578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2"/>
                <w:sz w:val="21"/>
              </w:rPr>
              <w:t>-39,113</w:t>
            </w:r>
          </w:p>
        </w:tc>
        <w:tc>
          <w:tcPr>
            <w:tcW w:w="183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5"/>
              <w:ind w:right="84"/>
              <w:jc w:val="right"/>
              <w:rPr>
                <w:rFonts w:ascii="Times New Roman" w:hAnsi="Times New Roman" w:cs="Times New Roman" w:eastAsia="Times New Roman" w:hint="default"/>
                <w:sz w:val="21"/>
                <w:szCs w:val="21"/>
              </w:rPr>
            </w:pPr>
            <w:r>
              <w:rPr>
                <w:rFonts w:ascii="Times New Roman"/>
                <w:spacing w:val="-1"/>
                <w:sz w:val="21"/>
              </w:rPr>
              <w:t>-35.05%</w:t>
            </w:r>
          </w:p>
        </w:tc>
      </w:tr>
      <w:tr>
        <w:trPr>
          <w:trHeight w:val="325" w:hRule="exact"/>
        </w:trPr>
        <w:tc>
          <w:tcPr>
            <w:tcW w:w="190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8"/>
              <w:ind w:left="86"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102,369</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60,243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42,126</w:t>
            </w:r>
          </w:p>
        </w:tc>
        <w:tc>
          <w:tcPr>
            <w:tcW w:w="183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5"/>
              <w:ind w:right="82"/>
              <w:jc w:val="right"/>
              <w:rPr>
                <w:rFonts w:ascii="Times New Roman" w:hAnsi="Times New Roman" w:cs="Times New Roman" w:eastAsia="Times New Roman" w:hint="default"/>
                <w:sz w:val="21"/>
                <w:szCs w:val="21"/>
              </w:rPr>
            </w:pPr>
            <w:r>
              <w:rPr>
                <w:rFonts w:ascii="Times New Roman"/>
                <w:spacing w:val="-1"/>
                <w:sz w:val="21"/>
              </w:rPr>
              <w:t>69.93%</w:t>
            </w:r>
          </w:p>
        </w:tc>
      </w:tr>
      <w:tr>
        <w:trPr>
          <w:trHeight w:val="343" w:hRule="exact"/>
        </w:trPr>
        <w:tc>
          <w:tcPr>
            <w:tcW w:w="1909"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8"/>
              <w:ind w:left="8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1,296,536</w:t>
            </w:r>
          </w:p>
        </w:tc>
        <w:tc>
          <w:tcPr>
            <w:tcW w:w="183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937,872</w:t>
            </w:r>
          </w:p>
        </w:tc>
        <w:tc>
          <w:tcPr>
            <w:tcW w:w="18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358,664</w:t>
            </w:r>
          </w:p>
        </w:tc>
        <w:tc>
          <w:tcPr>
            <w:tcW w:w="1834"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35"/>
              <w:ind w:right="82"/>
              <w:jc w:val="right"/>
              <w:rPr>
                <w:rFonts w:ascii="Times New Roman" w:hAnsi="Times New Roman" w:cs="Times New Roman" w:eastAsia="Times New Roman" w:hint="default"/>
                <w:sz w:val="21"/>
                <w:szCs w:val="21"/>
              </w:rPr>
            </w:pPr>
            <w:r>
              <w:rPr>
                <w:rFonts w:ascii="Times New Roman"/>
                <w:spacing w:val="-1"/>
                <w:sz w:val="21"/>
              </w:rPr>
              <w:t>38.24%</w:t>
            </w:r>
          </w:p>
        </w:tc>
      </w:tr>
    </w:tbl>
    <w:p>
      <w:pPr>
        <w:pStyle w:val="BodyText"/>
        <w:spacing w:line="275" w:lineRule="exact"/>
        <w:ind w:left="720" w:right="2202"/>
        <w:jc w:val="left"/>
      </w:pPr>
      <w:r>
        <w:rPr/>
        <w:t>① 资产减值损失变化的主要原因：</w:t>
      </w:r>
    </w:p>
    <w:p>
      <w:pPr>
        <w:pStyle w:val="BodyText"/>
        <w:spacing w:line="345" w:lineRule="auto" w:before="154"/>
        <w:ind w:left="240" w:right="253" w:firstLine="480"/>
        <w:jc w:val="both"/>
      </w:pPr>
      <w:r>
        <w:rPr>
          <w:spacing w:val="-3"/>
        </w:rPr>
        <w:t>报告期内，公司工程销售收入增加较快，应收帐款上升同时也带来了应收帐款坏帐</w:t>
      </w:r>
      <w:r>
        <w:rPr/>
        <w:t> 准备计提增加。另外随着销售规模扩大，通讯、数码以及 </w:t>
      </w:r>
      <w:r>
        <w:rPr>
          <w:rFonts w:ascii="Times New Roman" w:hAnsi="Times New Roman" w:cs="Times New Roman" w:eastAsia="Times New Roman" w:hint="default"/>
        </w:rPr>
        <w:t>IT</w:t>
      </w:r>
      <w:r>
        <w:rPr>
          <w:rFonts w:ascii="Times New Roman" w:hAnsi="Times New Roman" w:cs="Times New Roman" w:eastAsia="Times New Roman" w:hint="default"/>
          <w:spacing w:val="-28"/>
        </w:rPr>
        <w:t> </w:t>
      </w:r>
      <w:r>
        <w:rPr/>
        <w:t>产品销售占比有所提升，</w:t>
      </w:r>
      <w:r>
        <w:rPr>
          <w:spacing w:val="-1"/>
        </w:rPr>
        <w:t> </w:t>
      </w:r>
      <w:r>
        <w:rPr/>
        <w:t>公司还进一步深化推进定制包销、</w:t>
      </w:r>
      <w:r>
        <w:rPr>
          <w:rFonts w:ascii="Times New Roman" w:hAnsi="Times New Roman" w:cs="Times New Roman" w:eastAsia="Times New Roman" w:hint="default"/>
        </w:rPr>
        <w:t>OEM</w:t>
      </w:r>
      <w:r>
        <w:rPr>
          <w:rFonts w:ascii="Times New Roman" w:hAnsi="Times New Roman" w:cs="Times New Roman" w:eastAsia="Times New Roman" w:hint="default"/>
          <w:spacing w:val="34"/>
        </w:rPr>
        <w:t> </w:t>
      </w:r>
      <w:r>
        <w:rPr/>
        <w:t>等产品的销售，相应带来计提的存货跌价准备 较快增加。</w:t>
      </w:r>
    </w:p>
    <w:p>
      <w:pPr>
        <w:pStyle w:val="BodyText"/>
        <w:spacing w:line="357" w:lineRule="auto" w:before="48"/>
        <w:ind w:left="720" w:right="252"/>
        <w:jc w:val="left"/>
      </w:pPr>
      <w:r>
        <w:rPr/>
        <w:t>② 投资收益变化的主要原因： </w:t>
      </w:r>
      <w:r>
        <w:rPr>
          <w:spacing w:val="-3"/>
        </w:rPr>
        <w:t>报告期内公司行使新股预约权，所支付认购款项少于该新股预约权的公允价值，差</w:t>
      </w:r>
    </w:p>
    <w:p>
      <w:pPr>
        <w:pStyle w:val="BodyText"/>
        <w:spacing w:line="338" w:lineRule="auto" w:before="36"/>
        <w:ind w:left="240" w:right="237"/>
        <w:jc w:val="left"/>
      </w:pPr>
      <w:r>
        <w:rPr/>
        <w:t>额部分公司计入投资收益，另外日本 </w:t>
      </w:r>
      <w:r>
        <w:rPr>
          <w:rFonts w:ascii="Times New Roman" w:hAnsi="Times New Roman" w:cs="Times New Roman" w:eastAsia="Times New Roman" w:hint="default"/>
        </w:rPr>
        <w:t>LAOX</w:t>
      </w:r>
      <w:r>
        <w:rPr>
          <w:rFonts w:ascii="Times New Roman" w:hAnsi="Times New Roman" w:cs="Times New Roman" w:eastAsia="Times New Roman" w:hint="default"/>
          <w:spacing w:val="20"/>
        </w:rPr>
        <w:t> </w:t>
      </w:r>
      <w:r>
        <w:rPr/>
        <w:t>公司经营状况逐步好转，公司相应实现投 资收益。综上，带来报告期内投资收益较同期增长</w:t>
      </w:r>
      <w:r>
        <w:rPr>
          <w:spacing w:val="-60"/>
        </w:rPr>
        <w:t> </w:t>
      </w:r>
      <w:r>
        <w:rPr>
          <w:rFonts w:ascii="Times New Roman" w:hAnsi="Times New Roman" w:cs="Times New Roman" w:eastAsia="Times New Roman" w:hint="default"/>
        </w:rPr>
        <w:t>368.85%</w:t>
      </w:r>
      <w:r>
        <w:rPr/>
        <w:t>。</w:t>
      </w:r>
    </w:p>
    <w:p>
      <w:pPr>
        <w:spacing w:after="0" w:line="338" w:lineRule="auto"/>
        <w:jc w:val="left"/>
        <w:sectPr>
          <w:pgSz w:w="11910" w:h="16840"/>
          <w:pgMar w:header="748" w:footer="714" w:top="980" w:bottom="900" w:left="1200" w:right="1180"/>
        </w:sectPr>
      </w:pPr>
    </w:p>
    <w:p>
      <w:pPr>
        <w:spacing w:line="240" w:lineRule="auto" w:before="7"/>
        <w:rPr>
          <w:rFonts w:ascii="宋体" w:hAnsi="宋体" w:cs="宋体" w:eastAsia="宋体" w:hint="default"/>
          <w:sz w:val="29"/>
          <w:szCs w:val="29"/>
        </w:rPr>
      </w:pPr>
    </w:p>
    <w:p>
      <w:pPr>
        <w:pStyle w:val="BodyText"/>
        <w:spacing w:line="357" w:lineRule="auto" w:before="26"/>
        <w:ind w:left="720" w:right="244"/>
        <w:jc w:val="left"/>
      </w:pPr>
      <w:r>
        <w:rPr/>
        <w:t>③ 营业外收入变化的主要原因： </w:t>
      </w:r>
      <w:r>
        <w:rPr>
          <w:spacing w:val="4"/>
        </w:rPr>
        <w:t>由于上年同期公司较多收到政府相关部门给予的补贴收入及扶持基金，而报告期</w:t>
      </w:r>
      <w:r>
        <w:rPr/>
      </w:r>
    </w:p>
    <w:p>
      <w:pPr>
        <w:pStyle w:val="BodyText"/>
        <w:spacing w:line="240" w:lineRule="auto" w:before="36"/>
        <w:ind w:left="240" w:right="2202"/>
        <w:jc w:val="left"/>
      </w:pPr>
      <w:r>
        <w:rPr/>
        <w:t>内，该部分收入有所减少，带来营业外收入同比下降。</w:t>
      </w:r>
    </w:p>
    <w:p>
      <w:pPr>
        <w:pStyle w:val="BodyText"/>
        <w:spacing w:line="357" w:lineRule="auto" w:before="154"/>
        <w:ind w:left="720" w:right="119"/>
        <w:jc w:val="left"/>
      </w:pPr>
      <w:r>
        <w:rPr/>
        <w:t>④ 营业外支出变化的主要原因： </w:t>
      </w:r>
      <w:r>
        <w:rPr>
          <w:spacing w:val="-3"/>
        </w:rPr>
        <w:t>报告期内，公司积极开展公益活动，回馈社会，西南旱灾、玉树地震、舟曲泥石流</w:t>
      </w:r>
    </w:p>
    <w:p>
      <w:pPr>
        <w:pStyle w:val="BodyText"/>
        <w:spacing w:line="240" w:lineRule="auto" w:before="36"/>
        <w:ind w:left="240" w:right="119"/>
        <w:jc w:val="left"/>
      </w:pPr>
      <w:r>
        <w:rPr/>
        <w:t>等重大灾情发生后，公司第一时间实施捐助，由此带来营业外支出较大幅度增加。</w:t>
      </w:r>
    </w:p>
    <w:p>
      <w:pPr>
        <w:pStyle w:val="BodyText"/>
        <w:spacing w:line="357" w:lineRule="auto" w:before="154"/>
        <w:ind w:left="722" w:right="862" w:hanging="3"/>
        <w:jc w:val="left"/>
      </w:pPr>
      <w:r>
        <w:rPr/>
        <w:t>⑤ 所得税费用变化的主要原因： 本报告期内，利润总额与去年相比有较大提升，故而所得税费用相应上升。</w:t>
      </w:r>
    </w:p>
    <w:p>
      <w:pPr>
        <w:tabs>
          <w:tab w:pos="7199" w:val="left" w:leader="none"/>
        </w:tabs>
        <w:spacing w:before="36"/>
        <w:ind w:left="720" w:right="119" w:firstLine="0"/>
        <w:jc w:val="left"/>
        <w:rPr>
          <w:rFonts w:ascii="宋体" w:hAnsi="宋体" w:cs="宋体" w:eastAsia="宋体" w:hint="default"/>
          <w:sz w:val="21"/>
          <w:szCs w:val="21"/>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）主要债权债务分析</w:t>
        <w:tab/>
      </w:r>
      <w:r>
        <w:rPr>
          <w:rFonts w:ascii="宋体" w:hAnsi="宋体" w:cs="宋体" w:eastAsia="宋体" w:hint="default"/>
          <w:sz w:val="21"/>
          <w:szCs w:val="21"/>
        </w:rPr>
        <w:t>（单位：千元）</w:t>
      </w:r>
    </w:p>
    <w:p>
      <w:pPr>
        <w:spacing w:line="240" w:lineRule="auto" w:before="5"/>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530"/>
        <w:gridCol w:w="1679"/>
        <w:gridCol w:w="1679"/>
        <w:gridCol w:w="1679"/>
        <w:gridCol w:w="1679"/>
      </w:tblGrid>
      <w:tr>
        <w:trPr>
          <w:trHeight w:val="462" w:hRule="exact"/>
        </w:trPr>
        <w:tc>
          <w:tcPr>
            <w:tcW w:w="2530" w:type="dxa"/>
            <w:tcBorders>
              <w:top w:val="single" w:sz="17" w:space="0" w:color="000000"/>
              <w:left w:val="single" w:sz="17" w:space="0" w:color="000000"/>
              <w:bottom w:val="single" w:sz="8" w:space="0" w:color="000000"/>
              <w:right w:val="single" w:sz="8" w:space="0" w:color="000000"/>
            </w:tcBorders>
          </w:tcPr>
          <w:p>
            <w:pPr>
              <w:pStyle w:val="TableParagraph"/>
              <w:spacing w:line="240" w:lineRule="auto" w:before="46"/>
              <w:ind w:right="12"/>
              <w:jc w:val="center"/>
              <w:rPr>
                <w:rFonts w:ascii="宋体" w:hAnsi="宋体" w:cs="宋体" w:eastAsia="宋体" w:hint="default"/>
                <w:sz w:val="21"/>
                <w:szCs w:val="21"/>
              </w:rPr>
            </w:pPr>
            <w:r>
              <w:rPr>
                <w:rFonts w:ascii="宋体" w:hAnsi="宋体" w:cs="宋体" w:eastAsia="宋体" w:hint="default"/>
                <w:sz w:val="21"/>
                <w:szCs w:val="21"/>
              </w:rPr>
              <w:t>项目</w:t>
            </w:r>
          </w:p>
        </w:tc>
        <w:tc>
          <w:tcPr>
            <w:tcW w:w="1679"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46"/>
              <w:ind w:left="3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679"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46"/>
              <w:ind w:left="3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679"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46"/>
              <w:ind w:left="409"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1679" w:type="dxa"/>
            <w:tcBorders>
              <w:top w:val="single" w:sz="17" w:space="0" w:color="000000"/>
              <w:left w:val="single" w:sz="8" w:space="0" w:color="000000"/>
              <w:bottom w:val="single" w:sz="8" w:space="0" w:color="000000"/>
              <w:right w:val="single" w:sz="17" w:space="0" w:color="000000"/>
            </w:tcBorders>
          </w:tcPr>
          <w:p>
            <w:pPr>
              <w:pStyle w:val="TableParagraph"/>
              <w:spacing w:line="240" w:lineRule="auto" w:before="46"/>
              <w:ind w:left="3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20" w:hRule="exact"/>
        </w:trPr>
        <w:tc>
          <w:tcPr>
            <w:tcW w:w="2530" w:type="dxa"/>
            <w:tcBorders>
              <w:top w:val="single" w:sz="8" w:space="0" w:color="000000"/>
              <w:left w:val="single" w:sz="17" w:space="0" w:color="000000"/>
              <w:bottom w:val="single" w:sz="8" w:space="0" w:color="000000"/>
              <w:right w:val="single" w:sz="8"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Times New Roman" w:hAnsi="Times New Roman" w:cs="Times New Roman" w:eastAsia="Times New Roman" w:hint="default"/>
                <w:sz w:val="21"/>
                <w:szCs w:val="21"/>
              </w:rPr>
            </w:pPr>
            <w:r>
              <w:rPr>
                <w:rFonts w:ascii="Times New Roman"/>
                <w:spacing w:val="-1"/>
                <w:sz w:val="21"/>
              </w:rPr>
              <w:t>317,789</w:t>
            </w:r>
          </w:p>
        </w:tc>
        <w:tc>
          <w:tcPr>
            <w:tcW w:w="1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79"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8"/>
              <w:ind w:right="85"/>
              <w:jc w:val="right"/>
              <w:rPr>
                <w:rFonts w:ascii="Times New Roman" w:hAnsi="Times New Roman" w:cs="Times New Roman" w:eastAsia="Times New Roman" w:hint="default"/>
                <w:sz w:val="21"/>
                <w:szCs w:val="21"/>
              </w:rPr>
            </w:pPr>
            <w:r>
              <w:rPr>
                <w:rFonts w:ascii="Times New Roman"/>
                <w:spacing w:val="-1"/>
                <w:sz w:val="21"/>
              </w:rPr>
              <w:t>156,000</w:t>
            </w:r>
          </w:p>
        </w:tc>
      </w:tr>
      <w:tr>
        <w:trPr>
          <w:trHeight w:val="319" w:hRule="exact"/>
        </w:trPr>
        <w:tc>
          <w:tcPr>
            <w:tcW w:w="2530" w:type="dxa"/>
            <w:tcBorders>
              <w:top w:val="single" w:sz="8" w:space="0" w:color="000000"/>
              <w:left w:val="single" w:sz="17" w:space="0" w:color="000000"/>
              <w:bottom w:val="single" w:sz="8" w:space="0" w:color="000000"/>
              <w:right w:val="single" w:sz="8"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应付票据余额</w:t>
            </w:r>
          </w:p>
        </w:tc>
        <w:tc>
          <w:tcPr>
            <w:tcW w:w="1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Times New Roman" w:hAnsi="Times New Roman" w:cs="Times New Roman" w:eastAsia="Times New Roman" w:hint="default"/>
                <w:sz w:val="21"/>
                <w:szCs w:val="21"/>
              </w:rPr>
            </w:pPr>
            <w:r>
              <w:rPr>
                <w:rFonts w:ascii="Times New Roman"/>
                <w:spacing w:val="-1"/>
                <w:sz w:val="21"/>
              </w:rPr>
              <w:t>14,277,320</w:t>
            </w:r>
          </w:p>
        </w:tc>
        <w:tc>
          <w:tcPr>
            <w:tcW w:w="1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Times New Roman" w:hAnsi="Times New Roman" w:cs="Times New Roman" w:eastAsia="Times New Roman" w:hint="default"/>
                <w:sz w:val="21"/>
                <w:szCs w:val="21"/>
              </w:rPr>
            </w:pPr>
            <w:r>
              <w:rPr>
                <w:rFonts w:ascii="Times New Roman"/>
                <w:spacing w:val="-1"/>
                <w:sz w:val="21"/>
              </w:rPr>
              <w:t>13,999,191</w:t>
            </w:r>
          </w:p>
        </w:tc>
        <w:tc>
          <w:tcPr>
            <w:tcW w:w="1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Times New Roman" w:hAnsi="Times New Roman" w:cs="Times New Roman" w:eastAsia="Times New Roman" w:hint="default"/>
                <w:sz w:val="21"/>
                <w:szCs w:val="21"/>
              </w:rPr>
            </w:pPr>
            <w:r>
              <w:rPr>
                <w:rFonts w:ascii="Times New Roman"/>
                <w:spacing w:val="-1"/>
                <w:sz w:val="21"/>
              </w:rPr>
              <w:t>1.99%</w:t>
            </w:r>
          </w:p>
        </w:tc>
        <w:tc>
          <w:tcPr>
            <w:tcW w:w="1679"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8"/>
              <w:ind w:right="84"/>
              <w:jc w:val="right"/>
              <w:rPr>
                <w:rFonts w:ascii="Times New Roman" w:hAnsi="Times New Roman" w:cs="Times New Roman" w:eastAsia="Times New Roman" w:hint="default"/>
                <w:sz w:val="21"/>
                <w:szCs w:val="21"/>
              </w:rPr>
            </w:pPr>
            <w:r>
              <w:rPr>
                <w:rFonts w:ascii="Times New Roman"/>
                <w:spacing w:val="-1"/>
                <w:sz w:val="21"/>
              </w:rPr>
              <w:t>7,096,536</w:t>
            </w:r>
          </w:p>
        </w:tc>
      </w:tr>
      <w:tr>
        <w:trPr>
          <w:trHeight w:val="320" w:hRule="exact"/>
        </w:trPr>
        <w:tc>
          <w:tcPr>
            <w:tcW w:w="2530" w:type="dxa"/>
            <w:tcBorders>
              <w:top w:val="single" w:sz="8" w:space="0" w:color="000000"/>
              <w:left w:val="single" w:sz="17" w:space="0" w:color="000000"/>
              <w:bottom w:val="single" w:sz="8" w:space="0" w:color="000000"/>
              <w:right w:val="single" w:sz="8"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应付票据周转天数（天）</w:t>
            </w:r>
          </w:p>
        </w:tc>
        <w:tc>
          <w:tcPr>
            <w:tcW w:w="1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Times New Roman" w:hAnsi="Times New Roman" w:cs="Times New Roman" w:eastAsia="Times New Roman" w:hint="default"/>
                <w:sz w:val="21"/>
                <w:szCs w:val="21"/>
              </w:rPr>
            </w:pPr>
            <w:r>
              <w:rPr>
                <w:rFonts w:ascii="Times New Roman"/>
                <w:spacing w:val="-1"/>
                <w:sz w:val="21"/>
              </w:rPr>
              <w:t>82.20</w:t>
            </w:r>
          </w:p>
        </w:tc>
        <w:tc>
          <w:tcPr>
            <w:tcW w:w="1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Times New Roman" w:hAnsi="Times New Roman" w:cs="Times New Roman" w:eastAsia="Times New Roman" w:hint="default"/>
                <w:sz w:val="21"/>
                <w:szCs w:val="21"/>
              </w:rPr>
            </w:pPr>
            <w:r>
              <w:rPr>
                <w:rFonts w:ascii="Times New Roman"/>
                <w:spacing w:val="-1"/>
                <w:sz w:val="21"/>
              </w:rPr>
              <w:t>78.94</w:t>
            </w:r>
          </w:p>
        </w:tc>
        <w:tc>
          <w:tcPr>
            <w:tcW w:w="1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Times New Roman" w:hAnsi="Times New Roman" w:cs="Times New Roman" w:eastAsia="Times New Roman" w:hint="default"/>
                <w:sz w:val="21"/>
                <w:szCs w:val="21"/>
              </w:rPr>
            </w:pPr>
            <w:r>
              <w:rPr>
                <w:rFonts w:ascii="Times New Roman"/>
                <w:spacing w:val="-1"/>
                <w:sz w:val="21"/>
              </w:rPr>
              <w:t>3.26</w:t>
            </w:r>
          </w:p>
        </w:tc>
        <w:tc>
          <w:tcPr>
            <w:tcW w:w="1679"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8"/>
              <w:ind w:right="84"/>
              <w:jc w:val="right"/>
              <w:rPr>
                <w:rFonts w:ascii="Times New Roman" w:hAnsi="Times New Roman" w:cs="Times New Roman" w:eastAsia="Times New Roman" w:hint="default"/>
                <w:sz w:val="21"/>
                <w:szCs w:val="21"/>
              </w:rPr>
            </w:pPr>
            <w:r>
              <w:rPr>
                <w:rFonts w:ascii="Times New Roman"/>
                <w:spacing w:val="-1"/>
                <w:sz w:val="21"/>
              </w:rPr>
              <w:t>59.63</w:t>
            </w:r>
          </w:p>
        </w:tc>
      </w:tr>
      <w:tr>
        <w:trPr>
          <w:trHeight w:val="320" w:hRule="exact"/>
        </w:trPr>
        <w:tc>
          <w:tcPr>
            <w:tcW w:w="2530" w:type="dxa"/>
            <w:tcBorders>
              <w:top w:val="single" w:sz="8" w:space="0" w:color="000000"/>
              <w:left w:val="single" w:sz="17" w:space="0" w:color="000000"/>
              <w:bottom w:val="single" w:sz="8" w:space="0" w:color="000000"/>
              <w:right w:val="single" w:sz="8"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应付账款余额</w:t>
            </w:r>
          </w:p>
        </w:tc>
        <w:tc>
          <w:tcPr>
            <w:tcW w:w="1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Times New Roman" w:hAnsi="Times New Roman" w:cs="Times New Roman" w:eastAsia="Times New Roman" w:hint="default"/>
                <w:sz w:val="21"/>
                <w:szCs w:val="21"/>
              </w:rPr>
            </w:pPr>
            <w:r>
              <w:rPr>
                <w:rFonts w:ascii="Times New Roman"/>
                <w:spacing w:val="-1"/>
                <w:sz w:val="21"/>
              </w:rPr>
              <w:t>6,839,024</w:t>
            </w:r>
          </w:p>
        </w:tc>
        <w:tc>
          <w:tcPr>
            <w:tcW w:w="1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2"/>
                <w:sz w:val="21"/>
              </w:rPr>
              <w:t>5,003,117</w:t>
            </w:r>
            <w:r>
              <w:rPr>
                <w:rFonts w:ascii="Times New Roman"/>
                <w:sz w:val="21"/>
              </w:rPr>
            </w:r>
          </w:p>
        </w:tc>
        <w:tc>
          <w:tcPr>
            <w:tcW w:w="1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Times New Roman" w:hAnsi="Times New Roman" w:cs="Times New Roman" w:eastAsia="Times New Roman" w:hint="default"/>
                <w:sz w:val="21"/>
                <w:szCs w:val="21"/>
              </w:rPr>
            </w:pPr>
            <w:r>
              <w:rPr>
                <w:rFonts w:ascii="Times New Roman"/>
                <w:spacing w:val="-1"/>
                <w:sz w:val="21"/>
              </w:rPr>
              <w:t>36.70%</w:t>
            </w:r>
          </w:p>
        </w:tc>
        <w:tc>
          <w:tcPr>
            <w:tcW w:w="1679"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8"/>
              <w:ind w:right="85"/>
              <w:jc w:val="right"/>
              <w:rPr>
                <w:rFonts w:ascii="Times New Roman" w:hAnsi="Times New Roman" w:cs="Times New Roman" w:eastAsia="Times New Roman" w:hint="default"/>
                <w:sz w:val="21"/>
                <w:szCs w:val="21"/>
              </w:rPr>
            </w:pPr>
            <w:r>
              <w:rPr>
                <w:rFonts w:ascii="Times New Roman"/>
                <w:spacing w:val="-1"/>
                <w:sz w:val="21"/>
              </w:rPr>
              <w:t>3,633,327</w:t>
            </w:r>
          </w:p>
        </w:tc>
      </w:tr>
      <w:tr>
        <w:trPr>
          <w:trHeight w:val="319" w:hRule="exact"/>
        </w:trPr>
        <w:tc>
          <w:tcPr>
            <w:tcW w:w="2530" w:type="dxa"/>
            <w:tcBorders>
              <w:top w:val="single" w:sz="8" w:space="0" w:color="000000"/>
              <w:left w:val="single" w:sz="17" w:space="0" w:color="000000"/>
              <w:bottom w:val="single" w:sz="8" w:space="0" w:color="000000"/>
              <w:right w:val="single" w:sz="8"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应付账款周转天数（天）</w:t>
            </w:r>
          </w:p>
        </w:tc>
        <w:tc>
          <w:tcPr>
            <w:tcW w:w="1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Times New Roman" w:hAnsi="Times New Roman" w:cs="Times New Roman" w:eastAsia="Times New Roman" w:hint="default"/>
                <w:sz w:val="21"/>
                <w:szCs w:val="21"/>
              </w:rPr>
            </w:pPr>
            <w:r>
              <w:rPr>
                <w:rFonts w:ascii="Times New Roman"/>
                <w:spacing w:val="-1"/>
                <w:sz w:val="21"/>
              </w:rPr>
              <w:t>34.42</w:t>
            </w:r>
          </w:p>
        </w:tc>
        <w:tc>
          <w:tcPr>
            <w:tcW w:w="1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Times New Roman" w:hAnsi="Times New Roman" w:cs="Times New Roman" w:eastAsia="Times New Roman" w:hint="default"/>
                <w:sz w:val="21"/>
                <w:szCs w:val="21"/>
              </w:rPr>
            </w:pPr>
            <w:r>
              <w:rPr>
                <w:rFonts w:ascii="Times New Roman"/>
                <w:sz w:val="21"/>
              </w:rPr>
              <w:t>32.</w:t>
            </w:r>
            <w:r>
              <w:rPr>
                <w:rFonts w:ascii="Times New Roman"/>
                <w:spacing w:val="-2"/>
                <w:sz w:val="21"/>
              </w:rPr>
              <w:t> </w:t>
            </w:r>
            <w:r>
              <w:rPr>
                <w:rFonts w:ascii="Times New Roman"/>
                <w:sz w:val="21"/>
              </w:rPr>
              <w:t>32</w:t>
            </w:r>
          </w:p>
        </w:tc>
        <w:tc>
          <w:tcPr>
            <w:tcW w:w="1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Times New Roman" w:hAnsi="Times New Roman" w:cs="Times New Roman" w:eastAsia="Times New Roman" w:hint="default"/>
                <w:sz w:val="21"/>
                <w:szCs w:val="21"/>
              </w:rPr>
            </w:pPr>
            <w:r>
              <w:rPr>
                <w:rFonts w:ascii="Times New Roman"/>
                <w:spacing w:val="-1"/>
                <w:sz w:val="21"/>
              </w:rPr>
              <w:t>2.10</w:t>
            </w:r>
          </w:p>
        </w:tc>
        <w:tc>
          <w:tcPr>
            <w:tcW w:w="1679"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8"/>
              <w:ind w:right="84"/>
              <w:jc w:val="right"/>
              <w:rPr>
                <w:rFonts w:ascii="Times New Roman" w:hAnsi="Times New Roman" w:cs="Times New Roman" w:eastAsia="Times New Roman" w:hint="default"/>
                <w:sz w:val="21"/>
                <w:szCs w:val="21"/>
              </w:rPr>
            </w:pPr>
            <w:r>
              <w:rPr>
                <w:rFonts w:ascii="Times New Roman"/>
                <w:spacing w:val="-1"/>
                <w:sz w:val="21"/>
              </w:rPr>
              <w:t>29.55</w:t>
            </w:r>
          </w:p>
        </w:tc>
      </w:tr>
      <w:tr>
        <w:trPr>
          <w:trHeight w:val="334" w:hRule="exact"/>
        </w:trPr>
        <w:tc>
          <w:tcPr>
            <w:tcW w:w="2530" w:type="dxa"/>
            <w:tcBorders>
              <w:top w:val="single" w:sz="8" w:space="0" w:color="000000"/>
              <w:left w:val="single" w:sz="17" w:space="0" w:color="000000"/>
              <w:bottom w:val="single" w:sz="17" w:space="0" w:color="000000"/>
              <w:right w:val="single" w:sz="8"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应收账款余额</w:t>
            </w:r>
          </w:p>
        </w:tc>
        <w:tc>
          <w:tcPr>
            <w:tcW w:w="167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8"/>
              <w:ind w:right="96"/>
              <w:jc w:val="right"/>
              <w:rPr>
                <w:rFonts w:ascii="Times New Roman" w:hAnsi="Times New Roman" w:cs="Times New Roman" w:eastAsia="Times New Roman" w:hint="default"/>
                <w:sz w:val="21"/>
                <w:szCs w:val="21"/>
              </w:rPr>
            </w:pPr>
            <w:r>
              <w:rPr>
                <w:rFonts w:ascii="Times New Roman"/>
                <w:spacing w:val="-2"/>
                <w:sz w:val="21"/>
              </w:rPr>
              <w:t>1,104,611</w:t>
            </w:r>
          </w:p>
        </w:tc>
        <w:tc>
          <w:tcPr>
            <w:tcW w:w="167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8"/>
              <w:ind w:right="96"/>
              <w:jc w:val="right"/>
              <w:rPr>
                <w:rFonts w:ascii="Times New Roman" w:hAnsi="Times New Roman" w:cs="Times New Roman" w:eastAsia="Times New Roman" w:hint="default"/>
                <w:sz w:val="21"/>
                <w:szCs w:val="21"/>
              </w:rPr>
            </w:pPr>
            <w:r>
              <w:rPr>
                <w:rFonts w:ascii="Times New Roman"/>
                <w:spacing w:val="-1"/>
                <w:sz w:val="21"/>
              </w:rPr>
              <w:t>347,024</w:t>
            </w:r>
          </w:p>
        </w:tc>
        <w:tc>
          <w:tcPr>
            <w:tcW w:w="167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8"/>
              <w:ind w:right="96"/>
              <w:jc w:val="right"/>
              <w:rPr>
                <w:rFonts w:ascii="Times New Roman" w:hAnsi="Times New Roman" w:cs="Times New Roman" w:eastAsia="Times New Roman" w:hint="default"/>
                <w:sz w:val="21"/>
                <w:szCs w:val="21"/>
              </w:rPr>
            </w:pPr>
            <w:r>
              <w:rPr>
                <w:rFonts w:ascii="Times New Roman"/>
                <w:spacing w:val="-1"/>
                <w:sz w:val="21"/>
              </w:rPr>
              <w:t>218.31%</w:t>
            </w:r>
          </w:p>
        </w:tc>
        <w:tc>
          <w:tcPr>
            <w:tcW w:w="1679"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28"/>
              <w:ind w:right="86"/>
              <w:jc w:val="right"/>
              <w:rPr>
                <w:rFonts w:ascii="Times New Roman" w:hAnsi="Times New Roman" w:cs="Times New Roman" w:eastAsia="Times New Roman" w:hint="default"/>
                <w:sz w:val="21"/>
                <w:szCs w:val="21"/>
              </w:rPr>
            </w:pPr>
            <w:r>
              <w:rPr>
                <w:rFonts w:ascii="Times New Roman"/>
                <w:spacing w:val="-2"/>
                <w:sz w:val="21"/>
              </w:rPr>
              <w:t>110,127</w:t>
            </w:r>
          </w:p>
        </w:tc>
      </w:tr>
    </w:tbl>
    <w:p>
      <w:pPr>
        <w:pStyle w:val="BodyText"/>
        <w:spacing w:line="333" w:lineRule="auto" w:before="81"/>
        <w:ind w:left="240" w:right="144" w:firstLine="480"/>
        <w:jc w:val="left"/>
      </w:pPr>
      <w:r>
        <w:rPr/>
        <w:t>报告期内，公司应付票据余额同比年初保持平稳，另为顺利开展圣诞、元旦旺销， 公司加大了备货，由于大部分供应商采用账期结算，相应的应付账款也有所增加。</w:t>
      </w:r>
    </w:p>
    <w:p>
      <w:pPr>
        <w:tabs>
          <w:tab w:pos="7322" w:val="left" w:leader="none"/>
        </w:tabs>
        <w:spacing w:before="29"/>
        <w:ind w:left="722" w:right="119" w:firstLine="0"/>
        <w:jc w:val="left"/>
        <w:rPr>
          <w:rFonts w:ascii="宋体" w:hAnsi="宋体" w:cs="宋体" w:eastAsia="宋体" w:hint="default"/>
          <w:sz w:val="21"/>
          <w:szCs w:val="21"/>
        </w:rPr>
      </w:pP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z w:val="24"/>
          <w:szCs w:val="24"/>
        </w:rPr>
        <w:t>）偿债能力分析</w:t>
        <w:tab/>
      </w:r>
      <w:r>
        <w:rPr>
          <w:rFonts w:ascii="宋体" w:hAnsi="宋体" w:cs="宋体" w:eastAsia="宋体" w:hint="default"/>
          <w:sz w:val="21"/>
          <w:szCs w:val="21"/>
        </w:rPr>
        <w:t>（单位：千元）</w:t>
      </w:r>
    </w:p>
    <w:p>
      <w:pPr>
        <w:spacing w:line="240" w:lineRule="auto" w:before="5"/>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1997"/>
        <w:gridCol w:w="1816"/>
        <w:gridCol w:w="1812"/>
        <w:gridCol w:w="1812"/>
        <w:gridCol w:w="1811"/>
      </w:tblGrid>
      <w:tr>
        <w:trPr>
          <w:trHeight w:val="420" w:hRule="exact"/>
        </w:trPr>
        <w:tc>
          <w:tcPr>
            <w:tcW w:w="1997"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27"/>
              <w:ind w:right="14"/>
              <w:jc w:val="center"/>
              <w:rPr>
                <w:rFonts w:ascii="宋体" w:hAnsi="宋体" w:cs="宋体" w:eastAsia="宋体" w:hint="default"/>
                <w:sz w:val="21"/>
                <w:szCs w:val="21"/>
              </w:rPr>
            </w:pPr>
            <w:r>
              <w:rPr>
                <w:rFonts w:ascii="宋体" w:hAnsi="宋体" w:cs="宋体" w:eastAsia="宋体" w:hint="default"/>
                <w:sz w:val="21"/>
                <w:szCs w:val="21"/>
              </w:rPr>
              <w:t>项目</w:t>
            </w:r>
          </w:p>
        </w:tc>
        <w:tc>
          <w:tcPr>
            <w:tcW w:w="181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1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1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同比增减</w:t>
            </w:r>
          </w:p>
        </w:tc>
        <w:tc>
          <w:tcPr>
            <w:tcW w:w="1811"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27"/>
              <w:ind w:left="1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95" w:hRule="exact"/>
        </w:trPr>
        <w:tc>
          <w:tcPr>
            <w:tcW w:w="1997"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right="14"/>
              <w:jc w:val="center"/>
              <w:rPr>
                <w:rFonts w:ascii="宋体" w:hAnsi="宋体" w:cs="宋体" w:eastAsia="宋体" w:hint="default"/>
                <w:sz w:val="21"/>
                <w:szCs w:val="21"/>
              </w:rPr>
            </w:pPr>
            <w:r>
              <w:rPr>
                <w:rFonts w:ascii="宋体" w:hAnsi="宋体" w:cs="宋体" w:eastAsia="宋体" w:hint="default"/>
                <w:sz w:val="21"/>
                <w:szCs w:val="21"/>
              </w:rPr>
              <w:t>流动比率</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1.41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1.46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-0.05</w:t>
            </w:r>
          </w:p>
        </w:tc>
        <w:tc>
          <w:tcPr>
            <w:tcW w:w="181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16" w:right="0"/>
              <w:jc w:val="center"/>
              <w:rPr>
                <w:rFonts w:ascii="Times New Roman" w:hAnsi="Times New Roman" w:cs="Times New Roman" w:eastAsia="Times New Roman" w:hint="default"/>
                <w:sz w:val="21"/>
                <w:szCs w:val="21"/>
              </w:rPr>
            </w:pPr>
            <w:r>
              <w:rPr>
                <w:rFonts w:ascii="Times New Roman"/>
                <w:sz w:val="21"/>
              </w:rPr>
              <w:t>1.38</w:t>
            </w:r>
          </w:p>
        </w:tc>
      </w:tr>
      <w:tr>
        <w:trPr>
          <w:trHeight w:val="294" w:hRule="exact"/>
        </w:trPr>
        <w:tc>
          <w:tcPr>
            <w:tcW w:w="1997"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right="14"/>
              <w:jc w:val="center"/>
              <w:rPr>
                <w:rFonts w:ascii="宋体" w:hAnsi="宋体" w:cs="宋体" w:eastAsia="宋体" w:hint="default"/>
                <w:sz w:val="21"/>
                <w:szCs w:val="21"/>
              </w:rPr>
            </w:pPr>
            <w:r>
              <w:rPr>
                <w:rFonts w:ascii="宋体" w:hAnsi="宋体" w:cs="宋体" w:eastAsia="宋体" w:hint="default"/>
                <w:sz w:val="21"/>
                <w:szCs w:val="21"/>
              </w:rPr>
              <w:t>速动比率</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1.02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1.15</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-0.13</w:t>
            </w:r>
          </w:p>
        </w:tc>
        <w:tc>
          <w:tcPr>
            <w:tcW w:w="181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16" w:right="0"/>
              <w:jc w:val="center"/>
              <w:rPr>
                <w:rFonts w:ascii="Times New Roman" w:hAnsi="Times New Roman" w:cs="Times New Roman" w:eastAsia="Times New Roman" w:hint="default"/>
                <w:sz w:val="21"/>
                <w:szCs w:val="21"/>
              </w:rPr>
            </w:pPr>
            <w:r>
              <w:rPr>
                <w:rFonts w:ascii="Times New Roman"/>
                <w:sz w:val="21"/>
              </w:rPr>
              <w:t>0.98</w:t>
            </w:r>
          </w:p>
        </w:tc>
      </w:tr>
      <w:tr>
        <w:trPr>
          <w:trHeight w:val="314" w:hRule="exact"/>
        </w:trPr>
        <w:tc>
          <w:tcPr>
            <w:tcW w:w="1997" w:type="dxa"/>
            <w:tcBorders>
              <w:top w:val="single" w:sz="4" w:space="0" w:color="000000"/>
              <w:left w:val="single" w:sz="17" w:space="0" w:color="000000"/>
              <w:bottom w:val="single" w:sz="17" w:space="0" w:color="000000"/>
              <w:right w:val="single" w:sz="4" w:space="0" w:color="000000"/>
            </w:tcBorders>
          </w:tcPr>
          <w:p>
            <w:pPr>
              <w:pStyle w:val="TableParagraph"/>
              <w:spacing w:line="247" w:lineRule="exact"/>
              <w:ind w:right="17"/>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181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57.08%</w:t>
            </w:r>
          </w:p>
        </w:tc>
        <w:tc>
          <w:tcPr>
            <w:tcW w:w="181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58.36%</w:t>
            </w:r>
          </w:p>
        </w:tc>
        <w:tc>
          <w:tcPr>
            <w:tcW w:w="181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-1.28%</w:t>
            </w:r>
          </w:p>
        </w:tc>
        <w:tc>
          <w:tcPr>
            <w:tcW w:w="1811"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20"/>
              <w:ind w:left="18" w:right="0"/>
              <w:jc w:val="center"/>
              <w:rPr>
                <w:rFonts w:ascii="Times New Roman" w:hAnsi="Times New Roman" w:cs="Times New Roman" w:eastAsia="Times New Roman" w:hint="default"/>
                <w:sz w:val="21"/>
                <w:szCs w:val="21"/>
              </w:rPr>
            </w:pPr>
            <w:r>
              <w:rPr>
                <w:rFonts w:ascii="Times New Roman"/>
                <w:sz w:val="21"/>
              </w:rPr>
              <w:t>57.85%</w:t>
            </w:r>
          </w:p>
        </w:tc>
      </w:tr>
    </w:tbl>
    <w:p>
      <w:pPr>
        <w:pStyle w:val="BodyText"/>
        <w:spacing w:line="240" w:lineRule="auto" w:before="81"/>
        <w:ind w:left="720" w:right="2202"/>
        <w:jc w:val="left"/>
      </w:pPr>
      <w:r>
        <w:rPr/>
        <w:t>报告期内，公司偿债能力较上年同期未发生较大变化。</w:t>
      </w:r>
    </w:p>
    <w:p>
      <w:pPr>
        <w:tabs>
          <w:tab w:pos="7322" w:val="left" w:leader="none"/>
        </w:tabs>
        <w:spacing w:before="154"/>
        <w:ind w:left="722" w:right="119" w:firstLine="0"/>
        <w:jc w:val="left"/>
        <w:rPr>
          <w:rFonts w:ascii="宋体" w:hAnsi="宋体" w:cs="宋体" w:eastAsia="宋体" w:hint="default"/>
          <w:sz w:val="21"/>
          <w:szCs w:val="21"/>
        </w:rPr>
      </w:pPr>
      <w:r>
        <w:rPr>
          <w:rFonts w:ascii="宋体" w:hAnsi="宋体" w:cs="宋体" w:eastAsia="宋体" w:hint="default"/>
          <w:sz w:val="24"/>
          <w:szCs w:val="24"/>
        </w:rPr>
        <w:t>（</w:t>
      </w:r>
      <w:r>
        <w:rPr>
          <w:rFonts w:ascii="Times New Roman" w:hAnsi="Times New Roman" w:cs="Times New Roman" w:eastAsia="Times New Roman" w:hint="default"/>
          <w:sz w:val="24"/>
          <w:szCs w:val="24"/>
        </w:rPr>
        <w:t>6</w:t>
      </w:r>
      <w:r>
        <w:rPr>
          <w:rFonts w:ascii="宋体" w:hAnsi="宋体" w:cs="宋体" w:eastAsia="宋体" w:hint="default"/>
          <w:sz w:val="24"/>
          <w:szCs w:val="24"/>
        </w:rPr>
        <w:t>）资产运营能力分析</w:t>
        <w:tab/>
      </w:r>
      <w:r>
        <w:rPr>
          <w:rFonts w:ascii="宋体" w:hAnsi="宋体" w:cs="宋体" w:eastAsia="宋体" w:hint="default"/>
          <w:sz w:val="21"/>
          <w:szCs w:val="21"/>
        </w:rPr>
        <w:t>（单位：千元）</w:t>
      </w:r>
    </w:p>
    <w:p>
      <w:pPr>
        <w:spacing w:line="240" w:lineRule="auto" w:before="5"/>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449"/>
        <w:gridCol w:w="1986"/>
        <w:gridCol w:w="1805"/>
        <w:gridCol w:w="1603"/>
        <w:gridCol w:w="1402"/>
      </w:tblGrid>
      <w:tr>
        <w:trPr>
          <w:trHeight w:val="436" w:hRule="exact"/>
        </w:trPr>
        <w:tc>
          <w:tcPr>
            <w:tcW w:w="2449"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35"/>
              <w:ind w:right="17"/>
              <w:jc w:val="center"/>
              <w:rPr>
                <w:rFonts w:ascii="宋体" w:hAnsi="宋体" w:cs="宋体" w:eastAsia="宋体" w:hint="default"/>
                <w:sz w:val="21"/>
                <w:szCs w:val="21"/>
              </w:rPr>
            </w:pPr>
            <w:r>
              <w:rPr>
                <w:rFonts w:ascii="宋体" w:hAnsi="宋体" w:cs="宋体" w:eastAsia="宋体" w:hint="default"/>
                <w:sz w:val="21"/>
                <w:szCs w:val="21"/>
              </w:rPr>
              <w:t>项目</w:t>
            </w:r>
          </w:p>
        </w:tc>
        <w:tc>
          <w:tcPr>
            <w:tcW w:w="198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5"/>
              <w:ind w:left="5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0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5"/>
              <w:ind w:left="4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60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5"/>
              <w:ind w:left="376"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1402"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35"/>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25" w:hRule="exact"/>
        </w:trPr>
        <w:tc>
          <w:tcPr>
            <w:tcW w:w="2449" w:type="dxa"/>
            <w:tcBorders>
              <w:top w:val="single" w:sz="4" w:space="0" w:color="000000"/>
              <w:left w:val="single" w:sz="17" w:space="0" w:color="000000"/>
              <w:bottom w:val="single" w:sz="4" w:space="0" w:color="000000"/>
              <w:right w:val="single" w:sz="4" w:space="0" w:color="000000"/>
            </w:tcBorders>
          </w:tcPr>
          <w:p>
            <w:pPr>
              <w:pStyle w:val="TableParagraph"/>
              <w:spacing w:line="265" w:lineRule="exact"/>
              <w:ind w:right="14"/>
              <w:jc w:val="center"/>
              <w:rPr>
                <w:rFonts w:ascii="宋体" w:hAnsi="宋体" w:cs="宋体" w:eastAsia="宋体" w:hint="default"/>
                <w:sz w:val="21"/>
                <w:szCs w:val="21"/>
              </w:rPr>
            </w:pPr>
            <w:r>
              <w:rPr>
                <w:rFonts w:ascii="宋体" w:hAnsi="宋体" w:cs="宋体" w:eastAsia="宋体" w:hint="default"/>
                <w:sz w:val="21"/>
                <w:szCs w:val="21"/>
              </w:rPr>
              <w:t>应收账款周转率</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102.27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249.53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pacing w:val="-1"/>
                <w:sz w:val="21"/>
              </w:rPr>
              <w:t>-147.26</w:t>
            </w:r>
          </w:p>
        </w:tc>
        <w:tc>
          <w:tcPr>
            <w:tcW w:w="14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9"/>
              <w:ind w:left="17" w:right="0"/>
              <w:jc w:val="center"/>
              <w:rPr>
                <w:rFonts w:ascii="Times New Roman" w:hAnsi="Times New Roman" w:cs="Times New Roman" w:eastAsia="Times New Roman" w:hint="default"/>
                <w:sz w:val="21"/>
                <w:szCs w:val="21"/>
              </w:rPr>
            </w:pPr>
            <w:r>
              <w:rPr>
                <w:rFonts w:ascii="Times New Roman"/>
                <w:sz w:val="21"/>
              </w:rPr>
              <w:t>443.28</w:t>
            </w:r>
          </w:p>
        </w:tc>
      </w:tr>
      <w:tr>
        <w:trPr>
          <w:trHeight w:val="325" w:hRule="exact"/>
        </w:trPr>
        <w:tc>
          <w:tcPr>
            <w:tcW w:w="2449" w:type="dxa"/>
            <w:tcBorders>
              <w:top w:val="single" w:sz="4" w:space="0" w:color="000000"/>
              <w:left w:val="single" w:sz="17" w:space="0" w:color="000000"/>
              <w:bottom w:val="single" w:sz="4" w:space="0" w:color="000000"/>
              <w:right w:val="single" w:sz="4" w:space="0" w:color="000000"/>
            </w:tcBorders>
          </w:tcPr>
          <w:p>
            <w:pPr>
              <w:pStyle w:val="TableParagraph"/>
              <w:spacing w:line="265" w:lineRule="exact"/>
              <w:ind w:right="14"/>
              <w:jc w:val="center"/>
              <w:rPr>
                <w:rFonts w:ascii="宋体" w:hAnsi="宋体" w:cs="宋体" w:eastAsia="宋体" w:hint="default"/>
                <w:sz w:val="21"/>
                <w:szCs w:val="21"/>
              </w:rPr>
            </w:pPr>
            <w:r>
              <w:rPr>
                <w:rFonts w:ascii="宋体" w:hAnsi="宋体" w:cs="宋体" w:eastAsia="宋体" w:hint="default"/>
                <w:sz w:val="21"/>
                <w:szCs w:val="21"/>
              </w:rPr>
              <w:t>存货周转率</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7.84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8.56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w w:val="95"/>
                <w:sz w:val="21"/>
              </w:rPr>
              <w:t>-0.72</w:t>
            </w:r>
            <w:r>
              <w:rPr>
                <w:rFonts w:ascii="Times New Roman"/>
                <w:sz w:val="21"/>
              </w:rPr>
            </w:r>
          </w:p>
        </w:tc>
        <w:tc>
          <w:tcPr>
            <w:tcW w:w="14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9"/>
              <w:ind w:left="15" w:right="0"/>
              <w:jc w:val="center"/>
              <w:rPr>
                <w:rFonts w:ascii="Times New Roman" w:hAnsi="Times New Roman" w:cs="Times New Roman" w:eastAsia="Times New Roman" w:hint="default"/>
                <w:sz w:val="21"/>
                <w:szCs w:val="21"/>
              </w:rPr>
            </w:pPr>
            <w:r>
              <w:rPr>
                <w:rFonts w:ascii="Times New Roman"/>
                <w:sz w:val="21"/>
              </w:rPr>
              <w:t>8.73</w:t>
            </w:r>
          </w:p>
        </w:tc>
      </w:tr>
      <w:tr>
        <w:trPr>
          <w:trHeight w:val="325" w:hRule="exact"/>
        </w:trPr>
        <w:tc>
          <w:tcPr>
            <w:tcW w:w="2449" w:type="dxa"/>
            <w:tcBorders>
              <w:top w:val="single" w:sz="4" w:space="0" w:color="000000"/>
              <w:left w:val="single" w:sz="17" w:space="0" w:color="000000"/>
              <w:bottom w:val="single" w:sz="4" w:space="0" w:color="000000"/>
              <w:right w:val="single" w:sz="4" w:space="0" w:color="000000"/>
            </w:tcBorders>
          </w:tcPr>
          <w:p>
            <w:pPr>
              <w:pStyle w:val="TableParagraph"/>
              <w:spacing w:line="265" w:lineRule="exact"/>
              <w:ind w:right="14"/>
              <w:jc w:val="center"/>
              <w:rPr>
                <w:rFonts w:ascii="宋体" w:hAnsi="宋体" w:cs="宋体" w:eastAsia="宋体" w:hint="default"/>
                <w:sz w:val="21"/>
                <w:szCs w:val="21"/>
              </w:rPr>
            </w:pPr>
            <w:r>
              <w:rPr>
                <w:rFonts w:ascii="宋体" w:hAnsi="宋体" w:cs="宋体" w:eastAsia="宋体" w:hint="default"/>
                <w:sz w:val="21"/>
                <w:szCs w:val="21"/>
              </w:rPr>
              <w:t>流动资产周转率</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2.30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21"/>
                <w:szCs w:val="21"/>
              </w:rPr>
            </w:pPr>
            <w:r>
              <w:rPr>
                <w:rFonts w:ascii="Times New Roman"/>
                <w:spacing w:val="-1"/>
                <w:sz w:val="21"/>
              </w:rPr>
              <w:t>2.41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2"/>
                <w:sz w:val="21"/>
              </w:rPr>
              <w:t>-0.11</w:t>
            </w:r>
          </w:p>
        </w:tc>
        <w:tc>
          <w:tcPr>
            <w:tcW w:w="14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9"/>
              <w:ind w:left="15" w:right="0"/>
              <w:jc w:val="center"/>
              <w:rPr>
                <w:rFonts w:ascii="Times New Roman" w:hAnsi="Times New Roman" w:cs="Times New Roman" w:eastAsia="Times New Roman" w:hint="default"/>
                <w:sz w:val="21"/>
                <w:szCs w:val="21"/>
              </w:rPr>
            </w:pPr>
            <w:r>
              <w:rPr>
                <w:rFonts w:ascii="Times New Roman"/>
                <w:sz w:val="21"/>
              </w:rPr>
              <w:t>3.14</w:t>
            </w:r>
          </w:p>
        </w:tc>
      </w:tr>
      <w:tr>
        <w:trPr>
          <w:trHeight w:val="343" w:hRule="exact"/>
        </w:trPr>
        <w:tc>
          <w:tcPr>
            <w:tcW w:w="2449" w:type="dxa"/>
            <w:tcBorders>
              <w:top w:val="single" w:sz="4" w:space="0" w:color="000000"/>
              <w:left w:val="single" w:sz="17" w:space="0" w:color="000000"/>
              <w:bottom w:val="single" w:sz="17" w:space="0" w:color="000000"/>
              <w:right w:val="single" w:sz="4" w:space="0" w:color="000000"/>
            </w:tcBorders>
          </w:tcPr>
          <w:p>
            <w:pPr>
              <w:pStyle w:val="TableParagraph"/>
              <w:spacing w:line="265" w:lineRule="exact"/>
              <w:ind w:right="17"/>
              <w:jc w:val="center"/>
              <w:rPr>
                <w:rFonts w:ascii="宋体" w:hAnsi="宋体" w:cs="宋体" w:eastAsia="宋体" w:hint="default"/>
                <w:sz w:val="21"/>
                <w:szCs w:val="21"/>
              </w:rPr>
            </w:pPr>
            <w:r>
              <w:rPr>
                <w:rFonts w:ascii="宋体" w:hAnsi="宋体" w:cs="宋体" w:eastAsia="宋体" w:hint="default"/>
                <w:sz w:val="21"/>
                <w:szCs w:val="21"/>
              </w:rPr>
              <w:t>总资产周转率</w:t>
            </w:r>
          </w:p>
        </w:tc>
        <w:tc>
          <w:tcPr>
            <w:tcW w:w="198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1.86</w:t>
            </w:r>
          </w:p>
        </w:tc>
        <w:tc>
          <w:tcPr>
            <w:tcW w:w="180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1.99</w:t>
            </w:r>
          </w:p>
        </w:tc>
        <w:tc>
          <w:tcPr>
            <w:tcW w:w="160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21"/>
                <w:szCs w:val="21"/>
              </w:rPr>
            </w:pPr>
            <w:r>
              <w:rPr>
                <w:rFonts w:ascii="Times New Roman"/>
                <w:w w:val="95"/>
                <w:sz w:val="21"/>
              </w:rPr>
              <w:t>-0.13</w:t>
            </w:r>
            <w:r>
              <w:rPr>
                <w:rFonts w:ascii="Times New Roman"/>
                <w:sz w:val="21"/>
              </w:rPr>
            </w:r>
          </w:p>
        </w:tc>
        <w:tc>
          <w:tcPr>
            <w:tcW w:w="1402"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39"/>
              <w:ind w:left="15" w:right="0"/>
              <w:jc w:val="center"/>
              <w:rPr>
                <w:rFonts w:ascii="Times New Roman" w:hAnsi="Times New Roman" w:cs="Times New Roman" w:eastAsia="Times New Roman" w:hint="default"/>
                <w:sz w:val="21"/>
                <w:szCs w:val="21"/>
              </w:rPr>
            </w:pPr>
            <w:r>
              <w:rPr>
                <w:rFonts w:ascii="Times New Roman"/>
                <w:sz w:val="21"/>
              </w:rPr>
              <w:t>2.55</w:t>
            </w:r>
          </w:p>
        </w:tc>
      </w:tr>
    </w:tbl>
    <w:p>
      <w:pPr>
        <w:pStyle w:val="BodyText"/>
        <w:spacing w:line="348" w:lineRule="auto" w:before="81"/>
        <w:ind w:left="240" w:right="250" w:firstLine="482"/>
        <w:jc w:val="both"/>
      </w:pPr>
      <w:r>
        <w:rPr>
          <w:rFonts w:ascii="Wingdings" w:hAnsi="Wingdings" w:cs="Wingdings" w:eastAsia="Wingdings" w:hint="default"/>
        </w:rPr>
        <w:t></w:t>
      </w:r>
      <w:r>
        <w:rPr>
          <w:rFonts w:ascii="Wingdings" w:hAnsi="Wingdings" w:cs="Wingdings" w:eastAsia="Wingdings" w:hint="default"/>
          <w:spacing w:val="-46"/>
        </w:rPr>
        <w:t></w:t>
      </w:r>
      <w:r>
        <w:rPr>
          <w:rFonts w:ascii="Times New Roman" w:hAnsi="Times New Roman" w:cs="Times New Roman" w:eastAsia="Times New Roman" w:hint="default"/>
          <w:spacing w:val="-46"/>
        </w:rPr>
      </w:r>
      <w:r>
        <w:rPr/>
        <w:t>报告期内，由于“家电下乡”和“以旧换新”政策的实施，在促进公司销售增 </w:t>
      </w:r>
      <w:r>
        <w:rPr>
          <w:spacing w:val="-3"/>
        </w:rPr>
        <w:t>长的同时，也带来公司代垫财政补贴款的增加，另合约计划销售的推广也带来应收运营</w:t>
      </w:r>
      <w:r>
        <w:rPr>
          <w:spacing w:val="-98"/>
        </w:rPr>
        <w:t> </w:t>
      </w:r>
      <w:r>
        <w:rPr>
          <w:spacing w:val="-98"/>
        </w:rPr>
      </w:r>
      <w:r>
        <w:rPr/>
        <w:t>商款项增加，应收款项期末余额相应增加，从而导致应收账款周转率下降。</w:t>
      </w:r>
    </w:p>
    <w:p>
      <w:pPr>
        <w:pStyle w:val="BodyText"/>
        <w:spacing w:line="240" w:lineRule="auto" w:before="46"/>
        <w:ind w:left="722" w:right="119"/>
        <w:jc w:val="left"/>
      </w:pPr>
      <w:r>
        <w:rPr>
          <w:rFonts w:ascii="Wingdings" w:hAnsi="Wingdings" w:cs="Wingdings" w:eastAsia="Wingdings" w:hint="default"/>
        </w:rPr>
        <w:t></w:t>
      </w:r>
      <w:r>
        <w:rPr>
          <w:rFonts w:ascii="Wingdings" w:hAnsi="Wingdings" w:cs="Wingdings" w:eastAsia="Wingdings" w:hint="default"/>
          <w:spacing w:val="-44"/>
        </w:rPr>
        <w:t></w:t>
      </w:r>
      <w:r>
        <w:rPr>
          <w:rFonts w:ascii="Times New Roman" w:hAnsi="Times New Roman" w:cs="Times New Roman" w:eastAsia="Times New Roman" w:hint="default"/>
          <w:spacing w:val="-44"/>
        </w:rPr>
      </w:r>
      <w:r>
        <w:rPr/>
        <w:t>为应对元旦促销和春节前旺季销售，公司加大备货力度，带来报告期末库存增</w:t>
      </w:r>
    </w:p>
    <w:p>
      <w:pPr>
        <w:spacing w:after="0" w:line="240" w:lineRule="auto"/>
        <w:jc w:val="left"/>
        <w:sectPr>
          <w:pgSz w:w="11910" w:h="16840"/>
          <w:pgMar w:header="748" w:footer="714" w:top="980" w:bottom="900" w:left="1200" w:right="1180"/>
        </w:sectPr>
      </w:pPr>
    </w:p>
    <w:p>
      <w:pPr>
        <w:spacing w:line="240" w:lineRule="auto" w:before="7"/>
        <w:rPr>
          <w:rFonts w:ascii="宋体" w:hAnsi="宋体" w:cs="宋体" w:eastAsia="宋体" w:hint="default"/>
          <w:sz w:val="29"/>
          <w:szCs w:val="29"/>
        </w:rPr>
      </w:pPr>
    </w:p>
    <w:p>
      <w:pPr>
        <w:pStyle w:val="BodyText"/>
        <w:spacing w:line="357" w:lineRule="auto" w:before="26"/>
        <w:ind w:left="380" w:right="389"/>
        <w:jc w:val="left"/>
      </w:pPr>
      <w:r>
        <w:rPr>
          <w:spacing w:val="-3"/>
        </w:rPr>
        <w:t>加，存货周转率略有下降。未来，通过公司物流平台的合理规划，以及公司供应链管理</w:t>
      </w:r>
      <w:r>
        <w:rPr>
          <w:spacing w:val="-98"/>
        </w:rPr>
        <w:t> </w:t>
      </w:r>
      <w:r>
        <w:rPr>
          <w:spacing w:val="-98"/>
        </w:rPr>
      </w:r>
      <w:r>
        <w:rPr/>
        <w:t>水平进一步提高，存货周转率将逐步提升。</w:t>
      </w:r>
    </w:p>
    <w:p>
      <w:pPr>
        <w:pStyle w:val="BodyText"/>
        <w:spacing w:line="338" w:lineRule="auto" w:before="36"/>
        <w:ind w:left="380" w:right="389" w:firstLine="482"/>
        <w:jc w:val="left"/>
      </w:pPr>
      <w:r>
        <w:rPr>
          <w:rFonts w:ascii="Wingdings" w:hAnsi="Wingdings" w:cs="Wingdings" w:eastAsia="Wingdings" w:hint="default"/>
        </w:rPr>
        <w:t></w:t>
      </w:r>
      <w:r>
        <w:rPr>
          <w:rFonts w:ascii="Wingdings" w:hAnsi="Wingdings" w:cs="Wingdings" w:eastAsia="Wingdings" w:hint="default"/>
          <w:spacing w:val="-46"/>
        </w:rPr>
        <w:t></w:t>
      </w:r>
      <w:r>
        <w:rPr>
          <w:rFonts w:ascii="Times New Roman" w:hAnsi="Times New Roman" w:cs="Times New Roman" w:eastAsia="Times New Roman" w:hint="default"/>
          <w:spacing w:val="-46"/>
        </w:rPr>
      </w:r>
      <w:r>
        <w:rPr/>
        <w:t>报告期内，公司销售规模增长较快，由此带来流动资产周转率、总资产周转率 相对稳定。</w:t>
      </w:r>
    </w:p>
    <w:p>
      <w:pPr>
        <w:tabs>
          <w:tab w:pos="7459" w:val="left" w:leader="none"/>
        </w:tabs>
        <w:spacing w:before="55"/>
        <w:ind w:left="860" w:right="389"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5</w:t>
      </w:r>
      <w:r>
        <w:rPr>
          <w:rFonts w:ascii="宋体" w:hAnsi="宋体" w:cs="宋体" w:eastAsia="宋体" w:hint="default"/>
          <w:sz w:val="24"/>
          <w:szCs w:val="24"/>
        </w:rPr>
        <w:t>、现金流状况分析</w:t>
        <w:tab/>
      </w:r>
      <w:r>
        <w:rPr>
          <w:rFonts w:ascii="宋体" w:hAnsi="宋体" w:cs="宋体" w:eastAsia="宋体" w:hint="default"/>
          <w:sz w:val="21"/>
          <w:szCs w:val="21"/>
        </w:rPr>
        <w:t>（单位：千元）</w:t>
      </w:r>
    </w:p>
    <w:p>
      <w:pPr>
        <w:spacing w:line="240" w:lineRule="auto" w:before="5"/>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3640"/>
        <w:gridCol w:w="1961"/>
        <w:gridCol w:w="1960"/>
        <w:gridCol w:w="1958"/>
      </w:tblGrid>
      <w:tr>
        <w:trPr>
          <w:trHeight w:val="502" w:hRule="exact"/>
        </w:trPr>
        <w:tc>
          <w:tcPr>
            <w:tcW w:w="3640" w:type="dxa"/>
            <w:tcBorders>
              <w:top w:val="single" w:sz="17" w:space="0" w:color="000000"/>
              <w:left w:val="single" w:sz="17" w:space="0" w:color="000000"/>
              <w:bottom w:val="single" w:sz="4" w:space="0" w:color="000000"/>
              <w:right w:val="single" w:sz="4" w:space="0" w:color="000000"/>
            </w:tcBorders>
          </w:tcPr>
          <w:p>
            <w:pPr>
              <w:pStyle w:val="TableParagraph"/>
              <w:tabs>
                <w:tab w:pos="631" w:val="left" w:leader="none"/>
              </w:tabs>
              <w:spacing w:line="240" w:lineRule="auto" w:before="68"/>
              <w:ind w:right="14"/>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6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8"/>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9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8"/>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958"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68"/>
              <w:ind w:left="256"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70" w:hRule="exact"/>
        </w:trPr>
        <w:tc>
          <w:tcPr>
            <w:tcW w:w="364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86"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3,881,336</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5,554,942</w:t>
            </w:r>
          </w:p>
        </w:tc>
        <w:tc>
          <w:tcPr>
            <w:tcW w:w="19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7"/>
              <w:ind w:right="84"/>
              <w:jc w:val="right"/>
              <w:rPr>
                <w:rFonts w:ascii="Times New Roman" w:hAnsi="Times New Roman" w:cs="Times New Roman" w:eastAsia="Times New Roman" w:hint="default"/>
                <w:sz w:val="21"/>
                <w:szCs w:val="21"/>
              </w:rPr>
            </w:pPr>
            <w:r>
              <w:rPr>
                <w:rFonts w:ascii="Times New Roman"/>
                <w:spacing w:val="-1"/>
                <w:sz w:val="21"/>
              </w:rPr>
              <w:t>-30.13%</w:t>
            </w:r>
          </w:p>
        </w:tc>
      </w:tr>
      <w:tr>
        <w:trPr>
          <w:trHeight w:val="368" w:hRule="exact"/>
        </w:trPr>
        <w:tc>
          <w:tcPr>
            <w:tcW w:w="364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717"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88,671,641</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67,184,819</w:t>
            </w:r>
          </w:p>
        </w:tc>
        <w:tc>
          <w:tcPr>
            <w:tcW w:w="19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7"/>
              <w:ind w:right="82"/>
              <w:jc w:val="right"/>
              <w:rPr>
                <w:rFonts w:ascii="Times New Roman" w:hAnsi="Times New Roman" w:cs="Times New Roman" w:eastAsia="Times New Roman" w:hint="default"/>
                <w:sz w:val="21"/>
                <w:szCs w:val="21"/>
              </w:rPr>
            </w:pPr>
            <w:r>
              <w:rPr>
                <w:rFonts w:ascii="Times New Roman"/>
                <w:spacing w:val="-1"/>
                <w:sz w:val="21"/>
              </w:rPr>
              <w:t>31.98%</w:t>
            </w:r>
          </w:p>
        </w:tc>
      </w:tr>
      <w:tr>
        <w:trPr>
          <w:trHeight w:val="370" w:hRule="exact"/>
        </w:trPr>
        <w:tc>
          <w:tcPr>
            <w:tcW w:w="364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717"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84,790,305</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61,629,877</w:t>
            </w:r>
          </w:p>
        </w:tc>
        <w:tc>
          <w:tcPr>
            <w:tcW w:w="19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7"/>
              <w:ind w:right="82"/>
              <w:jc w:val="right"/>
              <w:rPr>
                <w:rFonts w:ascii="Times New Roman" w:hAnsi="Times New Roman" w:cs="Times New Roman" w:eastAsia="Times New Roman" w:hint="default"/>
                <w:sz w:val="21"/>
                <w:szCs w:val="21"/>
              </w:rPr>
            </w:pPr>
            <w:r>
              <w:rPr>
                <w:rFonts w:ascii="Times New Roman"/>
                <w:spacing w:val="-1"/>
                <w:sz w:val="21"/>
              </w:rPr>
              <w:t>37.58%</w:t>
            </w:r>
          </w:p>
        </w:tc>
      </w:tr>
      <w:tr>
        <w:trPr>
          <w:trHeight w:val="368" w:hRule="exact"/>
        </w:trPr>
        <w:tc>
          <w:tcPr>
            <w:tcW w:w="364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86"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-5,660,872</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-1,897,078</w:t>
            </w:r>
          </w:p>
        </w:tc>
        <w:tc>
          <w:tcPr>
            <w:tcW w:w="19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7"/>
              <w:ind w:right="84"/>
              <w:jc w:val="right"/>
              <w:rPr>
                <w:rFonts w:ascii="Times New Roman" w:hAnsi="Times New Roman" w:cs="Times New Roman" w:eastAsia="Times New Roman" w:hint="default"/>
                <w:sz w:val="21"/>
                <w:szCs w:val="21"/>
              </w:rPr>
            </w:pPr>
            <w:r>
              <w:rPr>
                <w:rFonts w:ascii="Times New Roman"/>
                <w:spacing w:val="-1"/>
                <w:sz w:val="21"/>
              </w:rPr>
              <w:t>-198.40%</w:t>
            </w:r>
          </w:p>
        </w:tc>
      </w:tr>
      <w:tr>
        <w:trPr>
          <w:trHeight w:val="370" w:hRule="exact"/>
        </w:trPr>
        <w:tc>
          <w:tcPr>
            <w:tcW w:w="364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717"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2,695</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2,772</w:t>
            </w:r>
          </w:p>
        </w:tc>
        <w:tc>
          <w:tcPr>
            <w:tcW w:w="19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7"/>
              <w:ind w:right="84"/>
              <w:jc w:val="right"/>
              <w:rPr>
                <w:rFonts w:ascii="Times New Roman" w:hAnsi="Times New Roman" w:cs="Times New Roman" w:eastAsia="Times New Roman" w:hint="default"/>
                <w:sz w:val="21"/>
                <w:szCs w:val="21"/>
              </w:rPr>
            </w:pPr>
            <w:r>
              <w:rPr>
                <w:rFonts w:ascii="Times New Roman"/>
                <w:spacing w:val="-1"/>
                <w:sz w:val="21"/>
              </w:rPr>
              <w:t>-2.78%</w:t>
            </w:r>
          </w:p>
        </w:tc>
      </w:tr>
      <w:tr>
        <w:trPr>
          <w:trHeight w:val="368" w:hRule="exact"/>
        </w:trPr>
        <w:tc>
          <w:tcPr>
            <w:tcW w:w="364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717"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5,663,567</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1,899,850</w:t>
            </w:r>
          </w:p>
        </w:tc>
        <w:tc>
          <w:tcPr>
            <w:tcW w:w="19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7"/>
              <w:ind w:right="84"/>
              <w:jc w:val="right"/>
              <w:rPr>
                <w:rFonts w:ascii="Times New Roman" w:hAnsi="Times New Roman" w:cs="Times New Roman" w:eastAsia="Times New Roman" w:hint="default"/>
                <w:sz w:val="21"/>
                <w:szCs w:val="21"/>
              </w:rPr>
            </w:pPr>
            <w:r>
              <w:rPr>
                <w:rFonts w:ascii="Times New Roman"/>
                <w:spacing w:val="-2"/>
                <w:sz w:val="21"/>
              </w:rPr>
              <w:t>198.11%</w:t>
            </w:r>
          </w:p>
        </w:tc>
      </w:tr>
      <w:tr>
        <w:trPr>
          <w:trHeight w:val="370" w:hRule="exact"/>
        </w:trPr>
        <w:tc>
          <w:tcPr>
            <w:tcW w:w="364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86"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123,450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2,773,655</w:t>
            </w:r>
          </w:p>
        </w:tc>
        <w:tc>
          <w:tcPr>
            <w:tcW w:w="19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7"/>
              <w:ind w:right="84"/>
              <w:jc w:val="right"/>
              <w:rPr>
                <w:rFonts w:ascii="Times New Roman" w:hAnsi="Times New Roman" w:cs="Times New Roman" w:eastAsia="Times New Roman" w:hint="default"/>
                <w:sz w:val="21"/>
                <w:szCs w:val="21"/>
              </w:rPr>
            </w:pPr>
            <w:r>
              <w:rPr>
                <w:rFonts w:ascii="Times New Roman"/>
                <w:spacing w:val="-1"/>
                <w:sz w:val="21"/>
              </w:rPr>
              <w:t>-95.55%</w:t>
            </w:r>
          </w:p>
        </w:tc>
      </w:tr>
      <w:tr>
        <w:trPr>
          <w:trHeight w:val="368" w:hRule="exact"/>
        </w:trPr>
        <w:tc>
          <w:tcPr>
            <w:tcW w:w="364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717"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454,109</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3,020,951</w:t>
            </w:r>
          </w:p>
        </w:tc>
        <w:tc>
          <w:tcPr>
            <w:tcW w:w="19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7"/>
              <w:ind w:right="84"/>
              <w:jc w:val="right"/>
              <w:rPr>
                <w:rFonts w:ascii="Times New Roman" w:hAnsi="Times New Roman" w:cs="Times New Roman" w:eastAsia="Times New Roman" w:hint="default"/>
                <w:sz w:val="21"/>
                <w:szCs w:val="21"/>
              </w:rPr>
            </w:pPr>
            <w:r>
              <w:rPr>
                <w:rFonts w:ascii="Times New Roman"/>
                <w:spacing w:val="-1"/>
                <w:sz w:val="21"/>
              </w:rPr>
              <w:t>-84.97%</w:t>
            </w:r>
          </w:p>
        </w:tc>
      </w:tr>
      <w:tr>
        <w:trPr>
          <w:trHeight w:val="370" w:hRule="exact"/>
        </w:trPr>
        <w:tc>
          <w:tcPr>
            <w:tcW w:w="364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717"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330,659</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247,296</w:t>
            </w:r>
          </w:p>
        </w:tc>
        <w:tc>
          <w:tcPr>
            <w:tcW w:w="19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7"/>
              <w:ind w:right="82"/>
              <w:jc w:val="right"/>
              <w:rPr>
                <w:rFonts w:ascii="Times New Roman" w:hAnsi="Times New Roman" w:cs="Times New Roman" w:eastAsia="Times New Roman" w:hint="default"/>
                <w:sz w:val="21"/>
                <w:szCs w:val="21"/>
              </w:rPr>
            </w:pPr>
            <w:r>
              <w:rPr>
                <w:rFonts w:ascii="Times New Roman"/>
                <w:spacing w:val="-1"/>
                <w:sz w:val="21"/>
              </w:rPr>
              <w:t>33.71%</w:t>
            </w:r>
          </w:p>
        </w:tc>
      </w:tr>
      <w:tr>
        <w:trPr>
          <w:trHeight w:val="368" w:hRule="exact"/>
        </w:trPr>
        <w:tc>
          <w:tcPr>
            <w:tcW w:w="364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86" w:right="0"/>
              <w:jc w:val="left"/>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-1,648,563</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21"/>
                <w:szCs w:val="21"/>
              </w:rPr>
            </w:pPr>
            <w:r>
              <w:rPr>
                <w:rFonts w:ascii="Times New Roman"/>
                <w:spacing w:val="-1"/>
                <w:sz w:val="21"/>
              </w:rPr>
              <w:t>6,431,290</w:t>
            </w:r>
          </w:p>
        </w:tc>
        <w:tc>
          <w:tcPr>
            <w:tcW w:w="19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7"/>
              <w:ind w:right="84"/>
              <w:jc w:val="right"/>
              <w:rPr>
                <w:rFonts w:ascii="Times New Roman" w:hAnsi="Times New Roman" w:cs="Times New Roman" w:eastAsia="Times New Roman" w:hint="default"/>
                <w:sz w:val="21"/>
                <w:szCs w:val="21"/>
              </w:rPr>
            </w:pPr>
            <w:r>
              <w:rPr>
                <w:rFonts w:ascii="Times New Roman"/>
                <w:spacing w:val="-1"/>
                <w:sz w:val="21"/>
              </w:rPr>
              <w:t>-125.63%</w:t>
            </w:r>
          </w:p>
        </w:tc>
      </w:tr>
      <w:tr>
        <w:trPr>
          <w:trHeight w:val="370" w:hRule="exact"/>
        </w:trPr>
        <w:tc>
          <w:tcPr>
            <w:tcW w:w="364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717" w:right="0"/>
              <w:jc w:val="left"/>
              <w:rPr>
                <w:rFonts w:ascii="宋体" w:hAnsi="宋体" w:cs="宋体" w:eastAsia="宋体" w:hint="default"/>
                <w:sz w:val="21"/>
                <w:szCs w:val="21"/>
              </w:rPr>
            </w:pPr>
            <w:r>
              <w:rPr>
                <w:rFonts w:ascii="宋体" w:hAnsi="宋体" w:cs="宋体" w:eastAsia="宋体" w:hint="default"/>
                <w:sz w:val="21"/>
                <w:szCs w:val="21"/>
              </w:rPr>
              <w:t>现金流入总计</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89,135,968</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70,208,542</w:t>
            </w:r>
          </w:p>
        </w:tc>
        <w:tc>
          <w:tcPr>
            <w:tcW w:w="19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7"/>
              <w:ind w:right="82"/>
              <w:jc w:val="right"/>
              <w:rPr>
                <w:rFonts w:ascii="Times New Roman" w:hAnsi="Times New Roman" w:cs="Times New Roman" w:eastAsia="Times New Roman" w:hint="default"/>
                <w:sz w:val="21"/>
                <w:szCs w:val="21"/>
              </w:rPr>
            </w:pPr>
            <w:r>
              <w:rPr>
                <w:rFonts w:ascii="Times New Roman"/>
                <w:spacing w:val="-1"/>
                <w:sz w:val="21"/>
              </w:rPr>
              <w:t>26.96%</w:t>
            </w:r>
          </w:p>
        </w:tc>
      </w:tr>
      <w:tr>
        <w:trPr>
          <w:trHeight w:val="388" w:hRule="exact"/>
        </w:trPr>
        <w:tc>
          <w:tcPr>
            <w:tcW w:w="3640"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9"/>
              <w:ind w:left="717" w:right="0"/>
              <w:jc w:val="left"/>
              <w:rPr>
                <w:rFonts w:ascii="宋体" w:hAnsi="宋体" w:cs="宋体" w:eastAsia="宋体" w:hint="default"/>
                <w:sz w:val="21"/>
                <w:szCs w:val="21"/>
              </w:rPr>
            </w:pPr>
            <w:r>
              <w:rPr>
                <w:rFonts w:ascii="宋体" w:hAnsi="宋体" w:cs="宋体" w:eastAsia="宋体" w:hint="default"/>
                <w:sz w:val="21"/>
                <w:szCs w:val="21"/>
              </w:rPr>
              <w:t>现金流出总计</w:t>
            </w:r>
          </w:p>
        </w:tc>
        <w:tc>
          <w:tcPr>
            <w:tcW w:w="196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90,784,531</w:t>
            </w:r>
          </w:p>
        </w:tc>
        <w:tc>
          <w:tcPr>
            <w:tcW w:w="19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63,777,023</w:t>
            </w:r>
          </w:p>
        </w:tc>
        <w:tc>
          <w:tcPr>
            <w:tcW w:w="1958"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57"/>
              <w:ind w:right="82"/>
              <w:jc w:val="right"/>
              <w:rPr>
                <w:rFonts w:ascii="Times New Roman" w:hAnsi="Times New Roman" w:cs="Times New Roman" w:eastAsia="Times New Roman" w:hint="default"/>
                <w:sz w:val="21"/>
                <w:szCs w:val="21"/>
              </w:rPr>
            </w:pPr>
            <w:r>
              <w:rPr>
                <w:rFonts w:ascii="Times New Roman"/>
                <w:spacing w:val="-1"/>
                <w:sz w:val="21"/>
              </w:rPr>
              <w:t>42.35%</w:t>
            </w:r>
          </w:p>
        </w:tc>
      </w:tr>
    </w:tbl>
    <w:p>
      <w:pPr>
        <w:pStyle w:val="BodyText"/>
        <w:spacing w:line="352" w:lineRule="auto" w:before="81"/>
        <w:ind w:left="380" w:right="390" w:firstLine="482"/>
        <w:jc w:val="both"/>
      </w:pPr>
      <w:r>
        <w:rPr>
          <w:rFonts w:ascii="Wingdings" w:hAnsi="Wingdings" w:cs="Wingdings" w:eastAsia="Wingdings" w:hint="default"/>
        </w:rPr>
        <w:t></w:t>
      </w:r>
      <w:r>
        <w:rPr>
          <w:rFonts w:ascii="Wingdings" w:hAnsi="Wingdings" w:cs="Wingdings" w:eastAsia="Wingdings" w:hint="default"/>
          <w:spacing w:val="-46"/>
        </w:rPr>
        <w:t></w:t>
      </w:r>
      <w:r>
        <w:rPr>
          <w:rFonts w:ascii="Times New Roman" w:hAnsi="Times New Roman" w:cs="Times New Roman" w:eastAsia="Times New Roman" w:hint="default"/>
          <w:spacing w:val="-46"/>
        </w:rPr>
      </w:r>
      <w:r>
        <w:rPr/>
        <w:t>报告期内，国家家电下乡、以旧换新政策实施区域范围的扩大，在刺激消费的 </w:t>
      </w:r>
      <w:r>
        <w:rPr>
          <w:spacing w:val="-3"/>
        </w:rPr>
        <w:t>同时，也增加了公司对财政部门的应收账款，对本报告期的经营活动产生的现金流量净</w:t>
      </w:r>
      <w:r>
        <w:rPr>
          <w:spacing w:val="-98"/>
        </w:rPr>
        <w:t> </w:t>
      </w:r>
      <w:r>
        <w:rPr>
          <w:spacing w:val="-98"/>
        </w:rPr>
      </w:r>
      <w:r>
        <w:rPr>
          <w:spacing w:val="-3"/>
        </w:rPr>
        <w:t>额产生一定的影响；另外，随着公司连锁规模的扩大，以及对本次元旦、春节销售的较</w:t>
      </w:r>
      <w:r>
        <w:rPr>
          <w:spacing w:val="-98"/>
        </w:rPr>
        <w:t> </w:t>
      </w:r>
      <w:r>
        <w:rPr>
          <w:spacing w:val="-98"/>
        </w:rPr>
      </w:r>
      <w:r>
        <w:rPr>
          <w:spacing w:val="-3"/>
        </w:rPr>
        <w:t>好预期，考虑到与供应商建立更加融洽，互惠互利的合作关系，公司较上年度适当增加</w:t>
      </w:r>
      <w:r>
        <w:rPr>
          <w:spacing w:val="-96"/>
        </w:rPr>
        <w:t> </w:t>
      </w:r>
      <w:r>
        <w:rPr>
          <w:spacing w:val="-96"/>
        </w:rPr>
      </w:r>
      <w:r>
        <w:rPr/>
        <w:t>了供应商货款的预付，由此带来经营活动产生的现金流量净额较上年度下降</w:t>
      </w:r>
      <w:r>
        <w:rPr>
          <w:spacing w:val="-60"/>
        </w:rPr>
        <w:t> </w:t>
      </w:r>
      <w:r>
        <w:rPr>
          <w:rFonts w:ascii="Times New Roman" w:hAnsi="Times New Roman" w:cs="Times New Roman" w:eastAsia="Times New Roman" w:hint="default"/>
        </w:rPr>
        <w:t>30.13%</w:t>
      </w:r>
      <w:r>
        <w:rPr/>
        <w:t>。</w:t>
      </w:r>
    </w:p>
    <w:p>
      <w:pPr>
        <w:pStyle w:val="BodyText"/>
        <w:spacing w:line="350" w:lineRule="auto" w:before="11"/>
        <w:ind w:left="380" w:right="390" w:firstLine="480"/>
        <w:jc w:val="both"/>
      </w:pPr>
      <w:r>
        <w:rPr>
          <w:rFonts w:ascii="Wingdings" w:hAnsi="Wingdings" w:cs="Wingdings" w:eastAsia="Wingdings" w:hint="default"/>
        </w:rPr>
        <w:t></w:t>
      </w:r>
      <w:r>
        <w:rPr>
          <w:rFonts w:ascii="Wingdings" w:hAnsi="Wingdings" w:cs="Wingdings" w:eastAsia="Wingdings" w:hint="default"/>
          <w:spacing w:val="-44"/>
        </w:rPr>
        <w:t></w:t>
      </w:r>
      <w:r>
        <w:rPr>
          <w:rFonts w:ascii="Times New Roman" w:hAnsi="Times New Roman" w:cs="Times New Roman" w:eastAsia="Times New Roman" w:hint="default"/>
          <w:spacing w:val="-44"/>
        </w:rPr>
      </w:r>
      <w:r>
        <w:rPr/>
        <w:t>报告期内，由于总部办公楼、自建店、物流基地等项目建设投入增加以及购置 </w:t>
      </w:r>
      <w:r>
        <w:rPr>
          <w:spacing w:val="-3"/>
        </w:rPr>
        <w:t>了物流、自建店用地，另为提高资金使用效率，公司购买了银行保本固定收益产品，带</w:t>
      </w:r>
      <w:r>
        <w:rPr>
          <w:spacing w:val="-98"/>
        </w:rPr>
        <w:t> </w:t>
      </w:r>
      <w:r>
        <w:rPr>
          <w:spacing w:val="-98"/>
        </w:rPr>
      </w:r>
      <w:r>
        <w:rPr>
          <w:spacing w:val="17"/>
        </w:rPr>
        <w:t>来投资活动现金流出量增加，由此导致投资活动产生的现金流量净额较去年下降</w:t>
      </w:r>
      <w:r>
        <w:rPr>
          <w:spacing w:val="-108"/>
        </w:rPr>
        <w:t> </w:t>
      </w:r>
      <w:r>
        <w:rPr>
          <w:spacing w:val="-108"/>
        </w:rPr>
      </w:r>
      <w:r>
        <w:rPr>
          <w:rFonts w:ascii="Times New Roman" w:hAnsi="Times New Roman" w:cs="Times New Roman" w:eastAsia="Times New Roman" w:hint="default"/>
        </w:rPr>
        <w:t>198.40%</w:t>
      </w:r>
      <w:r>
        <w:rPr/>
        <w:t>。</w:t>
      </w:r>
    </w:p>
    <w:p>
      <w:pPr>
        <w:pStyle w:val="BodyText"/>
        <w:spacing w:line="338" w:lineRule="auto" w:before="13"/>
        <w:ind w:left="379" w:right="393" w:firstLine="480"/>
        <w:jc w:val="both"/>
      </w:pPr>
      <w:r>
        <w:rPr>
          <w:rFonts w:ascii="Wingdings" w:hAnsi="Wingdings" w:cs="Wingdings" w:eastAsia="Wingdings" w:hint="default"/>
        </w:rPr>
        <w:t></w:t>
      </w:r>
      <w:r>
        <w:rPr>
          <w:rFonts w:ascii="Wingdings" w:hAnsi="Wingdings" w:cs="Wingdings" w:eastAsia="Wingdings" w:hint="default"/>
          <w:spacing w:val="-58"/>
        </w:rPr>
        <w:t></w:t>
      </w:r>
      <w:r>
        <w:rPr>
          <w:rFonts w:ascii="Times New Roman" w:hAnsi="Times New Roman" w:cs="Times New Roman" w:eastAsia="Times New Roman" w:hint="default"/>
          <w:spacing w:val="-58"/>
        </w:rPr>
      </w:r>
      <w:r>
        <w:rPr/>
        <w:t>由于上年同期公司</w:t>
      </w:r>
      <w:r>
        <w:rPr>
          <w:spacing w:val="-60"/>
        </w:rPr>
        <w:t> </w:t>
      </w:r>
      <w:r>
        <w:rPr>
          <w:rFonts w:ascii="Times New Roman" w:hAnsi="Times New Roman" w:cs="Times New Roman" w:eastAsia="Times New Roman" w:hint="default"/>
        </w:rPr>
        <w:t>2009 </w:t>
      </w:r>
      <w:r>
        <w:rPr>
          <w:spacing w:val="-4"/>
        </w:rPr>
        <w:t>年非公开增发的资金到位，由此带来报告期内筹资活动</w:t>
      </w:r>
      <w:r>
        <w:rPr/>
        <w:t> 现金流入量同比减少 </w:t>
      </w:r>
      <w:r>
        <w:rPr>
          <w:rFonts w:ascii="Times New Roman" w:hAnsi="Times New Roman" w:cs="Times New Roman" w:eastAsia="Times New Roman" w:hint="default"/>
        </w:rPr>
        <w:t>84.97%</w:t>
      </w:r>
      <w:r>
        <w:rPr/>
        <w:t>，另公司香港子公司偿还银行借款同比增加，由此带来报 告期内筹资活动产生的现金流量净额同比下降</w:t>
      </w:r>
      <w:r>
        <w:rPr>
          <w:spacing w:val="-60"/>
        </w:rPr>
        <w:t> </w:t>
      </w:r>
      <w:r>
        <w:rPr>
          <w:rFonts w:ascii="Times New Roman" w:hAnsi="Times New Roman" w:cs="Times New Roman" w:eastAsia="Times New Roman" w:hint="default"/>
        </w:rPr>
        <w:t>95.55%</w:t>
      </w:r>
      <w:r>
        <w:rPr/>
        <w:t>。</w:t>
      </w:r>
    </w:p>
    <w:p>
      <w:pPr>
        <w:pStyle w:val="BodyText"/>
        <w:spacing w:line="338" w:lineRule="auto" w:before="27"/>
        <w:ind w:left="860" w:right="389"/>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上述原因，带来报告期内现金及现金等价物净增加额同比减少</w:t>
      </w:r>
      <w:r>
        <w:rPr>
          <w:spacing w:val="-60"/>
        </w:rPr>
        <w:t> </w:t>
      </w:r>
      <w:r>
        <w:rPr>
          <w:rFonts w:ascii="Times New Roman" w:hAnsi="Times New Roman" w:cs="Times New Roman" w:eastAsia="Times New Roman" w:hint="default"/>
        </w:rPr>
        <w:t>125.63%</w:t>
      </w:r>
      <w:r>
        <w:rPr/>
        <w:t>。 </w:t>
      </w:r>
      <w:r>
        <w:rPr>
          <w:rFonts w:ascii="Times New Roman" w:hAnsi="Times New Roman" w:cs="Times New Roman" w:eastAsia="Times New Roman" w:hint="default"/>
        </w:rPr>
        <w:t>6</w:t>
      </w:r>
      <w:r>
        <w:rPr/>
        <w:t>、截止报告期末，公司不存在证券投资等交易性金融资产，不存在委托理财等财</w:t>
      </w:r>
    </w:p>
    <w:p>
      <w:pPr>
        <w:pStyle w:val="BodyText"/>
        <w:spacing w:line="240" w:lineRule="auto" w:before="27"/>
        <w:ind w:left="380" w:right="389"/>
        <w:jc w:val="left"/>
      </w:pPr>
      <w:r>
        <w:rPr/>
        <w:t>务性投资或套期保值业务，也不存在对创业企业投资的情形。</w:t>
      </w:r>
    </w:p>
    <w:p>
      <w:pPr>
        <w:spacing w:after="0" w:line="240" w:lineRule="auto"/>
        <w:jc w:val="left"/>
        <w:sectPr>
          <w:pgSz w:w="11910" w:h="16840"/>
          <w:pgMar w:header="748" w:footer="714" w:top="980" w:bottom="900" w:left="1060" w:right="1040"/>
        </w:sectPr>
      </w:pPr>
    </w:p>
    <w:p>
      <w:pPr>
        <w:spacing w:line="240" w:lineRule="auto" w:before="7"/>
        <w:rPr>
          <w:rFonts w:ascii="宋体" w:hAnsi="宋体" w:cs="宋体" w:eastAsia="宋体" w:hint="default"/>
          <w:sz w:val="29"/>
          <w:szCs w:val="29"/>
        </w:rPr>
      </w:pPr>
    </w:p>
    <w:p>
      <w:pPr>
        <w:pStyle w:val="BodyText"/>
        <w:spacing w:line="240" w:lineRule="auto" w:before="26"/>
        <w:ind w:left="720" w:right="2202"/>
        <w:jc w:val="left"/>
      </w:pPr>
      <w:r>
        <w:rPr/>
        <w:t>（五）主要控股公司及参股公司的经营情况及业绩：</w:t>
      </w:r>
    </w:p>
    <w:p>
      <w:pPr>
        <w:pStyle w:val="BodyText"/>
        <w:spacing w:line="240" w:lineRule="auto" w:before="154"/>
        <w:ind w:left="720" w:right="2202"/>
        <w:jc w:val="left"/>
      </w:pPr>
      <w:r>
        <w:rPr>
          <w:rFonts w:ascii="Times New Roman" w:hAnsi="Times New Roman" w:cs="Times New Roman" w:eastAsia="Times New Roman" w:hint="default"/>
        </w:rPr>
        <w:t>1</w:t>
      </w:r>
      <w:r>
        <w:rPr/>
        <w:t>、净利润前</w:t>
      </w:r>
      <w:r>
        <w:rPr>
          <w:spacing w:val="-60"/>
        </w:rPr>
        <w:t> </w:t>
      </w:r>
      <w:r>
        <w:rPr>
          <w:rFonts w:ascii="Times New Roman" w:hAnsi="Times New Roman" w:cs="Times New Roman" w:eastAsia="Times New Roman" w:hint="default"/>
        </w:rPr>
        <w:t>30 </w:t>
      </w:r>
      <w:r>
        <w:rPr/>
        <w:t>位控股子公司经营情况如下：</w:t>
      </w:r>
    </w:p>
    <w:p>
      <w:pPr>
        <w:spacing w:line="240" w:lineRule="auto" w:before="5"/>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3385"/>
        <w:gridCol w:w="1396"/>
        <w:gridCol w:w="1544"/>
        <w:gridCol w:w="1524"/>
        <w:gridCol w:w="1396"/>
      </w:tblGrid>
      <w:tr>
        <w:trPr>
          <w:trHeight w:val="574" w:hRule="exact"/>
        </w:trPr>
        <w:tc>
          <w:tcPr>
            <w:tcW w:w="3385"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104"/>
              <w:ind w:left="1040" w:right="0"/>
              <w:jc w:val="left"/>
              <w:rPr>
                <w:rFonts w:ascii="宋体" w:hAnsi="宋体" w:cs="宋体" w:eastAsia="宋体" w:hint="default"/>
                <w:sz w:val="21"/>
                <w:szCs w:val="21"/>
              </w:rPr>
            </w:pPr>
            <w:r>
              <w:rPr>
                <w:rFonts w:ascii="宋体" w:hAnsi="宋体" w:cs="宋体" w:eastAsia="宋体" w:hint="default"/>
                <w:sz w:val="21"/>
                <w:szCs w:val="21"/>
              </w:rPr>
              <w:t>控股公司名称</w:t>
            </w:r>
          </w:p>
        </w:tc>
        <w:tc>
          <w:tcPr>
            <w:tcW w:w="1396" w:type="dxa"/>
            <w:tcBorders>
              <w:top w:val="single" w:sz="17" w:space="0" w:color="000000"/>
              <w:left w:val="single" w:sz="4" w:space="0" w:color="000000"/>
              <w:bottom w:val="single" w:sz="4" w:space="0" w:color="000000"/>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4" w:lineRule="exact"/>
              <w:ind w:left="377"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54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4"/>
              <w:ind w:right="65"/>
              <w:jc w:val="right"/>
              <w:rPr>
                <w:rFonts w:ascii="宋体" w:hAnsi="宋体" w:cs="宋体" w:eastAsia="宋体" w:hint="default"/>
                <w:sz w:val="21"/>
                <w:szCs w:val="21"/>
              </w:rPr>
            </w:pPr>
            <w:r>
              <w:rPr>
                <w:rFonts w:ascii="宋体" w:hAnsi="宋体" w:cs="宋体" w:eastAsia="宋体" w:hint="default"/>
                <w:spacing w:val="-1"/>
                <w:sz w:val="21"/>
                <w:szCs w:val="21"/>
              </w:rPr>
              <w:t>总资产（元）</w:t>
            </w:r>
          </w:p>
        </w:tc>
        <w:tc>
          <w:tcPr>
            <w:tcW w:w="152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4"/>
              <w:ind w:right="44"/>
              <w:jc w:val="right"/>
              <w:rPr>
                <w:rFonts w:ascii="宋体" w:hAnsi="宋体" w:cs="宋体" w:eastAsia="宋体" w:hint="default"/>
                <w:sz w:val="21"/>
                <w:szCs w:val="21"/>
              </w:rPr>
            </w:pPr>
            <w:r>
              <w:rPr>
                <w:rFonts w:ascii="宋体" w:hAnsi="宋体" w:cs="宋体" w:eastAsia="宋体" w:hint="default"/>
                <w:spacing w:val="-1"/>
                <w:sz w:val="21"/>
                <w:szCs w:val="21"/>
              </w:rPr>
              <w:t>净资产（元）</w:t>
            </w:r>
          </w:p>
        </w:tc>
        <w:tc>
          <w:tcPr>
            <w:tcW w:w="1396"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104"/>
              <w:ind w:left="208" w:right="-20"/>
              <w:jc w:val="left"/>
              <w:rPr>
                <w:rFonts w:ascii="宋体" w:hAnsi="宋体" w:cs="宋体" w:eastAsia="宋体" w:hint="default"/>
                <w:sz w:val="21"/>
                <w:szCs w:val="21"/>
              </w:rPr>
            </w:pPr>
            <w:r>
              <w:rPr>
                <w:rFonts w:ascii="宋体" w:hAnsi="宋体" w:cs="宋体" w:eastAsia="宋体" w:hint="default"/>
                <w:spacing w:val="-14"/>
                <w:sz w:val="21"/>
                <w:szCs w:val="21"/>
              </w:rPr>
              <w:t>净利润（元）</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北京苏宁电器有限公司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312,478,500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2,268,366,314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03" w:right="0"/>
              <w:jc w:val="left"/>
              <w:rPr>
                <w:rFonts w:ascii="Times New Roman" w:hAnsi="Times New Roman" w:cs="Times New Roman" w:eastAsia="Times New Roman" w:hint="default"/>
                <w:sz w:val="21"/>
                <w:szCs w:val="21"/>
              </w:rPr>
            </w:pPr>
            <w:r>
              <w:rPr>
                <w:rFonts w:ascii="Times New Roman"/>
                <w:sz w:val="21"/>
              </w:rPr>
              <w:t>1,127,913,379</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232" w:right="0"/>
              <w:jc w:val="left"/>
              <w:rPr>
                <w:rFonts w:ascii="Times New Roman" w:hAnsi="Times New Roman" w:cs="Times New Roman" w:eastAsia="Times New Roman" w:hint="default"/>
                <w:sz w:val="21"/>
                <w:szCs w:val="21"/>
              </w:rPr>
            </w:pPr>
            <w:r>
              <w:rPr>
                <w:rFonts w:ascii="Times New Roman"/>
                <w:sz w:val="21"/>
              </w:rPr>
              <w:t>273,920,091</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上海苏宁电器有限公司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262,080,000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1,934,718,608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0" w:right="0"/>
              <w:jc w:val="left"/>
              <w:rPr>
                <w:rFonts w:ascii="Times New Roman" w:hAnsi="Times New Roman" w:cs="Times New Roman" w:eastAsia="Times New Roman" w:hint="default"/>
                <w:sz w:val="21"/>
                <w:szCs w:val="21"/>
              </w:rPr>
            </w:pPr>
            <w:r>
              <w:rPr>
                <w:rFonts w:ascii="Times New Roman"/>
                <w:sz w:val="21"/>
              </w:rPr>
              <w:t>863,280,097</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232" w:right="0"/>
              <w:jc w:val="left"/>
              <w:rPr>
                <w:rFonts w:ascii="Times New Roman" w:hAnsi="Times New Roman" w:cs="Times New Roman" w:eastAsia="Times New Roman" w:hint="default"/>
                <w:sz w:val="21"/>
                <w:szCs w:val="21"/>
              </w:rPr>
            </w:pPr>
            <w:r>
              <w:rPr>
                <w:rFonts w:ascii="Times New Roman"/>
                <w:sz w:val="21"/>
              </w:rPr>
              <w:t>172,646,303</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重庆渝宁苏宁电器有限公司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345,480,000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1,312,296,808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1" w:right="0"/>
              <w:jc w:val="left"/>
              <w:rPr>
                <w:rFonts w:ascii="Times New Roman" w:hAnsi="Times New Roman" w:cs="Times New Roman" w:eastAsia="Times New Roman" w:hint="default"/>
                <w:sz w:val="21"/>
                <w:szCs w:val="21"/>
              </w:rPr>
            </w:pPr>
            <w:r>
              <w:rPr>
                <w:rFonts w:ascii="Times New Roman"/>
                <w:sz w:val="21"/>
              </w:rPr>
              <w:t>589,486,974</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240" w:right="0"/>
              <w:jc w:val="left"/>
              <w:rPr>
                <w:rFonts w:ascii="Times New Roman" w:hAnsi="Times New Roman" w:cs="Times New Roman" w:eastAsia="Times New Roman" w:hint="default"/>
                <w:sz w:val="21"/>
                <w:szCs w:val="21"/>
              </w:rPr>
            </w:pPr>
            <w:r>
              <w:rPr>
                <w:rFonts w:ascii="Times New Roman"/>
                <w:sz w:val="21"/>
              </w:rPr>
              <w:t>116,558,690</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四川苏宁电器有限公司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90,370,000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629,753,140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1" w:right="0"/>
              <w:jc w:val="left"/>
              <w:rPr>
                <w:rFonts w:ascii="Times New Roman" w:hAnsi="Times New Roman" w:cs="Times New Roman" w:eastAsia="Times New Roman" w:hint="default"/>
                <w:sz w:val="21"/>
                <w:szCs w:val="21"/>
              </w:rPr>
            </w:pPr>
            <w:r>
              <w:rPr>
                <w:rFonts w:ascii="Times New Roman"/>
                <w:sz w:val="21"/>
              </w:rPr>
              <w:t>289,166,480</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232" w:right="0"/>
              <w:jc w:val="left"/>
              <w:rPr>
                <w:rFonts w:ascii="Times New Roman" w:hAnsi="Times New Roman" w:cs="Times New Roman" w:eastAsia="Times New Roman" w:hint="default"/>
                <w:sz w:val="21"/>
                <w:szCs w:val="21"/>
              </w:rPr>
            </w:pPr>
            <w:r>
              <w:rPr>
                <w:rFonts w:ascii="Times New Roman"/>
                <w:sz w:val="21"/>
              </w:rPr>
              <w:t>106,695,833</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陕西苏宁电器有限责任公司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41,860,000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430,464,556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1" w:right="0"/>
              <w:jc w:val="left"/>
              <w:rPr>
                <w:rFonts w:ascii="Times New Roman" w:hAnsi="Times New Roman" w:cs="Times New Roman" w:eastAsia="Times New Roman" w:hint="default"/>
                <w:sz w:val="21"/>
                <w:szCs w:val="21"/>
              </w:rPr>
            </w:pPr>
            <w:r>
              <w:rPr>
                <w:rFonts w:ascii="Times New Roman"/>
                <w:sz w:val="21"/>
              </w:rPr>
              <w:t>327,732,043</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82,703,043</w:t>
            </w:r>
          </w:p>
        </w:tc>
      </w:tr>
      <w:tr>
        <w:trPr>
          <w:trHeight w:val="294"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深圳市苏宁电器有限公司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93,400,000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1,086,981,726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1" w:right="0"/>
              <w:jc w:val="left"/>
              <w:rPr>
                <w:rFonts w:ascii="Times New Roman" w:hAnsi="Times New Roman" w:cs="Times New Roman" w:eastAsia="Times New Roman" w:hint="default"/>
                <w:sz w:val="21"/>
                <w:szCs w:val="21"/>
              </w:rPr>
            </w:pPr>
            <w:r>
              <w:rPr>
                <w:rFonts w:ascii="Times New Roman"/>
                <w:sz w:val="21"/>
              </w:rPr>
              <w:t>360,231,062</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75,974,597</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天津天宁苏宁电器有限公司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58,000,000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513,757,817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1" w:right="0"/>
              <w:jc w:val="left"/>
              <w:rPr>
                <w:rFonts w:ascii="Times New Roman" w:hAnsi="Times New Roman" w:cs="Times New Roman" w:eastAsia="Times New Roman" w:hint="default"/>
                <w:sz w:val="21"/>
                <w:szCs w:val="21"/>
              </w:rPr>
            </w:pPr>
            <w:r>
              <w:rPr>
                <w:rFonts w:ascii="Times New Roman"/>
                <w:sz w:val="21"/>
              </w:rPr>
              <w:t>145,139,077</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45,613,964</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广东苏宁电器有限公司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240,400,000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562,337,366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1" w:right="0"/>
              <w:jc w:val="left"/>
              <w:rPr>
                <w:rFonts w:ascii="Times New Roman" w:hAnsi="Times New Roman" w:cs="Times New Roman" w:eastAsia="Times New Roman" w:hint="default"/>
                <w:sz w:val="21"/>
                <w:szCs w:val="21"/>
              </w:rPr>
            </w:pPr>
            <w:r>
              <w:rPr>
                <w:rFonts w:ascii="Times New Roman"/>
                <w:sz w:val="21"/>
              </w:rPr>
              <w:t>354,481,472</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45,063,396</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上海长宁苏宁电器有限公司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558,186,000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900,495,714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1" w:right="0"/>
              <w:jc w:val="left"/>
              <w:rPr>
                <w:rFonts w:ascii="Times New Roman" w:hAnsi="Times New Roman" w:cs="Times New Roman" w:eastAsia="Times New Roman" w:hint="default"/>
                <w:sz w:val="21"/>
                <w:szCs w:val="21"/>
              </w:rPr>
            </w:pPr>
            <w:r>
              <w:rPr>
                <w:rFonts w:ascii="Times New Roman"/>
                <w:sz w:val="21"/>
              </w:rPr>
              <w:t>658,501,305</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44,210,884</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武汉苏宁电器有限公司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334,430,000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1,126,842,472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1" w:right="0"/>
              <w:jc w:val="left"/>
              <w:rPr>
                <w:rFonts w:ascii="Times New Roman" w:hAnsi="Times New Roman" w:cs="Times New Roman" w:eastAsia="Times New Roman" w:hint="default"/>
                <w:sz w:val="21"/>
                <w:szCs w:val="21"/>
              </w:rPr>
            </w:pPr>
            <w:r>
              <w:rPr>
                <w:rFonts w:ascii="Times New Roman"/>
                <w:sz w:val="21"/>
              </w:rPr>
              <w:t>434,575,945</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42,150,450</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云南苏宁电器有限公司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16,000,000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370,491,101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1" w:right="0"/>
              <w:jc w:val="left"/>
              <w:rPr>
                <w:rFonts w:ascii="Times New Roman" w:hAnsi="Times New Roman" w:cs="Times New Roman" w:eastAsia="Times New Roman" w:hint="default"/>
                <w:sz w:val="21"/>
                <w:szCs w:val="21"/>
              </w:rPr>
            </w:pPr>
            <w:r>
              <w:rPr>
                <w:rFonts w:ascii="Times New Roman"/>
                <w:sz w:val="21"/>
              </w:rPr>
              <w:t>107,528,018</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35,635,621</w:t>
            </w:r>
          </w:p>
        </w:tc>
      </w:tr>
      <w:tr>
        <w:trPr>
          <w:trHeight w:val="294"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浙江苏宁电器有限公司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250,010,000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605,461,424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1" w:right="0"/>
              <w:jc w:val="left"/>
              <w:rPr>
                <w:rFonts w:ascii="Times New Roman" w:hAnsi="Times New Roman" w:cs="Times New Roman" w:eastAsia="Times New Roman" w:hint="default"/>
                <w:sz w:val="21"/>
                <w:szCs w:val="21"/>
              </w:rPr>
            </w:pPr>
            <w:r>
              <w:rPr>
                <w:rFonts w:ascii="Times New Roman"/>
                <w:sz w:val="21"/>
              </w:rPr>
              <w:t>461,616,443</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34,806,142</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广西苏宁电器有限公司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26,300,000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201,478,056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1" w:right="0"/>
              <w:jc w:val="left"/>
              <w:rPr>
                <w:rFonts w:ascii="Times New Roman" w:hAnsi="Times New Roman" w:cs="Times New Roman" w:eastAsia="Times New Roman" w:hint="default"/>
                <w:sz w:val="21"/>
                <w:szCs w:val="21"/>
              </w:rPr>
            </w:pPr>
            <w:r>
              <w:rPr>
                <w:rFonts w:ascii="Times New Roman"/>
                <w:sz w:val="21"/>
              </w:rPr>
              <w:t>148,042,121</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31,839,370</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贵阳东方苏宁电器有限公司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25,200,000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139,178,196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92,639,876</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26,961,068</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安徽苏宁电器有限公司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19,500,000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370,583,267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1" w:right="0"/>
              <w:jc w:val="left"/>
              <w:rPr>
                <w:rFonts w:ascii="Times New Roman" w:hAnsi="Times New Roman" w:cs="Times New Roman" w:eastAsia="Times New Roman" w:hint="default"/>
                <w:sz w:val="21"/>
                <w:szCs w:val="21"/>
              </w:rPr>
            </w:pPr>
            <w:r>
              <w:rPr>
                <w:rFonts w:ascii="Times New Roman"/>
                <w:sz w:val="21"/>
              </w:rPr>
              <w:t>175,756,600</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26,406,982</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沈阳苏宁电器有限公司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265,933,000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540,424,190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1" w:right="0"/>
              <w:jc w:val="left"/>
              <w:rPr>
                <w:rFonts w:ascii="Times New Roman" w:hAnsi="Times New Roman" w:cs="Times New Roman" w:eastAsia="Times New Roman" w:hint="default"/>
                <w:sz w:val="21"/>
                <w:szCs w:val="21"/>
              </w:rPr>
            </w:pPr>
            <w:r>
              <w:rPr>
                <w:rFonts w:ascii="Times New Roman"/>
                <w:sz w:val="21"/>
              </w:rPr>
              <w:t>330,235,184</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25,001,328</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大连沈大苏宁电器有限公司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26,700,000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316,187,551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93,961,308</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24,744,749</w:t>
            </w:r>
          </w:p>
        </w:tc>
      </w:tr>
      <w:tr>
        <w:trPr>
          <w:trHeight w:val="294"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南通苏宁电器有限公司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24,500,000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122,577,908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94,531,327</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24,275,626</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山东苏宁电器有限公司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14,200,000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284,451,648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2"/>
                <w:sz w:val="21"/>
              </w:rPr>
              <w:t>55,907,011</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22,900,624</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福建苏宁电器有限公司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173,500,000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402,688,740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1" w:right="0"/>
              <w:jc w:val="left"/>
              <w:rPr>
                <w:rFonts w:ascii="Times New Roman" w:hAnsi="Times New Roman" w:cs="Times New Roman" w:eastAsia="Times New Roman" w:hint="default"/>
                <w:sz w:val="21"/>
                <w:szCs w:val="21"/>
              </w:rPr>
            </w:pPr>
            <w:r>
              <w:rPr>
                <w:rFonts w:ascii="Times New Roman"/>
                <w:sz w:val="21"/>
              </w:rPr>
              <w:t>232,027,324</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44" w:right="0"/>
              <w:jc w:val="left"/>
              <w:rPr>
                <w:rFonts w:ascii="Times New Roman" w:hAnsi="Times New Roman" w:cs="Times New Roman" w:eastAsia="Times New Roman" w:hint="default"/>
                <w:sz w:val="21"/>
                <w:szCs w:val="21"/>
              </w:rPr>
            </w:pPr>
            <w:r>
              <w:rPr>
                <w:rFonts w:ascii="Times New Roman"/>
                <w:sz w:val="21"/>
              </w:rPr>
              <w:t>22,104,113</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佛山市苏宁电器有限公司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46,400,000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161,368,654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8" w:right="0"/>
              <w:jc w:val="left"/>
              <w:rPr>
                <w:rFonts w:ascii="Times New Roman" w:hAnsi="Times New Roman" w:cs="Times New Roman" w:eastAsia="Times New Roman" w:hint="default"/>
                <w:sz w:val="21"/>
                <w:szCs w:val="21"/>
              </w:rPr>
            </w:pPr>
            <w:r>
              <w:rPr>
                <w:rFonts w:ascii="Times New Roman"/>
                <w:sz w:val="21"/>
              </w:rPr>
              <w:t>104,030,511</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21,151,999</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淮安苏宁电器有限公司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50,000,000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127,104,677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72,687,233</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44" w:right="0"/>
              <w:jc w:val="left"/>
              <w:rPr>
                <w:rFonts w:ascii="Times New Roman" w:hAnsi="Times New Roman" w:cs="Times New Roman" w:eastAsia="Times New Roman" w:hint="default"/>
                <w:sz w:val="21"/>
                <w:szCs w:val="21"/>
              </w:rPr>
            </w:pPr>
            <w:r>
              <w:rPr>
                <w:rFonts w:ascii="Times New Roman"/>
                <w:sz w:val="21"/>
              </w:rPr>
              <w:t>21,113,195</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苏州苏宁电器有限公司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62,150,000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166,860,093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8" w:right="0"/>
              <w:jc w:val="left"/>
              <w:rPr>
                <w:rFonts w:ascii="Times New Roman" w:hAnsi="Times New Roman" w:cs="Times New Roman" w:eastAsia="Times New Roman" w:hint="default"/>
                <w:sz w:val="21"/>
                <w:szCs w:val="21"/>
              </w:rPr>
            </w:pPr>
            <w:r>
              <w:rPr>
                <w:rFonts w:ascii="Times New Roman"/>
                <w:sz w:val="21"/>
              </w:rPr>
              <w:t>115,822,017</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20,232,883</w:t>
            </w:r>
          </w:p>
        </w:tc>
      </w:tr>
      <w:tr>
        <w:trPr>
          <w:trHeight w:val="294"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青岛鲁宁苏宁电器有限公司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20,000,000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108,300,718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50,188,977</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18,617,389</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宁波甬宁苏宁电器有限公司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8,300,000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127,510,162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53,903,827</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18,051,283</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西宁苏宁电器有限公司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24,000,000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85,990,918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69,986,984</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16,040,484</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湖南苏宁先锋电子有限公司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30,000,000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104,191,360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45,339,210</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15,339,210</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常州苏宁电器有限公司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3,000,000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173,087,069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50,261,391</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15,075,779</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无锡市苏宁电器有限公司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30,200,000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132,345,923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88,518,008</w:t>
            </w:r>
          </w:p>
        </w:tc>
        <w:tc>
          <w:tcPr>
            <w:tcW w:w="139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14,409,933</w:t>
            </w:r>
          </w:p>
        </w:tc>
      </w:tr>
      <w:tr>
        <w:trPr>
          <w:trHeight w:val="313" w:hRule="exact"/>
        </w:trPr>
        <w:tc>
          <w:tcPr>
            <w:tcW w:w="3385" w:type="dxa"/>
            <w:tcBorders>
              <w:top w:val="single" w:sz="4" w:space="0" w:color="000000"/>
              <w:left w:val="single" w:sz="17" w:space="0" w:color="000000"/>
              <w:bottom w:val="single" w:sz="17" w:space="0" w:color="000000"/>
              <w:right w:val="single" w:sz="4" w:space="0" w:color="000000"/>
            </w:tcBorders>
          </w:tcPr>
          <w:p>
            <w:pPr>
              <w:pStyle w:val="TableParagraph"/>
              <w:spacing w:line="247" w:lineRule="exact"/>
              <w:ind w:left="86" w:right="0"/>
              <w:jc w:val="left"/>
              <w:rPr>
                <w:rFonts w:ascii="宋体" w:hAnsi="宋体" w:cs="宋体" w:eastAsia="宋体" w:hint="default"/>
                <w:sz w:val="21"/>
                <w:szCs w:val="21"/>
              </w:rPr>
            </w:pPr>
            <w:r>
              <w:rPr>
                <w:rFonts w:ascii="宋体" w:hAnsi="宋体" w:cs="宋体" w:eastAsia="宋体" w:hint="default"/>
                <w:sz w:val="21"/>
                <w:szCs w:val="21"/>
              </w:rPr>
              <w:t>徐州苏宁电器有限公司</w:t>
            </w:r>
          </w:p>
        </w:tc>
        <w:tc>
          <w:tcPr>
            <w:tcW w:w="13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31,000,000</w:t>
            </w:r>
          </w:p>
        </w:tc>
        <w:tc>
          <w:tcPr>
            <w:tcW w:w="154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104,449,925</w:t>
            </w:r>
          </w:p>
        </w:tc>
        <w:tc>
          <w:tcPr>
            <w:tcW w:w="152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69,312,668</w:t>
            </w:r>
          </w:p>
        </w:tc>
        <w:tc>
          <w:tcPr>
            <w:tcW w:w="1396"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20"/>
              <w:ind w:left="337" w:right="0"/>
              <w:jc w:val="left"/>
              <w:rPr>
                <w:rFonts w:ascii="Times New Roman" w:hAnsi="Times New Roman" w:cs="Times New Roman" w:eastAsia="Times New Roman" w:hint="default"/>
                <w:sz w:val="21"/>
                <w:szCs w:val="21"/>
              </w:rPr>
            </w:pPr>
            <w:r>
              <w:rPr>
                <w:rFonts w:ascii="Times New Roman"/>
                <w:sz w:val="21"/>
              </w:rPr>
              <w:t>14,404,127</w:t>
            </w:r>
          </w:p>
        </w:tc>
      </w:tr>
    </w:tbl>
    <w:p>
      <w:pPr>
        <w:pStyle w:val="BodyText"/>
        <w:spacing w:line="259" w:lineRule="auto" w:before="7"/>
        <w:ind w:left="239" w:right="225" w:firstLine="480"/>
        <w:jc w:val="left"/>
      </w:pPr>
      <w:r>
        <w:rPr>
          <w:rFonts w:ascii="Times New Roman" w:hAnsi="Times New Roman" w:cs="Times New Roman" w:eastAsia="Times New Roman" w:hint="default"/>
        </w:rPr>
        <w:t>2</w:t>
      </w:r>
      <w:r>
        <w:rPr/>
        <w:t>、报告期内不存在单个参股公司的投资收益对净利润的影响</w:t>
      </w:r>
      <w:r>
        <w:rPr>
          <w:spacing w:val="-60"/>
        </w:rPr>
        <w:t> </w:t>
      </w:r>
      <w:r>
        <w:rPr>
          <w:rFonts w:ascii="Times New Roman" w:hAnsi="Times New Roman" w:cs="Times New Roman" w:eastAsia="Times New Roman" w:hint="default"/>
        </w:rPr>
        <w:t>10%</w:t>
      </w:r>
      <w:r>
        <w:rPr/>
        <w:t>以上（含</w:t>
      </w:r>
      <w:r>
        <w:rPr>
          <w:spacing w:val="-60"/>
        </w:rPr>
        <w:t> </w:t>
      </w:r>
      <w:r>
        <w:rPr>
          <w:rFonts w:ascii="Times New Roman" w:hAnsi="Times New Roman" w:cs="Times New Roman" w:eastAsia="Times New Roman" w:hint="default"/>
        </w:rPr>
        <w:t>10%</w:t>
      </w:r>
      <w:r>
        <w:rPr/>
        <w:t>） 的情况。</w:t>
      </w:r>
    </w:p>
    <w:p>
      <w:pPr>
        <w:pStyle w:val="BodyText"/>
        <w:spacing w:line="294" w:lineRule="exact"/>
        <w:ind w:left="719" w:right="2202"/>
        <w:jc w:val="left"/>
      </w:pPr>
      <w:r>
        <w:rPr/>
        <w:t>（六）主要供应商及客户情况</w:t>
      </w:r>
    </w:p>
    <w:p>
      <w:pPr>
        <w:spacing w:line="240" w:lineRule="auto" w:before="10"/>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1730"/>
        <w:gridCol w:w="1160"/>
        <w:gridCol w:w="1718"/>
        <w:gridCol w:w="1439"/>
        <w:gridCol w:w="1980"/>
        <w:gridCol w:w="1226"/>
      </w:tblGrid>
      <w:tr>
        <w:trPr>
          <w:trHeight w:val="581" w:hRule="exact"/>
        </w:trPr>
        <w:tc>
          <w:tcPr>
            <w:tcW w:w="173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0"/>
              <w:ind w:right="8"/>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160" w:type="dxa"/>
            <w:tcBorders>
              <w:top w:val="single" w:sz="12" w:space="0" w:color="000000"/>
              <w:left w:val="single" w:sz="4" w:space="0" w:color="000000"/>
              <w:bottom w:val="single" w:sz="4" w:space="0" w:color="000000"/>
              <w:right w:val="single" w:sz="4" w:space="0" w:color="000000"/>
            </w:tcBorders>
          </w:tcPr>
          <w:p>
            <w:pPr>
              <w:pStyle w:val="TableParagraph"/>
              <w:spacing w:line="255" w:lineRule="exact"/>
              <w:ind w:left="156" w:right="0"/>
              <w:jc w:val="left"/>
              <w:rPr>
                <w:rFonts w:ascii="宋体" w:hAnsi="宋体" w:cs="宋体" w:eastAsia="宋体" w:hint="default"/>
                <w:sz w:val="21"/>
                <w:szCs w:val="21"/>
              </w:rPr>
            </w:pPr>
            <w:r>
              <w:rPr>
                <w:rFonts w:ascii="宋体" w:hAnsi="宋体" w:cs="宋体" w:eastAsia="宋体" w:hint="default"/>
                <w:sz w:val="21"/>
                <w:szCs w:val="21"/>
              </w:rPr>
              <w:t>采购金额</w:t>
            </w:r>
          </w:p>
          <w:p>
            <w:pPr>
              <w:pStyle w:val="TableParagraph"/>
              <w:spacing w:line="240" w:lineRule="auto" w:before="4"/>
              <w:ind w:left="156" w:right="0"/>
              <w:jc w:val="left"/>
              <w:rPr>
                <w:rFonts w:ascii="宋体" w:hAnsi="宋体" w:cs="宋体" w:eastAsia="宋体" w:hint="default"/>
                <w:sz w:val="21"/>
                <w:szCs w:val="21"/>
              </w:rPr>
            </w:pPr>
            <w:r>
              <w:rPr>
                <w:rFonts w:ascii="宋体" w:hAnsi="宋体" w:cs="宋体" w:eastAsia="宋体" w:hint="default"/>
                <w:sz w:val="21"/>
                <w:szCs w:val="21"/>
              </w:rPr>
              <w:t>（千元）</w:t>
            </w:r>
          </w:p>
        </w:tc>
        <w:tc>
          <w:tcPr>
            <w:tcW w:w="1718" w:type="dxa"/>
            <w:tcBorders>
              <w:top w:val="single" w:sz="12" w:space="0" w:color="000000"/>
              <w:left w:val="single" w:sz="4" w:space="0" w:color="000000"/>
              <w:bottom w:val="single" w:sz="4" w:space="0" w:color="000000"/>
              <w:right w:val="single" w:sz="4" w:space="0" w:color="000000"/>
            </w:tcBorders>
          </w:tcPr>
          <w:p>
            <w:pPr>
              <w:pStyle w:val="TableParagraph"/>
              <w:spacing w:line="280" w:lineRule="exact" w:before="1"/>
              <w:ind w:left="136" w:right="119" w:hanging="18"/>
              <w:jc w:val="left"/>
              <w:rPr>
                <w:rFonts w:ascii="宋体" w:hAnsi="宋体" w:cs="宋体" w:eastAsia="宋体" w:hint="default"/>
                <w:sz w:val="21"/>
                <w:szCs w:val="21"/>
              </w:rPr>
            </w:pPr>
            <w:r>
              <w:rPr>
                <w:rFonts w:ascii="宋体" w:hAnsi="宋体" w:cs="宋体" w:eastAsia="宋体" w:hint="default"/>
                <w:sz w:val="21"/>
                <w:szCs w:val="21"/>
              </w:rPr>
              <w:t>占年度采购总金 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39" w:type="dxa"/>
            <w:tcBorders>
              <w:top w:val="single" w:sz="12" w:space="0" w:color="000000"/>
              <w:left w:val="single" w:sz="4" w:space="0" w:color="000000"/>
              <w:bottom w:val="single" w:sz="4" w:space="0" w:color="000000"/>
              <w:right w:val="single" w:sz="4" w:space="0" w:color="000000"/>
            </w:tcBorders>
          </w:tcPr>
          <w:p>
            <w:pPr>
              <w:pStyle w:val="TableParagraph"/>
              <w:spacing w:line="280" w:lineRule="exact" w:before="1"/>
              <w:ind w:left="189" w:right="187"/>
              <w:jc w:val="left"/>
              <w:rPr>
                <w:rFonts w:ascii="宋体" w:hAnsi="宋体" w:cs="宋体" w:eastAsia="宋体" w:hint="default"/>
                <w:sz w:val="21"/>
                <w:szCs w:val="21"/>
              </w:rPr>
            </w:pPr>
            <w:r>
              <w:rPr>
                <w:rFonts w:ascii="宋体" w:hAnsi="宋体" w:cs="宋体" w:eastAsia="宋体" w:hint="default"/>
                <w:sz w:val="21"/>
                <w:szCs w:val="21"/>
              </w:rPr>
              <w:t>预付账款余 额（千元）</w:t>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80" w:lineRule="exact" w:before="1"/>
              <w:ind w:left="162" w:right="143" w:hanging="17"/>
              <w:jc w:val="left"/>
              <w:rPr>
                <w:rFonts w:ascii="宋体" w:hAnsi="宋体" w:cs="宋体" w:eastAsia="宋体" w:hint="default"/>
                <w:sz w:val="21"/>
                <w:szCs w:val="21"/>
              </w:rPr>
            </w:pPr>
            <w:r>
              <w:rPr>
                <w:rFonts w:ascii="宋体" w:hAnsi="宋体" w:cs="宋体" w:eastAsia="宋体" w:hint="default"/>
                <w:sz w:val="21"/>
                <w:szCs w:val="21"/>
              </w:rPr>
              <w:t>占公司预付账款总 余额的比例（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26" w:type="dxa"/>
            <w:tcBorders>
              <w:top w:val="single" w:sz="12" w:space="0" w:color="000000"/>
              <w:left w:val="single" w:sz="4" w:space="0" w:color="000000"/>
              <w:bottom w:val="single" w:sz="4" w:space="0" w:color="000000"/>
              <w:right w:val="single" w:sz="12" w:space="0" w:color="000000"/>
            </w:tcBorders>
          </w:tcPr>
          <w:p>
            <w:pPr>
              <w:pStyle w:val="TableParagraph"/>
              <w:spacing w:line="280" w:lineRule="exact" w:before="1"/>
              <w:ind w:left="183" w:right="181"/>
              <w:jc w:val="left"/>
              <w:rPr>
                <w:rFonts w:ascii="宋体" w:hAnsi="宋体" w:cs="宋体" w:eastAsia="宋体" w:hint="default"/>
                <w:sz w:val="21"/>
                <w:szCs w:val="21"/>
              </w:rPr>
            </w:pPr>
            <w:r>
              <w:rPr>
                <w:rFonts w:ascii="宋体" w:hAnsi="宋体" w:cs="宋体" w:eastAsia="宋体" w:hint="default"/>
                <w:sz w:val="21"/>
                <w:szCs w:val="21"/>
              </w:rPr>
              <w:t>是否存在 关联关系</w:t>
            </w:r>
          </w:p>
        </w:tc>
      </w:tr>
      <w:tr>
        <w:trPr>
          <w:trHeight w:val="421" w:hRule="exact"/>
        </w:trPr>
        <w:tc>
          <w:tcPr>
            <w:tcW w:w="173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0"/>
              <w:ind w:right="7"/>
              <w:jc w:val="center"/>
              <w:rPr>
                <w:rFonts w:ascii="宋体" w:hAnsi="宋体" w:cs="宋体" w:eastAsia="宋体" w:hint="default"/>
                <w:sz w:val="21"/>
                <w:szCs w:val="21"/>
              </w:rPr>
            </w:pPr>
            <w:r>
              <w:rPr>
                <w:rFonts w:ascii="宋体" w:hAnsi="宋体" w:cs="宋体" w:eastAsia="宋体" w:hint="default"/>
                <w:sz w:val="21"/>
                <w:szCs w:val="21"/>
              </w:rPr>
              <w:t>前五名供应商</w:t>
            </w:r>
          </w:p>
        </w:tc>
        <w:tc>
          <w:tcPr>
            <w:tcW w:w="1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sz w:val="21"/>
              </w:rPr>
              <w:t>19,141,809</w:t>
            </w:r>
          </w:p>
        </w:tc>
        <w:tc>
          <w:tcPr>
            <w:tcW w:w="17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left="1" w:right="0"/>
              <w:jc w:val="center"/>
              <w:rPr>
                <w:rFonts w:ascii="Times New Roman" w:hAnsi="Times New Roman" w:cs="Times New Roman" w:eastAsia="Times New Roman" w:hint="default"/>
                <w:sz w:val="21"/>
                <w:szCs w:val="21"/>
              </w:rPr>
            </w:pPr>
            <w:r>
              <w:rPr>
                <w:rFonts w:ascii="Times New Roman"/>
                <w:sz w:val="21"/>
              </w:rPr>
              <w:t>29.42%</w:t>
            </w:r>
          </w:p>
        </w:tc>
        <w:tc>
          <w:tcPr>
            <w:tcW w:w="14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sz w:val="21"/>
              </w:rPr>
              <w:t>423,119</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left="1" w:right="0"/>
              <w:jc w:val="center"/>
              <w:rPr>
                <w:rFonts w:ascii="Times New Roman" w:hAnsi="Times New Roman" w:cs="Times New Roman" w:eastAsia="Times New Roman" w:hint="default"/>
                <w:sz w:val="21"/>
                <w:szCs w:val="21"/>
              </w:rPr>
            </w:pPr>
            <w:r>
              <w:rPr>
                <w:rFonts w:ascii="Times New Roman"/>
                <w:sz w:val="21"/>
              </w:rPr>
              <w:t>15.43%</w:t>
            </w:r>
          </w:p>
        </w:tc>
        <w:tc>
          <w:tcPr>
            <w:tcW w:w="12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81" w:hRule="exact"/>
        </w:trPr>
        <w:tc>
          <w:tcPr>
            <w:tcW w:w="173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0"/>
              <w:ind w:right="7"/>
              <w:jc w:val="center"/>
              <w:rPr>
                <w:rFonts w:ascii="宋体" w:hAnsi="宋体" w:cs="宋体" w:eastAsia="宋体" w:hint="default"/>
                <w:sz w:val="21"/>
                <w:szCs w:val="21"/>
              </w:rPr>
            </w:pPr>
            <w:r>
              <w:rPr>
                <w:rFonts w:ascii="宋体" w:hAnsi="宋体" w:cs="宋体" w:eastAsia="宋体" w:hint="default"/>
                <w:sz w:val="21"/>
                <w:szCs w:val="21"/>
              </w:rPr>
              <w:t>客户</w:t>
            </w:r>
          </w:p>
        </w:tc>
        <w:tc>
          <w:tcPr>
            <w:tcW w:w="1160" w:type="dxa"/>
            <w:tcBorders>
              <w:top w:val="single" w:sz="12"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hAnsi="宋体" w:cs="宋体" w:eastAsia="宋体" w:hint="default"/>
                <w:sz w:val="21"/>
                <w:szCs w:val="21"/>
              </w:rPr>
              <w:t>销售金额</w:t>
            </w:r>
          </w:p>
          <w:p>
            <w:pPr>
              <w:pStyle w:val="TableParagraph"/>
              <w:spacing w:line="240" w:lineRule="auto" w:before="4"/>
              <w:ind w:left="155" w:right="0"/>
              <w:jc w:val="left"/>
              <w:rPr>
                <w:rFonts w:ascii="宋体" w:hAnsi="宋体" w:cs="宋体" w:eastAsia="宋体" w:hint="default"/>
                <w:sz w:val="21"/>
                <w:szCs w:val="21"/>
              </w:rPr>
            </w:pPr>
            <w:r>
              <w:rPr>
                <w:rFonts w:ascii="宋体" w:hAnsi="宋体" w:cs="宋体" w:eastAsia="宋体" w:hint="default"/>
                <w:sz w:val="21"/>
                <w:szCs w:val="21"/>
              </w:rPr>
              <w:t>（千元）</w:t>
            </w:r>
          </w:p>
        </w:tc>
        <w:tc>
          <w:tcPr>
            <w:tcW w:w="1718" w:type="dxa"/>
            <w:tcBorders>
              <w:top w:val="single" w:sz="12" w:space="0" w:color="000000"/>
              <w:left w:val="single" w:sz="4" w:space="0" w:color="000000"/>
              <w:bottom w:val="single" w:sz="4" w:space="0" w:color="000000"/>
              <w:right w:val="single" w:sz="4" w:space="0" w:color="000000"/>
            </w:tcBorders>
          </w:tcPr>
          <w:p>
            <w:pPr>
              <w:pStyle w:val="TableParagraph"/>
              <w:spacing w:line="280" w:lineRule="exact" w:before="1"/>
              <w:ind w:left="136" w:right="119" w:hanging="18"/>
              <w:jc w:val="left"/>
              <w:rPr>
                <w:rFonts w:ascii="宋体" w:hAnsi="宋体" w:cs="宋体" w:eastAsia="宋体" w:hint="default"/>
                <w:sz w:val="21"/>
                <w:szCs w:val="21"/>
              </w:rPr>
            </w:pPr>
            <w:r>
              <w:rPr>
                <w:rFonts w:ascii="宋体" w:hAnsi="宋体" w:cs="宋体" w:eastAsia="宋体" w:hint="default"/>
                <w:sz w:val="21"/>
                <w:szCs w:val="21"/>
              </w:rPr>
              <w:t>占年度销售总金 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39" w:type="dxa"/>
            <w:tcBorders>
              <w:top w:val="single" w:sz="12" w:space="0" w:color="000000"/>
              <w:left w:val="single" w:sz="4" w:space="0" w:color="000000"/>
              <w:bottom w:val="single" w:sz="4" w:space="0" w:color="000000"/>
              <w:right w:val="single" w:sz="4" w:space="0" w:color="000000"/>
            </w:tcBorders>
          </w:tcPr>
          <w:p>
            <w:pPr>
              <w:pStyle w:val="TableParagraph"/>
              <w:spacing w:line="280" w:lineRule="exact" w:before="1"/>
              <w:ind w:left="189" w:right="187"/>
              <w:jc w:val="left"/>
              <w:rPr>
                <w:rFonts w:ascii="宋体" w:hAnsi="宋体" w:cs="宋体" w:eastAsia="宋体" w:hint="default"/>
                <w:sz w:val="21"/>
                <w:szCs w:val="21"/>
              </w:rPr>
            </w:pPr>
            <w:r>
              <w:rPr>
                <w:rFonts w:ascii="宋体" w:hAnsi="宋体" w:cs="宋体" w:eastAsia="宋体" w:hint="default"/>
                <w:sz w:val="21"/>
                <w:szCs w:val="21"/>
              </w:rPr>
              <w:t>应收账款余 额（千元）</w:t>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80" w:lineRule="exact" w:before="1"/>
              <w:ind w:left="162" w:right="143" w:hanging="17"/>
              <w:jc w:val="left"/>
              <w:rPr>
                <w:rFonts w:ascii="宋体" w:hAnsi="宋体" w:cs="宋体" w:eastAsia="宋体" w:hint="default"/>
                <w:sz w:val="21"/>
                <w:szCs w:val="21"/>
              </w:rPr>
            </w:pPr>
            <w:r>
              <w:rPr>
                <w:rFonts w:ascii="宋体" w:hAnsi="宋体" w:cs="宋体" w:eastAsia="宋体" w:hint="default"/>
                <w:sz w:val="21"/>
                <w:szCs w:val="21"/>
              </w:rPr>
              <w:t>占公司应收账款总 余额的比例（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26" w:type="dxa"/>
            <w:tcBorders>
              <w:top w:val="single" w:sz="12" w:space="0" w:color="000000"/>
              <w:left w:val="single" w:sz="4" w:space="0" w:color="000000"/>
              <w:bottom w:val="single" w:sz="4" w:space="0" w:color="000000"/>
              <w:right w:val="single" w:sz="12" w:space="0" w:color="000000"/>
            </w:tcBorders>
          </w:tcPr>
          <w:p>
            <w:pPr>
              <w:pStyle w:val="TableParagraph"/>
              <w:spacing w:line="280" w:lineRule="exact" w:before="1"/>
              <w:ind w:left="183" w:right="181"/>
              <w:jc w:val="left"/>
              <w:rPr>
                <w:rFonts w:ascii="宋体" w:hAnsi="宋体" w:cs="宋体" w:eastAsia="宋体" w:hint="default"/>
                <w:sz w:val="21"/>
                <w:szCs w:val="21"/>
              </w:rPr>
            </w:pPr>
            <w:r>
              <w:rPr>
                <w:rFonts w:ascii="宋体" w:hAnsi="宋体" w:cs="宋体" w:eastAsia="宋体" w:hint="default"/>
                <w:sz w:val="21"/>
                <w:szCs w:val="21"/>
              </w:rPr>
              <w:t>是否存在 关联关系</w:t>
            </w:r>
          </w:p>
        </w:tc>
      </w:tr>
      <w:tr>
        <w:trPr>
          <w:trHeight w:val="491" w:hRule="exact"/>
        </w:trPr>
        <w:tc>
          <w:tcPr>
            <w:tcW w:w="173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5"/>
              <w:ind w:right="8"/>
              <w:jc w:val="center"/>
              <w:rPr>
                <w:rFonts w:ascii="宋体" w:hAnsi="宋体" w:cs="宋体" w:eastAsia="宋体" w:hint="default"/>
                <w:sz w:val="21"/>
                <w:szCs w:val="21"/>
              </w:rPr>
            </w:pPr>
            <w:r>
              <w:rPr>
                <w:rFonts w:ascii="宋体" w:hAnsi="宋体" w:cs="宋体" w:eastAsia="宋体" w:hint="default"/>
                <w:sz w:val="21"/>
                <w:szCs w:val="21"/>
              </w:rPr>
              <w:t>前五名销售客户</w:t>
            </w:r>
          </w:p>
        </w:tc>
        <w:tc>
          <w:tcPr>
            <w:tcW w:w="1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sz w:val="21"/>
              </w:rPr>
              <w:t>773,424</w:t>
            </w:r>
          </w:p>
        </w:tc>
        <w:tc>
          <w:tcPr>
            <w:tcW w:w="17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1.02%</w:t>
            </w:r>
          </w:p>
        </w:tc>
        <w:tc>
          <w:tcPr>
            <w:tcW w:w="14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0</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0%</w:t>
            </w:r>
          </w:p>
        </w:tc>
        <w:tc>
          <w:tcPr>
            <w:tcW w:w="12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5"/>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60" w:lineRule="exact" w:before="119"/>
        <w:ind w:left="240" w:right="234" w:firstLine="0"/>
        <w:jc w:val="left"/>
        <w:rPr>
          <w:rFonts w:ascii="宋体" w:hAnsi="宋体" w:cs="宋体" w:eastAsia="宋体" w:hint="default"/>
          <w:sz w:val="21"/>
          <w:szCs w:val="21"/>
        </w:rPr>
      </w:pPr>
      <w:r>
        <w:rPr>
          <w:rFonts w:ascii="宋体" w:hAnsi="宋体" w:cs="宋体" w:eastAsia="宋体" w:hint="default"/>
          <w:sz w:val="21"/>
          <w:szCs w:val="21"/>
        </w:rPr>
        <w:t>注：前五名供应商品牌为三星、海尔、诺基亚、索尼、美的；前五名销售客户主要为公司对公销售 客户；前五名供应商预付账款余额为应付、预付抵消后净额。</w:t>
      </w:r>
    </w:p>
    <w:p>
      <w:pPr>
        <w:spacing w:after="0" w:line="260" w:lineRule="exact"/>
        <w:jc w:val="left"/>
        <w:rPr>
          <w:rFonts w:ascii="宋体" w:hAnsi="宋体" w:cs="宋体" w:eastAsia="宋体" w:hint="default"/>
          <w:sz w:val="21"/>
          <w:szCs w:val="21"/>
        </w:rPr>
        <w:sectPr>
          <w:pgSz w:w="11910" w:h="16840"/>
          <w:pgMar w:header="748" w:footer="714" w:top="980" w:bottom="900" w:left="1200" w:right="1180"/>
        </w:sectPr>
      </w:pPr>
    </w:p>
    <w:p>
      <w:pPr>
        <w:spacing w:line="240" w:lineRule="auto" w:before="7"/>
        <w:rPr>
          <w:rFonts w:ascii="宋体" w:hAnsi="宋体" w:cs="宋体" w:eastAsia="宋体" w:hint="default"/>
          <w:sz w:val="29"/>
          <w:szCs w:val="29"/>
        </w:rPr>
      </w:pPr>
    </w:p>
    <w:p>
      <w:pPr>
        <w:pStyle w:val="BodyText"/>
        <w:spacing w:line="348" w:lineRule="auto" w:before="26"/>
        <w:ind w:left="620" w:right="232"/>
        <w:jc w:val="left"/>
      </w:pPr>
      <w:r>
        <w:rPr/>
        <w:t>（七）经营中出现的问题与困难及解决方案： </w:t>
      </w:r>
      <w:r>
        <w:rPr>
          <w:rFonts w:ascii="Times New Roman" w:hAnsi="Times New Roman" w:cs="Times New Roman" w:eastAsia="Times New Roman" w:hint="default"/>
        </w:rPr>
        <w:t>1</w:t>
      </w:r>
      <w:r>
        <w:rPr/>
        <w:t>、实体店面租金成本上涨及优质物业资源的日渐稀缺 </w:t>
      </w:r>
      <w:r>
        <w:rPr>
          <w:spacing w:val="-3"/>
        </w:rPr>
        <w:t>公司目前多数实体店面以租赁方式开设，伴随宏观经济稳定快速增长，通胀压力日</w:t>
      </w:r>
    </w:p>
    <w:p>
      <w:pPr>
        <w:pStyle w:val="BodyText"/>
        <w:spacing w:line="357" w:lineRule="auto" w:before="46"/>
        <w:ind w:right="233"/>
        <w:jc w:val="both"/>
      </w:pPr>
      <w:r>
        <w:rPr>
          <w:spacing w:val="-3"/>
        </w:rPr>
        <w:t>益显现，一方面早期开设的连锁店租赁期限届满，面临租金成本较大幅度上涨或到期不</w:t>
      </w:r>
      <w:r>
        <w:rPr>
          <w:spacing w:val="-98"/>
        </w:rPr>
        <w:t> </w:t>
      </w:r>
      <w:r>
        <w:rPr>
          <w:spacing w:val="-98"/>
        </w:rPr>
      </w:r>
      <w:r>
        <w:rPr>
          <w:spacing w:val="-3"/>
        </w:rPr>
        <w:t>能续租的压力和风险，另一方面随着消费市场的进一步繁荣，获取核心优质物业资源的</w:t>
      </w:r>
      <w:r>
        <w:rPr>
          <w:spacing w:val="-98"/>
        </w:rPr>
        <w:t> </w:t>
      </w:r>
      <w:r>
        <w:rPr>
          <w:spacing w:val="-98"/>
        </w:rPr>
      </w:r>
      <w:r>
        <w:rPr/>
        <w:t>竞争日益加剧。同时受限于租赁物业的硬件条件，无法贯彻实施连锁店标准化建设。</w:t>
      </w:r>
    </w:p>
    <w:p>
      <w:pPr>
        <w:pStyle w:val="BodyText"/>
        <w:spacing w:line="240" w:lineRule="auto" w:before="36"/>
        <w:ind w:left="620" w:right="217"/>
        <w:jc w:val="left"/>
      </w:pPr>
      <w:r>
        <w:rPr/>
        <w:t>针对上述问题，公司将持续推进如下措施：</w:t>
      </w:r>
    </w:p>
    <w:p>
      <w:pPr>
        <w:pStyle w:val="BodyText"/>
        <w:tabs>
          <w:tab w:pos="1039" w:val="left" w:leader="none"/>
        </w:tabs>
        <w:spacing w:line="338" w:lineRule="auto" w:before="154"/>
        <w:ind w:right="233"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1"/>
        </w:rPr>
        <w:t>全面系统建立自建店标准，通过自建开发与合作开发模式，大力推进自建店建</w:t>
      </w:r>
      <w:r>
        <w:rPr/>
        <w:t> 设，长期有效降低店面运营成本，筹备公司长期发展的战略资源。</w:t>
      </w:r>
    </w:p>
    <w:p>
      <w:pPr>
        <w:pStyle w:val="BodyText"/>
        <w:tabs>
          <w:tab w:pos="1039" w:val="left" w:leader="none"/>
        </w:tabs>
        <w:spacing w:line="338" w:lineRule="auto" w:before="55"/>
        <w:ind w:right="234"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1"/>
        </w:rPr>
        <w:t>进一步加强与全国性开发商的战略合作，共同分析商圈、店面规划，以定制开</w:t>
      </w:r>
      <w:r>
        <w:rPr/>
        <w:t> 发方式，建立长期性合作。</w:t>
      </w:r>
    </w:p>
    <w:p>
      <w:pPr>
        <w:pStyle w:val="BodyText"/>
        <w:tabs>
          <w:tab w:pos="1039" w:val="left" w:leader="none"/>
        </w:tabs>
        <w:spacing w:line="240" w:lineRule="auto" w:before="55"/>
        <w:ind w:left="560" w:right="97"/>
        <w:jc w:val="left"/>
      </w:pPr>
      <w:r>
        <w:rPr>
          <w:rFonts w:ascii="Wingdings" w:hAnsi="Wingdings" w:cs="Wingdings" w:eastAsia="Wingdings" w:hint="default"/>
        </w:rPr>
        <w:t></w:t>
      </w:r>
      <w:r>
        <w:rPr>
          <w:rFonts w:ascii="Times New Roman" w:hAnsi="Times New Roman" w:cs="Times New Roman" w:eastAsia="Times New Roman" w:hint="default"/>
        </w:rPr>
        <w:tab/>
      </w:r>
      <w:r>
        <w:rPr>
          <w:spacing w:val="-5"/>
        </w:rPr>
        <w:t>完善店面布局，合理设计，充分利用店面物业资源，加大闲置物业的转租力度。</w:t>
      </w:r>
    </w:p>
    <w:p>
      <w:pPr>
        <w:pStyle w:val="BodyText"/>
        <w:tabs>
          <w:tab w:pos="1039" w:val="left" w:leader="none"/>
        </w:tabs>
        <w:spacing w:line="338" w:lineRule="auto" w:before="137"/>
        <w:ind w:right="233"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1"/>
        </w:rPr>
        <w:t>加快发展苏宁易购，利用线上网络补充线下店面空间上的不足，形成实体店面</w:t>
      </w:r>
      <w:r>
        <w:rPr/>
        <w:t> 的有效补充。</w:t>
      </w:r>
    </w:p>
    <w:p>
      <w:pPr>
        <w:pStyle w:val="BodyText"/>
        <w:spacing w:line="338" w:lineRule="auto" w:before="55"/>
        <w:ind w:left="620" w:right="232"/>
        <w:jc w:val="left"/>
      </w:pPr>
      <w:r>
        <w:rPr>
          <w:rFonts w:ascii="Times New Roman" w:hAnsi="Times New Roman" w:cs="Times New Roman" w:eastAsia="Times New Roman" w:hint="default"/>
        </w:rPr>
        <w:t>2</w:t>
      </w:r>
      <w:r>
        <w:rPr/>
        <w:t>、物流平台建设的相对滞后，小件商品物流管理欠缺 </w:t>
      </w:r>
      <w:r>
        <w:rPr>
          <w:spacing w:val="-3"/>
        </w:rPr>
        <w:t>随着公司在三、四级市场连锁发展的加快推进，物流平台建设的相对滞后对公司在</w:t>
      </w:r>
    </w:p>
    <w:p>
      <w:pPr>
        <w:pStyle w:val="BodyText"/>
        <w:spacing w:line="348" w:lineRule="auto" w:before="55"/>
        <w:ind w:right="232"/>
        <w:jc w:val="both"/>
      </w:pPr>
      <w:r>
        <w:rPr>
          <w:spacing w:val="-4"/>
        </w:rPr>
        <w:t>区域范围内的资源整合、采购及配套服务能力的提升带来一定的限制。此外，公司加快</w:t>
      </w:r>
      <w:r>
        <w:rPr>
          <w:spacing w:val="-93"/>
        </w:rPr>
        <w:t> </w:t>
      </w:r>
      <w:r>
        <w:rPr>
          <w:spacing w:val="-93"/>
        </w:rPr>
      </w:r>
      <w:r>
        <w:rPr/>
        <w:t>发展</w:t>
      </w:r>
      <w:r>
        <w:rPr>
          <w:spacing w:val="-66"/>
        </w:rPr>
        <w:t> </w:t>
      </w:r>
      <w:r>
        <w:rPr>
          <w:rFonts w:ascii="Times New Roman" w:hAnsi="Times New Roman" w:cs="Times New Roman" w:eastAsia="Times New Roman" w:hint="default"/>
        </w:rPr>
        <w:t>3C</w:t>
      </w:r>
      <w:r>
        <w:rPr>
          <w:rFonts w:ascii="Times New Roman" w:hAnsi="Times New Roman" w:cs="Times New Roman" w:eastAsia="Times New Roman" w:hint="default"/>
          <w:spacing w:val="-7"/>
        </w:rPr>
        <w:t> </w:t>
      </w:r>
      <w:r>
        <w:rPr/>
        <w:t>产品以及电子商务，带来小件商品的存储、调拨、配送量迅速上升，区别于传 统大家电的运作模式，公司对小件商品的物流管理能力有所欠缺。</w:t>
      </w:r>
    </w:p>
    <w:p>
      <w:pPr>
        <w:pStyle w:val="BodyText"/>
        <w:spacing w:line="338" w:lineRule="auto" w:before="46"/>
        <w:ind w:right="216" w:firstLine="480"/>
        <w:jc w:val="left"/>
      </w:pPr>
      <w:r>
        <w:rPr/>
        <w:t>针对这一问题，公司在按规划推进 </w:t>
      </w:r>
      <w:r>
        <w:rPr>
          <w:rFonts w:ascii="Times New Roman" w:hAnsi="Times New Roman" w:cs="Times New Roman" w:eastAsia="Times New Roman" w:hint="default"/>
        </w:rPr>
        <w:t>60</w:t>
      </w:r>
      <w:r>
        <w:rPr>
          <w:rFonts w:ascii="Times New Roman" w:hAnsi="Times New Roman" w:cs="Times New Roman" w:eastAsia="Times New Roman" w:hint="default"/>
          <w:spacing w:val="-32"/>
        </w:rPr>
        <w:t> </w:t>
      </w:r>
      <w:r>
        <w:rPr/>
        <w:t>个物流基地建设的同时，加快建设电子商务 运营的物流配套体系，打造公司持续增长的长久核心竞争力：</w:t>
      </w:r>
    </w:p>
    <w:p>
      <w:pPr>
        <w:pStyle w:val="BodyText"/>
        <w:spacing w:line="338" w:lineRule="auto" w:before="55"/>
        <w:ind w:right="217" w:firstLine="540"/>
        <w:jc w:val="left"/>
      </w:pPr>
      <w:r>
        <w:rPr>
          <w:rFonts w:ascii="Wingdings" w:hAnsi="Wingdings" w:cs="Wingdings" w:eastAsia="Wingdings" w:hint="default"/>
        </w:rPr>
        <w:t></w:t>
      </w:r>
      <w:r>
        <w:rPr>
          <w:rFonts w:ascii="Wingdings" w:hAnsi="Wingdings" w:cs="Wingdings" w:eastAsia="Wingdings" w:hint="default"/>
          <w:spacing w:val="-105"/>
        </w:rPr>
        <w:t></w:t>
      </w:r>
      <w:r>
        <w:rPr>
          <w:rFonts w:ascii="Times New Roman" w:hAnsi="Times New Roman" w:cs="Times New Roman" w:eastAsia="Times New Roman" w:hint="default"/>
          <w:spacing w:val="-105"/>
        </w:rPr>
      </w:r>
      <w:r>
        <w:rPr/>
        <w:t>公司结合自身管控、资金等能力，加快推进物流基地相关选址、开发、设计、 建设等工作，力争在</w:t>
      </w:r>
      <w:r>
        <w:rPr>
          <w:spacing w:val="-60"/>
        </w:rPr>
        <w:t> </w:t>
      </w:r>
      <w:r>
        <w:rPr>
          <w:rFonts w:ascii="Times New Roman" w:hAnsi="Times New Roman" w:cs="Times New Roman" w:eastAsia="Times New Roman" w:hint="default"/>
        </w:rPr>
        <w:t>2015 </w:t>
      </w:r>
      <w:r>
        <w:rPr/>
        <w:t>年前完成</w:t>
      </w:r>
      <w:r>
        <w:rPr>
          <w:spacing w:val="-60"/>
        </w:rPr>
        <w:t> </w:t>
      </w:r>
      <w:r>
        <w:rPr>
          <w:rFonts w:ascii="Times New Roman" w:hAnsi="Times New Roman" w:cs="Times New Roman" w:eastAsia="Times New Roman" w:hint="default"/>
        </w:rPr>
        <w:t>60 </w:t>
      </w:r>
      <w:r>
        <w:rPr/>
        <w:t>个物流基地的建设。</w:t>
      </w:r>
    </w:p>
    <w:p>
      <w:pPr>
        <w:pStyle w:val="BodyText"/>
        <w:spacing w:line="338" w:lineRule="auto" w:before="27"/>
        <w:ind w:right="218" w:firstLine="540"/>
        <w:jc w:val="left"/>
      </w:pPr>
      <w:r>
        <w:rPr>
          <w:rFonts w:ascii="Wingdings" w:hAnsi="Wingdings" w:cs="Wingdings" w:eastAsia="Wingdings" w:hint="default"/>
        </w:rPr>
        <w:t></w:t>
      </w:r>
      <w:r>
        <w:rPr>
          <w:rFonts w:ascii="Wingdings" w:hAnsi="Wingdings" w:cs="Wingdings" w:eastAsia="Wingdings" w:hint="default"/>
          <w:spacing w:val="-119"/>
        </w:rPr>
        <w:t></w:t>
      </w:r>
      <w:r>
        <w:rPr>
          <w:rFonts w:ascii="Times New Roman" w:hAnsi="Times New Roman" w:cs="Times New Roman" w:eastAsia="Times New Roman" w:hint="default"/>
          <w:spacing w:val="-119"/>
        </w:rPr>
      </w:r>
      <w:r>
        <w:rPr/>
        <w:t>在全国枢纽地区建设</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4"/>
        </w:rPr>
        <w:t>个全自动化存储和分拣仓库，全面提升小件商品的配送</w:t>
      </w:r>
      <w:r>
        <w:rPr/>
        <w:t> 覆盖范围和效率。</w:t>
      </w:r>
    </w:p>
    <w:p>
      <w:pPr>
        <w:pStyle w:val="BodyText"/>
        <w:spacing w:line="338" w:lineRule="auto" w:before="55"/>
        <w:ind w:left="620" w:right="232"/>
        <w:jc w:val="left"/>
      </w:pPr>
      <w:r>
        <w:rPr>
          <w:rFonts w:ascii="Times New Roman" w:hAnsi="Times New Roman" w:cs="Times New Roman" w:eastAsia="Times New Roman" w:hint="default"/>
        </w:rPr>
        <w:t>3</w:t>
      </w:r>
      <w:r>
        <w:rPr/>
        <w:t>、专业人才的缺乏对公司发展的影响 </w:t>
      </w:r>
      <w:r>
        <w:rPr>
          <w:spacing w:val="-3"/>
        </w:rPr>
        <w:t>伴随公司经营规模的快速发展，对公司管控能力、店面标准、业态品类、服务水平</w:t>
      </w:r>
    </w:p>
    <w:p>
      <w:pPr>
        <w:pStyle w:val="BodyText"/>
        <w:spacing w:line="357" w:lineRule="auto" w:before="55"/>
        <w:ind w:right="233"/>
        <w:jc w:val="both"/>
      </w:pPr>
      <w:r>
        <w:rPr>
          <w:spacing w:val="-3"/>
        </w:rPr>
        <w:t>等提出更高要求，尤其电子商务这一新平台的搭建，专业人才的缺乏对公司的发展产生</w:t>
      </w:r>
      <w:r>
        <w:rPr>
          <w:spacing w:val="-98"/>
        </w:rPr>
        <w:t> </w:t>
      </w:r>
      <w:r>
        <w:rPr>
          <w:spacing w:val="-98"/>
        </w:rPr>
      </w:r>
      <w:r>
        <w:rPr/>
        <w:t>一定的影响。</w:t>
      </w:r>
    </w:p>
    <w:p>
      <w:pPr>
        <w:pStyle w:val="BodyText"/>
        <w:spacing w:line="357" w:lineRule="auto" w:before="36"/>
        <w:ind w:right="232" w:firstLine="480"/>
        <w:jc w:val="left"/>
      </w:pPr>
      <w:r>
        <w:rPr>
          <w:spacing w:val="-3"/>
        </w:rPr>
        <w:t>为了解决该问题，公司将继续从内部培养及外部招聘两方面来缓解人力资源的需求</w:t>
      </w:r>
      <w:r>
        <w:rPr/>
        <w:t> 压力：</w:t>
      </w:r>
    </w:p>
    <w:p>
      <w:pPr>
        <w:spacing w:after="0" w:line="357" w:lineRule="auto"/>
        <w:jc w:val="left"/>
        <w:sectPr>
          <w:pgSz w:w="11910" w:h="16840"/>
          <w:pgMar w:header="748" w:footer="714" w:top="980" w:bottom="900" w:left="1300" w:right="1200"/>
        </w:sectPr>
      </w:pPr>
    </w:p>
    <w:p>
      <w:pPr>
        <w:spacing w:line="240" w:lineRule="auto" w:before="7"/>
        <w:rPr>
          <w:rFonts w:ascii="宋体" w:hAnsi="宋体" w:cs="宋体" w:eastAsia="宋体" w:hint="default"/>
          <w:sz w:val="29"/>
          <w:szCs w:val="29"/>
        </w:rPr>
      </w:pPr>
    </w:p>
    <w:p>
      <w:pPr>
        <w:pStyle w:val="BodyText"/>
        <w:spacing w:line="338" w:lineRule="auto" w:before="26"/>
        <w:ind w:right="98" w:firstLine="540"/>
        <w:jc w:val="left"/>
      </w:pPr>
      <w:r>
        <w:rPr>
          <w:rFonts w:ascii="Wingdings" w:hAnsi="Wingdings" w:cs="Wingdings" w:eastAsia="Wingdings" w:hint="default"/>
        </w:rPr>
        <w:t></w:t>
      </w:r>
      <w:r>
        <w:rPr>
          <w:rFonts w:ascii="Wingdings" w:hAnsi="Wingdings" w:cs="Wingdings" w:eastAsia="Wingdings" w:hint="default"/>
          <w:spacing w:val="-108"/>
        </w:rPr>
        <w:t></w:t>
      </w:r>
      <w:r>
        <w:rPr>
          <w:rFonts w:ascii="Times New Roman" w:hAnsi="Times New Roman" w:cs="Times New Roman" w:eastAsia="Times New Roman" w:hint="default"/>
          <w:spacing w:val="-108"/>
        </w:rPr>
      </w:r>
      <w:r>
        <w:rPr>
          <w:spacing w:val="-3"/>
        </w:rPr>
        <w:t>重视人才储备，加强梯队建设，加大公司内部人才培养的力度和培训体系建设，</w:t>
      </w:r>
      <w:r>
        <w:rPr/>
        <w:t> 为具有潜力的管理人才搭建展示平台，培育核心团队。</w:t>
      </w:r>
    </w:p>
    <w:p>
      <w:pPr>
        <w:pStyle w:val="BodyText"/>
        <w:spacing w:line="240" w:lineRule="auto" w:before="55"/>
        <w:ind w:left="680" w:right="217"/>
        <w:jc w:val="left"/>
      </w:pPr>
      <w:r>
        <w:rPr>
          <w:rFonts w:ascii="Wingdings" w:hAnsi="Wingdings" w:cs="Wingdings" w:eastAsia="Wingdings" w:hint="default"/>
        </w:rPr>
        <w:t></w:t>
      </w:r>
      <w:r>
        <w:rPr>
          <w:rFonts w:ascii="Wingdings" w:hAnsi="Wingdings" w:cs="Wingdings" w:eastAsia="Wingdings" w:hint="default"/>
          <w:spacing w:val="-120"/>
        </w:rPr>
        <w:t></w:t>
      </w:r>
      <w:r>
        <w:rPr>
          <w:rFonts w:ascii="Times New Roman" w:hAnsi="Times New Roman" w:cs="Times New Roman" w:eastAsia="Times New Roman" w:hint="default"/>
          <w:spacing w:val="-120"/>
        </w:rPr>
      </w:r>
      <w:r>
        <w:rPr/>
        <w:t>积极引进符合公司发展需要的社会优秀人才，丰富人才队伍。</w:t>
      </w:r>
    </w:p>
    <w:p>
      <w:pPr>
        <w:pStyle w:val="BodyText"/>
        <w:spacing w:line="338" w:lineRule="auto" w:before="137"/>
        <w:ind w:left="620" w:right="96" w:firstLine="60"/>
        <w:jc w:val="left"/>
      </w:pPr>
      <w:r>
        <w:rPr>
          <w:rFonts w:ascii="Wingdings" w:hAnsi="Wingdings" w:cs="Wingdings" w:eastAsia="Wingdings" w:hint="default"/>
        </w:rPr>
        <w:t></w:t>
      </w:r>
      <w:r>
        <w:rPr>
          <w:rFonts w:ascii="Wingdings" w:hAnsi="Wingdings" w:cs="Wingdings" w:eastAsia="Wingdings" w:hint="default"/>
          <w:spacing w:val="-106"/>
        </w:rPr>
        <w:t></w:t>
      </w:r>
      <w:r>
        <w:rPr>
          <w:rFonts w:ascii="Times New Roman" w:hAnsi="Times New Roman" w:cs="Times New Roman" w:eastAsia="Times New Roman" w:hint="default"/>
          <w:spacing w:val="-106"/>
        </w:rPr>
      </w:r>
      <w:r>
        <w:rPr>
          <w:spacing w:val="-3"/>
        </w:rPr>
        <w:t>进一步完善薪酬、福利、股票期权等各项激励措施，更好的推进人力资源战略。</w:t>
      </w:r>
      <w:r>
        <w:rPr/>
        <w:t> 三、</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年的展望及前景</w:t>
      </w:r>
    </w:p>
    <w:p>
      <w:pPr>
        <w:pStyle w:val="BodyText"/>
        <w:spacing w:line="240" w:lineRule="auto" w:before="27"/>
        <w:ind w:left="620" w:right="217"/>
        <w:jc w:val="left"/>
      </w:pPr>
      <w:r>
        <w:rPr/>
        <w:t>（一）</w:t>
      </w:r>
      <w:r>
        <w:rPr>
          <w:rFonts w:ascii="Times New Roman" w:hAnsi="Times New Roman" w:cs="Times New Roman" w:eastAsia="Times New Roman" w:hint="default"/>
        </w:rPr>
        <w:t>2011 </w:t>
      </w:r>
      <w:r>
        <w:rPr/>
        <w:t>年发展规划</w:t>
      </w:r>
    </w:p>
    <w:p>
      <w:pPr>
        <w:pStyle w:val="BodyText"/>
        <w:spacing w:line="350" w:lineRule="auto" w:before="135"/>
        <w:ind w:right="233" w:firstLine="480"/>
        <w:jc w:val="both"/>
      </w:pPr>
      <w:r>
        <w:rPr/>
        <w:t>随着国家两会的召开，政府已经明确未来五年的 </w:t>
      </w:r>
      <w:r>
        <w:rPr>
          <w:rFonts w:ascii="Times New Roman" w:hAnsi="Times New Roman" w:cs="Times New Roman" w:eastAsia="Times New Roman" w:hint="default"/>
        </w:rPr>
        <w:t>GDP</w:t>
      </w:r>
      <w:r>
        <w:rPr>
          <w:rFonts w:ascii="Times New Roman" w:hAnsi="Times New Roman" w:cs="Times New Roman" w:eastAsia="Times New Roman" w:hint="default"/>
          <w:spacing w:val="-34"/>
        </w:rPr>
        <w:t> </w:t>
      </w:r>
      <w:r>
        <w:rPr/>
        <w:t>增长目标，并且将经济增长 </w:t>
      </w:r>
      <w:r>
        <w:rPr>
          <w:spacing w:val="-4"/>
        </w:rPr>
        <w:t>策略由“拉内需、保增长、调结构”转变为“调结构、扩内需、稳增长”，进一步强调</w:t>
      </w:r>
      <w:r>
        <w:rPr>
          <w:spacing w:val="-86"/>
        </w:rPr>
        <w:t> </w:t>
      </w:r>
      <w:r>
        <w:rPr>
          <w:spacing w:val="-86"/>
        </w:rPr>
      </w:r>
      <w:r>
        <w:rPr>
          <w:spacing w:val="-3"/>
        </w:rPr>
        <w:t>内需推动经济发展。在国家相关政策的调控和推动下，我们坚信中国家电行业仍将保持</w:t>
      </w:r>
      <w:r>
        <w:rPr>
          <w:spacing w:val="-98"/>
        </w:rPr>
        <w:t> </w:t>
      </w:r>
      <w:r>
        <w:rPr>
          <w:spacing w:val="-98"/>
        </w:rPr>
      </w:r>
      <w:r>
        <w:rPr/>
        <w:t>平稳较快增长，苏宁电器面临良好的发展机遇。</w:t>
      </w:r>
    </w:p>
    <w:p>
      <w:pPr>
        <w:pStyle w:val="BodyText"/>
        <w:spacing w:line="357" w:lineRule="auto" w:before="43"/>
        <w:ind w:right="232" w:firstLine="480"/>
        <w:jc w:val="both"/>
      </w:pPr>
      <w:r>
        <w:rPr>
          <w:spacing w:val="-3"/>
        </w:rPr>
        <w:t>当然，我们也面临着很多发展中的困难和不确定性，尤其是创新所形成的挑战。但</w:t>
      </w:r>
      <w:r>
        <w:rPr/>
        <w:t> </w:t>
      </w:r>
      <w:r>
        <w:rPr>
          <w:spacing w:val="-3"/>
        </w:rPr>
        <w:t>是，任何行业，任何业态的发展都有其核心的部分，我们所要做的最重要的事，永远都</w:t>
      </w:r>
      <w:r>
        <w:rPr>
          <w:spacing w:val="-98"/>
        </w:rPr>
        <w:t> </w:t>
      </w:r>
      <w:r>
        <w:rPr>
          <w:spacing w:val="-98"/>
        </w:rPr>
      </w:r>
      <w:r>
        <w:rPr>
          <w:spacing w:val="-4"/>
        </w:rPr>
        <w:t>是抓住核心并最大程度的强化和发展。在此基础上，可以“以变应变”，可以“以变应</w:t>
      </w:r>
      <w:r>
        <w:rPr>
          <w:spacing w:val="-85"/>
        </w:rPr>
        <w:t> </w:t>
      </w:r>
      <w:r>
        <w:rPr>
          <w:spacing w:val="-85"/>
        </w:rPr>
      </w:r>
      <w:r>
        <w:rPr>
          <w:spacing w:val="-9"/>
        </w:rPr>
        <w:t>不变”，也可以“以不变应变”。零售业的核心是什么，从运营角度来说，是供应链、物</w:t>
      </w:r>
      <w:r>
        <w:rPr>
          <w:spacing w:val="-104"/>
        </w:rPr>
        <w:t> </w:t>
      </w:r>
      <w:r>
        <w:rPr>
          <w:spacing w:val="-104"/>
        </w:rPr>
      </w:r>
      <w:r>
        <w:rPr>
          <w:spacing w:val="-3"/>
        </w:rPr>
        <w:t>流和客户体验；从管理角度来说，是组织、流程与绩效。过去是，未来还是。但在新的</w:t>
      </w:r>
      <w:r>
        <w:rPr>
          <w:spacing w:val="-102"/>
        </w:rPr>
        <w:t> </w:t>
      </w:r>
      <w:r>
        <w:rPr>
          <w:spacing w:val="-102"/>
        </w:rPr>
      </w:r>
      <w:r>
        <w:rPr>
          <w:spacing w:val="-3"/>
        </w:rPr>
        <w:t>技术背景与市场发展趋势之下，如何以更有效率、更符合行业、市场特点的方式提升核</w:t>
      </w:r>
      <w:r>
        <w:rPr>
          <w:spacing w:val="-96"/>
        </w:rPr>
        <w:t> </w:t>
      </w:r>
      <w:r>
        <w:rPr>
          <w:spacing w:val="-96"/>
        </w:rPr>
      </w:r>
      <w:r>
        <w:rPr/>
        <w:t>心竞争力确实又都是需要我们不断思考、不断创新、不断优化的。</w:t>
      </w:r>
    </w:p>
    <w:p>
      <w:pPr>
        <w:pStyle w:val="BodyText"/>
        <w:spacing w:line="357" w:lineRule="auto" w:before="36"/>
        <w:ind w:right="233" w:firstLine="480"/>
        <w:jc w:val="both"/>
      </w:pPr>
      <w:r>
        <w:rPr>
          <w:spacing w:val="-3"/>
        </w:rPr>
        <w:t>苏宁认为，未来十年的发展方向将是重点发展科技苏宁的能力，沿着智慧苏宁的道</w:t>
      </w:r>
      <w:r>
        <w:rPr/>
        <w:t> </w:t>
      </w:r>
      <w:r>
        <w:rPr>
          <w:spacing w:val="-3"/>
        </w:rPr>
        <w:t>路，最大程度延伸自身能力与挖掘市场空间，以获得企业新一轮的长期、持续、较快发</w:t>
      </w:r>
      <w:r>
        <w:rPr>
          <w:spacing w:val="-98"/>
        </w:rPr>
        <w:t> </w:t>
      </w:r>
      <w:r>
        <w:rPr>
          <w:spacing w:val="-98"/>
        </w:rPr>
      </w:r>
      <w:r>
        <w:rPr/>
        <w:t>展。</w:t>
      </w:r>
    </w:p>
    <w:p>
      <w:pPr>
        <w:pStyle w:val="BodyText"/>
        <w:spacing w:line="357" w:lineRule="auto" w:before="36"/>
        <w:ind w:right="124" w:firstLine="480"/>
        <w:jc w:val="left"/>
      </w:pPr>
      <w:r>
        <w:rPr>
          <w:spacing w:val="-3"/>
        </w:rPr>
        <w:t>苏宁会进一步将零售业的发展与信息技术的应用进行更加广泛的融合，在企业内部</w:t>
      </w:r>
      <w:r>
        <w:rPr/>
        <w:t> </w:t>
      </w:r>
      <w:r>
        <w:rPr>
          <w:spacing w:val="-3"/>
        </w:rPr>
        <w:t>管理、供应链合作、客户交易与服务多个角度，借助互联网、移动技术的发展，不断提</w:t>
      </w:r>
      <w:r>
        <w:rPr>
          <w:spacing w:val="-96"/>
        </w:rPr>
        <w:t> </w:t>
      </w:r>
      <w:r>
        <w:rPr>
          <w:spacing w:val="-96"/>
        </w:rPr>
      </w:r>
      <w:r>
        <w:rPr/>
        <w:t>升组织、流程、绩效，不断挖掘商业智能的深度，利用未来智能化的多媒体交互工具， 建立更有效率、更有体验的管理模式、合作关系、服务体验。</w:t>
      </w:r>
    </w:p>
    <w:p>
      <w:pPr>
        <w:pStyle w:val="BodyText"/>
        <w:spacing w:line="357" w:lineRule="auto" w:before="36"/>
        <w:ind w:right="106" w:firstLine="480"/>
        <w:jc w:val="left"/>
      </w:pPr>
      <w:r>
        <w:rPr>
          <w:spacing w:val="-6"/>
        </w:rPr>
        <w:t>最终来看，苏宁就是要将强大的后台管理、物流配送、购物服务体验全面进行集成，</w:t>
      </w:r>
      <w:r>
        <w:rPr/>
        <w:t> </w:t>
      </w:r>
      <w:r>
        <w:rPr>
          <w:spacing w:val="-3"/>
        </w:rPr>
        <w:t>以最简单、便捷的形式呈现给客户。从这一点上看，强大的供应链物流网络、遍布全国</w:t>
      </w:r>
      <w:r>
        <w:rPr>
          <w:spacing w:val="-98"/>
        </w:rPr>
        <w:t> </w:t>
      </w:r>
      <w:r>
        <w:rPr>
          <w:spacing w:val="-98"/>
        </w:rPr>
      </w:r>
      <w:r>
        <w:rPr>
          <w:spacing w:val="-3"/>
        </w:rPr>
        <w:t>的商品展示体验与客户服务网络和新技术支持之下的交易网络的融合，将是苏宁要追求</w:t>
      </w:r>
      <w:r>
        <w:rPr>
          <w:spacing w:val="-98"/>
        </w:rPr>
        <w:t> </w:t>
      </w:r>
      <w:r>
        <w:rPr>
          <w:spacing w:val="-98"/>
        </w:rPr>
      </w:r>
      <w:r>
        <w:rPr>
          <w:spacing w:val="-3"/>
        </w:rPr>
        <w:t>的具体目标和打造的模式。我们将会从信息技术的充分应用、物流基地的快速建设、标</w:t>
      </w:r>
      <w:r>
        <w:rPr>
          <w:spacing w:val="-96"/>
        </w:rPr>
        <w:t> </w:t>
      </w:r>
      <w:r>
        <w:rPr>
          <w:spacing w:val="-96"/>
        </w:rPr>
      </w:r>
      <w:r>
        <w:rPr/>
        <w:t>准化店面体系的大力夯实、与互联网的经营全面展开等方面具体进行战略的实现。</w:t>
      </w:r>
    </w:p>
    <w:p>
      <w:pPr>
        <w:pStyle w:val="BodyText"/>
        <w:spacing w:line="357" w:lineRule="auto" w:before="36"/>
        <w:ind w:right="142" w:firstLine="480"/>
        <w:jc w:val="both"/>
      </w:pPr>
      <w:r>
        <w:rPr/>
        <w:t>战略的明确和清晰只是开始，苏宁将会秉承执著拼搏的传统，在实践中勇于探索， 不断总结，一步一个脚印的去实现每一个阶段性目标。</w:t>
      </w:r>
    </w:p>
    <w:p>
      <w:pPr>
        <w:spacing w:after="0" w:line="357" w:lineRule="auto"/>
        <w:jc w:val="both"/>
        <w:sectPr>
          <w:footerReference w:type="default" r:id="rId31"/>
          <w:pgSz w:w="11910" w:h="16840"/>
          <w:pgMar w:footer="714" w:header="748" w:top="980" w:bottom="900" w:left="1300" w:right="1200"/>
          <w:pgNumType w:start="53"/>
        </w:sectPr>
      </w:pPr>
    </w:p>
    <w:p>
      <w:pPr>
        <w:spacing w:line="240" w:lineRule="auto" w:before="7"/>
        <w:rPr>
          <w:rFonts w:ascii="宋体" w:hAnsi="宋体" w:cs="宋体" w:eastAsia="宋体" w:hint="default"/>
          <w:sz w:val="29"/>
          <w:szCs w:val="29"/>
        </w:rPr>
      </w:pPr>
    </w:p>
    <w:p>
      <w:pPr>
        <w:pStyle w:val="BodyText"/>
        <w:spacing w:line="338" w:lineRule="auto" w:before="26"/>
        <w:ind w:right="191"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6"/>
        </w:rPr>
        <w:t> </w:t>
      </w:r>
      <w:r>
        <w:rPr/>
        <w:t>年是苏宁新十年战略的开局之年，具有重要的意义，管理层与全体苏宁员工</w:t>
      </w:r>
      <w:r>
        <w:rPr>
          <w:spacing w:val="1"/>
        </w:rPr>
        <w:t> </w:t>
      </w:r>
      <w:r>
        <w:rPr/>
        <w:t>将会按以下的年度计划更加严谨的开展工作：</w:t>
      </w:r>
    </w:p>
    <w:p>
      <w:pPr>
        <w:pStyle w:val="BodyText"/>
        <w:spacing w:line="338" w:lineRule="auto" w:before="55"/>
        <w:ind w:left="620" w:right="84"/>
        <w:jc w:val="left"/>
      </w:pPr>
      <w:r>
        <w:rPr>
          <w:rFonts w:ascii="Times New Roman" w:hAnsi="Times New Roman" w:cs="Times New Roman" w:eastAsia="Times New Roman" w:hint="default"/>
        </w:rPr>
        <w:t>1</w:t>
      </w:r>
      <w:r>
        <w:rPr/>
        <w:t>、实体店平台开发 </w:t>
      </w:r>
      <w:r>
        <w:rPr>
          <w:spacing w:val="-3"/>
        </w:rPr>
        <w:t>公司继续运用“租、建、购、并”并行的连锁发展策略，从总部到大区进一步整合</w:t>
      </w:r>
    </w:p>
    <w:p>
      <w:pPr>
        <w:pStyle w:val="BodyText"/>
        <w:spacing w:line="240" w:lineRule="auto" w:before="55"/>
        <w:ind w:right="84"/>
        <w:jc w:val="left"/>
      </w:pPr>
      <w:r>
        <w:rPr/>
        <w:t>开发资源，加快核心区域自建店布局建设，计划</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年新开各类连锁店总数</w:t>
      </w:r>
      <w:r>
        <w:rPr>
          <w:spacing w:val="-60"/>
        </w:rPr>
        <w:t> </w:t>
      </w:r>
      <w:r>
        <w:rPr>
          <w:rFonts w:ascii="Times New Roman" w:hAnsi="Times New Roman" w:cs="Times New Roman" w:eastAsia="Times New Roman" w:hint="default"/>
        </w:rPr>
        <w:t>370 </w:t>
      </w:r>
      <w:r>
        <w:rPr/>
        <w:t>家。</w:t>
      </w:r>
    </w:p>
    <w:p>
      <w:pPr>
        <w:pStyle w:val="BodyText"/>
        <w:spacing w:line="240" w:lineRule="auto" w:before="135"/>
        <w:ind w:left="679" w:right="84"/>
        <w:jc w:val="left"/>
      </w:pPr>
      <w:r>
        <w:rPr>
          <w:rFonts w:ascii="Wingdings" w:hAnsi="Wingdings" w:cs="Wingdings" w:eastAsia="Wingdings" w:hint="default"/>
        </w:rPr>
        <w:t></w:t>
      </w:r>
      <w:r>
        <w:rPr>
          <w:rFonts w:ascii="Wingdings" w:hAnsi="Wingdings" w:cs="Wingdings" w:eastAsia="Wingdings" w:hint="default"/>
          <w:spacing w:val="-122"/>
        </w:rPr>
        <w:t></w:t>
      </w:r>
      <w:r>
        <w:rPr>
          <w:rFonts w:ascii="Times New Roman" w:hAnsi="Times New Roman" w:cs="Times New Roman" w:eastAsia="Times New Roman" w:hint="default"/>
          <w:spacing w:val="-122"/>
        </w:rPr>
      </w:r>
      <w:r>
        <w:rPr>
          <w:rFonts w:ascii="Times New Roman" w:hAnsi="Times New Roman" w:cs="Times New Roman" w:eastAsia="Times New Roman" w:hint="default"/>
        </w:rPr>
        <w:t>EXPO</w:t>
      </w:r>
      <w:r>
        <w:rPr>
          <w:rFonts w:ascii="Times New Roman" w:hAnsi="Times New Roman" w:cs="Times New Roman" w:eastAsia="Times New Roman" w:hint="default"/>
          <w:spacing w:val="-2"/>
        </w:rPr>
        <w:t> </w:t>
      </w:r>
      <w:r>
        <w:rPr/>
        <w:t>超级旗舰店开发</w:t>
      </w:r>
    </w:p>
    <w:p>
      <w:pPr>
        <w:pStyle w:val="BodyText"/>
        <w:spacing w:line="338" w:lineRule="auto" w:before="135"/>
        <w:ind w:left="139" w:right="193" w:firstLine="480"/>
        <w:jc w:val="both"/>
      </w:pPr>
      <w:r>
        <w:rPr>
          <w:spacing w:val="-4"/>
        </w:rPr>
        <w:t>进一步加大一、二级市场核心区域</w:t>
      </w:r>
      <w:r>
        <w:rPr>
          <w:spacing w:val="-56"/>
        </w:rPr>
        <w:t> </w:t>
      </w:r>
      <w:r>
        <w:rPr>
          <w:rFonts w:ascii="Times New Roman" w:hAnsi="Times New Roman" w:cs="Times New Roman" w:eastAsia="Times New Roman" w:hint="default"/>
        </w:rPr>
        <w:t>EXPO</w:t>
      </w:r>
      <w:r>
        <w:rPr>
          <w:rFonts w:ascii="Times New Roman" w:hAnsi="Times New Roman" w:cs="Times New Roman" w:eastAsia="Times New Roman" w:hint="default"/>
          <w:spacing w:val="3"/>
        </w:rPr>
        <w:t> </w:t>
      </w:r>
      <w:r>
        <w:rPr>
          <w:spacing w:val="-4"/>
        </w:rPr>
        <w:t>超级旗舰店的开设，有效提升公司在当地</w:t>
      </w:r>
      <w:r>
        <w:rPr/>
        <w:t> 市场的品牌形象，提高市场份额。</w:t>
      </w:r>
    </w:p>
    <w:p>
      <w:pPr>
        <w:pStyle w:val="BodyText"/>
        <w:spacing w:line="338" w:lineRule="auto" w:before="55"/>
        <w:ind w:left="619" w:right="84" w:firstLine="60"/>
        <w:jc w:val="left"/>
      </w:pPr>
      <w:r>
        <w:rPr>
          <w:rFonts w:ascii="Wingdings" w:hAnsi="Wingdings" w:cs="Wingdings" w:eastAsia="Wingdings" w:hint="default"/>
        </w:rPr>
        <w:t></w:t>
      </w:r>
      <w:r>
        <w:rPr>
          <w:rFonts w:ascii="Wingdings" w:hAnsi="Wingdings" w:cs="Wingdings" w:eastAsia="Wingdings" w:hint="default"/>
          <w:spacing w:val="-120"/>
        </w:rPr>
        <w:t></w:t>
      </w:r>
      <w:r>
        <w:rPr>
          <w:rFonts w:ascii="Times New Roman" w:hAnsi="Times New Roman" w:cs="Times New Roman" w:eastAsia="Times New Roman" w:hint="default"/>
          <w:spacing w:val="-120"/>
        </w:rPr>
      </w:r>
      <w:r>
        <w:rPr/>
        <w:t>常规店、县镇店开发 </w:t>
      </w:r>
      <w:r>
        <w:rPr>
          <w:spacing w:val="-10"/>
        </w:rPr>
        <w:t>常规店开发继续“地区攻略”、“旗舰店攻略”，加大对一二级市场的空白商圈以及</w:t>
      </w:r>
    </w:p>
    <w:p>
      <w:pPr>
        <w:pStyle w:val="BodyText"/>
        <w:spacing w:line="357" w:lineRule="auto" w:before="55"/>
        <w:ind w:left="139" w:right="85"/>
        <w:jc w:val="left"/>
      </w:pPr>
      <w:r>
        <w:rPr/>
        <w:t>新兴商圈的开发，加强旗舰店、中心店的建设。三、四级市场的开发将结合区域特点、 公司运营管理能力等进行综合考量，采用常规店与县镇店相结合模式推进开发。</w:t>
      </w:r>
    </w:p>
    <w:p>
      <w:pPr>
        <w:pStyle w:val="BodyText"/>
        <w:spacing w:line="338" w:lineRule="auto" w:before="36"/>
        <w:ind w:left="139" w:right="193" w:firstLine="480"/>
        <w:jc w:val="both"/>
      </w:pPr>
      <w:r>
        <w:rPr/>
        <w:t>全年，公司计划新进入 </w:t>
      </w:r>
      <w:r>
        <w:rPr>
          <w:rFonts w:ascii="Times New Roman" w:hAnsi="Times New Roman" w:cs="Times New Roman" w:eastAsia="Times New Roman" w:hint="default"/>
        </w:rPr>
        <w:t>32 </w:t>
      </w:r>
      <w:r>
        <w:rPr/>
        <w:t>个地级城市，</w:t>
      </w:r>
      <w:r>
        <w:rPr>
          <w:rFonts w:ascii="Times New Roman" w:hAnsi="Times New Roman" w:cs="Times New Roman" w:eastAsia="Times New Roman" w:hint="default"/>
        </w:rPr>
        <w:t>EXPO</w:t>
      </w:r>
      <w:r>
        <w:rPr>
          <w:rFonts w:ascii="Times New Roman" w:hAnsi="Times New Roman" w:cs="Times New Roman" w:eastAsia="Times New Roman" w:hint="default"/>
          <w:spacing w:val="-4"/>
        </w:rPr>
        <w:t> </w:t>
      </w:r>
      <w:r>
        <w:rPr/>
        <w:t>超级旗舰店、常规店、县镇店合计 新开</w:t>
      </w:r>
      <w:r>
        <w:rPr>
          <w:spacing w:val="-60"/>
        </w:rPr>
        <w:t> </w:t>
      </w:r>
      <w:r>
        <w:rPr>
          <w:rFonts w:ascii="Times New Roman" w:hAnsi="Times New Roman" w:cs="Times New Roman" w:eastAsia="Times New Roman" w:hint="default"/>
        </w:rPr>
        <w:t>350 </w:t>
      </w:r>
      <w:r>
        <w:rPr/>
        <w:t>家。</w:t>
      </w:r>
    </w:p>
    <w:p>
      <w:pPr>
        <w:pStyle w:val="BodyText"/>
        <w:spacing w:line="338" w:lineRule="auto" w:before="27"/>
        <w:ind w:left="619" w:right="84" w:firstLine="60"/>
        <w:jc w:val="left"/>
      </w:pPr>
      <w:r>
        <w:rPr>
          <w:rFonts w:ascii="Wingdings" w:hAnsi="Wingdings" w:cs="Wingdings" w:eastAsia="Wingdings" w:hint="default"/>
        </w:rPr>
        <w:t></w:t>
      </w:r>
      <w:r>
        <w:rPr>
          <w:rFonts w:ascii="Wingdings" w:hAnsi="Wingdings" w:cs="Wingdings" w:eastAsia="Wingdings" w:hint="default"/>
          <w:spacing w:val="-120"/>
        </w:rPr>
        <w:t></w:t>
      </w:r>
      <w:r>
        <w:rPr>
          <w:rFonts w:ascii="Times New Roman" w:hAnsi="Times New Roman" w:cs="Times New Roman" w:eastAsia="Times New Roman" w:hint="default"/>
          <w:spacing w:val="-120"/>
        </w:rPr>
      </w:r>
      <w:r>
        <w:rPr/>
        <w:t>精品店开发 </w:t>
      </w:r>
      <w:r>
        <w:rPr>
          <w:spacing w:val="-3"/>
        </w:rPr>
        <w:t>公司将优化完善精品店的运营模式，通过加强差异化商品选择，推进精准营销和增</w:t>
      </w:r>
    </w:p>
    <w:p>
      <w:pPr>
        <w:pStyle w:val="BodyText"/>
        <w:spacing w:line="338" w:lineRule="auto" w:before="55"/>
        <w:ind w:left="139" w:right="84"/>
        <w:jc w:val="left"/>
      </w:pPr>
      <w:r>
        <w:rPr/>
        <w:t>值服务等有效提升店面运营效率。</w:t>
      </w:r>
      <w:r>
        <w:rPr>
          <w:rFonts w:ascii="Times New Roman" w:hAnsi="Times New Roman" w:cs="Times New Roman" w:eastAsia="Times New Roman" w:hint="default"/>
        </w:rPr>
        <w:t>2011</w:t>
      </w:r>
      <w:r>
        <w:rPr>
          <w:rFonts w:ascii="Times New Roman" w:hAnsi="Times New Roman" w:cs="Times New Roman" w:eastAsia="Times New Roman" w:hint="default"/>
          <w:spacing w:val="22"/>
        </w:rPr>
        <w:t> </w:t>
      </w:r>
      <w:r>
        <w:rPr/>
        <w:t>年，公司将在北京、上海、广州、深圳等全国</w:t>
      </w:r>
      <w:r>
        <w:rPr>
          <w:spacing w:val="-118"/>
        </w:rPr>
        <w:t> </w:t>
      </w:r>
      <w:r>
        <w:rPr/>
        <w:t>重点城市继续推进精品店的开设，全年计划新开</w:t>
      </w:r>
      <w:r>
        <w:rPr>
          <w:spacing w:val="-60"/>
        </w:rPr>
        <w:t> </w:t>
      </w:r>
      <w:r>
        <w:rPr>
          <w:rFonts w:ascii="Times New Roman" w:hAnsi="Times New Roman" w:cs="Times New Roman" w:eastAsia="Times New Roman" w:hint="default"/>
        </w:rPr>
        <w:t>6 </w:t>
      </w:r>
      <w:r>
        <w:rPr/>
        <w:t>家。</w:t>
      </w:r>
    </w:p>
    <w:p>
      <w:pPr>
        <w:pStyle w:val="BodyText"/>
        <w:spacing w:line="338" w:lineRule="auto" w:before="27"/>
        <w:ind w:left="610" w:right="84" w:firstLine="69"/>
        <w:jc w:val="left"/>
      </w:pPr>
      <w:r>
        <w:rPr>
          <w:rFonts w:ascii="Wingdings" w:hAnsi="Wingdings" w:cs="Wingdings" w:eastAsia="Wingdings" w:hint="default"/>
        </w:rPr>
        <w:t></w:t>
      </w:r>
      <w:r>
        <w:rPr>
          <w:rFonts w:ascii="Wingdings" w:hAnsi="Wingdings" w:cs="Wingdings" w:eastAsia="Wingdings" w:hint="default"/>
          <w:spacing w:val="-120"/>
        </w:rPr>
        <w:t></w:t>
      </w:r>
      <w:r>
        <w:rPr>
          <w:rFonts w:ascii="Times New Roman" w:hAnsi="Times New Roman" w:cs="Times New Roman" w:eastAsia="Times New Roman" w:hint="default"/>
          <w:spacing w:val="-120"/>
        </w:rPr>
      </w:r>
      <w:r>
        <w:rPr/>
        <w:t>自建店开发 </w:t>
      </w:r>
      <w:r>
        <w:rPr>
          <w:spacing w:val="-3"/>
        </w:rPr>
        <w:t>加快核心区域的自建店布局，一方面，对已有自建店进行具体的分析、规划，进一</w:t>
      </w:r>
    </w:p>
    <w:p>
      <w:pPr>
        <w:pStyle w:val="BodyText"/>
        <w:spacing w:line="357" w:lineRule="auto" w:before="55"/>
        <w:ind w:left="139" w:right="85"/>
        <w:jc w:val="left"/>
      </w:pPr>
      <w:r>
        <w:rPr/>
        <w:t>步明确开发、规划、业态组合、装潢、商品规划等方面的标准，完善自建店开发标准， </w:t>
      </w:r>
      <w:r>
        <w:rPr>
          <w:spacing w:val="-3"/>
        </w:rPr>
        <w:t>推进自建店进入规模化开发阶段。另一方面加强与全国性商业地产公司的战略合作，通</w:t>
      </w:r>
      <w:r>
        <w:rPr>
          <w:spacing w:val="-98"/>
        </w:rPr>
        <w:t> </w:t>
      </w:r>
      <w:r>
        <w:rPr>
          <w:spacing w:val="-98"/>
        </w:rPr>
      </w:r>
      <w:r>
        <w:rPr/>
        <w:t>过定制开发等方式，加快自建店建设。</w:t>
      </w:r>
    </w:p>
    <w:p>
      <w:pPr>
        <w:pStyle w:val="BodyText"/>
        <w:spacing w:line="240" w:lineRule="auto" w:before="36"/>
        <w:ind w:left="679" w:right="84"/>
        <w:jc w:val="left"/>
      </w:pPr>
      <w:r>
        <w:rPr>
          <w:rFonts w:ascii="Wingdings" w:hAnsi="Wingdings" w:cs="Wingdings" w:eastAsia="Wingdings" w:hint="default"/>
        </w:rPr>
        <w:t></w:t>
      </w:r>
      <w:r>
        <w:rPr>
          <w:rFonts w:ascii="Wingdings" w:hAnsi="Wingdings" w:cs="Wingdings" w:eastAsia="Wingdings" w:hint="default"/>
          <w:spacing w:val="-120"/>
        </w:rPr>
        <w:t></w:t>
      </w:r>
      <w:r>
        <w:rPr>
          <w:rFonts w:ascii="Times New Roman" w:hAnsi="Times New Roman" w:cs="Times New Roman" w:eastAsia="Times New Roman" w:hint="default"/>
          <w:spacing w:val="-120"/>
        </w:rPr>
      </w:r>
      <w:r>
        <w:rPr/>
        <w:t>海外事业发展</w:t>
      </w:r>
    </w:p>
    <w:p>
      <w:pPr>
        <w:pStyle w:val="BodyText"/>
        <w:spacing w:line="240" w:lineRule="auto" w:before="137"/>
        <w:ind w:left="679" w:right="84"/>
        <w:jc w:val="left"/>
      </w:pPr>
      <w:r>
        <w:rPr>
          <w:rFonts w:ascii="Wingdings" w:hAnsi="Wingdings" w:cs="Wingdings" w:eastAsia="Wingdings" w:hint="default"/>
        </w:rPr>
        <w:t></w:t>
      </w:r>
      <w:r>
        <w:rPr>
          <w:rFonts w:ascii="Wingdings" w:hAnsi="Wingdings" w:cs="Wingdings" w:eastAsia="Wingdings" w:hint="default"/>
          <w:spacing w:val="-132"/>
        </w:rPr>
        <w:t></w:t>
      </w:r>
      <w:r>
        <w:rPr>
          <w:rFonts w:ascii="Times New Roman" w:hAnsi="Times New Roman" w:cs="Times New Roman" w:eastAsia="Times New Roman" w:hint="default"/>
          <w:spacing w:val="-132"/>
        </w:rPr>
      </w:r>
      <w:r>
        <w:rPr/>
        <w:t>香港地区发展展望</w:t>
      </w:r>
    </w:p>
    <w:p>
      <w:pPr>
        <w:pStyle w:val="BodyText"/>
        <w:spacing w:line="345" w:lineRule="auto" w:before="137"/>
        <w:ind w:left="139" w:right="191" w:firstLine="480"/>
        <w:jc w:val="both"/>
      </w:pPr>
      <w:r>
        <w:rPr/>
        <w:t>自公司</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月承接香港地区的业务以来，通过新开、关闭、改造等方式加快 </w:t>
      </w:r>
      <w:r>
        <w:rPr>
          <w:spacing w:val="-3"/>
        </w:rPr>
        <w:t>对香港地区的店面优化，并逐步摸索香港市场运营模式。通过近一年的发展，公司在香</w:t>
      </w:r>
      <w:r>
        <w:rPr>
          <w:spacing w:val="-96"/>
        </w:rPr>
        <w:t> </w:t>
      </w:r>
      <w:r>
        <w:rPr>
          <w:spacing w:val="-96"/>
        </w:rPr>
      </w:r>
      <w:r>
        <w:rPr>
          <w:spacing w:val="3"/>
        </w:rPr>
        <w:t>港地区的经营管理经验逐步成熟，品牌知名度极大提升，运营效率也初步显现。</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spacing w:val="-3"/>
        </w:rPr>
        <w:t>年，在进一步整合市场资源的基础上，香港地区将科学规划店面布局，适度加快开店速</w:t>
      </w:r>
      <w:r>
        <w:rPr>
          <w:spacing w:val="-96"/>
        </w:rPr>
        <w:t> </w:t>
      </w:r>
      <w:r>
        <w:rPr>
          <w:spacing w:val="-96"/>
        </w:rPr>
      </w:r>
      <w:r>
        <w:rPr/>
        <w:t>度，同时进一步优化产品结构，提升毛利率水平；</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年，公司香港地区计划全年新</w:t>
      </w:r>
      <w:r>
        <w:rPr>
          <w:spacing w:val="-118"/>
        </w:rPr>
        <w:t> </w:t>
      </w:r>
      <w:r>
        <w:rPr/>
        <w:t>开店面 </w:t>
      </w:r>
      <w:r>
        <w:rPr>
          <w:rFonts w:ascii="Times New Roman" w:hAnsi="Times New Roman" w:cs="Times New Roman" w:eastAsia="Times New Roman" w:hint="default"/>
        </w:rPr>
        <w:t>10</w:t>
      </w:r>
      <w:r>
        <w:rPr>
          <w:rFonts w:ascii="Times New Roman" w:hAnsi="Times New Roman" w:cs="Times New Roman" w:eastAsia="Times New Roman" w:hint="default"/>
          <w:spacing w:val="-32"/>
        </w:rPr>
        <w:t> </w:t>
      </w:r>
      <w:r>
        <w:rPr/>
        <w:t>家，并计划全年基本实现盈亏平衡，为公司在香港地区的三年发展规划的实</w:t>
      </w:r>
    </w:p>
    <w:p>
      <w:pPr>
        <w:spacing w:after="0" w:line="345" w:lineRule="auto"/>
        <w:jc w:val="both"/>
        <w:sectPr>
          <w:footerReference w:type="default" r:id="rId32"/>
          <w:pgSz w:w="11910" w:h="16840"/>
          <w:pgMar w:footer="714" w:header="748" w:top="980" w:bottom="900" w:left="1300" w:right="1240"/>
          <w:pgNumType w:start="54"/>
        </w:sectPr>
      </w:pPr>
    </w:p>
    <w:p>
      <w:pPr>
        <w:spacing w:line="240" w:lineRule="auto" w:before="7"/>
        <w:rPr>
          <w:rFonts w:ascii="宋体" w:hAnsi="宋体" w:cs="宋体" w:eastAsia="宋体" w:hint="default"/>
          <w:sz w:val="29"/>
          <w:szCs w:val="29"/>
        </w:rPr>
      </w:pPr>
    </w:p>
    <w:p>
      <w:pPr>
        <w:pStyle w:val="BodyText"/>
        <w:spacing w:line="240" w:lineRule="auto" w:before="26"/>
        <w:ind w:left="280" w:right="0"/>
        <w:jc w:val="both"/>
      </w:pPr>
      <w:r>
        <w:rPr/>
        <w:t>现奠定良好的基础。</w:t>
      </w:r>
    </w:p>
    <w:p>
      <w:pPr>
        <w:pStyle w:val="BodyText"/>
        <w:spacing w:line="240" w:lineRule="auto" w:before="154"/>
        <w:ind w:left="820" w:right="0"/>
        <w:jc w:val="left"/>
      </w:pPr>
      <w:r>
        <w:rPr>
          <w:rFonts w:ascii="Wingdings" w:hAnsi="Wingdings" w:cs="Wingdings" w:eastAsia="Wingdings" w:hint="default"/>
        </w:rPr>
        <w:t></w:t>
      </w:r>
      <w:r>
        <w:rPr>
          <w:rFonts w:ascii="Wingdings" w:hAnsi="Wingdings" w:cs="Wingdings" w:eastAsia="Wingdings" w:hint="default"/>
          <w:spacing w:val="-132"/>
        </w:rPr>
        <w:t></w:t>
      </w:r>
      <w:r>
        <w:rPr>
          <w:rFonts w:ascii="Times New Roman" w:hAnsi="Times New Roman" w:cs="Times New Roman" w:eastAsia="Times New Roman" w:hint="default"/>
          <w:spacing w:val="-132"/>
        </w:rPr>
      </w:r>
      <w:r>
        <w:rPr/>
        <w:t>日本市场发展展望</w:t>
      </w:r>
    </w:p>
    <w:p>
      <w:pPr>
        <w:pStyle w:val="BodyText"/>
        <w:spacing w:line="338" w:lineRule="auto" w:before="137"/>
        <w:ind w:left="280" w:right="153"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LAOX</w:t>
      </w:r>
      <w:r>
        <w:rPr>
          <w:rFonts w:ascii="Times New Roman" w:hAnsi="Times New Roman" w:cs="Times New Roman" w:eastAsia="Times New Roman" w:hint="default"/>
          <w:spacing w:val="6"/>
        </w:rPr>
        <w:t> </w:t>
      </w:r>
      <w:r>
        <w:rPr/>
        <w:t>公司运营步入正轨，管理相对成熟，经营情况基本达到公司预期。 今年，将加强协同，在保证开店效益的前提下，推进日本 </w:t>
      </w:r>
      <w:r>
        <w:rPr>
          <w:rFonts w:ascii="Times New Roman" w:hAnsi="Times New Roman" w:cs="Times New Roman" w:eastAsia="Times New Roman" w:hint="default"/>
        </w:rPr>
        <w:t>LAOX</w:t>
      </w:r>
      <w:r>
        <w:rPr>
          <w:rFonts w:ascii="Times New Roman" w:hAnsi="Times New Roman" w:cs="Times New Roman" w:eastAsia="Times New Roman" w:hint="default"/>
          <w:spacing w:val="20"/>
        </w:rPr>
        <w:t> </w:t>
      </w:r>
      <w:r>
        <w:rPr/>
        <w:t>公司进一步增加门店 数量以拓展家电市场份额，全年争取新开店面</w:t>
      </w:r>
      <w:r>
        <w:rPr>
          <w:spacing w:val="-60"/>
        </w:rPr>
        <w:t> </w:t>
      </w:r>
      <w:r>
        <w:rPr>
          <w:rFonts w:ascii="Times New Roman" w:hAnsi="Times New Roman" w:cs="Times New Roman" w:eastAsia="Times New Roman" w:hint="default"/>
        </w:rPr>
        <w:t>4 </w:t>
      </w:r>
      <w:r>
        <w:rPr/>
        <w:t>家。</w:t>
      </w:r>
    </w:p>
    <w:p>
      <w:pPr>
        <w:pStyle w:val="BodyText"/>
        <w:spacing w:line="338" w:lineRule="auto" w:before="27"/>
        <w:ind w:left="280" w:right="150" w:firstLine="540"/>
        <w:jc w:val="both"/>
      </w:pPr>
      <w:r>
        <w:rPr>
          <w:rFonts w:ascii="Wingdings" w:hAnsi="Wingdings" w:cs="Wingdings" w:eastAsia="Wingdings" w:hint="default"/>
        </w:rPr>
        <w:t></w:t>
      </w:r>
      <w:r>
        <w:rPr>
          <w:rFonts w:ascii="Wingdings" w:hAnsi="Wingdings" w:cs="Wingdings" w:eastAsia="Wingdings" w:hint="default"/>
          <w:spacing w:val="-117"/>
        </w:rPr>
        <w:t></w:t>
      </w:r>
      <w:r>
        <w:rPr>
          <w:rFonts w:ascii="Times New Roman" w:hAnsi="Times New Roman" w:cs="Times New Roman" w:eastAsia="Times New Roman" w:hint="default"/>
          <w:spacing w:val="-117"/>
        </w:rPr>
      </w:r>
      <w:r>
        <w:rPr/>
        <w:t>立足香港、日本平台，深入研究海外家电市场、连锁业态发展情况以及特点， 奠定海外发展基础。</w:t>
      </w:r>
    </w:p>
    <w:p>
      <w:pPr>
        <w:pStyle w:val="BodyText"/>
        <w:spacing w:line="338" w:lineRule="auto" w:before="55"/>
        <w:ind w:left="760" w:right="152"/>
        <w:jc w:val="left"/>
      </w:pPr>
      <w:r>
        <w:rPr>
          <w:rFonts w:ascii="Times New Roman" w:hAnsi="Times New Roman" w:cs="Times New Roman" w:eastAsia="Times New Roman" w:hint="default"/>
        </w:rPr>
        <w:t>2</w:t>
      </w:r>
      <w:r>
        <w:rPr/>
        <w:t>、电子商务平台发展 </w:t>
      </w:r>
      <w:r>
        <w:rPr>
          <w:spacing w:val="-3"/>
        </w:rPr>
        <w:t>公司电子商务平台——苏宁易购依托于过去一年奠定的系统、平台、团队、品牌和</w:t>
      </w:r>
    </w:p>
    <w:p>
      <w:pPr>
        <w:pStyle w:val="BodyText"/>
        <w:spacing w:line="345" w:lineRule="auto" w:before="55"/>
        <w:ind w:left="280" w:right="152"/>
        <w:jc w:val="both"/>
      </w:pPr>
      <w:r>
        <w:rPr/>
        <w:t>供应链基础，</w:t>
      </w:r>
      <w:r>
        <w:rPr>
          <w:rFonts w:ascii="Times New Roman" w:hAnsi="Times New Roman" w:cs="Times New Roman" w:eastAsia="Times New Roman" w:hint="default"/>
        </w:rPr>
        <w:t>2011</w:t>
      </w:r>
      <w:r>
        <w:rPr>
          <w:rFonts w:ascii="Times New Roman" w:hAnsi="Times New Roman" w:cs="Times New Roman" w:eastAsia="Times New Roman" w:hint="default"/>
          <w:spacing w:val="17"/>
        </w:rPr>
        <w:t> </w:t>
      </w:r>
      <w:r>
        <w:rPr/>
        <w:t>年进行全面组织调整，以公司化的方式进行独立运营，打造真正意</w:t>
      </w:r>
      <w:r>
        <w:rPr>
          <w:spacing w:val="-118"/>
        </w:rPr>
        <w:t> </w:t>
      </w:r>
      <w:r>
        <w:rPr>
          <w:spacing w:val="-118"/>
        </w:rPr>
      </w:r>
      <w:r>
        <w:rPr>
          <w:spacing w:val="-3"/>
        </w:rPr>
        <w:t>义上的互联网企业，在共享实体网络服务后台的基础上，实现更加灵活、更有效率、更</w:t>
      </w:r>
      <w:r>
        <w:rPr>
          <w:spacing w:val="-98"/>
        </w:rPr>
        <w:t> </w:t>
      </w:r>
      <w:r>
        <w:rPr>
          <w:spacing w:val="-98"/>
        </w:rPr>
      </w:r>
      <w:r>
        <w:rPr/>
        <w:t>为科学的采购、运营策略，大力提升客户体验。</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年确保实现销售规模</w:t>
      </w:r>
      <w:r>
        <w:rPr>
          <w:spacing w:val="-71"/>
        </w:rPr>
        <w:t> </w:t>
      </w:r>
      <w:r>
        <w:rPr>
          <w:rFonts w:ascii="Times New Roman" w:hAnsi="Times New Roman" w:cs="Times New Roman" w:eastAsia="Times New Roman" w:hint="default"/>
        </w:rPr>
        <w:t>50</w:t>
      </w:r>
      <w:r>
        <w:rPr>
          <w:rFonts w:ascii="Times New Roman" w:hAnsi="Times New Roman" w:cs="Times New Roman" w:eastAsia="Times New Roman" w:hint="default"/>
          <w:spacing w:val="-11"/>
        </w:rPr>
        <w:t> </w:t>
      </w:r>
      <w:r>
        <w:rPr/>
        <w:t>亿元，力 争突破</w:t>
      </w:r>
      <w:r>
        <w:rPr>
          <w:spacing w:val="-60"/>
        </w:rPr>
        <w:t> </w:t>
      </w:r>
      <w:r>
        <w:rPr>
          <w:rFonts w:ascii="Times New Roman" w:hAnsi="Times New Roman" w:cs="Times New Roman" w:eastAsia="Times New Roman" w:hint="default"/>
        </w:rPr>
        <w:t>80 </w:t>
      </w:r>
      <w:r>
        <w:rPr/>
        <w:t>亿元。</w:t>
      </w:r>
    </w:p>
    <w:p>
      <w:pPr>
        <w:pStyle w:val="BodyText"/>
        <w:spacing w:line="338" w:lineRule="auto" w:before="19"/>
        <w:ind w:left="100" w:right="153" w:firstLine="540"/>
        <w:jc w:val="both"/>
      </w:pPr>
      <w:r>
        <w:rPr>
          <w:rFonts w:ascii="Wingdings" w:hAnsi="Wingdings" w:cs="Wingdings" w:eastAsia="Wingdings" w:hint="default"/>
        </w:rPr>
        <w:t></w:t>
      </w:r>
      <w:r>
        <w:rPr>
          <w:rFonts w:ascii="Times New Roman" w:hAnsi="Times New Roman" w:cs="Times New Roman" w:eastAsia="Times New Roman" w:hint="default"/>
        </w:rPr>
      </w:r>
      <w:r>
        <w:rPr/>
        <w:t>品类规划方面，苏宁易购将着眼于打造大型综合 </w:t>
      </w:r>
      <w:r>
        <w:rPr>
          <w:rFonts w:ascii="Times New Roman" w:hAnsi="Times New Roman" w:cs="Times New Roman" w:eastAsia="Times New Roman" w:hint="default"/>
        </w:rPr>
        <w:t>B2C </w:t>
      </w:r>
      <w:r>
        <w:rPr/>
        <w:t>网站，以家电、</w:t>
      </w:r>
      <w:r>
        <w:rPr>
          <w:rFonts w:ascii="Times New Roman" w:hAnsi="Times New Roman" w:cs="Times New Roman" w:eastAsia="Times New Roman" w:hint="default"/>
        </w:rPr>
        <w:t>3C</w:t>
      </w:r>
      <w:r>
        <w:rPr>
          <w:rFonts w:ascii="Times New Roman" w:hAnsi="Times New Roman" w:cs="Times New Roman" w:eastAsia="Times New Roman" w:hint="default"/>
          <w:spacing w:val="14"/>
        </w:rPr>
        <w:t> </w:t>
      </w:r>
      <w:r>
        <w:rPr/>
        <w:t>商品 为主业，发展商品多元化，进军虚拟商品市场。</w:t>
      </w:r>
    </w:p>
    <w:p>
      <w:pPr>
        <w:pStyle w:val="BodyText"/>
        <w:spacing w:line="338" w:lineRule="auto" w:before="55"/>
        <w:ind w:left="100" w:right="150" w:firstLine="540"/>
        <w:jc w:val="both"/>
      </w:pPr>
      <w:r>
        <w:rPr>
          <w:rFonts w:ascii="Wingdings" w:hAnsi="Wingdings" w:cs="Wingdings" w:eastAsia="Wingdings" w:hint="default"/>
        </w:rPr>
        <w:t></w:t>
      </w:r>
      <w:r>
        <w:rPr>
          <w:rFonts w:ascii="Wingdings" w:hAnsi="Wingdings" w:cs="Wingdings" w:eastAsia="Wingdings" w:hint="default"/>
          <w:spacing w:val="65"/>
        </w:rPr>
        <w:t></w:t>
      </w:r>
      <w:r>
        <w:rPr>
          <w:rFonts w:ascii="Times New Roman" w:hAnsi="Times New Roman" w:cs="Times New Roman" w:eastAsia="Times New Roman" w:hint="default"/>
          <w:spacing w:val="65"/>
        </w:rPr>
      </w:r>
      <w:r>
        <w:rPr/>
        <w:t>采购供应链方面，苏宁易购一方面将继续依托苏宁电器规模采购的成本优势， 一方面强化自主采购符合市场特点的商品。</w:t>
      </w:r>
    </w:p>
    <w:p>
      <w:pPr>
        <w:pStyle w:val="BodyText"/>
        <w:spacing w:line="338" w:lineRule="auto" w:before="55"/>
        <w:ind w:left="100" w:right="150" w:firstLine="540"/>
        <w:jc w:val="both"/>
      </w:pPr>
      <w:r>
        <w:rPr>
          <w:rFonts w:ascii="Wingdings" w:hAnsi="Wingdings" w:cs="Wingdings" w:eastAsia="Wingdings" w:hint="default"/>
        </w:rPr>
        <w:t></w:t>
      </w:r>
      <w:r>
        <w:rPr>
          <w:rFonts w:ascii="Wingdings" w:hAnsi="Wingdings" w:cs="Wingdings" w:eastAsia="Wingdings" w:hint="default"/>
          <w:spacing w:val="65"/>
        </w:rPr>
        <w:t></w:t>
      </w:r>
      <w:r>
        <w:rPr>
          <w:rFonts w:ascii="Times New Roman" w:hAnsi="Times New Roman" w:cs="Times New Roman" w:eastAsia="Times New Roman" w:hint="default"/>
          <w:spacing w:val="65"/>
        </w:rPr>
      </w:r>
      <w:r>
        <w:rPr/>
        <w:t>定价体系方面，苏宁易购独立运营体系已形成，为适应行业发展需要，苏宁易 购也将建立独立的定价体系。</w:t>
      </w:r>
    </w:p>
    <w:p>
      <w:pPr>
        <w:pStyle w:val="BodyText"/>
        <w:spacing w:line="348" w:lineRule="auto" w:before="55"/>
        <w:ind w:left="100" w:right="150" w:firstLine="540"/>
        <w:jc w:val="both"/>
      </w:pPr>
      <w:r>
        <w:rPr>
          <w:rFonts w:ascii="Wingdings" w:hAnsi="Wingdings" w:cs="Wingdings" w:eastAsia="Wingdings" w:hint="default"/>
        </w:rPr>
        <w:t></w:t>
      </w:r>
      <w:r>
        <w:rPr>
          <w:rFonts w:ascii="Wingdings" w:hAnsi="Wingdings" w:cs="Wingdings" w:eastAsia="Wingdings" w:hint="default"/>
          <w:spacing w:val="65"/>
        </w:rPr>
        <w:t></w:t>
      </w:r>
      <w:r>
        <w:rPr>
          <w:rFonts w:ascii="Times New Roman" w:hAnsi="Times New Roman" w:cs="Times New Roman" w:eastAsia="Times New Roman" w:hint="default"/>
          <w:spacing w:val="65"/>
        </w:rPr>
      </w:r>
      <w:r>
        <w:rPr/>
        <w:t>客户体验上，苏宁易购将着力打造综合类电子商务门户，从丰富商品品类、拓 宽服务、提供全面的专业知识、内容资讯以及建立易购社区等各个方面完善网站的功能</w:t>
      </w:r>
      <w:r>
        <w:rPr>
          <w:spacing w:val="-45"/>
        </w:rPr>
        <w:t> </w:t>
      </w:r>
      <w:r>
        <w:rPr>
          <w:spacing w:val="-45"/>
        </w:rPr>
      </w:r>
      <w:r>
        <w:rPr/>
        <w:t>和增值服务。</w:t>
      </w:r>
    </w:p>
    <w:p>
      <w:pPr>
        <w:pStyle w:val="BodyText"/>
        <w:spacing w:line="338" w:lineRule="auto" w:before="46"/>
        <w:ind w:left="100" w:right="153" w:firstLine="540"/>
        <w:jc w:val="both"/>
      </w:pPr>
      <w:r>
        <w:rPr>
          <w:rFonts w:ascii="Wingdings" w:hAnsi="Wingdings" w:cs="Wingdings" w:eastAsia="Wingdings" w:hint="default"/>
        </w:rPr>
        <w:t></w:t>
      </w:r>
      <w:r>
        <w:rPr>
          <w:rFonts w:ascii="Times New Roman" w:hAnsi="Times New Roman" w:cs="Times New Roman" w:eastAsia="Times New Roman" w:hint="default"/>
        </w:rPr>
      </w:r>
      <w:r>
        <w:rPr/>
        <w:t>物流服务方面，苏宁易购将建立由 </w:t>
      </w:r>
      <w:r>
        <w:rPr>
          <w:rFonts w:ascii="Times New Roman" w:hAnsi="Times New Roman" w:cs="Times New Roman" w:eastAsia="Times New Roman" w:hint="default"/>
        </w:rPr>
        <w:t>93 </w:t>
      </w:r>
      <w:r>
        <w:rPr/>
        <w:t>个大家电中心仓、</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个自动化、高效率 的小件商品自动化仓库和</w:t>
      </w:r>
      <w:r>
        <w:rPr>
          <w:spacing w:val="-5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spacing w:val="-4"/>
        </w:rPr>
        <w:t>个依托区域核心门店、物流基地的自建快递点构成的全国</w:t>
      </w:r>
      <w:r>
        <w:rPr/>
        <w:t> 物流配送体系。</w:t>
      </w:r>
    </w:p>
    <w:p>
      <w:pPr>
        <w:pStyle w:val="BodyText"/>
        <w:spacing w:line="348" w:lineRule="auto" w:before="55"/>
        <w:ind w:left="100" w:right="150" w:firstLine="540"/>
        <w:jc w:val="both"/>
      </w:pPr>
      <w:r>
        <w:rPr>
          <w:rFonts w:ascii="Wingdings" w:hAnsi="Wingdings" w:cs="Wingdings" w:eastAsia="Wingdings" w:hint="default"/>
        </w:rPr>
        <w:t></w:t>
      </w:r>
      <w:r>
        <w:rPr>
          <w:rFonts w:ascii="Wingdings" w:hAnsi="Wingdings" w:cs="Wingdings" w:eastAsia="Wingdings" w:hint="default"/>
          <w:spacing w:val="65"/>
        </w:rPr>
        <w:t></w:t>
      </w:r>
      <w:r>
        <w:rPr>
          <w:rFonts w:ascii="Times New Roman" w:hAnsi="Times New Roman" w:cs="Times New Roman" w:eastAsia="Times New Roman" w:hint="default"/>
          <w:spacing w:val="65"/>
        </w:rPr>
      </w:r>
      <w:r>
        <w:rPr/>
        <w:t>营销推广方面，苏宁易购将在整合互联网各种推广模式的基础上，自建推广联 盟，发展最广泛的涵盖校园、大中型企业、社区以及四五级市场的各类代理伙伴，创造</w:t>
      </w:r>
      <w:r>
        <w:rPr>
          <w:spacing w:val="-45"/>
        </w:rPr>
        <w:t> </w:t>
      </w:r>
      <w:r>
        <w:rPr>
          <w:spacing w:val="-45"/>
        </w:rPr>
      </w:r>
      <w:r>
        <w:rPr/>
        <w:t>就业、扩大市场，推广易购品牌。</w:t>
      </w:r>
    </w:p>
    <w:p>
      <w:pPr>
        <w:pStyle w:val="BodyText"/>
        <w:spacing w:line="240" w:lineRule="auto" w:before="46"/>
        <w:ind w:left="760" w:right="0"/>
        <w:jc w:val="left"/>
      </w:pPr>
      <w:r>
        <w:rPr>
          <w:rFonts w:ascii="Times New Roman" w:hAnsi="Times New Roman" w:cs="Times New Roman" w:eastAsia="Times New Roman" w:hint="default"/>
        </w:rPr>
        <w:t>3</w:t>
      </w:r>
      <w:r>
        <w:rPr/>
        <w:t>、营销创新</w:t>
      </w:r>
    </w:p>
    <w:p>
      <w:pPr>
        <w:spacing w:line="240" w:lineRule="auto" w:before="7"/>
        <w:rPr>
          <w:rFonts w:ascii="宋体" w:hAnsi="宋体" w:cs="宋体" w:eastAsia="宋体" w:hint="default"/>
          <w:sz w:val="19"/>
          <w:szCs w:val="19"/>
        </w:rPr>
      </w:pPr>
    </w:p>
    <w:p>
      <w:pPr>
        <w:pStyle w:val="BodyText"/>
        <w:tabs>
          <w:tab w:pos="1179" w:val="left" w:leader="none"/>
        </w:tabs>
        <w:spacing w:line="240" w:lineRule="auto"/>
        <w:ind w:left="760" w:right="0"/>
        <w:jc w:val="left"/>
      </w:pPr>
      <w:r>
        <w:rPr>
          <w:rFonts w:ascii="Wingdings" w:hAnsi="Wingdings" w:cs="Wingdings" w:eastAsia="Wingdings" w:hint="default"/>
        </w:rPr>
        <w:t></w:t>
      </w:r>
      <w:r>
        <w:rPr>
          <w:rFonts w:ascii="Times New Roman" w:hAnsi="Times New Roman" w:cs="Times New Roman" w:eastAsia="Times New Roman" w:hint="default"/>
        </w:rPr>
        <w:tab/>
      </w:r>
      <w:r>
        <w:rPr/>
        <w:t>加强商品规划与供应链优化</w:t>
      </w:r>
    </w:p>
    <w:p>
      <w:pPr>
        <w:spacing w:after="0" w:line="240" w:lineRule="auto"/>
        <w:jc w:val="left"/>
        <w:sectPr>
          <w:pgSz w:w="11910" w:h="16840"/>
          <w:pgMar w:header="748" w:footer="714" w:top="980" w:bottom="900" w:left="1160" w:right="1280"/>
        </w:sectPr>
      </w:pPr>
    </w:p>
    <w:p>
      <w:pPr>
        <w:spacing w:line="240" w:lineRule="auto" w:before="7"/>
        <w:rPr>
          <w:rFonts w:ascii="宋体" w:hAnsi="宋体" w:cs="宋体" w:eastAsia="宋体" w:hint="default"/>
          <w:sz w:val="29"/>
          <w:szCs w:val="29"/>
        </w:rPr>
      </w:pPr>
    </w:p>
    <w:p>
      <w:pPr>
        <w:pStyle w:val="BodyText"/>
        <w:spacing w:line="338" w:lineRule="auto" w:before="26"/>
        <w:ind w:right="217" w:firstLine="540"/>
        <w:jc w:val="left"/>
      </w:pPr>
      <w:r>
        <w:rPr>
          <w:rFonts w:ascii="Wingdings" w:hAnsi="Wingdings" w:cs="Wingdings" w:eastAsia="Wingdings" w:hint="default"/>
        </w:rPr>
        <w:t></w:t>
      </w:r>
      <w:r>
        <w:rPr>
          <w:rFonts w:ascii="Wingdings" w:hAnsi="Wingdings" w:cs="Wingdings" w:eastAsia="Wingdings" w:hint="default"/>
          <w:spacing w:val="-117"/>
        </w:rPr>
        <w:t></w:t>
      </w:r>
      <w:r>
        <w:rPr>
          <w:rFonts w:ascii="Times New Roman" w:hAnsi="Times New Roman" w:cs="Times New Roman" w:eastAsia="Times New Roman" w:hint="default"/>
          <w:spacing w:val="-117"/>
        </w:rPr>
      </w:r>
      <w:r>
        <w:rPr/>
        <w:t>强化商品规划的组织建设和系统平台建设，结合商品特性、品牌定位、顾客需 求和店面类型，规划商品组合和展示方式，积极拓展商品品类，增加</w:t>
      </w:r>
      <w:r>
        <w:rPr>
          <w:spacing w:val="-62"/>
        </w:rPr>
        <w:t> </w:t>
      </w:r>
      <w:r>
        <w:rPr>
          <w:rFonts w:ascii="Times New Roman" w:hAnsi="Times New Roman" w:cs="Times New Roman" w:eastAsia="Times New Roman" w:hint="default"/>
        </w:rPr>
        <w:t>SKU</w:t>
      </w:r>
      <w:r>
        <w:rPr>
          <w:rFonts w:ascii="Times New Roman" w:hAnsi="Times New Roman" w:cs="Times New Roman" w:eastAsia="Times New Roman" w:hint="default"/>
          <w:spacing w:val="-3"/>
        </w:rPr>
        <w:t> </w:t>
      </w:r>
      <w:r>
        <w:rPr/>
        <w:t>数量。</w:t>
      </w:r>
    </w:p>
    <w:p>
      <w:pPr>
        <w:pStyle w:val="BodyText"/>
        <w:spacing w:line="338" w:lineRule="auto" w:before="27"/>
        <w:ind w:right="168" w:firstLine="540"/>
        <w:jc w:val="left"/>
      </w:pPr>
      <w:r>
        <w:rPr>
          <w:rFonts w:ascii="Wingdings" w:hAnsi="Wingdings" w:cs="Wingdings" w:eastAsia="Wingdings" w:hint="default"/>
        </w:rPr>
        <w:t></w:t>
      </w:r>
      <w:r>
        <w:rPr>
          <w:rFonts w:ascii="Wingdings" w:hAnsi="Wingdings" w:cs="Wingdings" w:eastAsia="Wingdings" w:hint="default"/>
          <w:spacing w:val="-132"/>
        </w:rPr>
        <w:t></w:t>
      </w:r>
      <w:r>
        <w:rPr>
          <w:rFonts w:ascii="Times New Roman" w:hAnsi="Times New Roman" w:cs="Times New Roman" w:eastAsia="Times New Roman" w:hint="default"/>
          <w:spacing w:val="-132"/>
        </w:rPr>
      </w:r>
      <w:r>
        <w:rPr/>
        <w:t>大力推进与供应商的</w:t>
      </w:r>
      <w:r>
        <w:rPr>
          <w:spacing w:val="-61"/>
        </w:rPr>
        <w:t> </w:t>
      </w:r>
      <w:r>
        <w:rPr>
          <w:rFonts w:ascii="Times New Roman" w:hAnsi="Times New Roman" w:cs="Times New Roman" w:eastAsia="Times New Roman" w:hint="default"/>
        </w:rPr>
        <w:t>B2B</w:t>
      </w:r>
      <w:r>
        <w:rPr>
          <w:rFonts w:ascii="Times New Roman" w:hAnsi="Times New Roman" w:cs="Times New Roman" w:eastAsia="Times New Roman" w:hint="default"/>
          <w:spacing w:val="-2"/>
        </w:rPr>
        <w:t> </w:t>
      </w:r>
      <w:r>
        <w:rPr/>
        <w:t>系统直联，开放销售、库存、费用等各项数据功能， 与供应商合作推进</w:t>
      </w:r>
      <w:r>
        <w:rPr>
          <w:spacing w:val="-64"/>
        </w:rPr>
        <w:t> </w:t>
      </w:r>
      <w:r>
        <w:rPr>
          <w:rFonts w:ascii="Times New Roman" w:hAnsi="Times New Roman" w:cs="Times New Roman" w:eastAsia="Times New Roman" w:hint="default"/>
        </w:rPr>
        <w:t>CPRF</w:t>
      </w:r>
      <w:r>
        <w:rPr/>
        <w:t>，提升效率。</w:t>
      </w:r>
    </w:p>
    <w:p>
      <w:pPr>
        <w:pStyle w:val="BodyText"/>
        <w:tabs>
          <w:tab w:pos="1039" w:val="left" w:leader="none"/>
        </w:tabs>
        <w:spacing w:line="240" w:lineRule="auto" w:before="147"/>
        <w:ind w:left="620" w:right="217"/>
        <w:jc w:val="left"/>
      </w:pPr>
      <w:r>
        <w:rPr>
          <w:rFonts w:ascii="Wingdings" w:hAnsi="Wingdings" w:cs="Wingdings" w:eastAsia="Wingdings" w:hint="default"/>
        </w:rPr>
        <w:t></w:t>
      </w:r>
      <w:r>
        <w:rPr>
          <w:rFonts w:ascii="Times New Roman" w:hAnsi="Times New Roman" w:cs="Times New Roman" w:eastAsia="Times New Roman" w:hint="default"/>
        </w:rPr>
        <w:tab/>
      </w:r>
      <w:r>
        <w:rPr/>
        <w:t>建立战略性的供应商合作机制</w:t>
      </w:r>
    </w:p>
    <w:p>
      <w:pPr>
        <w:pStyle w:val="BodyText"/>
        <w:spacing w:line="240" w:lineRule="auto" w:before="137"/>
        <w:ind w:left="680" w:right="0"/>
        <w:jc w:val="left"/>
      </w:pPr>
      <w:r>
        <w:rPr>
          <w:rFonts w:ascii="Wingdings" w:hAnsi="Wingdings" w:cs="Wingdings" w:eastAsia="Wingdings" w:hint="default"/>
        </w:rPr>
        <w:t></w:t>
      </w:r>
      <w:r>
        <w:rPr>
          <w:rFonts w:ascii="Wingdings" w:hAnsi="Wingdings" w:cs="Wingdings" w:eastAsia="Wingdings" w:hint="default"/>
          <w:spacing w:val="-119"/>
        </w:rPr>
        <w:t></w:t>
      </w:r>
      <w:r>
        <w:rPr>
          <w:rFonts w:ascii="Times New Roman" w:hAnsi="Times New Roman" w:cs="Times New Roman" w:eastAsia="Times New Roman" w:hint="default"/>
          <w:spacing w:val="-119"/>
        </w:rPr>
      </w:r>
      <w:r>
        <w:rPr>
          <w:spacing w:val="-3"/>
        </w:rPr>
        <w:t>根据品牌的行业地位和产品定位，推进战略合作品牌建设，制定长期合作机制。</w:t>
      </w:r>
    </w:p>
    <w:p>
      <w:pPr>
        <w:pStyle w:val="BodyText"/>
        <w:spacing w:line="338" w:lineRule="auto" w:before="137"/>
        <w:ind w:right="217" w:firstLine="540"/>
        <w:jc w:val="left"/>
      </w:pPr>
      <w:r>
        <w:rPr>
          <w:rFonts w:ascii="Wingdings" w:hAnsi="Wingdings" w:cs="Wingdings" w:eastAsia="Wingdings" w:hint="default"/>
        </w:rPr>
        <w:t></w:t>
      </w:r>
      <w:r>
        <w:rPr>
          <w:rFonts w:ascii="Wingdings" w:hAnsi="Wingdings" w:cs="Wingdings" w:eastAsia="Wingdings" w:hint="default"/>
          <w:spacing w:val="-117"/>
        </w:rPr>
        <w:t></w:t>
      </w:r>
      <w:r>
        <w:rPr>
          <w:rFonts w:ascii="Times New Roman" w:hAnsi="Times New Roman" w:cs="Times New Roman" w:eastAsia="Times New Roman" w:hint="default"/>
          <w:spacing w:val="-117"/>
        </w:rPr>
      </w:r>
      <w:r>
        <w:rPr/>
        <w:t>建立与供应商战略沟通、业务沟通和销售沟通多层次、全方位的沟通机制，加 强联合培训，建立更加和谐的零供合作关系。</w:t>
      </w:r>
    </w:p>
    <w:p>
      <w:pPr>
        <w:pStyle w:val="BodyText"/>
        <w:spacing w:line="240" w:lineRule="auto" w:before="175"/>
        <w:ind w:left="680" w:right="217"/>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提升自主营销能力</w:t>
      </w:r>
    </w:p>
    <w:p>
      <w:pPr>
        <w:pStyle w:val="BodyText"/>
        <w:spacing w:line="338" w:lineRule="auto" w:before="137"/>
        <w:ind w:right="217" w:firstLine="540"/>
        <w:jc w:val="left"/>
      </w:pPr>
      <w:r>
        <w:rPr>
          <w:rFonts w:ascii="Wingdings" w:hAnsi="Wingdings" w:cs="Wingdings" w:eastAsia="Wingdings" w:hint="default"/>
        </w:rPr>
        <w:t></w:t>
      </w:r>
      <w:r>
        <w:rPr>
          <w:rFonts w:ascii="Wingdings" w:hAnsi="Wingdings" w:cs="Wingdings" w:eastAsia="Wingdings" w:hint="default"/>
          <w:spacing w:val="-117"/>
        </w:rPr>
        <w:t></w:t>
      </w:r>
      <w:r>
        <w:rPr>
          <w:rFonts w:ascii="Times New Roman" w:hAnsi="Times New Roman" w:cs="Times New Roman" w:eastAsia="Times New Roman" w:hint="default"/>
          <w:spacing w:val="-117"/>
        </w:rPr>
      </w:r>
      <w:r>
        <w:rPr/>
        <w:t>扩大自主产品的品牌、品类和销售规模。建立从总部到大区专职的自主产品管 理和销售体系，加强总部和大区、采购和店面的协同力度。</w:t>
      </w:r>
    </w:p>
    <w:p>
      <w:pPr>
        <w:pStyle w:val="BodyText"/>
        <w:spacing w:line="338" w:lineRule="auto" w:before="55"/>
        <w:ind w:right="217" w:firstLine="540"/>
        <w:jc w:val="left"/>
      </w:pPr>
      <w:r>
        <w:rPr>
          <w:rFonts w:ascii="Wingdings" w:hAnsi="Wingdings" w:cs="Wingdings" w:eastAsia="Wingdings" w:hint="default"/>
        </w:rPr>
        <w:t></w:t>
      </w:r>
      <w:r>
        <w:rPr>
          <w:rFonts w:ascii="Wingdings" w:hAnsi="Wingdings" w:cs="Wingdings" w:eastAsia="Wingdings" w:hint="default"/>
          <w:spacing w:val="-117"/>
        </w:rPr>
        <w:t></w:t>
      </w:r>
      <w:r>
        <w:rPr>
          <w:rFonts w:ascii="Times New Roman" w:hAnsi="Times New Roman" w:cs="Times New Roman" w:eastAsia="Times New Roman" w:hint="default"/>
          <w:spacing w:val="-117"/>
        </w:rPr>
      </w:r>
      <w:r>
        <w:rPr/>
        <w:t>加强店面终端自营人员队伍的建设，大力开展产品、业务流程等方面的培训， 优化考核激励机制，提升店面经营意识，加强自营销售能力。</w:t>
      </w:r>
    </w:p>
    <w:p>
      <w:pPr>
        <w:pStyle w:val="BodyText"/>
        <w:spacing w:line="240" w:lineRule="auto" w:before="55"/>
        <w:ind w:left="620" w:right="217"/>
        <w:jc w:val="left"/>
      </w:pPr>
      <w:r>
        <w:rPr>
          <w:rFonts w:ascii="Times New Roman" w:hAnsi="Times New Roman" w:cs="Times New Roman" w:eastAsia="Times New Roman" w:hint="default"/>
        </w:rPr>
        <w:t>4</w:t>
      </w:r>
      <w:r>
        <w:rPr/>
        <w:t>、品牌建设</w:t>
      </w:r>
    </w:p>
    <w:p>
      <w:pPr>
        <w:pStyle w:val="BodyText"/>
        <w:tabs>
          <w:tab w:pos="1039" w:val="left" w:leader="none"/>
        </w:tabs>
        <w:spacing w:line="338" w:lineRule="auto" w:before="135"/>
        <w:ind w:right="442" w:firstLine="480"/>
        <w:jc w:val="left"/>
      </w:pPr>
      <w:r>
        <w:rPr>
          <w:rFonts w:ascii="Wingdings" w:hAnsi="Wingdings" w:cs="Wingdings" w:eastAsia="Wingdings" w:hint="default"/>
        </w:rPr>
        <w:t></w:t>
      </w:r>
      <w:r>
        <w:rPr>
          <w:rFonts w:ascii="Times New Roman" w:hAnsi="Times New Roman" w:cs="Times New Roman" w:eastAsia="Times New Roman" w:hint="default"/>
        </w:rPr>
        <w:tab/>
      </w:r>
      <w:r>
        <w:rPr/>
        <w:t>把握行业领袖企业的品牌定位，开展行业性、社会性营销事件，加强品牌深 度报道，提升品牌宣传效果。</w:t>
      </w:r>
    </w:p>
    <w:p>
      <w:pPr>
        <w:pStyle w:val="BodyText"/>
        <w:spacing w:line="348" w:lineRule="auto" w:before="55"/>
        <w:ind w:right="230" w:firstLine="480"/>
        <w:jc w:val="both"/>
      </w:pPr>
      <w:r>
        <w:rPr>
          <w:rFonts w:ascii="Wingdings" w:hAnsi="Wingdings" w:cs="Wingdings" w:eastAsia="Wingdings" w:hint="default"/>
        </w:rPr>
        <w:t></w:t>
      </w:r>
      <w:r>
        <w:rPr>
          <w:rFonts w:ascii="Wingdings" w:hAnsi="Wingdings" w:cs="Wingdings" w:eastAsia="Wingdings" w:hint="default"/>
          <w:spacing w:val="-44"/>
        </w:rPr>
        <w:t></w:t>
      </w:r>
      <w:r>
        <w:rPr>
          <w:rFonts w:ascii="Times New Roman" w:hAnsi="Times New Roman" w:cs="Times New Roman" w:eastAsia="Times New Roman" w:hint="default"/>
          <w:spacing w:val="-44"/>
        </w:rPr>
      </w:r>
      <w:r>
        <w:rPr/>
        <w:t>优化费用管理，调整投放结构，加大电视媒体宣传，提升品牌品质和三四级市 </w:t>
      </w:r>
      <w:r>
        <w:rPr>
          <w:spacing w:val="-3"/>
        </w:rPr>
        <w:t>场的传播效果；加大网络投放和苏宁易购的宣传，适应年轻消费群体的购物行为，把握</w:t>
      </w:r>
      <w:r>
        <w:rPr>
          <w:spacing w:val="-96"/>
        </w:rPr>
        <w:t> </w:t>
      </w:r>
      <w:r>
        <w:rPr>
          <w:spacing w:val="-96"/>
        </w:rPr>
      </w:r>
      <w:r>
        <w:rPr>
          <w:rFonts w:ascii="Times New Roman" w:hAnsi="Times New Roman" w:cs="Times New Roman" w:eastAsia="Times New Roman" w:hint="default"/>
        </w:rPr>
        <w:t>3C</w:t>
      </w:r>
      <w:r>
        <w:rPr>
          <w:rFonts w:ascii="Times New Roman" w:hAnsi="Times New Roman" w:cs="Times New Roman" w:eastAsia="Times New Roman" w:hint="default"/>
          <w:spacing w:val="-1"/>
        </w:rPr>
        <w:t> </w:t>
      </w:r>
      <w:r>
        <w:rPr/>
        <w:t>产品的高增长趋势。</w:t>
      </w:r>
    </w:p>
    <w:p>
      <w:pPr>
        <w:pStyle w:val="BodyText"/>
        <w:spacing w:line="240" w:lineRule="auto" w:before="16"/>
        <w:ind w:left="620" w:right="217"/>
        <w:jc w:val="left"/>
      </w:pPr>
      <w:r>
        <w:rPr>
          <w:rFonts w:ascii="Times New Roman" w:hAnsi="Times New Roman" w:cs="Times New Roman" w:eastAsia="Times New Roman" w:hint="default"/>
        </w:rPr>
        <w:t>5</w:t>
      </w:r>
      <w:r>
        <w:rPr/>
        <w:t>、服务体系</w:t>
      </w:r>
    </w:p>
    <w:p>
      <w:pPr>
        <w:pStyle w:val="BodyText"/>
        <w:tabs>
          <w:tab w:pos="1039" w:val="left" w:leader="none"/>
        </w:tabs>
        <w:spacing w:line="240" w:lineRule="auto" w:before="104"/>
        <w:ind w:left="560" w:right="217"/>
        <w:jc w:val="left"/>
      </w:pPr>
      <w:r>
        <w:rPr>
          <w:rFonts w:ascii="Wingdings" w:hAnsi="Wingdings" w:cs="Wingdings" w:eastAsia="Wingdings" w:hint="default"/>
        </w:rPr>
        <w:t></w:t>
      </w:r>
      <w:r>
        <w:rPr>
          <w:rFonts w:ascii="Times New Roman" w:hAnsi="Times New Roman" w:cs="Times New Roman" w:eastAsia="Times New Roman" w:hint="default"/>
        </w:rPr>
        <w:tab/>
      </w:r>
      <w:r>
        <w:rPr/>
        <w:t>物流方面</w:t>
      </w:r>
    </w:p>
    <w:p>
      <w:pPr>
        <w:pStyle w:val="BodyText"/>
        <w:spacing w:line="338" w:lineRule="auto" w:before="106"/>
        <w:ind w:right="233" w:firstLine="480"/>
        <w:jc w:val="both"/>
      </w:pPr>
      <w:r>
        <w:rPr>
          <w:rFonts w:ascii="Wingdings" w:hAnsi="Wingdings" w:cs="Wingdings" w:eastAsia="Wingdings" w:hint="default"/>
        </w:rPr>
        <w:t></w:t>
      </w:r>
      <w:r>
        <w:rPr>
          <w:rFonts w:ascii="Wingdings" w:hAnsi="Wingdings" w:cs="Wingdings" w:eastAsia="Wingdings" w:hint="default"/>
          <w:spacing w:val="-181"/>
        </w:rPr>
        <w:t></w:t>
      </w:r>
      <w:r>
        <w:rPr>
          <w:rFonts w:ascii="Times New Roman" w:hAnsi="Times New Roman" w:cs="Times New Roman" w:eastAsia="Times New Roman" w:hint="default"/>
          <w:spacing w:val="-181"/>
        </w:rPr>
      </w:r>
      <w:r>
        <w:rPr>
          <w:spacing w:val="-3"/>
        </w:rPr>
        <w:t>进一步健全物流基地规划设计、筹建标准，提升规模化复制能力，完成无锡、成</w:t>
      </w:r>
      <w:r>
        <w:rPr/>
        <w:t> </w:t>
      </w:r>
      <w:r>
        <w:rPr>
          <w:spacing w:val="-2"/>
        </w:rPr>
        <w:t>都、合肥、天津物流基地建设，并启动筹建</w:t>
      </w:r>
      <w:r>
        <w:rPr>
          <w:rFonts w:ascii="Times New Roman" w:hAnsi="Times New Roman" w:cs="Times New Roman" w:eastAsia="Times New Roman" w:hint="default"/>
          <w:spacing w:val="-2"/>
        </w:rPr>
        <w:t>10</w:t>
      </w:r>
      <w:r>
        <w:rPr>
          <w:spacing w:val="-2"/>
        </w:rPr>
        <w:t>个物流基地</w:t>
      </w:r>
      <w:r>
        <w:rPr>
          <w:spacing w:val="-2"/>
          <w:sz w:val="21"/>
          <w:szCs w:val="21"/>
        </w:rPr>
        <w:t>；</w:t>
      </w:r>
      <w:r>
        <w:rPr>
          <w:spacing w:val="-2"/>
        </w:rPr>
        <w:t>力争</w:t>
      </w:r>
      <w:r>
        <w:rPr>
          <w:rFonts w:ascii="Times New Roman" w:hAnsi="Times New Roman" w:cs="Times New Roman" w:eastAsia="Times New Roman" w:hint="default"/>
          <w:spacing w:val="-2"/>
        </w:rPr>
        <w:t>2011</w:t>
      </w:r>
      <w:r>
        <w:rPr>
          <w:spacing w:val="-2"/>
        </w:rPr>
        <w:t>年南京自动化仓库</w:t>
      </w:r>
      <w:r>
        <w:rPr>
          <w:spacing w:val="-102"/>
        </w:rPr>
        <w:t> </w:t>
      </w:r>
      <w:r>
        <w:rPr/>
        <w:t>建成并投入使用。</w:t>
      </w:r>
    </w:p>
    <w:p>
      <w:pPr>
        <w:pStyle w:val="BodyText"/>
        <w:spacing w:line="338" w:lineRule="auto" w:before="55"/>
        <w:ind w:right="104" w:firstLine="480"/>
        <w:jc w:val="left"/>
      </w:pPr>
      <w:r>
        <w:rPr>
          <w:rFonts w:ascii="Wingdings" w:hAnsi="Wingdings" w:cs="Wingdings" w:eastAsia="Wingdings" w:hint="default"/>
        </w:rPr>
        <w:t></w:t>
      </w:r>
      <w:r>
        <w:rPr>
          <w:rFonts w:ascii="Wingdings" w:hAnsi="Wingdings" w:cs="Wingdings" w:eastAsia="Wingdings" w:hint="default"/>
          <w:spacing w:val="-165"/>
        </w:rPr>
        <w:t></w:t>
      </w:r>
      <w:r>
        <w:rPr>
          <w:rFonts w:ascii="Times New Roman" w:hAnsi="Times New Roman" w:cs="Times New Roman" w:eastAsia="Times New Roman" w:hint="default"/>
          <w:spacing w:val="-165"/>
        </w:rPr>
      </w:r>
      <w:r>
        <w:rPr>
          <w:spacing w:val="-7"/>
        </w:rPr>
        <w:t>配送方面有效变革管理模式，运用</w:t>
      </w:r>
      <w:r>
        <w:rPr>
          <w:rFonts w:ascii="Times New Roman" w:hAnsi="Times New Roman" w:cs="Times New Roman" w:eastAsia="Times New Roman" w:hint="default"/>
          <w:spacing w:val="-7"/>
        </w:rPr>
        <w:t>TMS</w:t>
      </w:r>
      <w:r>
        <w:rPr>
          <w:spacing w:val="-7"/>
        </w:rPr>
        <w:t>配送管理系统，提速干线运输、门店调拨、</w:t>
      </w:r>
      <w:r>
        <w:rPr/>
        <w:t> 毛细物流，提升作业管理水平，提高配送时间准确度，进一步满足消费者需求。</w:t>
      </w:r>
    </w:p>
    <w:p>
      <w:pPr>
        <w:pStyle w:val="BodyText"/>
        <w:spacing w:line="338" w:lineRule="auto" w:before="55"/>
        <w:ind w:right="222" w:firstLine="480"/>
        <w:jc w:val="left"/>
      </w:pPr>
      <w:r>
        <w:rPr>
          <w:rFonts w:ascii="Wingdings" w:hAnsi="Wingdings" w:cs="Wingdings" w:eastAsia="Wingdings" w:hint="default"/>
        </w:rPr>
        <w:t></w:t>
      </w:r>
      <w:r>
        <w:rPr>
          <w:rFonts w:ascii="Wingdings" w:hAnsi="Wingdings" w:cs="Wingdings" w:eastAsia="Wingdings" w:hint="default"/>
          <w:spacing w:val="-177"/>
        </w:rPr>
        <w:t></w:t>
      </w:r>
      <w:r>
        <w:rPr>
          <w:rFonts w:ascii="Times New Roman" w:hAnsi="Times New Roman" w:cs="Times New Roman" w:eastAsia="Times New Roman" w:hint="default"/>
          <w:spacing w:val="-177"/>
        </w:rPr>
      </w:r>
      <w:r>
        <w:rPr>
          <w:spacing w:val="-2"/>
        </w:rPr>
        <w:t>仓储管理以供应链</w:t>
      </w:r>
      <w:r>
        <w:rPr>
          <w:rFonts w:ascii="Times New Roman" w:hAnsi="Times New Roman" w:cs="Times New Roman" w:eastAsia="Times New Roman" w:hint="default"/>
          <w:spacing w:val="-2"/>
        </w:rPr>
        <w:t>B2B</w:t>
      </w:r>
      <w:r>
        <w:rPr>
          <w:spacing w:val="-2"/>
        </w:rPr>
        <w:t>平台为依托，逐步实现与上游供应商的资源整合、功能共</w:t>
      </w:r>
      <w:r>
        <w:rPr/>
        <w:t> 享。推广大件商品条码管理，小件商品流水作业，提升分拣能力。</w:t>
      </w:r>
    </w:p>
    <w:p>
      <w:pPr>
        <w:pStyle w:val="BodyText"/>
        <w:tabs>
          <w:tab w:pos="1039" w:val="left" w:leader="none"/>
        </w:tabs>
        <w:spacing w:line="240" w:lineRule="auto" w:before="55"/>
        <w:ind w:left="560" w:right="217"/>
        <w:jc w:val="left"/>
      </w:pPr>
      <w:r>
        <w:rPr>
          <w:rFonts w:ascii="Wingdings" w:hAnsi="Wingdings" w:cs="Wingdings" w:eastAsia="Wingdings" w:hint="default"/>
        </w:rPr>
        <w:t></w:t>
      </w:r>
      <w:r>
        <w:rPr>
          <w:rFonts w:ascii="Times New Roman" w:hAnsi="Times New Roman" w:cs="Times New Roman" w:eastAsia="Times New Roman" w:hint="default"/>
        </w:rPr>
        <w:tab/>
      </w:r>
      <w:r>
        <w:rPr/>
        <w:t>售后服务方面</w:t>
      </w:r>
    </w:p>
    <w:p>
      <w:pPr>
        <w:pStyle w:val="BodyText"/>
        <w:tabs>
          <w:tab w:pos="1039" w:val="left" w:leader="none"/>
        </w:tabs>
        <w:spacing w:line="240" w:lineRule="auto" w:before="137"/>
        <w:ind w:left="620" w:right="97"/>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全面提升各品类产品的安装维修能力，推进建立完善的基础运营体系和管控体</w:t>
      </w:r>
    </w:p>
    <w:p>
      <w:pPr>
        <w:spacing w:after="0" w:line="240" w:lineRule="auto"/>
        <w:jc w:val="left"/>
        <w:sectPr>
          <w:pgSz w:w="11910" w:h="16840"/>
          <w:pgMar w:header="748" w:footer="714" w:top="980" w:bottom="900" w:left="1300" w:right="1200"/>
        </w:sectPr>
      </w:pPr>
    </w:p>
    <w:p>
      <w:pPr>
        <w:spacing w:line="240" w:lineRule="auto" w:before="7"/>
        <w:rPr>
          <w:rFonts w:ascii="宋体" w:hAnsi="宋体" w:cs="宋体" w:eastAsia="宋体" w:hint="default"/>
          <w:sz w:val="29"/>
          <w:szCs w:val="29"/>
        </w:rPr>
      </w:pPr>
    </w:p>
    <w:p>
      <w:pPr>
        <w:pStyle w:val="BodyText"/>
        <w:spacing w:line="240" w:lineRule="auto" w:before="26"/>
        <w:ind w:left="320" w:right="217"/>
        <w:jc w:val="left"/>
      </w:pPr>
      <w:r>
        <w:rPr/>
        <w:t>系。</w:t>
      </w:r>
    </w:p>
    <w:p>
      <w:pPr>
        <w:pStyle w:val="BodyText"/>
        <w:spacing w:line="338" w:lineRule="auto" w:before="154"/>
        <w:ind w:left="320" w:right="229" w:firstLine="300"/>
        <w:jc w:val="left"/>
      </w:pPr>
      <w:r>
        <w:rPr>
          <w:rFonts w:ascii="Wingdings" w:hAnsi="Wingdings" w:cs="Wingdings" w:eastAsia="Wingdings" w:hint="default"/>
        </w:rPr>
        <w:t></w:t>
      </w:r>
      <w:r>
        <w:rPr>
          <w:rFonts w:ascii="Wingdings" w:hAnsi="Wingdings" w:cs="Wingdings" w:eastAsia="Wingdings" w:hint="default"/>
          <w:spacing w:val="-56"/>
        </w:rPr>
        <w:t></w:t>
      </w:r>
      <w:r>
        <w:rPr>
          <w:rFonts w:ascii="Times New Roman" w:hAnsi="Times New Roman" w:cs="Times New Roman" w:eastAsia="Times New Roman" w:hint="default"/>
          <w:spacing w:val="-56"/>
        </w:rPr>
      </w:r>
      <w:r>
        <w:rPr/>
        <w:t>建立各服务产品的全套标准工艺，加强网点终端一线管理，绩效管控到单人， 实现精细化管理。</w:t>
      </w:r>
    </w:p>
    <w:p>
      <w:pPr>
        <w:pStyle w:val="BodyText"/>
        <w:tabs>
          <w:tab w:pos="1039" w:val="left" w:leader="none"/>
        </w:tabs>
        <w:spacing w:line="240" w:lineRule="auto" w:before="55"/>
        <w:ind w:left="560" w:right="217"/>
        <w:jc w:val="left"/>
      </w:pPr>
      <w:r>
        <w:rPr>
          <w:rFonts w:ascii="Wingdings" w:hAnsi="Wingdings" w:cs="Wingdings" w:eastAsia="Wingdings" w:hint="default"/>
        </w:rPr>
        <w:t></w:t>
      </w:r>
      <w:r>
        <w:rPr>
          <w:rFonts w:ascii="Times New Roman" w:hAnsi="Times New Roman" w:cs="Times New Roman" w:eastAsia="Times New Roman" w:hint="default"/>
        </w:rPr>
        <w:tab/>
      </w:r>
      <w:r>
        <w:rPr/>
        <w:t>客服服务方面</w:t>
      </w:r>
    </w:p>
    <w:p>
      <w:pPr>
        <w:pStyle w:val="BodyText"/>
        <w:spacing w:line="338" w:lineRule="auto" w:before="106"/>
        <w:ind w:left="320" w:right="98" w:firstLine="300"/>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spacing w:val="-5"/>
        </w:rPr>
        <w:t>客服体系持续提升能力建设、强化服务质量管理；优化服务产品结构</w:t>
      </w:r>
      <w:r>
        <w:rPr>
          <w:rFonts w:ascii="Times New Roman" w:hAnsi="Times New Roman" w:cs="Times New Roman" w:eastAsia="Times New Roman" w:hint="default"/>
          <w:spacing w:val="-5"/>
        </w:rPr>
        <w:t>,</w:t>
      </w:r>
      <w:r>
        <w:rPr>
          <w:spacing w:val="-5"/>
        </w:rPr>
        <w:t>提高网络、</w:t>
      </w:r>
      <w:r>
        <w:rPr/>
        <w:t> 短信、语音自助等服务渠道的应用。</w:t>
      </w:r>
    </w:p>
    <w:p>
      <w:pPr>
        <w:pStyle w:val="BodyText"/>
        <w:spacing w:line="240" w:lineRule="auto" w:before="55"/>
        <w:ind w:left="620" w:right="217"/>
        <w:jc w:val="left"/>
      </w:pPr>
      <w:r>
        <w:rPr>
          <w:rFonts w:ascii="Wingdings" w:hAnsi="Wingdings" w:cs="Wingdings" w:eastAsia="Wingdings" w:hint="default"/>
        </w:rPr>
        <w:t></w:t>
      </w:r>
      <w:r>
        <w:rPr>
          <w:rFonts w:ascii="Wingdings" w:hAnsi="Wingdings" w:cs="Wingdings" w:eastAsia="Wingdings" w:hint="default"/>
          <w:spacing w:val="-72"/>
        </w:rPr>
        <w:t></w:t>
      </w:r>
      <w:r>
        <w:rPr>
          <w:rFonts w:ascii="Times New Roman" w:hAnsi="Times New Roman" w:cs="Times New Roman" w:eastAsia="Times New Roman" w:hint="default"/>
          <w:spacing w:val="-72"/>
        </w:rPr>
      </w:r>
      <w:r>
        <w:rPr/>
        <w:t>细化现场客服服务标准，完成投诉处理模式的变革。</w:t>
      </w:r>
    </w:p>
    <w:p>
      <w:pPr>
        <w:pStyle w:val="BodyText"/>
        <w:spacing w:line="240" w:lineRule="auto" w:before="137"/>
        <w:ind w:left="620" w:right="217"/>
        <w:jc w:val="left"/>
      </w:pPr>
      <w:r>
        <w:rPr>
          <w:rFonts w:ascii="Wingdings" w:hAnsi="Wingdings" w:cs="Wingdings" w:eastAsia="Wingdings" w:hint="default"/>
        </w:rPr>
        <w:t></w:t>
      </w:r>
      <w:r>
        <w:rPr>
          <w:rFonts w:ascii="Wingdings" w:hAnsi="Wingdings" w:cs="Wingdings" w:eastAsia="Wingdings" w:hint="default"/>
          <w:spacing w:val="-72"/>
        </w:rPr>
        <w:t></w:t>
      </w:r>
      <w:r>
        <w:rPr>
          <w:rFonts w:ascii="Times New Roman" w:hAnsi="Times New Roman" w:cs="Times New Roman" w:eastAsia="Times New Roman" w:hint="default"/>
          <w:spacing w:val="-72"/>
        </w:rPr>
      </w:r>
      <w:r>
        <w:rPr/>
        <w:t>建立全流程、开放式的服务质量监测体系，服务资质管理细化到人。</w:t>
      </w:r>
    </w:p>
    <w:p>
      <w:pPr>
        <w:pStyle w:val="BodyText"/>
        <w:spacing w:line="240" w:lineRule="auto" w:before="137"/>
        <w:ind w:left="620" w:right="217"/>
        <w:jc w:val="left"/>
      </w:pPr>
      <w:r>
        <w:rPr>
          <w:rFonts w:ascii="Wingdings" w:hAnsi="Wingdings" w:cs="Wingdings" w:eastAsia="Wingdings" w:hint="default"/>
        </w:rPr>
        <w:t></w:t>
      </w:r>
      <w:r>
        <w:rPr>
          <w:rFonts w:ascii="Wingdings" w:hAnsi="Wingdings" w:cs="Wingdings" w:eastAsia="Wingdings" w:hint="default"/>
          <w:spacing w:val="-72"/>
        </w:rPr>
        <w:t></w:t>
      </w:r>
      <w:r>
        <w:rPr>
          <w:rFonts w:ascii="Times New Roman" w:hAnsi="Times New Roman" w:cs="Times New Roman" w:eastAsia="Times New Roman" w:hint="default"/>
          <w:spacing w:val="-72"/>
        </w:rPr>
      </w:r>
      <w:r>
        <w:rPr/>
        <w:t>构建客户分类平台，实施个性化客户关怀。</w:t>
      </w:r>
    </w:p>
    <w:p>
      <w:pPr>
        <w:pStyle w:val="BodyText"/>
        <w:spacing w:line="338" w:lineRule="auto" w:before="137"/>
        <w:ind w:left="560" w:right="220" w:firstLine="60"/>
        <w:jc w:val="left"/>
      </w:pPr>
      <w:r>
        <w:rPr>
          <w:rFonts w:ascii="Wingdings" w:hAnsi="Wingdings" w:cs="Wingdings" w:eastAsia="Wingdings" w:hint="default"/>
        </w:rPr>
        <w:t></w:t>
      </w:r>
      <w:r>
        <w:rPr>
          <w:rFonts w:ascii="Wingdings" w:hAnsi="Wingdings" w:cs="Wingdings" w:eastAsia="Wingdings" w:hint="default"/>
          <w:spacing w:val="-71"/>
        </w:rPr>
        <w:t></w:t>
      </w:r>
      <w:r>
        <w:rPr>
          <w:rFonts w:ascii="Times New Roman" w:hAnsi="Times New Roman" w:cs="Times New Roman" w:eastAsia="Times New Roman" w:hint="default"/>
          <w:spacing w:val="-71"/>
        </w:rPr>
      </w:r>
      <w:r>
        <w:rPr/>
        <w:t>客服服务体系要建立稳定的人力资源保障，完善人才梯队建设。 </w:t>
      </w:r>
      <w:r>
        <w:rPr>
          <w:rFonts w:ascii="Times New Roman" w:hAnsi="Times New Roman" w:cs="Times New Roman" w:eastAsia="Times New Roman" w:hint="default"/>
        </w:rPr>
        <w:t>6</w:t>
      </w:r>
      <w:r>
        <w:rPr/>
        <w:t>、信息管理体系 </w:t>
      </w:r>
      <w:r>
        <w:rPr>
          <w:spacing w:val="-1"/>
        </w:rPr>
        <w:t>按照专业的软件服务公司要求建设内部流程优化开发体系，有效对后台的管理进行</w:t>
      </w:r>
    </w:p>
    <w:p>
      <w:pPr>
        <w:pStyle w:val="BodyText"/>
        <w:spacing w:line="240" w:lineRule="auto" w:before="24"/>
        <w:ind w:right="217"/>
        <w:jc w:val="left"/>
      </w:pPr>
      <w:r>
        <w:rPr/>
        <w:t>优化，对前台的经营创新形成产业化支撑的能力。</w:t>
      </w:r>
    </w:p>
    <w:p>
      <w:pPr>
        <w:pStyle w:val="BodyText"/>
        <w:spacing w:line="321" w:lineRule="auto" w:before="122"/>
        <w:ind w:right="124" w:firstLine="480"/>
        <w:jc w:val="left"/>
      </w:pPr>
      <w:r>
        <w:rPr>
          <w:rFonts w:ascii="Wingdings" w:hAnsi="Wingdings" w:cs="Wingdings" w:eastAsia="Wingdings" w:hint="default"/>
        </w:rPr>
        <w:t></w:t>
      </w:r>
      <w:r>
        <w:rPr>
          <w:rFonts w:ascii="Wingdings" w:hAnsi="Wingdings" w:cs="Wingdings" w:eastAsia="Wingdings" w:hint="default"/>
          <w:spacing w:val="-68"/>
        </w:rPr>
        <w:t></w:t>
      </w:r>
      <w:r>
        <w:rPr>
          <w:rFonts w:ascii="Times New Roman" w:hAnsi="Times New Roman" w:cs="Times New Roman" w:eastAsia="Times New Roman" w:hint="default"/>
          <w:spacing w:val="-68"/>
        </w:rPr>
      </w:r>
      <w:r>
        <w:rPr/>
        <w:t>应用能力方面，要按照互联网公司的要求建设</w:t>
      </w:r>
      <w:r>
        <w:rPr>
          <w:spacing w:val="-63"/>
        </w:rPr>
        <w:t> </w:t>
      </w:r>
      <w:r>
        <w:rPr>
          <w:rFonts w:ascii="Times New Roman" w:hAnsi="Times New Roman" w:cs="Times New Roman" w:eastAsia="Times New Roman" w:hint="default"/>
        </w:rPr>
        <w:t>B2C</w:t>
      </w:r>
      <w:r>
        <w:rPr>
          <w:rFonts w:ascii="Times New Roman" w:hAnsi="Times New Roman" w:cs="Times New Roman" w:eastAsia="Times New Roman" w:hint="default"/>
          <w:spacing w:val="-4"/>
        </w:rPr>
        <w:t> </w:t>
      </w:r>
      <w:r>
        <w:rPr>
          <w:spacing w:val="-3"/>
        </w:rPr>
        <w:t>体系，按照系统集成公司的</w:t>
      </w:r>
      <w:r>
        <w:rPr/>
        <w:t> 要求建设硬件系统集成体系，密切配合营销变革，有质量的完成商品管理、价格管理、 供应管理系统的实施，借助</w:t>
      </w:r>
      <w:r>
        <w:rPr>
          <w:spacing w:val="-68"/>
        </w:rPr>
        <w:t> </w:t>
      </w:r>
      <w:r>
        <w:rPr>
          <w:rFonts w:ascii="Times New Roman" w:hAnsi="Times New Roman" w:cs="Times New Roman" w:eastAsia="Times New Roman" w:hint="default"/>
        </w:rPr>
        <w:t>CRM</w:t>
      </w:r>
      <w:r>
        <w:rPr>
          <w:rFonts w:ascii="Times New Roman" w:hAnsi="Times New Roman" w:cs="Times New Roman" w:eastAsia="Times New Roman" w:hint="default"/>
          <w:spacing w:val="-7"/>
        </w:rPr>
        <w:t> </w:t>
      </w:r>
      <w:r>
        <w:rPr/>
        <w:t>系统实现售后服务组织、运营模式的改造和严谨的服 务流程体系的建设。</w:t>
      </w:r>
    </w:p>
    <w:p>
      <w:pPr>
        <w:pStyle w:val="BodyText"/>
        <w:spacing w:line="314" w:lineRule="auto" w:before="41"/>
        <w:ind w:left="139" w:right="227" w:firstLine="480"/>
        <w:jc w:val="left"/>
      </w:pPr>
      <w:r>
        <w:rPr>
          <w:rFonts w:ascii="Wingdings" w:hAnsi="Wingdings" w:cs="Wingdings" w:eastAsia="Wingdings" w:hint="default"/>
        </w:rPr>
        <w:t></w:t>
      </w:r>
      <w:r>
        <w:rPr>
          <w:rFonts w:ascii="Times New Roman" w:hAnsi="Times New Roman" w:cs="Times New Roman" w:eastAsia="Times New Roman" w:hint="default"/>
        </w:rPr>
      </w:r>
      <w:r>
        <w:rPr/>
        <w:t>运维支持方面，建设异地灾备中心， </w:t>
      </w:r>
      <w:r>
        <w:rPr>
          <w:rFonts w:ascii="Times New Roman" w:hAnsi="Times New Roman" w:cs="Times New Roman" w:eastAsia="Times New Roman" w:hint="default"/>
        </w:rPr>
        <w:t>IT</w:t>
      </w:r>
      <w:r>
        <w:rPr>
          <w:rFonts w:ascii="Times New Roman" w:hAnsi="Times New Roman" w:cs="Times New Roman" w:eastAsia="Times New Roman" w:hint="default"/>
          <w:spacing w:val="32"/>
        </w:rPr>
        <w:t> </w:t>
      </w:r>
      <w:r>
        <w:rPr/>
        <w:t>客服体系继续完善系统流程、提升服</w:t>
      </w:r>
      <w:r>
        <w:rPr>
          <w:spacing w:val="1"/>
        </w:rPr>
        <w:t> </w:t>
      </w:r>
      <w:r>
        <w:rPr/>
        <w:t>务，为员工创造良好的信息使用体验。</w:t>
      </w:r>
    </w:p>
    <w:p>
      <w:pPr>
        <w:pStyle w:val="BodyText"/>
        <w:spacing w:line="240" w:lineRule="auto" w:before="48"/>
        <w:ind w:left="619" w:right="217"/>
        <w:jc w:val="left"/>
      </w:pPr>
      <w:r>
        <w:rPr>
          <w:rFonts w:ascii="Times New Roman" w:hAnsi="Times New Roman" w:cs="Times New Roman" w:eastAsia="Times New Roman" w:hint="default"/>
        </w:rPr>
        <w:t>7</w:t>
      </w:r>
      <w:r>
        <w:rPr/>
        <w:t>、人力资源体系</w:t>
      </w:r>
    </w:p>
    <w:p>
      <w:pPr>
        <w:pStyle w:val="BodyText"/>
        <w:spacing w:line="316" w:lineRule="auto" w:before="135"/>
        <w:ind w:left="139" w:right="99" w:firstLine="540"/>
        <w:jc w:val="left"/>
      </w:pPr>
      <w:r>
        <w:rPr>
          <w:rFonts w:ascii="Wingdings" w:hAnsi="Wingdings" w:cs="Wingdings" w:eastAsia="Wingdings" w:hint="default"/>
        </w:rPr>
        <w:t></w:t>
      </w:r>
      <w:r>
        <w:rPr>
          <w:rFonts w:ascii="Wingdings" w:hAnsi="Wingdings" w:cs="Wingdings" w:eastAsia="Wingdings" w:hint="default"/>
          <w:spacing w:val="-108"/>
        </w:rPr>
        <w:t></w:t>
      </w:r>
      <w:r>
        <w:rPr>
          <w:rFonts w:ascii="Times New Roman" w:hAnsi="Times New Roman" w:cs="Times New Roman" w:eastAsia="Times New Roman" w:hint="default"/>
          <w:spacing w:val="-108"/>
        </w:rPr>
      </w:r>
      <w:r>
        <w:rPr>
          <w:spacing w:val="-3"/>
        </w:rPr>
        <w:t>提升员工专业能力，全面开展业务绩效和领导力培训。强化专业人才梯队建设；</w:t>
      </w:r>
      <w:r>
        <w:rPr/>
        <w:t> 完成南京雨花、北京、广州等</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个培训基地的改造与筹建，同步完成</w:t>
      </w:r>
      <w:r>
        <w:rPr>
          <w:spacing w:val="-59"/>
        </w:rPr>
        <w:t> </w:t>
      </w:r>
      <w:r>
        <w:rPr>
          <w:rFonts w:ascii="Times New Roman" w:hAnsi="Times New Roman" w:cs="Times New Roman" w:eastAsia="Times New Roman" w:hint="default"/>
        </w:rPr>
        <w:t>E-LEARNING</w:t>
      </w:r>
      <w:r>
        <w:rPr>
          <w:rFonts w:ascii="Times New Roman" w:hAnsi="Times New Roman" w:cs="Times New Roman" w:eastAsia="Times New Roman" w:hint="default"/>
          <w:spacing w:val="1"/>
        </w:rPr>
        <w:t> </w:t>
      </w:r>
      <w:r>
        <w:rPr/>
        <w:t>系 统二期优化。</w:t>
      </w:r>
    </w:p>
    <w:p>
      <w:pPr>
        <w:pStyle w:val="BodyText"/>
        <w:spacing w:line="326" w:lineRule="auto" w:before="46"/>
        <w:ind w:right="97" w:firstLine="540"/>
        <w:jc w:val="left"/>
      </w:pPr>
      <w:r>
        <w:rPr>
          <w:rFonts w:ascii="Wingdings" w:hAnsi="Wingdings" w:cs="Wingdings" w:eastAsia="Wingdings" w:hint="default"/>
        </w:rPr>
        <w:t></w:t>
      </w:r>
      <w:r>
        <w:rPr>
          <w:rFonts w:ascii="Wingdings" w:hAnsi="Wingdings" w:cs="Wingdings" w:eastAsia="Wingdings" w:hint="default"/>
          <w:spacing w:val="-112"/>
        </w:rPr>
        <w:t></w:t>
      </w:r>
      <w:r>
        <w:rPr>
          <w:rFonts w:ascii="Times New Roman" w:hAnsi="Times New Roman" w:cs="Times New Roman" w:eastAsia="Times New Roman" w:hint="default"/>
          <w:spacing w:val="-112"/>
        </w:rPr>
      </w:r>
      <w:r>
        <w:rPr/>
        <w:t>员工薪酬激励体系建设继续围绕福利、工资、短期激励、长期激励四大基本模 </w:t>
      </w:r>
      <w:r>
        <w:rPr>
          <w:spacing w:val="-6"/>
        </w:rPr>
        <w:t>块，结合岗位分类和岗位绩效考核，细化标准；推进人事共享服务中心人事基础、考勤、</w:t>
      </w:r>
      <w:r>
        <w:rPr>
          <w:spacing w:val="-98"/>
        </w:rPr>
        <w:t> </w:t>
      </w:r>
      <w:r>
        <w:rPr>
          <w:spacing w:val="-98"/>
        </w:rPr>
      </w:r>
      <w:r>
        <w:rPr/>
        <w:t>薪资、统筹、咨询模块上线，初步建立员工综合评估系统。</w:t>
      </w:r>
    </w:p>
    <w:p>
      <w:pPr>
        <w:pStyle w:val="BodyText"/>
        <w:spacing w:line="357" w:lineRule="auto" w:before="36"/>
        <w:ind w:left="620" w:right="106" w:firstLine="60"/>
        <w:jc w:val="left"/>
      </w:pPr>
      <w:r>
        <w:rPr/>
        <w:t>（二）未来资金需求及使用计划 </w:t>
      </w:r>
      <w:r>
        <w:rPr>
          <w:spacing w:val="-6"/>
        </w:rPr>
        <w:t>结合发展战略目标，公司将制定切实可行的发展规划和实施计划，合理筹集、安排、</w:t>
      </w:r>
    </w:p>
    <w:p>
      <w:pPr>
        <w:pStyle w:val="BodyText"/>
        <w:spacing w:line="357" w:lineRule="auto" w:before="36"/>
        <w:ind w:right="97"/>
        <w:jc w:val="left"/>
      </w:pPr>
      <w:r>
        <w:rPr>
          <w:spacing w:val="-6"/>
        </w:rPr>
        <w:t>使用资金。公司银行信贷信誉良好，同时作为上市公司，有条件使用多种方式筹集资金，</w:t>
      </w:r>
      <w:r>
        <w:rPr>
          <w:spacing w:val="-99"/>
        </w:rPr>
        <w:t> </w:t>
      </w:r>
      <w:r>
        <w:rPr>
          <w:spacing w:val="-99"/>
        </w:rPr>
      </w:r>
      <w:r>
        <w:rPr/>
        <w:t>未来资金来源有充足保证。</w:t>
      </w:r>
    </w:p>
    <w:p>
      <w:pPr>
        <w:pStyle w:val="BodyText"/>
        <w:spacing w:line="240" w:lineRule="auto" w:before="36"/>
        <w:ind w:left="622" w:right="217"/>
        <w:jc w:val="left"/>
      </w:pPr>
      <w:r>
        <w:rPr/>
        <w:t>（三）生产经营环境以及宏观政策、法规发生重大变化对公司的影响</w:t>
      </w:r>
    </w:p>
    <w:p>
      <w:pPr>
        <w:pStyle w:val="BodyText"/>
        <w:spacing w:line="240" w:lineRule="auto" w:before="154"/>
        <w:ind w:left="622" w:right="217"/>
        <w:jc w:val="left"/>
      </w:pPr>
      <w:r>
        <w:rPr>
          <w:rFonts w:ascii="Times New Roman" w:hAnsi="Times New Roman" w:cs="Times New Roman" w:eastAsia="Times New Roman" w:hint="default"/>
        </w:rPr>
        <w:t>1</w:t>
      </w:r>
      <w:r>
        <w:rPr/>
        <w:t>、居民收入增加，消费市场崛起</w:t>
      </w:r>
    </w:p>
    <w:p>
      <w:pPr>
        <w:spacing w:after="0" w:line="240" w:lineRule="auto"/>
        <w:jc w:val="left"/>
        <w:sectPr>
          <w:pgSz w:w="11910" w:h="16840"/>
          <w:pgMar w:header="748" w:footer="714" w:top="980" w:bottom="900" w:left="1300" w:right="1200"/>
        </w:sectPr>
      </w:pPr>
    </w:p>
    <w:p>
      <w:pPr>
        <w:spacing w:line="240" w:lineRule="auto" w:before="7"/>
        <w:rPr>
          <w:rFonts w:ascii="宋体" w:hAnsi="宋体" w:cs="宋体" w:eastAsia="宋体" w:hint="default"/>
          <w:sz w:val="29"/>
          <w:szCs w:val="29"/>
        </w:rPr>
      </w:pPr>
    </w:p>
    <w:p>
      <w:pPr>
        <w:pStyle w:val="BodyText"/>
        <w:spacing w:line="350" w:lineRule="auto" w:before="26"/>
        <w:ind w:left="620" w:right="0" w:firstLine="48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1"/>
        </w:rPr>
        <w:t> </w:t>
      </w:r>
      <w:r>
        <w:rPr/>
        <w:t>年财政政策的重点将在于促进民生，随着一系列诸如加大保障房建设，增加</w:t>
      </w:r>
      <w:r>
        <w:rPr>
          <w:spacing w:val="1"/>
        </w:rPr>
        <w:t> </w:t>
      </w:r>
      <w:r>
        <w:rPr>
          <w:spacing w:val="-6"/>
        </w:rPr>
        <w:t>社保支出，加大补贴和转移支付，降低居民税负的政策落实，居民收入将得到有效增加，</w:t>
      </w:r>
      <w:r>
        <w:rPr>
          <w:spacing w:val="-99"/>
        </w:rPr>
        <w:t> </w:t>
      </w:r>
      <w:r>
        <w:rPr>
          <w:spacing w:val="-99"/>
        </w:rPr>
      </w:r>
      <w:r>
        <w:rPr>
          <w:spacing w:val="-3"/>
        </w:rPr>
        <w:t>消费市场进一步提振。公司将持续巩固在网络、服务、产品等方面的优势，加快市场布</w:t>
      </w:r>
      <w:r>
        <w:rPr>
          <w:spacing w:val="-98"/>
        </w:rPr>
        <w:t> </w:t>
      </w:r>
      <w:r>
        <w:rPr>
          <w:spacing w:val="-98"/>
        </w:rPr>
      </w:r>
      <w:r>
        <w:rPr/>
        <w:t>局，促进消费升级，提升市场份额。</w:t>
      </w:r>
    </w:p>
    <w:p>
      <w:pPr>
        <w:spacing w:line="240" w:lineRule="auto" w:before="13"/>
        <w:rPr>
          <w:rFonts w:ascii="宋体" w:hAnsi="宋体" w:cs="宋体" w:eastAsia="宋体" w:hint="default"/>
          <w:sz w:val="34"/>
          <w:szCs w:val="34"/>
        </w:rPr>
      </w:pPr>
    </w:p>
    <w:p>
      <w:pPr>
        <w:pStyle w:val="BodyText"/>
        <w:spacing w:line="338" w:lineRule="auto"/>
        <w:ind w:left="1100" w:right="0" w:firstLine="2"/>
        <w:jc w:val="left"/>
      </w:pPr>
      <w:r>
        <w:rPr>
          <w:rFonts w:ascii="Times New Roman" w:hAnsi="Times New Roman" w:cs="Times New Roman" w:eastAsia="Times New Roman" w:hint="default"/>
        </w:rPr>
        <w:t>2</w:t>
      </w:r>
      <w:r>
        <w:rPr/>
        <w:t>、通胀压力下运营成本上升 </w:t>
      </w:r>
      <w:r>
        <w:rPr>
          <w:spacing w:val="-3"/>
        </w:rPr>
        <w:t>伴随经济快速发展，国内通胀压力日益显现，商业物业租赁成本、人员费用支出等</w:t>
      </w:r>
    </w:p>
    <w:p>
      <w:pPr>
        <w:pStyle w:val="BodyText"/>
        <w:spacing w:line="357" w:lineRule="auto" w:before="55"/>
        <w:ind w:left="620" w:right="0"/>
        <w:jc w:val="left"/>
      </w:pPr>
      <w:r>
        <w:rPr>
          <w:spacing w:val="-3"/>
        </w:rPr>
        <w:t>上涨趋势明显，公司面临运营成本上升的风险，对此，公司将提前规划，落实各项经营</w:t>
      </w:r>
      <w:r>
        <w:rPr>
          <w:spacing w:val="-98"/>
        </w:rPr>
        <w:t> </w:t>
      </w:r>
      <w:r>
        <w:rPr>
          <w:spacing w:val="-98"/>
        </w:rPr>
      </w:r>
      <w:r>
        <w:rPr/>
        <w:t>策略，有效提升店面效益，合理控制成本。</w:t>
      </w:r>
    </w:p>
    <w:p>
      <w:pPr>
        <w:pStyle w:val="BodyText"/>
        <w:spacing w:line="240" w:lineRule="auto" w:before="156"/>
        <w:ind w:left="1100" w:right="0"/>
        <w:jc w:val="left"/>
      </w:pPr>
      <w:r>
        <w:rPr/>
        <w:t>四、报告期公司投资情况</w:t>
      </w:r>
    </w:p>
    <w:p>
      <w:pPr>
        <w:pStyle w:val="BodyText"/>
        <w:spacing w:line="240" w:lineRule="auto" w:before="154"/>
        <w:ind w:left="1100" w:right="0"/>
        <w:jc w:val="left"/>
      </w:pPr>
      <w:r>
        <w:rPr/>
        <w:t>（一）公司募集资金使用情况</w:t>
      </w:r>
    </w:p>
    <w:p>
      <w:pPr>
        <w:tabs>
          <w:tab w:pos="7819" w:val="left" w:leader="none"/>
        </w:tabs>
        <w:spacing w:before="154"/>
        <w:ind w:left="1100"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1</w:t>
      </w:r>
      <w:r>
        <w:rPr>
          <w:rFonts w:ascii="宋体" w:hAnsi="宋体" w:cs="宋体" w:eastAsia="宋体" w:hint="default"/>
          <w:sz w:val="24"/>
          <w:szCs w:val="24"/>
        </w:rPr>
        <w:t>、募集资金承诺项目使用情况</w:t>
        <w:tab/>
      </w:r>
      <w:r>
        <w:rPr>
          <w:rFonts w:ascii="宋体" w:hAnsi="宋体" w:cs="宋体" w:eastAsia="宋体" w:hint="default"/>
          <w:sz w:val="21"/>
          <w:szCs w:val="21"/>
        </w:rPr>
        <w:t>（单位：千元）</w:t>
      </w:r>
    </w:p>
    <w:p>
      <w:pPr>
        <w:pStyle w:val="BodyText"/>
        <w:tabs>
          <w:tab w:pos="1519" w:val="left" w:leader="none"/>
        </w:tabs>
        <w:spacing w:line="338" w:lineRule="auto" w:before="135"/>
        <w:ind w:left="1100" w:right="613"/>
        <w:jc w:val="left"/>
      </w:pPr>
      <w:r>
        <w:rPr>
          <w:rFonts w:ascii="Wingdings" w:hAnsi="Wingdings" w:cs="Wingdings" w:eastAsia="Wingdings" w:hint="default"/>
        </w:rPr>
        <w:t></w:t>
      </w:r>
      <w:r>
        <w:rPr>
          <w:rFonts w:ascii="Times New Roman" w:hAnsi="Times New Roman" w:cs="Times New Roman" w:eastAsia="Times New Roman" w:hint="default"/>
        </w:rPr>
        <w:tab/>
      </w:r>
      <w:r>
        <w:rPr/>
        <w:t>首次公开发行募集资金项目的资金报告期内使用情况 首次公开发行募集资金项目已经全部实施完毕，结余募集资金</w:t>
      </w:r>
      <w:r>
        <w:rPr>
          <w:spacing w:val="-67"/>
        </w:rPr>
        <w:t> </w:t>
      </w:r>
      <w:r>
        <w:rPr>
          <w:rFonts w:ascii="Times New Roman" w:hAnsi="Times New Roman" w:cs="Times New Roman" w:eastAsia="Times New Roman" w:hint="default"/>
        </w:rPr>
        <w:t>70.77</w:t>
      </w:r>
      <w:r>
        <w:rPr>
          <w:rFonts w:ascii="Times New Roman" w:hAnsi="Times New Roman" w:cs="Times New Roman" w:eastAsia="Times New Roman" w:hint="default"/>
          <w:spacing w:val="-7"/>
        </w:rPr>
        <w:t> </w:t>
      </w:r>
      <w:r>
        <w:rPr>
          <w:spacing w:val="-3"/>
        </w:rPr>
        <w:t>万元，为募集</w:t>
      </w:r>
    </w:p>
    <w:p>
      <w:pPr>
        <w:pStyle w:val="BodyText"/>
        <w:spacing w:line="240" w:lineRule="auto" w:before="27"/>
        <w:ind w:left="620" w:right="0"/>
        <w:jc w:val="left"/>
      </w:pPr>
      <w:r>
        <w:rPr/>
        <w:t>资金净额超过计划投入募集资金金额的部分，报告期内已投入用于补充流动资金。</w:t>
      </w:r>
    </w:p>
    <w:p>
      <w:pPr>
        <w:pStyle w:val="BodyText"/>
        <w:tabs>
          <w:tab w:pos="1519" w:val="left" w:leader="none"/>
        </w:tabs>
        <w:spacing w:line="240" w:lineRule="auto" w:before="154"/>
        <w:ind w:left="1100" w:right="0"/>
        <w:jc w:val="left"/>
      </w:pPr>
      <w:r>
        <w:rPr>
          <w:rFonts w:ascii="Wingdings" w:hAnsi="Wingdings" w:cs="Wingdings" w:eastAsia="Wingdings" w:hint="default"/>
        </w:rPr>
        <w:t></w:t>
      </w:r>
      <w:r>
        <w:rPr>
          <w:rFonts w:ascii="Times New Roman" w:hAnsi="Times New Roman" w:cs="Times New Roman" w:eastAsia="Times New Roman" w:hint="default"/>
        </w:rPr>
        <w:tab/>
      </w:r>
      <w:r>
        <w:rPr>
          <w:rFonts w:ascii="Times New Roman" w:hAnsi="Times New Roman" w:cs="Times New Roman" w:eastAsia="Times New Roman" w:hint="default"/>
        </w:rPr>
        <w:t>2006 </w:t>
      </w:r>
      <w:r>
        <w:rPr/>
        <w:t>年非公开发行股票募集资金使用情况</w:t>
      </w:r>
    </w:p>
    <w:p>
      <w:pPr>
        <w:spacing w:line="240" w:lineRule="auto" w:before="5"/>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539"/>
        <w:gridCol w:w="540"/>
        <w:gridCol w:w="900"/>
        <w:gridCol w:w="900"/>
        <w:gridCol w:w="900"/>
        <w:gridCol w:w="900"/>
        <w:gridCol w:w="1097"/>
        <w:gridCol w:w="911"/>
        <w:gridCol w:w="742"/>
        <w:gridCol w:w="540"/>
        <w:gridCol w:w="821"/>
        <w:gridCol w:w="709"/>
        <w:gridCol w:w="541"/>
      </w:tblGrid>
      <w:tr>
        <w:trPr>
          <w:trHeight w:val="300" w:hRule="exact"/>
        </w:trPr>
        <w:tc>
          <w:tcPr>
            <w:tcW w:w="2879" w:type="dxa"/>
            <w:gridSpan w:val="4"/>
            <w:tcBorders>
              <w:top w:val="single" w:sz="8"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5"/>
                <w:szCs w:val="15"/>
              </w:rPr>
            </w:pPr>
            <w:r>
              <w:rPr>
                <w:rFonts w:ascii="宋体" w:hAnsi="宋体" w:cs="宋体" w:eastAsia="宋体" w:hint="default"/>
                <w:sz w:val="15"/>
                <w:szCs w:val="15"/>
              </w:rPr>
              <w:t>募集资金总额</w:t>
            </w:r>
          </w:p>
        </w:tc>
        <w:tc>
          <w:tcPr>
            <w:tcW w:w="1800"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74"/>
              <w:ind w:left="831" w:right="0"/>
              <w:jc w:val="left"/>
              <w:rPr>
                <w:rFonts w:ascii="Times New Roman" w:hAnsi="Times New Roman" w:cs="Times New Roman" w:eastAsia="Times New Roman" w:hint="default"/>
                <w:sz w:val="18"/>
                <w:szCs w:val="18"/>
              </w:rPr>
            </w:pPr>
            <w:r>
              <w:rPr>
                <w:rFonts w:ascii="Times New Roman"/>
                <w:sz w:val="18"/>
              </w:rPr>
              <w:t>1,195,020.0</w:t>
            </w:r>
          </w:p>
        </w:tc>
        <w:tc>
          <w:tcPr>
            <w:tcW w:w="4110" w:type="dxa"/>
            <w:gridSpan w:val="5"/>
            <w:tcBorders>
              <w:top w:val="single" w:sz="8" w:space="0" w:color="000000"/>
              <w:left w:val="single" w:sz="4" w:space="0" w:color="000000"/>
              <w:bottom w:val="single" w:sz="4" w:space="0" w:color="000000"/>
              <w:right w:val="single" w:sz="4" w:space="0" w:color="000000"/>
            </w:tcBorders>
          </w:tcPr>
          <w:p>
            <w:pPr>
              <w:pStyle w:val="TableParagraph"/>
              <w:spacing w:line="240" w:lineRule="auto" w:before="20"/>
              <w:ind w:left="1225" w:right="0"/>
              <w:jc w:val="left"/>
              <w:rPr>
                <w:rFonts w:ascii="宋体" w:hAnsi="宋体" w:cs="宋体" w:eastAsia="宋体" w:hint="default"/>
                <w:sz w:val="15"/>
                <w:szCs w:val="15"/>
              </w:rPr>
            </w:pPr>
            <w:r>
              <w:rPr>
                <w:rFonts w:ascii="宋体" w:hAnsi="宋体" w:cs="宋体" w:eastAsia="宋体" w:hint="default"/>
                <w:sz w:val="15"/>
                <w:szCs w:val="15"/>
              </w:rPr>
              <w:t>本年度投入募集资金总额</w:t>
            </w:r>
          </w:p>
        </w:tc>
        <w:tc>
          <w:tcPr>
            <w:tcW w:w="1250"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34"/>
              <w:ind w:left="304" w:right="0"/>
              <w:jc w:val="left"/>
              <w:rPr>
                <w:rFonts w:ascii="Times New Roman" w:hAnsi="Times New Roman" w:cs="Times New Roman" w:eastAsia="Times New Roman" w:hint="default"/>
                <w:sz w:val="18"/>
                <w:szCs w:val="18"/>
              </w:rPr>
            </w:pPr>
            <w:r>
              <w:rPr>
                <w:rFonts w:ascii="Times New Roman"/>
                <w:sz w:val="18"/>
              </w:rPr>
              <w:t>24,695.7</w:t>
            </w:r>
          </w:p>
        </w:tc>
      </w:tr>
      <w:tr>
        <w:trPr>
          <w:trHeight w:val="295" w:hRule="exact"/>
        </w:trPr>
        <w:tc>
          <w:tcPr>
            <w:tcW w:w="28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09" w:right="0"/>
              <w:jc w:val="left"/>
              <w:rPr>
                <w:rFonts w:ascii="宋体" w:hAnsi="宋体" w:cs="宋体" w:eastAsia="宋体" w:hint="default"/>
                <w:sz w:val="15"/>
                <w:szCs w:val="15"/>
              </w:rPr>
            </w:pPr>
            <w:r>
              <w:rPr>
                <w:rFonts w:ascii="宋体" w:hAnsi="宋体" w:cs="宋体" w:eastAsia="宋体" w:hint="default"/>
                <w:sz w:val="15"/>
                <w:szCs w:val="15"/>
              </w:rPr>
              <w:t>变更用途的募集资金总额</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z w:val="18"/>
              </w:rPr>
              <w:t>0.0</w:t>
            </w:r>
          </w:p>
        </w:tc>
        <w:tc>
          <w:tcPr>
            <w:tcW w:w="4110" w:type="dxa"/>
            <w:gridSpan w:val="5"/>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225" w:right="0"/>
              <w:jc w:val="left"/>
              <w:rPr>
                <w:rFonts w:ascii="宋体" w:hAnsi="宋体" w:cs="宋体" w:eastAsia="宋体" w:hint="default"/>
                <w:sz w:val="15"/>
                <w:szCs w:val="15"/>
              </w:rPr>
            </w:pPr>
            <w:r>
              <w:rPr>
                <w:rFonts w:ascii="宋体" w:hAnsi="宋体" w:cs="宋体" w:eastAsia="宋体" w:hint="default"/>
                <w:sz w:val="15"/>
                <w:szCs w:val="15"/>
              </w:rPr>
              <w:t>已累计投入募集资金总额</w:t>
            </w:r>
          </w:p>
        </w:tc>
        <w:tc>
          <w:tcPr>
            <w:tcW w:w="1250" w:type="dxa"/>
            <w:gridSpan w:val="2"/>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1,193,821.7</w:t>
            </w:r>
          </w:p>
        </w:tc>
      </w:tr>
      <w:tr>
        <w:trPr>
          <w:trHeight w:val="295" w:hRule="exact"/>
        </w:trPr>
        <w:tc>
          <w:tcPr>
            <w:tcW w:w="28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59" w:right="0"/>
              <w:jc w:val="left"/>
              <w:rPr>
                <w:rFonts w:ascii="宋体" w:hAnsi="宋体" w:cs="宋体" w:eastAsia="宋体" w:hint="default"/>
                <w:sz w:val="15"/>
                <w:szCs w:val="15"/>
              </w:rPr>
            </w:pPr>
            <w:r>
              <w:rPr>
                <w:rFonts w:ascii="宋体" w:hAnsi="宋体" w:cs="宋体" w:eastAsia="宋体" w:hint="default"/>
                <w:sz w:val="15"/>
                <w:szCs w:val="15"/>
              </w:rPr>
              <w:t>变更用途的募集资金总额比例</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c>
          <w:tcPr>
            <w:tcW w:w="4110" w:type="dxa"/>
            <w:gridSpan w:val="5"/>
            <w:vMerge/>
            <w:tcBorders>
              <w:left w:val="single" w:sz="4" w:space="0" w:color="000000"/>
              <w:bottom w:val="single" w:sz="4" w:space="0" w:color="000000"/>
              <w:right w:val="single" w:sz="4" w:space="0" w:color="000000"/>
            </w:tcBorders>
          </w:tcPr>
          <w:p>
            <w:pPr/>
          </w:p>
        </w:tc>
        <w:tc>
          <w:tcPr>
            <w:tcW w:w="1250" w:type="dxa"/>
            <w:gridSpan w:val="2"/>
            <w:vMerge/>
            <w:tcBorders>
              <w:left w:val="single" w:sz="4" w:space="0" w:color="000000"/>
              <w:bottom w:val="single" w:sz="4" w:space="0" w:color="000000"/>
              <w:right w:val="single" w:sz="4" w:space="0" w:color="000000"/>
            </w:tcBorders>
          </w:tcPr>
          <w:p>
            <w:pPr/>
          </w:p>
        </w:tc>
      </w:tr>
      <w:tr>
        <w:trPr>
          <w:trHeight w:val="1374" w:hRule="exact"/>
        </w:trPr>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4" w:right="113"/>
              <w:jc w:val="both"/>
              <w:rPr>
                <w:rFonts w:ascii="宋体" w:hAnsi="宋体" w:cs="宋体" w:eastAsia="宋体" w:hint="default"/>
                <w:sz w:val="15"/>
                <w:szCs w:val="15"/>
              </w:rPr>
            </w:pPr>
            <w:r>
              <w:rPr>
                <w:rFonts w:ascii="宋体" w:hAnsi="宋体" w:cs="宋体" w:eastAsia="宋体" w:hint="default"/>
                <w:sz w:val="15"/>
                <w:szCs w:val="15"/>
              </w:rPr>
              <w:t>承诺 投资 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 w:right="-5" w:firstLine="43"/>
              <w:jc w:val="both"/>
              <w:rPr>
                <w:rFonts w:ascii="宋体" w:hAnsi="宋体" w:cs="宋体" w:eastAsia="宋体" w:hint="default"/>
                <w:sz w:val="15"/>
                <w:szCs w:val="15"/>
              </w:rPr>
            </w:pPr>
            <w:r>
              <w:rPr>
                <w:rFonts w:ascii="宋体" w:hAnsi="宋体" w:cs="宋体" w:eastAsia="宋体" w:hint="default"/>
                <w:sz w:val="15"/>
                <w:szCs w:val="15"/>
              </w:rPr>
              <w:t>是否已 变更项 </w:t>
            </w:r>
            <w:r>
              <w:rPr>
                <w:rFonts w:ascii="宋体" w:hAnsi="宋体" w:cs="宋体" w:eastAsia="宋体" w:hint="default"/>
                <w:spacing w:val="-16"/>
                <w:sz w:val="15"/>
                <w:szCs w:val="15"/>
              </w:rPr>
              <w:t>目（含部</w:t>
            </w:r>
            <w:r>
              <w:rPr>
                <w:rFonts w:ascii="宋体" w:hAnsi="宋体" w:cs="宋体" w:eastAsia="宋体" w:hint="default"/>
                <w:sz w:val="15"/>
                <w:szCs w:val="15"/>
              </w:rPr>
              <w:t> 分变更</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45" w:right="143"/>
              <w:jc w:val="left"/>
              <w:rPr>
                <w:rFonts w:ascii="宋体" w:hAnsi="宋体" w:cs="宋体" w:eastAsia="宋体" w:hint="default"/>
                <w:sz w:val="15"/>
                <w:szCs w:val="15"/>
              </w:rPr>
            </w:pPr>
            <w:r>
              <w:rPr>
                <w:rFonts w:ascii="宋体" w:hAnsi="宋体" w:cs="宋体" w:eastAsia="宋体" w:hint="default"/>
                <w:sz w:val="15"/>
                <w:szCs w:val="15"/>
              </w:rPr>
              <w:t>募集资金 承诺投资</w:t>
            </w:r>
          </w:p>
          <w:p>
            <w:pPr>
              <w:pStyle w:val="TableParagraph"/>
              <w:tabs>
                <w:tab w:pos="295" w:val="left" w:leader="none"/>
              </w:tabs>
              <w:spacing w:line="296" w:lineRule="exact"/>
              <w:ind w:left="-93" w:right="0"/>
              <w:jc w:val="left"/>
              <w:rPr>
                <w:rFonts w:ascii="宋体" w:hAnsi="宋体" w:cs="宋体" w:eastAsia="宋体" w:hint="default"/>
                <w:sz w:val="15"/>
                <w:szCs w:val="15"/>
              </w:rPr>
            </w:pPr>
            <w:r>
              <w:rPr>
                <w:rFonts w:ascii="宋体" w:hAnsi="宋体" w:cs="宋体" w:eastAsia="宋体" w:hint="default"/>
                <w:position w:val="-9"/>
                <w:sz w:val="15"/>
                <w:szCs w:val="15"/>
              </w:rPr>
              <w:t>）</w:t>
              <w:tab/>
            </w:r>
            <w:r>
              <w:rPr>
                <w:rFonts w:ascii="宋体" w:hAnsi="宋体" w:cs="宋体" w:eastAsia="宋体" w:hint="default"/>
                <w:sz w:val="15"/>
                <w:szCs w:val="15"/>
              </w:rPr>
              <w:t>总额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219" w:right="143" w:hanging="75"/>
              <w:jc w:val="left"/>
              <w:rPr>
                <w:rFonts w:ascii="宋体" w:hAnsi="宋体" w:cs="宋体" w:eastAsia="宋体" w:hint="default"/>
                <w:sz w:val="15"/>
                <w:szCs w:val="15"/>
              </w:rPr>
            </w:pPr>
            <w:r>
              <w:rPr>
                <w:rFonts w:ascii="宋体" w:hAnsi="宋体" w:cs="宋体" w:eastAsia="宋体" w:hint="default"/>
                <w:sz w:val="15"/>
                <w:szCs w:val="15"/>
              </w:rPr>
              <w:t>调整后投 资总额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45" w:right="143"/>
              <w:jc w:val="both"/>
              <w:rPr>
                <w:rFonts w:ascii="Times New Roman" w:hAnsi="Times New Roman" w:cs="Times New Roman" w:eastAsia="Times New Roman" w:hint="default"/>
                <w:sz w:val="15"/>
                <w:szCs w:val="15"/>
              </w:rPr>
            </w:pPr>
            <w:r>
              <w:rPr>
                <w:rFonts w:ascii="宋体" w:hAnsi="宋体" w:cs="宋体" w:eastAsia="宋体" w:hint="default"/>
                <w:sz w:val="15"/>
                <w:szCs w:val="15"/>
              </w:rPr>
              <w:t>截至期末 承诺投入 金额</w:t>
            </w:r>
            <w:r>
              <w:rPr>
                <w:rFonts w:ascii="Times New Roman" w:hAnsi="Times New Roman" w:cs="Times New Roman" w:eastAsia="Times New Roman" w:hint="default"/>
                <w:sz w:val="15"/>
                <w:szCs w:val="15"/>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219" w:right="143" w:hanging="75"/>
              <w:jc w:val="left"/>
              <w:rPr>
                <w:rFonts w:ascii="宋体" w:hAnsi="宋体" w:cs="宋体" w:eastAsia="宋体" w:hint="default"/>
                <w:sz w:val="15"/>
                <w:szCs w:val="15"/>
              </w:rPr>
            </w:pPr>
            <w:r>
              <w:rPr>
                <w:rFonts w:ascii="宋体" w:hAnsi="宋体" w:cs="宋体" w:eastAsia="宋体" w:hint="default"/>
                <w:sz w:val="15"/>
                <w:szCs w:val="15"/>
              </w:rPr>
              <w:t>本年度投 入金额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52" w:lineRule="auto"/>
              <w:ind w:left="167" w:right="167"/>
              <w:jc w:val="center"/>
              <w:rPr>
                <w:rFonts w:ascii="Times New Roman" w:hAnsi="Times New Roman" w:cs="Times New Roman" w:eastAsia="Times New Roman" w:hint="default"/>
                <w:sz w:val="15"/>
                <w:szCs w:val="15"/>
              </w:rPr>
            </w:pPr>
            <w:r>
              <w:rPr>
                <w:rFonts w:ascii="宋体" w:hAnsi="宋体" w:cs="宋体" w:eastAsia="宋体" w:hint="default"/>
                <w:sz w:val="15"/>
                <w:szCs w:val="15"/>
              </w:rPr>
              <w:t>截至期末累 计投入金额 </w:t>
            </w:r>
            <w:r>
              <w:rPr>
                <w:rFonts w:ascii="Times New Roman" w:hAnsi="Times New Roman" w:cs="Times New Roman" w:eastAsia="Times New Roman" w:hint="default"/>
                <w:sz w:val="15"/>
                <w:szCs w:val="15"/>
              </w:rPr>
              <w:t>(2)</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84"/>
              <w:ind w:left="119" w:right="119" w:firstLine="30"/>
              <w:jc w:val="both"/>
              <w:rPr>
                <w:rFonts w:ascii="Times New Roman" w:hAnsi="Times New Roman" w:cs="Times New Roman" w:eastAsia="Times New Roman" w:hint="default"/>
                <w:sz w:val="15"/>
                <w:szCs w:val="15"/>
              </w:rPr>
            </w:pPr>
            <w:r>
              <w:rPr>
                <w:rFonts w:ascii="宋体" w:hAnsi="宋体" w:cs="宋体" w:eastAsia="宋体" w:hint="default"/>
                <w:sz w:val="15"/>
                <w:szCs w:val="15"/>
              </w:rPr>
              <w:t>截至期末 累计投入 金额与承 诺投入金 额的差额 </w:t>
            </w:r>
            <w:r>
              <w:rPr>
                <w:rFonts w:ascii="Times New Roman" w:hAnsi="Times New Roman" w:cs="Times New Roman" w:eastAsia="Times New Roman" w:hint="default"/>
                <w:sz w:val="15"/>
                <w:szCs w:val="15"/>
              </w:rPr>
              <w:t>(3)=(2)-(1)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75" w:right="54"/>
              <w:jc w:val="left"/>
              <w:rPr>
                <w:rFonts w:ascii="宋体" w:hAnsi="宋体" w:cs="宋体" w:eastAsia="宋体" w:hint="default"/>
                <w:sz w:val="15"/>
                <w:szCs w:val="15"/>
              </w:rPr>
            </w:pPr>
            <w:r>
              <w:rPr>
                <w:rFonts w:ascii="宋体" w:hAnsi="宋体" w:cs="宋体" w:eastAsia="宋体" w:hint="default"/>
                <w:sz w:val="15"/>
                <w:szCs w:val="15"/>
              </w:rPr>
              <w:t>截至期末 投入进度</w:t>
            </w:r>
          </w:p>
          <w:p>
            <w:pPr>
              <w:pStyle w:val="TableParagraph"/>
              <w:spacing w:line="207" w:lineRule="exact"/>
              <w:ind w:left="19" w:right="0"/>
              <w:jc w:val="center"/>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p>
            <w:pPr>
              <w:pStyle w:val="TableParagraph"/>
              <w:spacing w:line="240" w:lineRule="auto" w:before="7"/>
              <w:ind w:left="19" w:right="0"/>
              <w:jc w:val="center"/>
              <w:rPr>
                <w:rFonts w:ascii="Times New Roman" w:hAnsi="Times New Roman" w:cs="Times New Roman" w:eastAsia="Times New Roman" w:hint="default"/>
                <w:sz w:val="15"/>
                <w:szCs w:val="15"/>
              </w:rPr>
            </w:pPr>
            <w:r>
              <w:rPr>
                <w:rFonts w:ascii="Times New Roman"/>
                <w:sz w:val="15"/>
              </w:rPr>
              <w:t>(4)=(2)/(1)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9" w:right="0"/>
              <w:jc w:val="both"/>
              <w:rPr>
                <w:rFonts w:ascii="宋体" w:hAnsi="宋体" w:cs="宋体" w:eastAsia="宋体" w:hint="default"/>
                <w:sz w:val="15"/>
                <w:szCs w:val="15"/>
              </w:rPr>
            </w:pPr>
            <w:r>
              <w:rPr>
                <w:rFonts w:ascii="宋体" w:hAnsi="宋体" w:cs="宋体" w:eastAsia="宋体" w:hint="default"/>
                <w:sz w:val="15"/>
                <w:szCs w:val="15"/>
              </w:rPr>
              <w:t>项目</w:t>
            </w:r>
          </w:p>
          <w:p>
            <w:pPr>
              <w:pStyle w:val="TableParagraph"/>
              <w:spacing w:line="240" w:lineRule="auto"/>
              <w:ind w:left="109" w:right="119"/>
              <w:jc w:val="both"/>
              <w:rPr>
                <w:rFonts w:ascii="宋体" w:hAnsi="宋体" w:cs="宋体" w:eastAsia="宋体" w:hint="default"/>
                <w:sz w:val="15"/>
                <w:szCs w:val="15"/>
              </w:rPr>
            </w:pPr>
            <w:r>
              <w:rPr>
                <w:rFonts w:ascii="宋体" w:hAnsi="宋体" w:cs="宋体" w:eastAsia="宋体" w:hint="default"/>
                <w:sz w:val="15"/>
                <w:szCs w:val="15"/>
              </w:rPr>
              <w:t>达到 预定 可使 用状 态日 期</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76" w:right="32" w:hanging="150"/>
              <w:jc w:val="left"/>
              <w:rPr>
                <w:rFonts w:ascii="宋体" w:hAnsi="宋体" w:cs="宋体" w:eastAsia="宋体" w:hint="default"/>
                <w:sz w:val="15"/>
                <w:szCs w:val="15"/>
              </w:rPr>
            </w:pPr>
            <w:r>
              <w:rPr>
                <w:rFonts w:ascii="宋体" w:hAnsi="宋体" w:cs="宋体" w:eastAsia="宋体" w:hint="default"/>
                <w:sz w:val="15"/>
                <w:szCs w:val="15"/>
              </w:rPr>
              <w:t>本年度实现 的效益</w:t>
            </w:r>
          </w:p>
          <w:p>
            <w:pPr>
              <w:pStyle w:val="TableParagraph"/>
              <w:spacing w:line="196" w:lineRule="exact"/>
              <w:ind w:left="-15" w:right="0"/>
              <w:jc w:val="left"/>
              <w:rPr>
                <w:rFonts w:ascii="宋体" w:hAnsi="宋体" w:cs="宋体" w:eastAsia="宋体" w:hint="default"/>
                <w:sz w:val="15"/>
                <w:szCs w:val="15"/>
              </w:rPr>
            </w:pPr>
            <w:r>
              <w:rPr>
                <w:rFonts w:ascii="宋体" w:hAnsi="宋体" w:cs="宋体" w:eastAsia="宋体" w:hint="default"/>
                <w:sz w:val="15"/>
                <w:szCs w:val="15"/>
              </w:rPr>
              <w:t>（利润总额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4" w:right="122"/>
              <w:jc w:val="left"/>
              <w:rPr>
                <w:rFonts w:ascii="宋体" w:hAnsi="宋体" w:cs="宋体" w:eastAsia="宋体" w:hint="default"/>
                <w:sz w:val="15"/>
                <w:szCs w:val="15"/>
              </w:rPr>
            </w:pPr>
            <w:r>
              <w:rPr>
                <w:rFonts w:ascii="宋体" w:hAnsi="宋体" w:cs="宋体" w:eastAsia="宋体" w:hint="default"/>
                <w:sz w:val="15"/>
                <w:szCs w:val="15"/>
              </w:rPr>
              <w:t>是否达 到预计</w:t>
            </w:r>
          </w:p>
          <w:p>
            <w:pPr>
              <w:pStyle w:val="TableParagraph"/>
              <w:spacing w:line="196" w:lineRule="exact"/>
              <w:ind w:left="-86"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pacing w:val="59"/>
                <w:sz w:val="15"/>
                <w:szCs w:val="15"/>
              </w:rPr>
              <w:t> </w:t>
            </w:r>
            <w:r>
              <w:rPr>
                <w:rFonts w:ascii="宋体" w:hAnsi="宋体" w:cs="宋体" w:eastAsia="宋体" w:hint="default"/>
                <w:sz w:val="15"/>
                <w:szCs w:val="15"/>
              </w:rPr>
              <w:t>效益</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16" w:right="0"/>
              <w:jc w:val="both"/>
              <w:rPr>
                <w:rFonts w:ascii="宋体" w:hAnsi="宋体" w:cs="宋体" w:eastAsia="宋体" w:hint="default"/>
                <w:sz w:val="15"/>
                <w:szCs w:val="15"/>
              </w:rPr>
            </w:pPr>
            <w:r>
              <w:rPr>
                <w:rFonts w:ascii="宋体" w:hAnsi="宋体" w:cs="宋体" w:eastAsia="宋体" w:hint="default"/>
                <w:sz w:val="15"/>
                <w:szCs w:val="15"/>
              </w:rPr>
              <w:t>项目</w:t>
            </w:r>
          </w:p>
          <w:p>
            <w:pPr>
              <w:pStyle w:val="TableParagraph"/>
              <w:spacing w:line="240" w:lineRule="auto"/>
              <w:ind w:left="116" w:right="113"/>
              <w:jc w:val="both"/>
              <w:rPr>
                <w:rFonts w:ascii="宋体" w:hAnsi="宋体" w:cs="宋体" w:eastAsia="宋体" w:hint="default"/>
                <w:sz w:val="15"/>
                <w:szCs w:val="15"/>
              </w:rPr>
            </w:pPr>
            <w:r>
              <w:rPr>
                <w:rFonts w:ascii="宋体" w:hAnsi="宋体" w:cs="宋体" w:eastAsia="宋体" w:hint="default"/>
                <w:sz w:val="15"/>
                <w:szCs w:val="15"/>
              </w:rPr>
              <w:t>可行 性是 否发 生重 大变 化</w:t>
            </w:r>
          </w:p>
        </w:tc>
      </w:tr>
      <w:tr>
        <w:trPr>
          <w:trHeight w:val="184" w:hRule="exact"/>
        </w:trPr>
        <w:tc>
          <w:tcPr>
            <w:tcW w:w="539" w:type="dxa"/>
            <w:tcBorders>
              <w:top w:val="single" w:sz="4" w:space="0" w:color="000000"/>
              <w:left w:val="single" w:sz="4" w:space="0" w:color="000000"/>
              <w:bottom w:val="nil" w:sz="6" w:space="0" w:color="auto"/>
              <w:right w:val="single" w:sz="4" w:space="0" w:color="000000"/>
            </w:tcBorders>
          </w:tcPr>
          <w:p>
            <w:pPr>
              <w:pStyle w:val="TableParagraph"/>
              <w:spacing w:line="168" w:lineRule="exact"/>
              <w:ind w:left="99" w:right="0"/>
              <w:jc w:val="center"/>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97" w:type="dxa"/>
            <w:tcBorders>
              <w:top w:val="single" w:sz="4" w:space="0" w:color="000000"/>
              <w:left w:val="single" w:sz="4" w:space="0" w:color="000000"/>
              <w:bottom w:val="nil" w:sz="6" w:space="0" w:color="auto"/>
              <w:right w:val="single" w:sz="4" w:space="0" w:color="000000"/>
            </w:tcBorders>
          </w:tcPr>
          <w:p>
            <w:pPr/>
          </w:p>
        </w:tc>
        <w:tc>
          <w:tcPr>
            <w:tcW w:w="911" w:type="dxa"/>
            <w:tcBorders>
              <w:top w:val="single" w:sz="4" w:space="0" w:color="000000"/>
              <w:left w:val="single" w:sz="4" w:space="0" w:color="000000"/>
              <w:bottom w:val="nil" w:sz="6" w:space="0" w:color="auto"/>
              <w:right w:val="single" w:sz="4" w:space="0" w:color="000000"/>
            </w:tcBorders>
          </w:tcPr>
          <w:p>
            <w:pPr/>
          </w:p>
        </w:tc>
        <w:tc>
          <w:tcPr>
            <w:tcW w:w="742"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82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41" w:type="dxa"/>
            <w:tcBorders>
              <w:top w:val="single" w:sz="4" w:space="0" w:color="000000"/>
              <w:left w:val="single" w:sz="4" w:space="0" w:color="000000"/>
              <w:bottom w:val="nil" w:sz="6" w:space="0" w:color="auto"/>
              <w:right w:val="single" w:sz="4" w:space="0" w:color="000000"/>
            </w:tcBorders>
          </w:tcPr>
          <w:p>
            <w:pPr/>
          </w:p>
        </w:tc>
      </w:tr>
      <w:tr>
        <w:trPr>
          <w:trHeight w:val="577" w:hRule="exact"/>
        </w:trPr>
        <w:tc>
          <w:tcPr>
            <w:tcW w:w="539"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26" w:right="0"/>
              <w:jc w:val="left"/>
              <w:rPr>
                <w:rFonts w:ascii="宋体" w:hAnsi="宋体" w:cs="宋体" w:eastAsia="宋体" w:hint="default"/>
                <w:sz w:val="15"/>
                <w:szCs w:val="15"/>
              </w:rPr>
            </w:pPr>
            <w:r>
              <w:rPr>
                <w:rFonts w:ascii="宋体" w:hAnsi="宋体" w:cs="宋体" w:eastAsia="宋体" w:hint="default"/>
                <w:sz w:val="15"/>
                <w:szCs w:val="15"/>
              </w:rPr>
              <w:t>家连</w:t>
            </w:r>
          </w:p>
          <w:p>
            <w:pPr>
              <w:pStyle w:val="TableParagraph"/>
              <w:spacing w:line="240" w:lineRule="auto"/>
              <w:ind w:left="126" w:right="101"/>
              <w:jc w:val="left"/>
              <w:rPr>
                <w:rFonts w:ascii="宋体" w:hAnsi="宋体" w:cs="宋体" w:eastAsia="宋体" w:hint="default"/>
                <w:sz w:val="15"/>
                <w:szCs w:val="15"/>
              </w:rPr>
            </w:pPr>
            <w:r>
              <w:rPr>
                <w:rFonts w:ascii="宋体" w:hAnsi="宋体" w:cs="宋体" w:eastAsia="宋体" w:hint="default"/>
                <w:sz w:val="15"/>
                <w:szCs w:val="15"/>
              </w:rPr>
              <w:t>锁店 发展</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否</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5" w:right="0"/>
              <w:jc w:val="left"/>
              <w:rPr>
                <w:rFonts w:ascii="Times New Roman" w:hAnsi="Times New Roman" w:cs="Times New Roman" w:eastAsia="Times New Roman" w:hint="default"/>
                <w:sz w:val="15"/>
                <w:szCs w:val="15"/>
              </w:rPr>
            </w:pPr>
            <w:r>
              <w:rPr>
                <w:rFonts w:ascii="Times New Roman"/>
                <w:sz w:val="15"/>
              </w:rPr>
              <w:t>500,000.0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500,000.0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500,000.0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6,740.0</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500,000.0</w:t>
            </w:r>
          </w:p>
        </w:tc>
        <w:tc>
          <w:tcPr>
            <w:tcW w:w="9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100.0</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2010</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199,591.2</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96" w:lineRule="exact" w:before="76"/>
              <w:ind w:left="446" w:right="0"/>
              <w:jc w:val="left"/>
              <w:rPr>
                <w:rFonts w:ascii="宋体" w:hAnsi="宋体" w:cs="宋体" w:eastAsia="宋体" w:hint="default"/>
                <w:sz w:val="15"/>
                <w:szCs w:val="15"/>
              </w:rPr>
            </w:pPr>
            <w:r>
              <w:rPr>
                <w:rFonts w:ascii="宋体" w:hAnsi="宋体" w:cs="宋体" w:eastAsia="宋体" w:hint="default"/>
                <w:sz w:val="15"/>
                <w:szCs w:val="15"/>
              </w:rPr>
              <w:t>是</w:t>
            </w:r>
          </w:p>
          <w:p>
            <w:pPr>
              <w:pStyle w:val="TableParagraph"/>
              <w:spacing w:line="207" w:lineRule="exact"/>
              <w:ind w:left="23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w:t>
            </w:r>
          </w:p>
        </w:tc>
        <w:tc>
          <w:tcPr>
            <w:tcW w:w="54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202" w:hRule="exact"/>
        </w:trPr>
        <w:tc>
          <w:tcPr>
            <w:tcW w:w="539"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2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54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97" w:type="dxa"/>
            <w:tcBorders>
              <w:top w:val="nil" w:sz="6" w:space="0" w:color="auto"/>
              <w:left w:val="single" w:sz="4" w:space="0" w:color="000000"/>
              <w:bottom w:val="single" w:sz="4" w:space="0" w:color="000000"/>
              <w:right w:val="single" w:sz="4" w:space="0" w:color="000000"/>
            </w:tcBorders>
          </w:tcPr>
          <w:p>
            <w:pPr/>
          </w:p>
        </w:tc>
        <w:tc>
          <w:tcPr>
            <w:tcW w:w="911" w:type="dxa"/>
            <w:tcBorders>
              <w:top w:val="nil" w:sz="6" w:space="0" w:color="auto"/>
              <w:left w:val="single" w:sz="4" w:space="0" w:color="000000"/>
              <w:bottom w:val="single" w:sz="4" w:space="0" w:color="000000"/>
              <w:right w:val="single" w:sz="4" w:space="0" w:color="000000"/>
            </w:tcBorders>
          </w:tcPr>
          <w:p>
            <w:pPr/>
          </w:p>
        </w:tc>
        <w:tc>
          <w:tcPr>
            <w:tcW w:w="742"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82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41" w:type="dxa"/>
            <w:tcBorders>
              <w:top w:val="nil" w:sz="6" w:space="0" w:color="auto"/>
              <w:left w:val="single" w:sz="4" w:space="0" w:color="000000"/>
              <w:bottom w:val="single" w:sz="4" w:space="0" w:color="000000"/>
              <w:right w:val="single" w:sz="4" w:space="0" w:color="000000"/>
            </w:tcBorders>
          </w:tcPr>
          <w:p>
            <w:pPr/>
          </w:p>
        </w:tc>
      </w:tr>
      <w:tr>
        <w:trPr>
          <w:trHeight w:val="198" w:hRule="exact"/>
        </w:trPr>
        <w:tc>
          <w:tcPr>
            <w:tcW w:w="539" w:type="dxa"/>
            <w:tcBorders>
              <w:top w:val="single" w:sz="4" w:space="0" w:color="000000"/>
              <w:left w:val="single" w:sz="4" w:space="0" w:color="000000"/>
              <w:bottom w:val="nil" w:sz="6" w:space="0" w:color="auto"/>
              <w:right w:val="single" w:sz="4" w:space="0" w:color="000000"/>
            </w:tcBorders>
          </w:tcPr>
          <w:p>
            <w:pPr>
              <w:pStyle w:val="TableParagraph"/>
              <w:spacing w:line="171" w:lineRule="exact"/>
              <w:ind w:left="22" w:right="0"/>
              <w:jc w:val="center"/>
              <w:rPr>
                <w:rFonts w:ascii="宋体" w:hAnsi="宋体" w:cs="宋体" w:eastAsia="宋体" w:hint="default"/>
                <w:sz w:val="15"/>
                <w:szCs w:val="15"/>
              </w:rPr>
            </w:pPr>
            <w:r>
              <w:rPr>
                <w:rFonts w:ascii="宋体" w:hAnsi="宋体" w:cs="宋体" w:eastAsia="宋体" w:hint="default"/>
                <w:spacing w:val="11"/>
                <w:sz w:val="15"/>
                <w:szCs w:val="15"/>
              </w:rPr>
              <w:t>江苏</w:t>
            </w:r>
            <w:r>
              <w:rPr>
                <w:rFonts w:ascii="宋体" w:hAnsi="宋体" w:cs="宋体" w:eastAsia="宋体" w:hint="default"/>
                <w:spacing w:val="-53"/>
                <w:sz w:val="15"/>
                <w:szCs w:val="15"/>
              </w:rPr>
              <w:t> </w:t>
            </w:r>
            <w:r>
              <w:rPr>
                <w:rFonts w:ascii="宋体" w:hAnsi="宋体" w:cs="宋体" w:eastAsia="宋体" w:hint="default"/>
                <w:sz w:val="15"/>
                <w:szCs w:val="15"/>
              </w:rPr>
            </w:r>
          </w:p>
        </w:tc>
        <w:tc>
          <w:tcPr>
            <w:tcW w:w="54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97" w:type="dxa"/>
            <w:tcBorders>
              <w:top w:val="single" w:sz="4" w:space="0" w:color="000000"/>
              <w:left w:val="single" w:sz="4" w:space="0" w:color="000000"/>
              <w:bottom w:val="nil" w:sz="6" w:space="0" w:color="auto"/>
              <w:right w:val="single" w:sz="4" w:space="0" w:color="000000"/>
            </w:tcBorders>
          </w:tcPr>
          <w:p>
            <w:pPr/>
          </w:p>
        </w:tc>
        <w:tc>
          <w:tcPr>
            <w:tcW w:w="911" w:type="dxa"/>
            <w:tcBorders>
              <w:top w:val="single" w:sz="4" w:space="0" w:color="000000"/>
              <w:left w:val="single" w:sz="4" w:space="0" w:color="000000"/>
              <w:bottom w:val="nil" w:sz="6" w:space="0" w:color="auto"/>
              <w:right w:val="single" w:sz="4" w:space="0" w:color="000000"/>
            </w:tcBorders>
          </w:tcPr>
          <w:p>
            <w:pPr/>
          </w:p>
        </w:tc>
        <w:tc>
          <w:tcPr>
            <w:tcW w:w="742"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82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41" w:type="dxa"/>
            <w:tcBorders>
              <w:top w:val="single" w:sz="4" w:space="0" w:color="000000"/>
              <w:left w:val="single" w:sz="4" w:space="0" w:color="000000"/>
              <w:bottom w:val="nil" w:sz="6" w:space="0" w:color="auto"/>
              <w:right w:val="single" w:sz="4" w:space="0" w:color="000000"/>
            </w:tcBorders>
          </w:tcPr>
          <w:p>
            <w:pPr/>
          </w:p>
        </w:tc>
      </w:tr>
      <w:tr>
        <w:trPr>
          <w:trHeight w:val="395" w:hRule="exact"/>
        </w:trPr>
        <w:tc>
          <w:tcPr>
            <w:tcW w:w="539"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11"/>
                <w:sz w:val="15"/>
                <w:szCs w:val="15"/>
              </w:rPr>
              <w:t>物流</w:t>
            </w:r>
            <w:r>
              <w:rPr>
                <w:rFonts w:ascii="宋体" w:hAnsi="宋体" w:cs="宋体" w:eastAsia="宋体" w:hint="default"/>
                <w:spacing w:val="-53"/>
                <w:sz w:val="15"/>
                <w:szCs w:val="15"/>
              </w:rPr>
              <w:t> </w:t>
            </w:r>
            <w:r>
              <w:rPr>
                <w:rFonts w:ascii="宋体" w:hAnsi="宋体" w:cs="宋体" w:eastAsia="宋体" w:hint="default"/>
                <w:sz w:val="15"/>
                <w:szCs w:val="15"/>
              </w:rPr>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pacing w:val="11"/>
                <w:sz w:val="15"/>
                <w:szCs w:val="15"/>
              </w:rPr>
              <w:t>中心</w:t>
            </w:r>
            <w:r>
              <w:rPr>
                <w:rFonts w:ascii="宋体" w:hAnsi="宋体" w:cs="宋体" w:eastAsia="宋体" w:hint="default"/>
                <w:spacing w:val="-53"/>
                <w:sz w:val="15"/>
                <w:szCs w:val="15"/>
              </w:rPr>
              <w:t> </w:t>
            </w:r>
            <w:r>
              <w:rPr>
                <w:rFonts w:ascii="宋体" w:hAnsi="宋体" w:cs="宋体" w:eastAsia="宋体" w:hint="default"/>
                <w:sz w:val="15"/>
                <w:szCs w:val="15"/>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hAnsi="宋体" w:cs="宋体" w:eastAsia="宋体" w:hint="default"/>
                <w:sz w:val="15"/>
                <w:szCs w:val="15"/>
              </w:rPr>
              <w:t>否</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5"/>
                <w:szCs w:val="15"/>
              </w:rPr>
            </w:pPr>
            <w:r>
              <w:rPr>
                <w:rFonts w:ascii="Times New Roman"/>
                <w:spacing w:val="-1"/>
                <w:sz w:val="15"/>
              </w:rPr>
              <w:t>153,100.0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5"/>
                <w:szCs w:val="15"/>
              </w:rPr>
            </w:pPr>
            <w:r>
              <w:rPr>
                <w:rFonts w:ascii="Times New Roman"/>
                <w:spacing w:val="-1"/>
                <w:sz w:val="15"/>
              </w:rPr>
              <w:t>153,100.0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5"/>
                <w:szCs w:val="15"/>
              </w:rPr>
            </w:pPr>
            <w:r>
              <w:rPr>
                <w:rFonts w:ascii="Times New Roman"/>
                <w:spacing w:val="-1"/>
                <w:sz w:val="15"/>
              </w:rPr>
              <w:t>153,100.0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3"/>
              <w:jc w:val="right"/>
              <w:rPr>
                <w:rFonts w:ascii="Times New Roman" w:hAnsi="Times New Roman" w:cs="Times New Roman" w:eastAsia="Times New Roman" w:hint="default"/>
                <w:sz w:val="15"/>
                <w:szCs w:val="15"/>
              </w:rPr>
            </w:pPr>
            <w:r>
              <w:rPr>
                <w:rFonts w:ascii="Times New Roman"/>
                <w:spacing w:val="-1"/>
                <w:sz w:val="15"/>
              </w:rPr>
              <w:t>10,401.6</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3"/>
              <w:jc w:val="right"/>
              <w:rPr>
                <w:rFonts w:ascii="Times New Roman" w:hAnsi="Times New Roman" w:cs="Times New Roman" w:eastAsia="Times New Roman" w:hint="default"/>
                <w:sz w:val="15"/>
                <w:szCs w:val="15"/>
              </w:rPr>
            </w:pPr>
            <w:r>
              <w:rPr>
                <w:rFonts w:ascii="Times New Roman"/>
                <w:spacing w:val="-1"/>
                <w:sz w:val="15"/>
              </w:rPr>
              <w:t>151,901.7</w:t>
            </w:r>
          </w:p>
        </w:tc>
        <w:tc>
          <w:tcPr>
            <w:tcW w:w="9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5"/>
                <w:szCs w:val="15"/>
              </w:rPr>
            </w:pPr>
            <w:r>
              <w:rPr>
                <w:rFonts w:ascii="Times New Roman"/>
                <w:spacing w:val="-1"/>
                <w:sz w:val="15"/>
              </w:rPr>
              <w:t>(1,198.3)</w:t>
            </w: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5"/>
                <w:szCs w:val="15"/>
              </w:rPr>
            </w:pPr>
            <w:r>
              <w:rPr>
                <w:rFonts w:ascii="Times New Roman"/>
                <w:sz w:val="15"/>
              </w:rPr>
              <w:t>99.2</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5"/>
                <w:szCs w:val="15"/>
              </w:rPr>
            </w:pPr>
            <w:r>
              <w:rPr>
                <w:rFonts w:ascii="Times New Roman"/>
                <w:spacing w:val="-1"/>
                <w:sz w:val="15"/>
              </w:rPr>
              <w:t>2008</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24"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7" w:lineRule="exact"/>
              <w:ind w:left="103" w:right="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w:t>
            </w:r>
            <w:r>
              <w:rPr>
                <w:rFonts w:ascii="宋体" w:hAnsi="宋体" w:cs="宋体" w:eastAsia="宋体" w:hint="default"/>
                <w:sz w:val="15"/>
                <w:szCs w:val="15"/>
              </w:rPr>
              <w:t>）</w:t>
            </w:r>
          </w:p>
        </w:tc>
        <w:tc>
          <w:tcPr>
            <w:tcW w:w="541"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198" w:hRule="exact"/>
        </w:trPr>
        <w:tc>
          <w:tcPr>
            <w:tcW w:w="539" w:type="dxa"/>
            <w:tcBorders>
              <w:top w:val="nil" w:sz="6" w:space="0" w:color="auto"/>
              <w:left w:val="single" w:sz="4" w:space="0" w:color="000000"/>
              <w:bottom w:val="single" w:sz="4" w:space="0" w:color="000000"/>
              <w:right w:val="single" w:sz="4" w:space="0" w:color="000000"/>
            </w:tcBorders>
          </w:tcPr>
          <w:p>
            <w:pPr>
              <w:pStyle w:val="TableParagraph"/>
              <w:spacing w:line="169" w:lineRule="exact"/>
              <w:ind w:right="20"/>
              <w:jc w:val="center"/>
              <w:rPr>
                <w:rFonts w:ascii="宋体" w:hAnsi="宋体" w:cs="宋体" w:eastAsia="宋体" w:hint="default"/>
                <w:sz w:val="15"/>
                <w:szCs w:val="15"/>
              </w:rPr>
            </w:pPr>
            <w:r>
              <w:rPr>
                <w:rFonts w:ascii="宋体" w:hAnsi="宋体" w:cs="宋体" w:eastAsia="宋体" w:hint="default"/>
                <w:sz w:val="15"/>
                <w:szCs w:val="15"/>
              </w:rPr>
              <w:t>项目</w:t>
            </w:r>
          </w:p>
        </w:tc>
        <w:tc>
          <w:tcPr>
            <w:tcW w:w="54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97" w:type="dxa"/>
            <w:tcBorders>
              <w:top w:val="nil" w:sz="6" w:space="0" w:color="auto"/>
              <w:left w:val="single" w:sz="4" w:space="0" w:color="000000"/>
              <w:bottom w:val="single" w:sz="4" w:space="0" w:color="000000"/>
              <w:right w:val="single" w:sz="4" w:space="0" w:color="000000"/>
            </w:tcBorders>
          </w:tcPr>
          <w:p>
            <w:pPr/>
          </w:p>
        </w:tc>
        <w:tc>
          <w:tcPr>
            <w:tcW w:w="911" w:type="dxa"/>
            <w:tcBorders>
              <w:top w:val="nil" w:sz="6" w:space="0" w:color="auto"/>
              <w:left w:val="single" w:sz="4" w:space="0" w:color="000000"/>
              <w:bottom w:val="single" w:sz="4" w:space="0" w:color="000000"/>
              <w:right w:val="single" w:sz="4" w:space="0" w:color="000000"/>
            </w:tcBorders>
          </w:tcPr>
          <w:p>
            <w:pPr/>
          </w:p>
        </w:tc>
        <w:tc>
          <w:tcPr>
            <w:tcW w:w="742"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82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41" w:type="dxa"/>
            <w:tcBorders>
              <w:top w:val="nil" w:sz="6" w:space="0" w:color="auto"/>
              <w:left w:val="single" w:sz="4" w:space="0" w:color="000000"/>
              <w:bottom w:val="single" w:sz="4" w:space="0" w:color="000000"/>
              <w:right w:val="single" w:sz="4" w:space="0" w:color="000000"/>
            </w:tcBorders>
          </w:tcPr>
          <w:p>
            <w:pPr/>
          </w:p>
        </w:tc>
      </w:tr>
      <w:tr>
        <w:trPr>
          <w:trHeight w:val="594" w:hRule="exact"/>
        </w:trPr>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11"/>
                <w:sz w:val="15"/>
                <w:szCs w:val="15"/>
              </w:rPr>
              <w:t>信息</w:t>
            </w:r>
            <w:r>
              <w:rPr>
                <w:rFonts w:ascii="宋体" w:hAnsi="宋体" w:cs="宋体" w:eastAsia="宋体" w:hint="default"/>
                <w:spacing w:val="-53"/>
                <w:sz w:val="15"/>
                <w:szCs w:val="15"/>
              </w:rPr>
              <w:t> </w:t>
            </w:r>
            <w:r>
              <w:rPr>
                <w:rFonts w:ascii="宋体" w:hAnsi="宋体" w:cs="宋体" w:eastAsia="宋体" w:hint="default"/>
                <w:sz w:val="15"/>
                <w:szCs w:val="15"/>
              </w:rPr>
            </w:r>
          </w:p>
          <w:p>
            <w:pPr>
              <w:pStyle w:val="TableParagraph"/>
              <w:spacing w:line="240" w:lineRule="auto"/>
              <w:ind w:left="103" w:right="78"/>
              <w:jc w:val="left"/>
              <w:rPr>
                <w:rFonts w:ascii="宋体" w:hAnsi="宋体" w:cs="宋体" w:eastAsia="宋体" w:hint="default"/>
                <w:sz w:val="15"/>
                <w:szCs w:val="15"/>
              </w:rPr>
            </w:pPr>
            <w:r>
              <w:rPr>
                <w:rFonts w:ascii="宋体" w:hAnsi="宋体" w:cs="宋体" w:eastAsia="宋体" w:hint="default"/>
                <w:spacing w:val="11"/>
                <w:sz w:val="15"/>
                <w:szCs w:val="15"/>
              </w:rPr>
              <w:t>中心</w:t>
            </w:r>
            <w:r>
              <w:rPr>
                <w:rFonts w:ascii="宋体" w:hAnsi="宋体" w:cs="宋体" w:eastAsia="宋体" w:hint="default"/>
                <w:spacing w:val="-53"/>
                <w:sz w:val="15"/>
                <w:szCs w:val="15"/>
              </w:rPr>
              <w:t> </w:t>
            </w:r>
            <w:r>
              <w:rPr>
                <w:rFonts w:ascii="宋体" w:hAnsi="宋体" w:cs="宋体" w:eastAsia="宋体" w:hint="default"/>
                <w:sz w:val="15"/>
                <w:szCs w:val="15"/>
              </w:rPr>
              <w:t>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131,719.0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131,719.0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131,719.0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7,554.1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131,719.0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2009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72"/>
              <w:ind w:left="124"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7" w:lineRule="exact"/>
              <w:ind w:left="103" w:right="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w:t>
            </w:r>
            <w:r>
              <w:rPr>
                <w:rFonts w:ascii="宋体" w:hAnsi="宋体" w:cs="宋体" w:eastAsia="宋体" w:hint="default"/>
                <w:sz w:val="15"/>
                <w:szCs w:val="15"/>
              </w:rPr>
              <w:t>）</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199" w:hRule="exact"/>
        </w:trPr>
        <w:tc>
          <w:tcPr>
            <w:tcW w:w="539" w:type="dxa"/>
            <w:tcBorders>
              <w:top w:val="single" w:sz="4" w:space="0" w:color="000000"/>
              <w:left w:val="single" w:sz="4" w:space="0" w:color="000000"/>
              <w:bottom w:val="nil" w:sz="6" w:space="0" w:color="auto"/>
              <w:right w:val="single" w:sz="4" w:space="0" w:color="000000"/>
            </w:tcBorders>
          </w:tcPr>
          <w:p>
            <w:pPr>
              <w:pStyle w:val="TableParagraph"/>
              <w:spacing w:line="171" w:lineRule="exact"/>
              <w:ind w:left="22" w:right="0"/>
              <w:jc w:val="center"/>
              <w:rPr>
                <w:rFonts w:ascii="宋体" w:hAnsi="宋体" w:cs="宋体" w:eastAsia="宋体" w:hint="default"/>
                <w:sz w:val="15"/>
                <w:szCs w:val="15"/>
              </w:rPr>
            </w:pPr>
            <w:r>
              <w:rPr>
                <w:rFonts w:ascii="宋体" w:hAnsi="宋体" w:cs="宋体" w:eastAsia="宋体" w:hint="default"/>
                <w:spacing w:val="11"/>
                <w:sz w:val="15"/>
                <w:szCs w:val="15"/>
              </w:rPr>
              <w:t>补充</w:t>
            </w:r>
            <w:r>
              <w:rPr>
                <w:rFonts w:ascii="宋体" w:hAnsi="宋体" w:cs="宋体" w:eastAsia="宋体" w:hint="default"/>
                <w:spacing w:val="-53"/>
                <w:sz w:val="15"/>
                <w:szCs w:val="15"/>
              </w:rPr>
              <w:t> </w:t>
            </w:r>
            <w:r>
              <w:rPr>
                <w:rFonts w:ascii="宋体" w:hAnsi="宋体" w:cs="宋体" w:eastAsia="宋体" w:hint="default"/>
                <w:sz w:val="15"/>
                <w:szCs w:val="15"/>
              </w:rPr>
            </w:r>
          </w:p>
        </w:tc>
        <w:tc>
          <w:tcPr>
            <w:tcW w:w="54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97" w:type="dxa"/>
            <w:tcBorders>
              <w:top w:val="single" w:sz="4" w:space="0" w:color="000000"/>
              <w:left w:val="single" w:sz="4" w:space="0" w:color="000000"/>
              <w:bottom w:val="nil" w:sz="6" w:space="0" w:color="auto"/>
              <w:right w:val="single" w:sz="4" w:space="0" w:color="000000"/>
            </w:tcBorders>
          </w:tcPr>
          <w:p>
            <w:pPr/>
          </w:p>
        </w:tc>
        <w:tc>
          <w:tcPr>
            <w:tcW w:w="911" w:type="dxa"/>
            <w:tcBorders>
              <w:top w:val="single" w:sz="4" w:space="0" w:color="000000"/>
              <w:left w:val="single" w:sz="4" w:space="0" w:color="000000"/>
              <w:bottom w:val="nil" w:sz="6" w:space="0" w:color="auto"/>
              <w:right w:val="single" w:sz="4" w:space="0" w:color="000000"/>
            </w:tcBorders>
          </w:tcPr>
          <w:p>
            <w:pPr/>
          </w:p>
        </w:tc>
        <w:tc>
          <w:tcPr>
            <w:tcW w:w="742"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82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41" w:type="dxa"/>
            <w:vMerge w:val="restart"/>
            <w:tcBorders>
              <w:top w:val="single" w:sz="4" w:space="0" w:color="000000"/>
              <w:left w:val="single" w:sz="4" w:space="0" w:color="000000"/>
              <w:right w:val="single" w:sz="4" w:space="0" w:color="000000"/>
            </w:tcBorders>
          </w:tcPr>
          <w:p>
            <w:pPr/>
          </w:p>
        </w:tc>
      </w:tr>
      <w:tr>
        <w:trPr>
          <w:trHeight w:val="197" w:hRule="exact"/>
        </w:trPr>
        <w:tc>
          <w:tcPr>
            <w:tcW w:w="539"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22" w:right="0"/>
              <w:jc w:val="center"/>
              <w:rPr>
                <w:rFonts w:ascii="宋体" w:hAnsi="宋体" w:cs="宋体" w:eastAsia="宋体" w:hint="default"/>
                <w:sz w:val="15"/>
                <w:szCs w:val="15"/>
              </w:rPr>
            </w:pPr>
            <w:r>
              <w:rPr>
                <w:rFonts w:ascii="宋体" w:hAnsi="宋体" w:cs="宋体" w:eastAsia="宋体" w:hint="default"/>
                <w:spacing w:val="11"/>
                <w:sz w:val="15"/>
                <w:szCs w:val="15"/>
              </w:rPr>
              <w:t>流动</w:t>
            </w:r>
            <w:r>
              <w:rPr>
                <w:rFonts w:ascii="宋体" w:hAnsi="宋体" w:cs="宋体" w:eastAsia="宋体" w:hint="default"/>
                <w:spacing w:val="-53"/>
                <w:sz w:val="15"/>
                <w:szCs w:val="15"/>
              </w:rPr>
              <w:t> </w:t>
            </w:r>
            <w:r>
              <w:rPr>
                <w:rFonts w:ascii="宋体" w:hAnsi="宋体" w:cs="宋体" w:eastAsia="宋体" w:hint="default"/>
                <w:sz w:val="15"/>
                <w:szCs w:val="15"/>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3"/>
              <w:jc w:val="right"/>
              <w:rPr>
                <w:rFonts w:ascii="Times New Roman" w:hAnsi="Times New Roman" w:cs="Times New Roman" w:eastAsia="Times New Roman" w:hint="default"/>
                <w:sz w:val="15"/>
                <w:szCs w:val="15"/>
              </w:rPr>
            </w:pPr>
            <w:r>
              <w:rPr>
                <w:rFonts w:ascii="Times New Roman"/>
                <w:spacing w:val="-1"/>
                <w:sz w:val="15"/>
              </w:rPr>
              <w:t>410,201.0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spacing w:val="-1"/>
                <w:sz w:val="15"/>
              </w:rPr>
              <w:t>410,201.0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15"/>
                <w:szCs w:val="15"/>
              </w:rPr>
            </w:pPr>
            <w:r>
              <w:rPr>
                <w:rFonts w:ascii="Times New Roman"/>
                <w:spacing w:val="-1"/>
                <w:sz w:val="15"/>
              </w:rPr>
              <w:t>410,201.0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15"/>
                <w:szCs w:val="15"/>
              </w:rPr>
            </w:pPr>
            <w:r>
              <w:rPr>
                <w:rFonts w:ascii="Times New Roman"/>
                <w:spacing w:val="-1"/>
                <w:sz w:val="15"/>
              </w:rPr>
              <w:t>410,201.0</w:t>
            </w:r>
          </w:p>
        </w:tc>
        <w:tc>
          <w:tcPr>
            <w:tcW w:w="91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5"/>
                <w:szCs w:val="15"/>
              </w:rPr>
            </w:pPr>
            <w:r>
              <w:rPr>
                <w:rFonts w:ascii="Times New Roman"/>
                <w:sz w:val="15"/>
              </w:rPr>
              <w:t>100.0</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41" w:type="dxa"/>
            <w:vMerge/>
            <w:tcBorders>
              <w:left w:val="single" w:sz="4" w:space="0" w:color="000000"/>
              <w:right w:val="single" w:sz="4" w:space="0" w:color="000000"/>
            </w:tcBorders>
          </w:tcPr>
          <w:p>
            <w:pPr/>
          </w:p>
        </w:tc>
      </w:tr>
      <w:tr>
        <w:trPr>
          <w:trHeight w:val="199" w:hRule="exact"/>
        </w:trPr>
        <w:tc>
          <w:tcPr>
            <w:tcW w:w="539" w:type="dxa"/>
            <w:tcBorders>
              <w:top w:val="nil" w:sz="6" w:space="0" w:color="auto"/>
              <w:left w:val="single" w:sz="4" w:space="0" w:color="000000"/>
              <w:bottom w:val="single" w:sz="4" w:space="0" w:color="000000"/>
              <w:right w:val="single" w:sz="4" w:space="0" w:color="000000"/>
            </w:tcBorders>
          </w:tcPr>
          <w:p>
            <w:pPr>
              <w:pStyle w:val="TableParagraph"/>
              <w:spacing w:line="170" w:lineRule="exact"/>
              <w:ind w:right="20"/>
              <w:jc w:val="center"/>
              <w:rPr>
                <w:rFonts w:ascii="宋体" w:hAnsi="宋体" w:cs="宋体" w:eastAsia="宋体" w:hint="default"/>
                <w:sz w:val="15"/>
                <w:szCs w:val="15"/>
              </w:rPr>
            </w:pPr>
            <w:r>
              <w:rPr>
                <w:rFonts w:ascii="宋体" w:hAnsi="宋体" w:cs="宋体" w:eastAsia="宋体" w:hint="default"/>
                <w:sz w:val="15"/>
                <w:szCs w:val="15"/>
              </w:rPr>
              <w:t>资金</w:t>
            </w:r>
          </w:p>
        </w:tc>
        <w:tc>
          <w:tcPr>
            <w:tcW w:w="54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97" w:type="dxa"/>
            <w:tcBorders>
              <w:top w:val="nil" w:sz="6" w:space="0" w:color="auto"/>
              <w:left w:val="single" w:sz="4" w:space="0" w:color="000000"/>
              <w:bottom w:val="single" w:sz="4" w:space="0" w:color="000000"/>
              <w:right w:val="single" w:sz="4" w:space="0" w:color="000000"/>
            </w:tcBorders>
          </w:tcPr>
          <w:p>
            <w:pPr/>
          </w:p>
        </w:tc>
        <w:tc>
          <w:tcPr>
            <w:tcW w:w="911" w:type="dxa"/>
            <w:tcBorders>
              <w:top w:val="nil" w:sz="6" w:space="0" w:color="auto"/>
              <w:left w:val="single" w:sz="4" w:space="0" w:color="000000"/>
              <w:bottom w:val="single" w:sz="4" w:space="0" w:color="000000"/>
              <w:right w:val="single" w:sz="4" w:space="0" w:color="000000"/>
            </w:tcBorders>
          </w:tcPr>
          <w:p>
            <w:pPr/>
          </w:p>
        </w:tc>
        <w:tc>
          <w:tcPr>
            <w:tcW w:w="742"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82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41" w:type="dxa"/>
            <w:vMerge/>
            <w:tcBorders>
              <w:left w:val="single" w:sz="4" w:space="0" w:color="000000"/>
              <w:bottom w:val="single" w:sz="4" w:space="0" w:color="000000"/>
              <w:right w:val="single" w:sz="4" w:space="0" w:color="000000"/>
            </w:tcBorders>
          </w:tcPr>
          <w:p>
            <w:pPr/>
          </w:p>
        </w:tc>
      </w:tr>
      <w:tr>
        <w:trPr>
          <w:trHeight w:val="295" w:hRule="exact"/>
        </w:trPr>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5"/>
                <w:szCs w:val="15"/>
              </w:rPr>
            </w:pPr>
            <w:r>
              <w:rPr>
                <w:rFonts w:ascii="Times New Roman"/>
                <w:sz w:val="15"/>
              </w:rPr>
              <w:t>1,195,020.0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spacing w:val="-1"/>
                <w:sz w:val="15"/>
              </w:rPr>
              <w:t>1,195,020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spacing w:val="-1"/>
                <w:sz w:val="15"/>
              </w:rPr>
              <w:t>1,195,020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spacing w:val="-1"/>
                <w:sz w:val="15"/>
              </w:rPr>
              <w:t>24,695.7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spacing w:val="-1"/>
                <w:sz w:val="15"/>
              </w:rPr>
              <w:t>1,193,821.7</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spacing w:val="-1"/>
                <w:sz w:val="15"/>
              </w:rPr>
              <w:t>(1,198.3)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5"/>
                <w:szCs w:val="15"/>
              </w:rPr>
            </w:pPr>
            <w:r>
              <w:rPr>
                <w:rFonts w:ascii="Times New Roman"/>
                <w:sz w:val="15"/>
              </w:rPr>
              <w:t>99.9</w:t>
            </w:r>
          </w:p>
        </w:tc>
        <w:tc>
          <w:tcPr>
            <w:tcW w:w="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spacing w:val="-1"/>
                <w:sz w:val="15"/>
              </w:rPr>
              <w:t>199,591.2</w:t>
            </w:r>
          </w:p>
        </w:tc>
        <w:tc>
          <w:tcPr>
            <w:tcW w:w="709"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188" w:hRule="exact"/>
        </w:trPr>
        <w:tc>
          <w:tcPr>
            <w:tcW w:w="1979" w:type="dxa"/>
            <w:gridSpan w:val="3"/>
            <w:tcBorders>
              <w:top w:val="single" w:sz="4" w:space="0" w:color="000000"/>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0"/>
                <w:sz w:val="15"/>
                <w:szCs w:val="15"/>
              </w:rPr>
              <w:t>未达到计划进度或预计收</w:t>
            </w:r>
            <w:r>
              <w:rPr>
                <w:rFonts w:ascii="宋体" w:hAnsi="宋体" w:cs="宋体" w:eastAsia="宋体" w:hint="default"/>
                <w:sz w:val="15"/>
                <w:szCs w:val="15"/>
              </w:rPr>
            </w:r>
          </w:p>
        </w:tc>
        <w:tc>
          <w:tcPr>
            <w:tcW w:w="8060" w:type="dxa"/>
            <w:gridSpan w:val="10"/>
            <w:tcBorders>
              <w:top w:val="single" w:sz="4" w:space="0" w:color="000000"/>
              <w:left w:val="single" w:sz="4" w:space="0" w:color="000000"/>
              <w:bottom w:val="nil" w:sz="6" w:space="0" w:color="auto"/>
              <w:right w:val="single" w:sz="4" w:space="0" w:color="000000"/>
            </w:tcBorders>
          </w:tcPr>
          <w:p>
            <w:pPr/>
          </w:p>
        </w:tc>
      </w:tr>
      <w:tr>
        <w:trPr>
          <w:trHeight w:val="205" w:hRule="exact"/>
        </w:trPr>
        <w:tc>
          <w:tcPr>
            <w:tcW w:w="1979" w:type="dxa"/>
            <w:gridSpan w:val="3"/>
            <w:tcBorders>
              <w:top w:val="nil" w:sz="6" w:space="0" w:color="auto"/>
              <w:left w:val="single" w:sz="4" w:space="0" w:color="000000"/>
              <w:bottom w:val="nil" w:sz="6" w:space="0" w:color="auto"/>
              <w:right w:val="single" w:sz="4" w:space="0" w:color="000000"/>
            </w:tcBorders>
          </w:tcPr>
          <w:p>
            <w:pPr>
              <w:pStyle w:val="TableParagraph"/>
              <w:spacing w:line="183"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益的情况和原因（分具体项</w:t>
            </w:r>
          </w:p>
        </w:tc>
        <w:tc>
          <w:tcPr>
            <w:tcW w:w="8060" w:type="dxa"/>
            <w:gridSpan w:val="10"/>
            <w:tcBorders>
              <w:top w:val="nil" w:sz="6" w:space="0" w:color="auto"/>
              <w:left w:val="single" w:sz="4" w:space="0" w:color="000000"/>
              <w:bottom w:val="nil" w:sz="6" w:space="0" w:color="auto"/>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、江苏物流中心已于</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2008</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年投入使用，未投入的募集资金为部分工程尾款与质保金；</w:t>
            </w:r>
          </w:p>
        </w:tc>
      </w:tr>
      <w:tr>
        <w:trPr>
          <w:trHeight w:val="202" w:hRule="exact"/>
        </w:trPr>
        <w:tc>
          <w:tcPr>
            <w:tcW w:w="1979" w:type="dxa"/>
            <w:gridSpan w:val="3"/>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目）</w:t>
            </w:r>
          </w:p>
        </w:tc>
        <w:tc>
          <w:tcPr>
            <w:tcW w:w="8060" w:type="dxa"/>
            <w:gridSpan w:val="10"/>
            <w:tcBorders>
              <w:top w:val="nil" w:sz="6" w:space="0" w:color="auto"/>
              <w:left w:val="single" w:sz="4" w:space="0" w:color="000000"/>
              <w:bottom w:val="single" w:sz="4" w:space="0" w:color="000000"/>
              <w:right w:val="single" w:sz="4" w:space="0" w:color="000000"/>
            </w:tcBorders>
          </w:tcPr>
          <w:p>
            <w:pPr/>
          </w:p>
        </w:tc>
      </w:tr>
      <w:tr>
        <w:trPr>
          <w:trHeight w:val="464" w:hRule="exact"/>
        </w:trPr>
        <w:tc>
          <w:tcPr>
            <w:tcW w:w="19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91"/>
              <w:jc w:val="left"/>
              <w:rPr>
                <w:rFonts w:ascii="宋体" w:hAnsi="宋体" w:cs="宋体" w:eastAsia="宋体" w:hint="default"/>
                <w:sz w:val="15"/>
                <w:szCs w:val="15"/>
              </w:rPr>
            </w:pPr>
            <w:r>
              <w:rPr>
                <w:rFonts w:ascii="宋体" w:hAnsi="宋体" w:cs="宋体" w:eastAsia="宋体" w:hint="default"/>
                <w:spacing w:val="10"/>
                <w:sz w:val="15"/>
                <w:szCs w:val="15"/>
              </w:rPr>
              <w:t>项目可行性发生重大变化</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的情况说明</w:t>
            </w:r>
          </w:p>
        </w:tc>
        <w:tc>
          <w:tcPr>
            <w:tcW w:w="806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bl>
    <w:p>
      <w:pPr>
        <w:spacing w:after="0" w:line="240" w:lineRule="auto"/>
        <w:jc w:val="left"/>
        <w:rPr>
          <w:rFonts w:ascii="宋体" w:hAnsi="宋体" w:cs="宋体" w:eastAsia="宋体" w:hint="default"/>
          <w:sz w:val="15"/>
          <w:szCs w:val="15"/>
        </w:rPr>
        <w:sectPr>
          <w:pgSz w:w="11910" w:h="16840"/>
          <w:pgMar w:header="748" w:footer="714" w:top="980" w:bottom="900" w:left="82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70" w:type="dxa"/>
        <w:tblLayout w:type="fixed"/>
        <w:tblCellMar>
          <w:top w:w="0" w:type="dxa"/>
          <w:left w:w="0" w:type="dxa"/>
          <w:bottom w:w="0" w:type="dxa"/>
          <w:right w:w="0" w:type="dxa"/>
        </w:tblCellMar>
        <w:tblLook w:val="01E0"/>
      </w:tblPr>
      <w:tblGrid>
        <w:gridCol w:w="1979"/>
        <w:gridCol w:w="8060"/>
      </w:tblGrid>
      <w:tr>
        <w:trPr>
          <w:trHeight w:val="790"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101"/>
              <w:jc w:val="left"/>
              <w:rPr>
                <w:rFonts w:ascii="宋体" w:hAnsi="宋体" w:cs="宋体" w:eastAsia="宋体" w:hint="default"/>
                <w:sz w:val="15"/>
                <w:szCs w:val="15"/>
              </w:rPr>
            </w:pPr>
            <w:r>
              <w:rPr>
                <w:rFonts w:ascii="宋体" w:hAnsi="宋体" w:cs="宋体" w:eastAsia="宋体" w:hint="default"/>
                <w:spacing w:val="-4"/>
                <w:sz w:val="15"/>
                <w:szCs w:val="15"/>
              </w:rPr>
              <w:t>超募资金的金额、用途及使</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用进展</w:t>
            </w:r>
          </w:p>
        </w:tc>
        <w:tc>
          <w:tcPr>
            <w:tcW w:w="806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both"/>
              <w:rPr>
                <w:rFonts w:ascii="宋体" w:hAnsi="宋体" w:cs="宋体" w:eastAsia="宋体" w:hint="default"/>
                <w:sz w:val="15"/>
                <w:szCs w:val="15"/>
              </w:rPr>
            </w:pPr>
            <w:r>
              <w:rPr>
                <w:rFonts w:ascii="宋体" w:hAnsi="宋体" w:cs="宋体" w:eastAsia="宋体" w:hint="default"/>
                <w:sz w:val="15"/>
                <w:szCs w:val="15"/>
              </w:rPr>
              <w:t>经本公司第二届董事会第二十五次会议通过的《关于公司</w:t>
            </w:r>
            <w:r>
              <w:rPr>
                <w:rFonts w:ascii="宋体" w:hAnsi="宋体" w:cs="宋体" w:eastAsia="宋体" w:hint="default"/>
                <w:spacing w:val="-28"/>
                <w:sz w:val="15"/>
                <w:szCs w:val="15"/>
              </w:rPr>
              <w:t> </w:t>
            </w: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年非公开发行股票方案的议案》并经公司</w:t>
            </w:r>
            <w:r>
              <w:rPr>
                <w:rFonts w:ascii="宋体" w:hAnsi="宋体" w:cs="宋体" w:eastAsia="宋体" w:hint="default"/>
                <w:spacing w:val="-28"/>
                <w:sz w:val="15"/>
                <w:szCs w:val="15"/>
              </w:rPr>
              <w:t> </w:t>
            </w: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年第一次</w:t>
            </w:r>
          </w:p>
          <w:p>
            <w:pPr>
              <w:pStyle w:val="TableParagraph"/>
              <w:spacing w:line="237" w:lineRule="auto"/>
              <w:ind w:left="103" w:right="97"/>
              <w:jc w:val="both"/>
              <w:rPr>
                <w:rFonts w:ascii="宋体" w:hAnsi="宋体" w:cs="宋体" w:eastAsia="宋体" w:hint="default"/>
                <w:sz w:val="15"/>
                <w:szCs w:val="15"/>
              </w:rPr>
            </w:pPr>
            <w:r>
              <w:rPr>
                <w:rFonts w:ascii="宋体" w:hAnsi="宋体" w:cs="宋体" w:eastAsia="宋体" w:hint="default"/>
                <w:sz w:val="15"/>
                <w:szCs w:val="15"/>
              </w:rPr>
              <w:t>临时股东大会决议通过：本次非公开发行股票募集的现金超过募集资金项目计划使用募集资金投入的部分用于补充本公</w:t>
            </w:r>
            <w:r>
              <w:rPr>
                <w:rFonts w:ascii="宋体" w:hAnsi="宋体" w:cs="宋体" w:eastAsia="宋体" w:hint="default"/>
                <w:spacing w:val="-36"/>
                <w:sz w:val="15"/>
                <w:szCs w:val="15"/>
              </w:rPr>
              <w:t> </w:t>
            </w:r>
            <w:r>
              <w:rPr>
                <w:rFonts w:ascii="宋体" w:hAnsi="宋体" w:cs="宋体" w:eastAsia="宋体" w:hint="default"/>
                <w:spacing w:val="-36"/>
                <w:sz w:val="15"/>
                <w:szCs w:val="15"/>
              </w:rPr>
            </w:r>
            <w:r>
              <w:rPr>
                <w:rFonts w:ascii="宋体" w:hAnsi="宋体" w:cs="宋体" w:eastAsia="宋体" w:hint="default"/>
                <w:sz w:val="15"/>
                <w:szCs w:val="15"/>
              </w:rPr>
              <w:t>司的流动资金，不足部分由本公司自筹解决。本公司此次非公开发行股票募集的现金超过项目计划使用募集资金投入部</w:t>
            </w:r>
            <w:r>
              <w:rPr>
                <w:rFonts w:ascii="宋体" w:hAnsi="宋体" w:cs="宋体" w:eastAsia="宋体" w:hint="default"/>
                <w:spacing w:val="-36"/>
                <w:sz w:val="15"/>
                <w:szCs w:val="15"/>
              </w:rPr>
              <w:t> </w:t>
            </w:r>
            <w:r>
              <w:rPr>
                <w:rFonts w:ascii="宋体" w:hAnsi="宋体" w:cs="宋体" w:eastAsia="宋体" w:hint="default"/>
                <w:spacing w:val="-36"/>
                <w:sz w:val="15"/>
                <w:szCs w:val="15"/>
              </w:rPr>
            </w:r>
            <w:r>
              <w:rPr>
                <w:rFonts w:ascii="宋体" w:hAnsi="宋体" w:cs="宋体" w:eastAsia="宋体" w:hint="default"/>
                <w:sz w:val="15"/>
                <w:szCs w:val="15"/>
              </w:rPr>
              <w:t>分合计</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41,020.10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万元，已用于补充流动资金。</w:t>
            </w: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0"/>
                <w:sz w:val="15"/>
                <w:szCs w:val="15"/>
              </w:rPr>
              <w:t>募集资金投资项目实施地</w:t>
            </w:r>
            <w:r>
              <w:rPr>
                <w:rFonts w:ascii="宋体" w:hAnsi="宋体" w:cs="宋体" w:eastAsia="宋体" w:hint="default"/>
                <w:sz w:val="15"/>
                <w:szCs w:val="15"/>
              </w:rPr>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点变更情况</w:t>
            </w:r>
          </w:p>
        </w:tc>
        <w:tc>
          <w:tcPr>
            <w:tcW w:w="8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0"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10"/>
                <w:sz w:val="15"/>
                <w:szCs w:val="15"/>
              </w:rPr>
              <w:t>募集资金投资项目实施方</w:t>
            </w:r>
            <w:r>
              <w:rPr>
                <w:rFonts w:ascii="宋体" w:hAnsi="宋体" w:cs="宋体" w:eastAsia="宋体" w:hint="default"/>
                <w:sz w:val="15"/>
                <w:szCs w:val="15"/>
              </w:rPr>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式调整情况</w:t>
            </w:r>
          </w:p>
        </w:tc>
        <w:tc>
          <w:tcPr>
            <w:tcW w:w="8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0"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10"/>
                <w:sz w:val="15"/>
                <w:szCs w:val="15"/>
              </w:rPr>
              <w:t>募集资金投资项目先期投</w:t>
            </w:r>
            <w:r>
              <w:rPr>
                <w:rFonts w:ascii="宋体" w:hAnsi="宋体" w:cs="宋体" w:eastAsia="宋体" w:hint="default"/>
                <w:sz w:val="15"/>
                <w:szCs w:val="15"/>
              </w:rPr>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入及置换情况</w:t>
            </w:r>
          </w:p>
        </w:tc>
        <w:tc>
          <w:tcPr>
            <w:tcW w:w="8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0"/>
                <w:sz w:val="15"/>
                <w:szCs w:val="15"/>
              </w:rPr>
              <w:t>用闲置募集资金暂时补充</w:t>
            </w:r>
            <w:r>
              <w:rPr>
                <w:rFonts w:ascii="宋体" w:hAnsi="宋体" w:cs="宋体" w:eastAsia="宋体" w:hint="default"/>
                <w:sz w:val="15"/>
                <w:szCs w:val="15"/>
              </w:rPr>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流动资金情况</w:t>
            </w:r>
          </w:p>
        </w:tc>
        <w:tc>
          <w:tcPr>
            <w:tcW w:w="8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0"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10"/>
                <w:sz w:val="15"/>
                <w:szCs w:val="15"/>
              </w:rPr>
              <w:t>项目实施出现募集资金结</w:t>
            </w:r>
            <w:r>
              <w:rPr>
                <w:rFonts w:ascii="宋体" w:hAnsi="宋体" w:cs="宋体" w:eastAsia="宋体" w:hint="default"/>
                <w:sz w:val="15"/>
                <w:szCs w:val="15"/>
              </w:rPr>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余的金额及原因</w:t>
            </w:r>
          </w:p>
        </w:tc>
        <w:tc>
          <w:tcPr>
            <w:tcW w:w="8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0"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10"/>
                <w:sz w:val="15"/>
                <w:szCs w:val="15"/>
              </w:rPr>
              <w:t>尚未使用的募集资金用途</w:t>
            </w:r>
            <w:r>
              <w:rPr>
                <w:rFonts w:ascii="宋体" w:hAnsi="宋体" w:cs="宋体" w:eastAsia="宋体" w:hint="default"/>
                <w:sz w:val="15"/>
                <w:szCs w:val="15"/>
              </w:rPr>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及去向</w:t>
            </w:r>
          </w:p>
        </w:tc>
        <w:tc>
          <w:tcPr>
            <w:tcW w:w="8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黑体" w:hAnsi="黑体" w:cs="黑体" w:eastAsia="黑体" w:hint="default"/>
                <w:sz w:val="15"/>
                <w:szCs w:val="15"/>
              </w:rPr>
            </w:pPr>
            <w:r>
              <w:rPr>
                <w:rFonts w:ascii="黑体" w:hAnsi="黑体" w:cs="黑体" w:eastAsia="黑体" w:hint="default"/>
                <w:sz w:val="15"/>
                <w:szCs w:val="15"/>
              </w:rPr>
              <w:t>公司尚未使用的募集资金存放于公司专户中，将用于江苏物流中心项目。</w:t>
            </w: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0"/>
                <w:sz w:val="15"/>
                <w:szCs w:val="15"/>
              </w:rPr>
              <w:t>募集资金使用及披露中存</w:t>
            </w:r>
            <w:r>
              <w:rPr>
                <w:rFonts w:ascii="宋体" w:hAnsi="宋体" w:cs="宋体" w:eastAsia="宋体" w:hint="default"/>
                <w:sz w:val="15"/>
                <w:szCs w:val="15"/>
              </w:rPr>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在的问题或其他情况</w:t>
            </w:r>
          </w:p>
        </w:tc>
        <w:tc>
          <w:tcPr>
            <w:tcW w:w="8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bl>
    <w:p>
      <w:pPr>
        <w:spacing w:line="257" w:lineRule="exact" w:before="0"/>
        <w:ind w:left="1100" w:right="559"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家连锁店发展项目已全部实施完毕，使用募集资金投入</w:t>
      </w:r>
    </w:p>
    <w:p>
      <w:pPr>
        <w:spacing w:line="348" w:lineRule="auto" w:before="118"/>
        <w:ind w:left="679" w:right="673" w:firstLine="0"/>
        <w:jc w:val="both"/>
        <w:rPr>
          <w:rFonts w:ascii="宋体" w:hAnsi="宋体" w:cs="宋体" w:eastAsia="宋体" w:hint="default"/>
          <w:sz w:val="21"/>
          <w:szCs w:val="21"/>
        </w:rPr>
      </w:pPr>
      <w:r>
        <w:rPr>
          <w:rFonts w:ascii="宋体" w:hAnsi="宋体" w:cs="宋体" w:eastAsia="宋体" w:hint="default"/>
          <w:sz w:val="21"/>
          <w:szCs w:val="21"/>
        </w:rPr>
        <w:t>开设 </w:t>
      </w:r>
      <w:r>
        <w:rPr>
          <w:rFonts w:ascii="Times New Roman" w:hAnsi="Times New Roman" w:cs="Times New Roman" w:eastAsia="Times New Roman" w:hint="default"/>
          <w:sz w:val="21"/>
          <w:szCs w:val="21"/>
        </w:rPr>
        <w:t>78</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家。在已开设的店面中，部分已开设店面经营没有达到非公开发行上市公告书判定年限－ </w:t>
      </w:r>
      <w:r>
        <w:rPr>
          <w:rFonts w:ascii="宋体" w:hAnsi="宋体" w:cs="宋体" w:eastAsia="宋体" w:hint="default"/>
          <w:spacing w:val="-1"/>
          <w:sz w:val="21"/>
          <w:szCs w:val="21"/>
        </w:rPr>
        <w:t>正常年（开业后第三年）。随着项目实施的推进，已开设连锁店进入成熟稳定期，经营效益逐步提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高，该项目效益情况将体现。</w:t>
      </w:r>
    </w:p>
    <w:p>
      <w:pPr>
        <w:spacing w:before="40"/>
        <w:ind w:left="1099" w:right="559" w:firstLine="0"/>
        <w:jc w:val="left"/>
        <w:rPr>
          <w:rFonts w:ascii="宋体" w:hAnsi="宋体" w:cs="宋体" w:eastAsia="宋体" w:hint="default"/>
          <w:sz w:val="21"/>
          <w:szCs w:val="21"/>
        </w:rPr>
      </w:pPr>
      <w:r>
        <w:rPr>
          <w:rFonts w:ascii="宋体" w:hAnsi="宋体" w:cs="宋体" w:eastAsia="宋体" w:hint="default"/>
          <w:sz w:val="21"/>
          <w:szCs w:val="21"/>
        </w:rPr>
        <w:t>根据 </w:t>
      </w:r>
      <w:r>
        <w:rPr>
          <w:rFonts w:ascii="Times New Roman" w:hAnsi="Times New Roman" w:cs="Times New Roman" w:eastAsia="Times New Roman" w:hint="default"/>
          <w:sz w:val="21"/>
          <w:szCs w:val="21"/>
        </w:rPr>
        <w:t>100 </w:t>
      </w:r>
      <w:r>
        <w:rPr>
          <w:rFonts w:ascii="宋体" w:hAnsi="宋体" w:cs="宋体" w:eastAsia="宋体" w:hint="default"/>
          <w:sz w:val="21"/>
          <w:szCs w:val="21"/>
        </w:rPr>
        <w:t>家连锁店发展项目开业时间计算，共有 </w:t>
      </w:r>
      <w:r>
        <w:rPr>
          <w:rFonts w:ascii="Times New Roman" w:hAnsi="Times New Roman" w:cs="Times New Roman" w:eastAsia="Times New Roman" w:hint="default"/>
          <w:sz w:val="21"/>
          <w:szCs w:val="21"/>
        </w:rPr>
        <w:t>72 </w:t>
      </w:r>
      <w:r>
        <w:rPr>
          <w:rFonts w:ascii="宋体" w:hAnsi="宋体" w:cs="宋体" w:eastAsia="宋体" w:hint="default"/>
          <w:sz w:val="21"/>
          <w:szCs w:val="21"/>
        </w:rPr>
        <w:t>家店面在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年达到开业后第三年，由</w:t>
      </w:r>
    </w:p>
    <w:p>
      <w:pPr>
        <w:spacing w:before="118"/>
        <w:ind w:left="679" w:right="0" w:firstLine="0"/>
        <w:jc w:val="both"/>
        <w:rPr>
          <w:rFonts w:ascii="宋体" w:hAnsi="宋体" w:cs="宋体" w:eastAsia="宋体" w:hint="default"/>
          <w:sz w:val="21"/>
          <w:szCs w:val="21"/>
        </w:rPr>
      </w:pPr>
      <w:r>
        <w:rPr>
          <w:rFonts w:ascii="宋体" w:hAnsi="宋体" w:cs="宋体" w:eastAsia="宋体" w:hint="default"/>
          <w:spacing w:val="-4"/>
          <w:sz w:val="21"/>
          <w:szCs w:val="21"/>
        </w:rPr>
        <w:t>于近年来公司对部分租金成本较高，选址欠佳，商圈发生转移的店面加大了调整力度，在前述 </w:t>
      </w:r>
      <w:r>
        <w:rPr>
          <w:rFonts w:ascii="Times New Roman" w:hAnsi="Times New Roman" w:cs="Times New Roman" w:eastAsia="Times New Roman" w:hint="default"/>
          <w:sz w:val="21"/>
          <w:szCs w:val="21"/>
        </w:rPr>
        <w:t>72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家</w:t>
      </w:r>
    </w:p>
    <w:p>
      <w:pPr>
        <w:spacing w:before="118"/>
        <w:ind w:left="680" w:right="0" w:firstLine="0"/>
        <w:jc w:val="both"/>
        <w:rPr>
          <w:rFonts w:ascii="宋体" w:hAnsi="宋体" w:cs="宋体" w:eastAsia="宋体" w:hint="default"/>
          <w:sz w:val="21"/>
          <w:szCs w:val="21"/>
        </w:rPr>
      </w:pPr>
      <w:r>
        <w:rPr>
          <w:rFonts w:ascii="宋体" w:hAnsi="宋体" w:cs="宋体" w:eastAsia="宋体" w:hint="default"/>
          <w:sz w:val="21"/>
          <w:szCs w:val="21"/>
        </w:rPr>
        <w:t>店面中公司调整关闭了 </w:t>
      </w:r>
      <w:r>
        <w:rPr>
          <w:rFonts w:ascii="Times New Roman" w:hAnsi="Times New Roman" w:cs="Times New Roman" w:eastAsia="Times New Roman" w:hint="default"/>
          <w:sz w:val="21"/>
          <w:szCs w:val="21"/>
        </w:rPr>
        <w:t>12  </w:t>
      </w:r>
      <w:r>
        <w:rPr>
          <w:rFonts w:ascii="宋体" w:hAnsi="宋体" w:cs="宋体" w:eastAsia="宋体" w:hint="default"/>
          <w:sz w:val="21"/>
          <w:szCs w:val="21"/>
        </w:rPr>
        <w:t>家，因此截至到报告期末实际共有 </w:t>
      </w:r>
      <w:r>
        <w:rPr>
          <w:rFonts w:ascii="Times New Roman" w:hAnsi="Times New Roman" w:cs="Times New Roman" w:eastAsia="Times New Roman" w:hint="default"/>
          <w:sz w:val="21"/>
          <w:szCs w:val="21"/>
        </w:rPr>
        <w:t>60</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家连锁店经营达到上市公告书判</w:t>
      </w:r>
    </w:p>
    <w:p>
      <w:pPr>
        <w:spacing w:before="119"/>
        <w:ind w:left="680" w:right="0" w:firstLine="0"/>
        <w:jc w:val="both"/>
        <w:rPr>
          <w:rFonts w:ascii="宋体" w:hAnsi="宋体" w:cs="宋体" w:eastAsia="宋体" w:hint="default"/>
          <w:sz w:val="21"/>
          <w:szCs w:val="21"/>
        </w:rPr>
      </w:pPr>
      <w:r>
        <w:rPr>
          <w:rFonts w:ascii="宋体" w:hAnsi="宋体" w:cs="宋体" w:eastAsia="宋体" w:hint="default"/>
          <w:sz w:val="21"/>
          <w:szCs w:val="21"/>
        </w:rPr>
        <w:t>定年限</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正常年（开业后第三年</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该</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60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家连</w:t>
      </w:r>
      <w:r>
        <w:rPr>
          <w:rFonts w:ascii="宋体" w:hAnsi="宋体" w:cs="宋体" w:eastAsia="宋体" w:hint="default"/>
          <w:spacing w:val="-2"/>
          <w:sz w:val="21"/>
          <w:szCs w:val="21"/>
        </w:rPr>
        <w:t>锁</w:t>
      </w:r>
      <w:r>
        <w:rPr>
          <w:rFonts w:ascii="宋体" w:hAnsi="宋体" w:cs="宋体" w:eastAsia="宋体" w:hint="default"/>
          <w:sz w:val="21"/>
          <w:szCs w:val="21"/>
        </w:rPr>
        <w:t>店预计正常年实现销售收入</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40</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万元（</w:t>
      </w:r>
      <w:r>
        <w:rPr>
          <w:rFonts w:ascii="宋体" w:hAnsi="宋体" w:cs="宋体" w:eastAsia="宋体" w:hint="default"/>
          <w:spacing w:val="-2"/>
          <w:sz w:val="21"/>
          <w:szCs w:val="21"/>
        </w:rPr>
        <w:t>含</w:t>
      </w:r>
      <w:r>
        <w:rPr>
          <w:rFonts w:ascii="宋体" w:hAnsi="宋体" w:cs="宋体" w:eastAsia="宋体" w:hint="default"/>
          <w:sz w:val="21"/>
          <w:szCs w:val="21"/>
        </w:rPr>
        <w:t>税</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before="118"/>
        <w:ind w:left="680" w:right="0" w:firstLine="0"/>
        <w:jc w:val="both"/>
        <w:rPr>
          <w:rFonts w:ascii="宋体" w:hAnsi="宋体" w:cs="宋体" w:eastAsia="宋体" w:hint="default"/>
          <w:sz w:val="21"/>
          <w:szCs w:val="21"/>
        </w:rPr>
      </w:pPr>
      <w:r>
        <w:rPr>
          <w:rFonts w:ascii="宋体" w:hAnsi="宋体" w:cs="宋体" w:eastAsia="宋体" w:hint="default"/>
          <w:sz w:val="21"/>
          <w:szCs w:val="21"/>
        </w:rPr>
        <w:t>本年度实际实现销售收入人民币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535,164.2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r>
        <w:rPr>
          <w:rFonts w:ascii="宋体" w:hAnsi="宋体" w:cs="宋体" w:eastAsia="宋体" w:hint="default"/>
          <w:sz w:val="21"/>
          <w:szCs w:val="21"/>
        </w:rPr>
        <w:t>，符合预期。</w:t>
      </w:r>
    </w:p>
    <w:p>
      <w:pPr>
        <w:spacing w:line="348" w:lineRule="auto" w:before="118"/>
        <w:ind w:left="679" w:right="672"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：江苏物流中心项目不直接产生经济收入，故无法单独核算效益；江苏物流中心项目的效 益主要体现在：其建成后有助于公司的区域物流整合，在有效保障货源的前提下加快库存周转率， 有效节约人力成本和租赁费用，提高作业效率，进一步提升公司的配送服务质量和品牌形象。</w:t>
      </w:r>
    </w:p>
    <w:p>
      <w:pPr>
        <w:spacing w:line="348" w:lineRule="auto" w:before="40"/>
        <w:ind w:left="679" w:right="559"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2"/>
          <w:sz w:val="21"/>
          <w:szCs w:val="21"/>
        </w:rPr>
        <w:t> </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：信息中心项目不直接产生经济收入，故无法单独核算效益；信息中心的效益主要体现在：</w:t>
      </w:r>
      <w:r>
        <w:rPr>
          <w:rFonts w:ascii="宋体" w:hAnsi="宋体" w:cs="宋体" w:eastAsia="宋体" w:hint="default"/>
          <w:sz w:val="21"/>
          <w:szCs w:val="21"/>
        </w:rPr>
        <w:t> 其建成后能够有力支撑公司未来连锁业务的拓展，加强公司的系统数据处理能力和安全运行能力， 进一步提高企业的管理水平和信息化应用能力，有利于企业的长期持续稳定发展。</w:t>
      </w:r>
    </w:p>
    <w:p>
      <w:pPr>
        <w:pStyle w:val="BodyText"/>
        <w:tabs>
          <w:tab w:pos="1579" w:val="left" w:leader="none"/>
        </w:tabs>
        <w:spacing w:line="240" w:lineRule="auto" w:before="36"/>
        <w:ind w:left="1160" w:right="559"/>
        <w:jc w:val="left"/>
      </w:pPr>
      <w:r>
        <w:rPr>
          <w:rFonts w:ascii="Wingdings" w:hAnsi="Wingdings" w:cs="Wingdings" w:eastAsia="Wingdings" w:hint="default"/>
        </w:rPr>
        <w:t></w:t>
      </w:r>
      <w:r>
        <w:rPr>
          <w:rFonts w:ascii="Times New Roman" w:hAnsi="Times New Roman" w:cs="Times New Roman" w:eastAsia="Times New Roman" w:hint="default"/>
        </w:rPr>
        <w:tab/>
      </w:r>
      <w:r>
        <w:rPr>
          <w:rFonts w:ascii="Times New Roman" w:hAnsi="Times New Roman" w:cs="Times New Roman" w:eastAsia="Times New Roman" w:hint="default"/>
        </w:rPr>
        <w:t>2007 </w:t>
      </w:r>
      <w:r>
        <w:rPr/>
        <w:t>年非公开发行股票募集资金使用情况</w:t>
      </w:r>
    </w:p>
    <w:p>
      <w:pPr>
        <w:spacing w:line="240" w:lineRule="auto" w:before="5"/>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709"/>
        <w:gridCol w:w="368"/>
        <w:gridCol w:w="952"/>
        <w:gridCol w:w="922"/>
        <w:gridCol w:w="922"/>
        <w:gridCol w:w="968"/>
        <w:gridCol w:w="1080"/>
        <w:gridCol w:w="900"/>
        <w:gridCol w:w="720"/>
        <w:gridCol w:w="540"/>
        <w:gridCol w:w="850"/>
        <w:gridCol w:w="738"/>
        <w:gridCol w:w="474"/>
      </w:tblGrid>
      <w:tr>
        <w:trPr>
          <w:trHeight w:val="298" w:hRule="exact"/>
        </w:trPr>
        <w:tc>
          <w:tcPr>
            <w:tcW w:w="29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5"/>
                <w:szCs w:val="15"/>
              </w:rPr>
            </w:pPr>
            <w:r>
              <w:rPr>
                <w:rFonts w:ascii="宋体" w:hAnsi="宋体" w:cs="宋体" w:eastAsia="宋体" w:hint="default"/>
                <w:sz w:val="15"/>
                <w:szCs w:val="15"/>
              </w:rPr>
              <w:t>募集资金总额</w:t>
            </w:r>
          </w:p>
        </w:tc>
        <w:tc>
          <w:tcPr>
            <w:tcW w:w="1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63" w:right="0"/>
              <w:jc w:val="left"/>
              <w:rPr>
                <w:rFonts w:ascii="Times New Roman" w:hAnsi="Times New Roman" w:cs="Times New Roman" w:eastAsia="Times New Roman" w:hint="default"/>
                <w:sz w:val="15"/>
                <w:szCs w:val="15"/>
              </w:rPr>
            </w:pPr>
            <w:r>
              <w:rPr>
                <w:rFonts w:ascii="Times New Roman"/>
                <w:sz w:val="15"/>
              </w:rPr>
              <w:t>2,420,055.5</w:t>
            </w:r>
          </w:p>
        </w:tc>
        <w:tc>
          <w:tcPr>
            <w:tcW w:w="40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14" w:right="0"/>
              <w:jc w:val="left"/>
              <w:rPr>
                <w:rFonts w:ascii="宋体" w:hAnsi="宋体" w:cs="宋体" w:eastAsia="宋体" w:hint="default"/>
                <w:sz w:val="15"/>
                <w:szCs w:val="15"/>
              </w:rPr>
            </w:pPr>
            <w:r>
              <w:rPr>
                <w:rFonts w:ascii="宋体" w:hAnsi="宋体" w:cs="宋体" w:eastAsia="宋体" w:hint="default"/>
                <w:sz w:val="15"/>
                <w:szCs w:val="15"/>
              </w:rPr>
              <w:t>本年度投入募集资金总额</w:t>
            </w:r>
          </w:p>
        </w:tc>
        <w:tc>
          <w:tcPr>
            <w:tcW w:w="1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96" w:right="0"/>
              <w:jc w:val="left"/>
              <w:rPr>
                <w:rFonts w:ascii="Times New Roman" w:hAnsi="Times New Roman" w:cs="Times New Roman" w:eastAsia="Times New Roman" w:hint="default"/>
                <w:sz w:val="15"/>
                <w:szCs w:val="15"/>
              </w:rPr>
            </w:pPr>
            <w:r>
              <w:rPr>
                <w:rFonts w:ascii="Times New Roman"/>
                <w:sz w:val="15"/>
              </w:rPr>
              <w:t>188,120.8</w:t>
            </w:r>
          </w:p>
        </w:tc>
      </w:tr>
      <w:tr>
        <w:trPr>
          <w:trHeight w:val="298" w:hRule="exact"/>
        </w:trPr>
        <w:tc>
          <w:tcPr>
            <w:tcW w:w="29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45" w:right="0"/>
              <w:jc w:val="left"/>
              <w:rPr>
                <w:rFonts w:ascii="宋体" w:hAnsi="宋体" w:cs="宋体" w:eastAsia="宋体" w:hint="default"/>
                <w:sz w:val="15"/>
                <w:szCs w:val="15"/>
              </w:rPr>
            </w:pPr>
            <w:r>
              <w:rPr>
                <w:rFonts w:ascii="宋体" w:hAnsi="宋体" w:cs="宋体" w:eastAsia="宋体" w:hint="default"/>
                <w:sz w:val="15"/>
                <w:szCs w:val="15"/>
              </w:rPr>
              <w:t>变更用途的募集资金总额</w:t>
            </w:r>
          </w:p>
        </w:tc>
        <w:tc>
          <w:tcPr>
            <w:tcW w:w="1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0.0</w:t>
            </w:r>
          </w:p>
        </w:tc>
        <w:tc>
          <w:tcPr>
            <w:tcW w:w="4090" w:type="dxa"/>
            <w:gridSpan w:val="5"/>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14" w:right="0"/>
              <w:jc w:val="left"/>
              <w:rPr>
                <w:rFonts w:ascii="宋体" w:hAnsi="宋体" w:cs="宋体" w:eastAsia="宋体" w:hint="default"/>
                <w:sz w:val="15"/>
                <w:szCs w:val="15"/>
              </w:rPr>
            </w:pPr>
            <w:r>
              <w:rPr>
                <w:rFonts w:ascii="宋体" w:hAnsi="宋体" w:cs="宋体" w:eastAsia="宋体" w:hint="default"/>
                <w:sz w:val="15"/>
                <w:szCs w:val="15"/>
              </w:rPr>
              <w:t>已累计投入募集资金总额</w:t>
            </w:r>
          </w:p>
        </w:tc>
        <w:tc>
          <w:tcPr>
            <w:tcW w:w="1212"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84" w:right="0"/>
              <w:jc w:val="left"/>
              <w:rPr>
                <w:rFonts w:ascii="Times New Roman" w:hAnsi="Times New Roman" w:cs="Times New Roman" w:eastAsia="Times New Roman" w:hint="default"/>
                <w:sz w:val="15"/>
                <w:szCs w:val="15"/>
              </w:rPr>
            </w:pPr>
            <w:r>
              <w:rPr>
                <w:rFonts w:ascii="Times New Roman"/>
                <w:sz w:val="15"/>
              </w:rPr>
              <w:t>1,780,366.2</w:t>
            </w:r>
          </w:p>
        </w:tc>
      </w:tr>
      <w:tr>
        <w:trPr>
          <w:trHeight w:val="299" w:hRule="exact"/>
        </w:trPr>
        <w:tc>
          <w:tcPr>
            <w:tcW w:w="29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5" w:right="0"/>
              <w:jc w:val="left"/>
              <w:rPr>
                <w:rFonts w:ascii="宋体" w:hAnsi="宋体" w:cs="宋体" w:eastAsia="宋体" w:hint="default"/>
                <w:sz w:val="15"/>
                <w:szCs w:val="15"/>
              </w:rPr>
            </w:pPr>
            <w:r>
              <w:rPr>
                <w:rFonts w:ascii="宋体" w:hAnsi="宋体" w:cs="宋体" w:eastAsia="宋体" w:hint="default"/>
                <w:sz w:val="15"/>
                <w:szCs w:val="15"/>
              </w:rPr>
              <w:t>变更用途的募集资金总额比例</w:t>
            </w:r>
          </w:p>
        </w:tc>
        <w:tc>
          <w:tcPr>
            <w:tcW w:w="1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z w:val="15"/>
              </w:rPr>
              <w:t>0%</w:t>
            </w:r>
          </w:p>
        </w:tc>
        <w:tc>
          <w:tcPr>
            <w:tcW w:w="4090" w:type="dxa"/>
            <w:gridSpan w:val="5"/>
            <w:vMerge/>
            <w:tcBorders>
              <w:left w:val="single" w:sz="4" w:space="0" w:color="000000"/>
              <w:bottom w:val="single" w:sz="4" w:space="0" w:color="000000"/>
              <w:right w:val="single" w:sz="4" w:space="0" w:color="000000"/>
            </w:tcBorders>
          </w:tcPr>
          <w:p>
            <w:pPr/>
          </w:p>
        </w:tc>
        <w:tc>
          <w:tcPr>
            <w:tcW w:w="1212" w:type="dxa"/>
            <w:gridSpan w:val="2"/>
            <w:vMerge/>
            <w:tcBorders>
              <w:left w:val="single" w:sz="4" w:space="0" w:color="000000"/>
              <w:bottom w:val="single" w:sz="4" w:space="0" w:color="000000"/>
              <w:right w:val="single" w:sz="4" w:space="0" w:color="000000"/>
            </w:tcBorders>
          </w:tcPr>
          <w:p>
            <w:pPr/>
          </w:p>
        </w:tc>
      </w:tr>
      <w:tr>
        <w:trPr>
          <w:trHeight w:val="15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122"/>
              <w:jc w:val="left"/>
              <w:rPr>
                <w:rFonts w:ascii="宋体" w:hAnsi="宋体" w:cs="宋体" w:eastAsia="宋体" w:hint="default"/>
                <w:sz w:val="15"/>
                <w:szCs w:val="15"/>
              </w:rPr>
            </w:pPr>
            <w:r>
              <w:rPr>
                <w:rFonts w:ascii="宋体" w:hAnsi="宋体" w:cs="宋体" w:eastAsia="宋体" w:hint="default"/>
                <w:sz w:val="15"/>
                <w:szCs w:val="15"/>
              </w:rPr>
              <w:t>承诺投 资项目</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1" w:right="0"/>
              <w:jc w:val="both"/>
              <w:rPr>
                <w:rFonts w:ascii="宋体" w:hAnsi="宋体" w:cs="宋体" w:eastAsia="宋体" w:hint="default"/>
                <w:sz w:val="15"/>
                <w:szCs w:val="15"/>
              </w:rPr>
            </w:pPr>
            <w:r>
              <w:rPr>
                <w:rFonts w:ascii="宋体" w:hAnsi="宋体" w:cs="宋体" w:eastAsia="宋体" w:hint="default"/>
                <w:sz w:val="15"/>
                <w:szCs w:val="15"/>
              </w:rPr>
              <w:t>是否</w:t>
            </w:r>
          </w:p>
          <w:p>
            <w:pPr>
              <w:pStyle w:val="TableParagraph"/>
              <w:spacing w:line="240" w:lineRule="auto"/>
              <w:ind w:left="31" w:right="25"/>
              <w:jc w:val="both"/>
              <w:rPr>
                <w:rFonts w:ascii="宋体" w:hAnsi="宋体" w:cs="宋体" w:eastAsia="宋体" w:hint="default"/>
                <w:sz w:val="15"/>
                <w:szCs w:val="15"/>
              </w:rPr>
            </w:pPr>
            <w:r>
              <w:rPr>
                <w:rFonts w:ascii="宋体" w:hAnsi="宋体" w:cs="宋体" w:eastAsia="宋体" w:hint="default"/>
                <w:sz w:val="15"/>
                <w:szCs w:val="15"/>
              </w:rPr>
              <w:t>已变 更项 目</w:t>
            </w:r>
          </w:p>
          <w:p>
            <w:pPr>
              <w:pStyle w:val="TableParagraph"/>
              <w:spacing w:line="240" w:lineRule="auto"/>
              <w:ind w:left="31" w:right="25"/>
              <w:jc w:val="center"/>
              <w:rPr>
                <w:rFonts w:ascii="宋体" w:hAnsi="宋体" w:cs="宋体" w:eastAsia="宋体" w:hint="default"/>
                <w:sz w:val="15"/>
                <w:szCs w:val="15"/>
              </w:rPr>
            </w:pPr>
            <w:r>
              <w:rPr>
                <w:rFonts w:ascii="宋体" w:hAnsi="宋体" w:cs="宋体" w:eastAsia="宋体" w:hint="default"/>
                <w:sz w:val="15"/>
                <w:szCs w:val="15"/>
              </w:rPr>
              <w:t>（含 部分 变 更）</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48" w:right="41"/>
              <w:jc w:val="left"/>
              <w:rPr>
                <w:rFonts w:ascii="宋体" w:hAnsi="宋体" w:cs="宋体" w:eastAsia="宋体" w:hint="default"/>
                <w:sz w:val="15"/>
                <w:szCs w:val="15"/>
              </w:rPr>
            </w:pPr>
            <w:r>
              <w:rPr>
                <w:rFonts w:ascii="宋体" w:hAnsi="宋体" w:cs="宋体" w:eastAsia="宋体" w:hint="default"/>
                <w:sz w:val="15"/>
                <w:szCs w:val="15"/>
              </w:rPr>
              <w:t>募集资金承 诺投资总额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0" w:right="155" w:hanging="75"/>
              <w:jc w:val="left"/>
              <w:rPr>
                <w:rFonts w:ascii="宋体" w:hAnsi="宋体" w:cs="宋体" w:eastAsia="宋体" w:hint="default"/>
                <w:sz w:val="15"/>
                <w:szCs w:val="15"/>
              </w:rPr>
            </w:pPr>
            <w:r>
              <w:rPr>
                <w:rFonts w:ascii="宋体" w:hAnsi="宋体" w:cs="宋体" w:eastAsia="宋体" w:hint="default"/>
                <w:sz w:val="15"/>
                <w:szCs w:val="15"/>
              </w:rPr>
              <w:t>调整后投 资总额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6" w:right="155"/>
              <w:jc w:val="both"/>
              <w:rPr>
                <w:rFonts w:ascii="Times New Roman" w:hAnsi="Times New Roman" w:cs="Times New Roman" w:eastAsia="Times New Roman" w:hint="default"/>
                <w:sz w:val="15"/>
                <w:szCs w:val="15"/>
              </w:rPr>
            </w:pPr>
            <w:r>
              <w:rPr>
                <w:rFonts w:ascii="宋体" w:hAnsi="宋体" w:cs="宋体" w:eastAsia="宋体" w:hint="default"/>
                <w:sz w:val="15"/>
                <w:szCs w:val="15"/>
              </w:rPr>
              <w:t>截至期末 承诺投入 金额</w:t>
            </w:r>
            <w:r>
              <w:rPr>
                <w:rFonts w:ascii="Times New Roman" w:hAnsi="Times New Roman" w:cs="Times New Roman" w:eastAsia="Times New Roman" w:hint="default"/>
                <w:sz w:val="15"/>
                <w:szCs w:val="15"/>
              </w:rPr>
              <w:t>(1)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28" w:right="102" w:hanging="225"/>
              <w:jc w:val="left"/>
              <w:rPr>
                <w:rFonts w:ascii="宋体" w:hAnsi="宋体" w:cs="宋体" w:eastAsia="宋体" w:hint="default"/>
                <w:sz w:val="15"/>
                <w:szCs w:val="15"/>
              </w:rPr>
            </w:pPr>
            <w:r>
              <w:rPr>
                <w:rFonts w:ascii="宋体" w:hAnsi="宋体" w:cs="宋体" w:eastAsia="宋体" w:hint="default"/>
                <w:sz w:val="15"/>
                <w:szCs w:val="15"/>
              </w:rPr>
              <w:t>本年度投入 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52" w:lineRule="auto" w:before="106"/>
              <w:ind w:left="159" w:right="158"/>
              <w:jc w:val="center"/>
              <w:rPr>
                <w:rFonts w:ascii="Times New Roman" w:hAnsi="Times New Roman" w:cs="Times New Roman" w:eastAsia="Times New Roman" w:hint="default"/>
                <w:sz w:val="15"/>
                <w:szCs w:val="15"/>
              </w:rPr>
            </w:pPr>
            <w:r>
              <w:rPr>
                <w:rFonts w:ascii="宋体" w:hAnsi="宋体" w:cs="宋体" w:eastAsia="宋体" w:hint="default"/>
                <w:sz w:val="15"/>
                <w:szCs w:val="15"/>
              </w:rPr>
              <w:t>截至期末累 计投入金额 </w:t>
            </w:r>
            <w:r>
              <w:rPr>
                <w:rFonts w:ascii="Times New Roman" w:hAnsi="Times New Roman" w:cs="Times New Roman" w:eastAsia="Times New Roman" w:hint="default"/>
                <w:sz w:val="15"/>
                <w:szCs w:val="15"/>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2" w:lineRule="auto"/>
              <w:ind w:left="115" w:right="113" w:firstLine="30"/>
              <w:jc w:val="both"/>
              <w:rPr>
                <w:rFonts w:ascii="Times New Roman" w:hAnsi="Times New Roman" w:cs="Times New Roman" w:eastAsia="Times New Roman" w:hint="default"/>
                <w:sz w:val="15"/>
                <w:szCs w:val="15"/>
              </w:rPr>
            </w:pPr>
            <w:r>
              <w:rPr>
                <w:rFonts w:ascii="宋体" w:hAnsi="宋体" w:cs="宋体" w:eastAsia="宋体" w:hint="default"/>
                <w:sz w:val="15"/>
                <w:szCs w:val="15"/>
              </w:rPr>
              <w:t>截至期末 累计投入 金额与承 诺投入金 额的差额 </w:t>
            </w:r>
            <w:r>
              <w:rPr>
                <w:rFonts w:ascii="Times New Roman" w:hAnsi="Times New Roman" w:cs="Times New Roman" w:eastAsia="Times New Roman" w:hint="default"/>
                <w:sz w:val="15"/>
                <w:szCs w:val="15"/>
              </w:rPr>
              <w:t>(3)=(2)-(1)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9" w:right="128"/>
              <w:jc w:val="both"/>
              <w:rPr>
                <w:rFonts w:ascii="宋体" w:hAnsi="宋体" w:cs="宋体" w:eastAsia="宋体" w:hint="default"/>
                <w:sz w:val="15"/>
                <w:szCs w:val="15"/>
              </w:rPr>
            </w:pPr>
            <w:r>
              <w:rPr>
                <w:rFonts w:ascii="宋体" w:hAnsi="宋体" w:cs="宋体" w:eastAsia="宋体" w:hint="default"/>
                <w:sz w:val="15"/>
                <w:szCs w:val="15"/>
              </w:rPr>
              <w:t>截至期 末投入 进度</w:t>
            </w:r>
          </w:p>
          <w:p>
            <w:pPr>
              <w:pStyle w:val="TableParagraph"/>
              <w:spacing w:line="244" w:lineRule="auto"/>
              <w:ind w:left="116" w:right="114" w:hanging="1"/>
              <w:jc w:val="center"/>
              <w:rPr>
                <w:rFonts w:ascii="Times New Roman" w:hAnsi="Times New Roman" w:cs="Times New Roman" w:eastAsia="Times New Roman"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 </w:t>
            </w:r>
            <w:r>
              <w:rPr>
                <w:rFonts w:ascii="Times New Roman" w:hAnsi="Times New Roman" w:cs="Times New Roman" w:eastAsia="Times New Roman" w:hint="default"/>
                <w:sz w:val="15"/>
                <w:szCs w:val="15"/>
              </w:rPr>
              <w:t>(4)=(2)/ (1)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9" w:right="119"/>
              <w:jc w:val="both"/>
              <w:rPr>
                <w:rFonts w:ascii="宋体" w:hAnsi="宋体" w:cs="宋体" w:eastAsia="宋体" w:hint="default"/>
                <w:sz w:val="15"/>
                <w:szCs w:val="15"/>
              </w:rPr>
            </w:pPr>
            <w:r>
              <w:rPr>
                <w:rFonts w:ascii="宋体" w:hAnsi="宋体" w:cs="宋体" w:eastAsia="宋体" w:hint="default"/>
                <w:sz w:val="15"/>
                <w:szCs w:val="15"/>
              </w:rPr>
              <w:t>项目 达到 预定 可使 用状 态日 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190" w:right="47" w:hanging="150"/>
              <w:jc w:val="left"/>
              <w:rPr>
                <w:rFonts w:ascii="宋体" w:hAnsi="宋体" w:cs="宋体" w:eastAsia="宋体" w:hint="default"/>
                <w:sz w:val="15"/>
                <w:szCs w:val="15"/>
              </w:rPr>
            </w:pPr>
            <w:r>
              <w:rPr>
                <w:rFonts w:ascii="宋体" w:hAnsi="宋体" w:cs="宋体" w:eastAsia="宋体" w:hint="default"/>
                <w:sz w:val="15"/>
                <w:szCs w:val="15"/>
              </w:rPr>
              <w:t>本年度实现 的效益</w:t>
            </w:r>
          </w:p>
          <w:p>
            <w:pPr>
              <w:pStyle w:val="TableParagraph"/>
              <w:spacing w:line="196" w:lineRule="exact"/>
              <w:ind w:left="-15" w:right="0"/>
              <w:jc w:val="left"/>
              <w:rPr>
                <w:rFonts w:ascii="宋体" w:hAnsi="宋体" w:cs="宋体" w:eastAsia="宋体" w:hint="default"/>
                <w:sz w:val="15"/>
                <w:szCs w:val="15"/>
              </w:rPr>
            </w:pPr>
            <w:r>
              <w:rPr>
                <w:rFonts w:ascii="宋体" w:hAnsi="宋体" w:cs="宋体" w:eastAsia="宋体" w:hint="default"/>
                <w:sz w:val="15"/>
                <w:szCs w:val="15"/>
              </w:rPr>
              <w:t>（利润总额</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139" w:right="137"/>
              <w:jc w:val="left"/>
              <w:rPr>
                <w:rFonts w:ascii="宋体" w:hAnsi="宋体" w:cs="宋体" w:eastAsia="宋体" w:hint="default"/>
                <w:sz w:val="15"/>
                <w:szCs w:val="15"/>
              </w:rPr>
            </w:pPr>
            <w:r>
              <w:rPr>
                <w:rFonts w:ascii="宋体" w:hAnsi="宋体" w:cs="宋体" w:eastAsia="宋体" w:hint="default"/>
                <w:sz w:val="15"/>
                <w:szCs w:val="15"/>
              </w:rPr>
              <w:t>是否达 到预计</w:t>
            </w:r>
          </w:p>
          <w:p>
            <w:pPr>
              <w:pStyle w:val="TableParagraph"/>
              <w:spacing w:line="196" w:lineRule="exact"/>
              <w:ind w:left="-114"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27"/>
                <w:sz w:val="15"/>
                <w:szCs w:val="15"/>
              </w:rPr>
              <w:t> </w:t>
            </w:r>
            <w:r>
              <w:rPr>
                <w:rFonts w:ascii="宋体" w:hAnsi="宋体" w:cs="宋体" w:eastAsia="宋体" w:hint="default"/>
                <w:sz w:val="15"/>
                <w:szCs w:val="15"/>
              </w:rPr>
              <w:t>效益</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82" w:right="79"/>
              <w:jc w:val="both"/>
              <w:rPr>
                <w:rFonts w:ascii="宋体" w:hAnsi="宋体" w:cs="宋体" w:eastAsia="宋体" w:hint="default"/>
                <w:sz w:val="15"/>
                <w:szCs w:val="15"/>
              </w:rPr>
            </w:pPr>
            <w:r>
              <w:rPr>
                <w:rFonts w:ascii="宋体" w:hAnsi="宋体" w:cs="宋体" w:eastAsia="宋体" w:hint="default"/>
                <w:sz w:val="15"/>
                <w:szCs w:val="15"/>
              </w:rPr>
              <w:t>项目 可行 性是 否发 生重 大变 化</w:t>
            </w:r>
          </w:p>
        </w:tc>
      </w:tr>
      <w:tr>
        <w:trPr>
          <w:trHeight w:val="79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250  </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家</w:t>
            </w:r>
          </w:p>
          <w:p>
            <w:pPr>
              <w:pStyle w:val="TableParagraph"/>
              <w:spacing w:line="237" w:lineRule="auto"/>
              <w:ind w:left="103" w:right="79"/>
              <w:jc w:val="both"/>
              <w:rPr>
                <w:rFonts w:ascii="宋体" w:hAnsi="宋体" w:cs="宋体" w:eastAsia="宋体" w:hint="default"/>
                <w:sz w:val="15"/>
                <w:szCs w:val="15"/>
              </w:rPr>
            </w:pPr>
            <w:r>
              <w:rPr>
                <w:rFonts w:ascii="宋体" w:hAnsi="宋体" w:cs="宋体" w:eastAsia="宋体" w:hint="default"/>
                <w:spacing w:val="14"/>
                <w:sz w:val="15"/>
                <w:szCs w:val="15"/>
              </w:rPr>
              <w:t>连锁店</w:t>
            </w:r>
            <w:r>
              <w:rPr>
                <w:rFonts w:ascii="宋体" w:hAnsi="宋体" w:cs="宋体" w:eastAsia="宋体" w:hint="default"/>
                <w:spacing w:val="-54"/>
                <w:sz w:val="15"/>
                <w:szCs w:val="15"/>
              </w:rPr>
              <w:t> </w:t>
            </w:r>
            <w:r>
              <w:rPr>
                <w:rFonts w:ascii="宋体" w:hAnsi="宋体" w:cs="宋体" w:eastAsia="宋体" w:hint="default"/>
                <w:spacing w:val="14"/>
                <w:sz w:val="15"/>
                <w:szCs w:val="15"/>
              </w:rPr>
              <w:t>发展项</w:t>
            </w:r>
            <w:r>
              <w:rPr>
                <w:rFonts w:ascii="宋体" w:hAnsi="宋体" w:cs="宋体" w:eastAsia="宋体" w:hint="default"/>
                <w:spacing w:val="-54"/>
                <w:sz w:val="15"/>
                <w:szCs w:val="15"/>
              </w:rPr>
              <w:t> </w:t>
            </w:r>
            <w:r>
              <w:rPr>
                <w:rFonts w:ascii="宋体" w:hAnsi="宋体" w:cs="宋体" w:eastAsia="宋体" w:hint="default"/>
                <w:sz w:val="15"/>
                <w:szCs w:val="15"/>
              </w:rPr>
              <w:t>目</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否</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21" w:right="0"/>
              <w:jc w:val="center"/>
              <w:rPr>
                <w:rFonts w:ascii="Times New Roman" w:hAnsi="Times New Roman" w:cs="Times New Roman" w:eastAsia="Times New Roman" w:hint="default"/>
                <w:sz w:val="15"/>
                <w:szCs w:val="15"/>
              </w:rPr>
            </w:pPr>
            <w:r>
              <w:rPr>
                <w:rFonts w:ascii="Times New Roman"/>
                <w:sz w:val="15"/>
              </w:rPr>
              <w:t>1,500,000.0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1"/>
                <w:sz w:val="15"/>
              </w:rPr>
              <w:t>1,500,000.0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8"/>
              <w:jc w:val="center"/>
              <w:rPr>
                <w:rFonts w:ascii="Times New Roman" w:hAnsi="Times New Roman" w:cs="Times New Roman" w:eastAsia="Times New Roman" w:hint="default"/>
                <w:sz w:val="15"/>
                <w:szCs w:val="15"/>
              </w:rPr>
            </w:pPr>
            <w:r>
              <w:rPr>
                <w:rFonts w:ascii="Times New Roman"/>
                <w:sz w:val="15"/>
              </w:rPr>
              <w:t>1,500,000.0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1"/>
                <w:sz w:val="15"/>
              </w:rPr>
              <w:t>149,944.3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1"/>
                <w:sz w:val="15"/>
              </w:rPr>
              <w:t>914,764.5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1"/>
                <w:sz w:val="15"/>
              </w:rPr>
              <w:t>(585,235.5)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1"/>
                <w:sz w:val="15"/>
              </w:rPr>
              <w:t>61.0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14"/>
              <w:jc w:val="right"/>
              <w:rPr>
                <w:rFonts w:ascii="Times New Roman" w:hAnsi="Times New Roman" w:cs="Times New Roman" w:eastAsia="Times New Roman" w:hint="default"/>
                <w:sz w:val="15"/>
                <w:szCs w:val="15"/>
              </w:rPr>
            </w:pPr>
            <w:r>
              <w:rPr>
                <w:rFonts w:ascii="Times New Roman"/>
                <w:spacing w:val="-2"/>
                <w:sz w:val="15"/>
              </w:rPr>
              <w:t>2011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1"/>
                <w:sz w:val="15"/>
              </w:rPr>
              <w:t>131,833.6</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196" w:lineRule="exact"/>
              <w:ind w:left="175"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7" w:lineRule="exact"/>
              <w:ind w:left="26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5)</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59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4"/>
                <w:sz w:val="15"/>
                <w:szCs w:val="15"/>
              </w:rPr>
              <w:t>沈阳物</w:t>
            </w:r>
            <w:r>
              <w:rPr>
                <w:rFonts w:ascii="宋体" w:hAnsi="宋体" w:cs="宋体" w:eastAsia="宋体" w:hint="default"/>
                <w:spacing w:val="-54"/>
                <w:sz w:val="15"/>
                <w:szCs w:val="15"/>
              </w:rPr>
              <w:t> </w:t>
            </w:r>
            <w:r>
              <w:rPr>
                <w:rFonts w:ascii="宋体" w:hAnsi="宋体" w:cs="宋体" w:eastAsia="宋体" w:hint="default"/>
                <w:sz w:val="15"/>
                <w:szCs w:val="15"/>
              </w:rPr>
            </w:r>
          </w:p>
          <w:p>
            <w:pPr>
              <w:pStyle w:val="TableParagraph"/>
              <w:spacing w:line="240" w:lineRule="auto"/>
              <w:ind w:left="103" w:right="79"/>
              <w:jc w:val="left"/>
              <w:rPr>
                <w:rFonts w:ascii="宋体" w:hAnsi="宋体" w:cs="宋体" w:eastAsia="宋体" w:hint="default"/>
                <w:sz w:val="15"/>
                <w:szCs w:val="15"/>
              </w:rPr>
            </w:pPr>
            <w:r>
              <w:rPr>
                <w:rFonts w:ascii="宋体" w:hAnsi="宋体" w:cs="宋体" w:eastAsia="宋体" w:hint="default"/>
                <w:spacing w:val="14"/>
                <w:sz w:val="15"/>
                <w:szCs w:val="15"/>
              </w:rPr>
              <w:t>流中心</w:t>
            </w:r>
            <w:r>
              <w:rPr>
                <w:rFonts w:ascii="宋体" w:hAnsi="宋体" w:cs="宋体" w:eastAsia="宋体" w:hint="default"/>
                <w:spacing w:val="-54"/>
                <w:sz w:val="15"/>
                <w:szCs w:val="15"/>
              </w:rPr>
              <w:t> </w:t>
            </w:r>
            <w:r>
              <w:rPr>
                <w:rFonts w:ascii="宋体" w:hAnsi="宋体" w:cs="宋体" w:eastAsia="宋体" w:hint="default"/>
                <w:sz w:val="15"/>
                <w:szCs w:val="15"/>
              </w:rPr>
              <w:t>项目</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否</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3" w:right="0"/>
              <w:jc w:val="center"/>
              <w:rPr>
                <w:rFonts w:ascii="Times New Roman" w:hAnsi="Times New Roman" w:cs="Times New Roman" w:eastAsia="Times New Roman" w:hint="default"/>
                <w:sz w:val="15"/>
                <w:szCs w:val="15"/>
              </w:rPr>
            </w:pPr>
            <w:r>
              <w:rPr>
                <w:rFonts w:ascii="Times New Roman"/>
                <w:sz w:val="15"/>
              </w:rPr>
              <w:t>143,483.7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143,483.7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center"/>
              <w:rPr>
                <w:rFonts w:ascii="Times New Roman" w:hAnsi="Times New Roman" w:cs="Times New Roman" w:eastAsia="Times New Roman" w:hint="default"/>
                <w:sz w:val="15"/>
                <w:szCs w:val="15"/>
              </w:rPr>
            </w:pPr>
            <w:r>
              <w:rPr>
                <w:rFonts w:ascii="Times New Roman"/>
                <w:sz w:val="15"/>
              </w:rPr>
              <w:t>143,483.7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38,176.5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89,029.9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(54,453.8)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62..0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3"/>
              <w:jc w:val="right"/>
              <w:rPr>
                <w:rFonts w:ascii="Times New Roman" w:hAnsi="Times New Roman" w:cs="Times New Roman" w:eastAsia="Times New Roman" w:hint="default"/>
                <w:sz w:val="15"/>
                <w:szCs w:val="15"/>
              </w:rPr>
            </w:pPr>
            <w:r>
              <w:rPr>
                <w:rFonts w:ascii="Times New Roman"/>
                <w:spacing w:val="-1"/>
                <w:sz w:val="15"/>
              </w:rPr>
              <w:t>2010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72"/>
              <w:ind w:left="175"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7" w:lineRule="exact"/>
              <w:ind w:left="26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6)</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299"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5"/>
                <w:szCs w:val="15"/>
              </w:rPr>
            </w:pPr>
            <w:r>
              <w:rPr>
                <w:rFonts w:ascii="宋体" w:hAnsi="宋体" w:cs="宋体" w:eastAsia="宋体" w:hint="default"/>
                <w:spacing w:val="14"/>
                <w:sz w:val="15"/>
                <w:szCs w:val="15"/>
              </w:rPr>
              <w:t>武汉中</w:t>
            </w:r>
            <w:r>
              <w:rPr>
                <w:rFonts w:ascii="宋体" w:hAnsi="宋体" w:cs="宋体" w:eastAsia="宋体" w:hint="default"/>
                <w:spacing w:val="-54"/>
                <w:sz w:val="15"/>
                <w:szCs w:val="15"/>
              </w:rPr>
              <w:t> </w:t>
            </w:r>
            <w:r>
              <w:rPr>
                <w:rFonts w:ascii="宋体" w:hAnsi="宋体" w:cs="宋体" w:eastAsia="宋体" w:hint="default"/>
                <w:sz w:val="15"/>
                <w:szCs w:val="15"/>
              </w:rPr>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5"/>
                <w:szCs w:val="15"/>
              </w:rPr>
            </w:pPr>
            <w:r>
              <w:rPr>
                <w:rFonts w:ascii="宋体" w:hAnsi="宋体" w:cs="宋体" w:eastAsia="宋体" w:hint="default"/>
                <w:sz w:val="15"/>
                <w:szCs w:val="15"/>
              </w:rPr>
              <w:t>否</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3" w:right="0"/>
              <w:jc w:val="center"/>
              <w:rPr>
                <w:rFonts w:ascii="Times New Roman" w:hAnsi="Times New Roman" w:cs="Times New Roman" w:eastAsia="Times New Roman" w:hint="default"/>
                <w:sz w:val="15"/>
                <w:szCs w:val="15"/>
              </w:rPr>
            </w:pPr>
            <w:r>
              <w:rPr>
                <w:rFonts w:ascii="Times New Roman"/>
                <w:sz w:val="15"/>
              </w:rPr>
              <w:t>233,867.7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233,867.7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center"/>
              <w:rPr>
                <w:rFonts w:ascii="Times New Roman" w:hAnsi="Times New Roman" w:cs="Times New Roman" w:eastAsia="Times New Roman" w:hint="default"/>
                <w:sz w:val="15"/>
                <w:szCs w:val="15"/>
              </w:rPr>
            </w:pPr>
            <w:r>
              <w:rPr>
                <w:rFonts w:ascii="Times New Roman"/>
                <w:sz w:val="15"/>
              </w:rPr>
              <w:t>233,867.7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233,867.7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1"/>
              <w:jc w:val="right"/>
              <w:rPr>
                <w:rFonts w:ascii="Times New Roman" w:hAnsi="Times New Roman" w:cs="Times New Roman" w:eastAsia="Times New Roman" w:hint="default"/>
                <w:sz w:val="15"/>
                <w:szCs w:val="15"/>
              </w:rPr>
            </w:pPr>
            <w:r>
              <w:rPr>
                <w:rFonts w:ascii="Times New Roman"/>
                <w:spacing w:val="-1"/>
                <w:sz w:val="15"/>
              </w:rPr>
              <w:t>2007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17,471.7</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5"/>
                <w:szCs w:val="15"/>
              </w:rPr>
            </w:pPr>
            <w:r>
              <w:rPr>
                <w:rFonts w:ascii="宋体" w:hAnsi="宋体" w:cs="宋体" w:eastAsia="宋体" w:hint="default"/>
                <w:sz w:val="15"/>
                <w:szCs w:val="15"/>
              </w:rPr>
              <w:t>否</w:t>
            </w:r>
          </w:p>
        </w:tc>
      </w:tr>
    </w:tbl>
    <w:p>
      <w:pPr>
        <w:spacing w:after="0" w:line="240" w:lineRule="auto"/>
        <w:jc w:val="center"/>
        <w:rPr>
          <w:rFonts w:ascii="宋体" w:hAnsi="宋体" w:cs="宋体" w:eastAsia="宋体" w:hint="default"/>
          <w:sz w:val="15"/>
          <w:szCs w:val="15"/>
        </w:rPr>
        <w:sectPr>
          <w:pgSz w:w="11910" w:h="16840"/>
          <w:pgMar w:header="748" w:footer="714" w:top="980" w:bottom="900" w:left="76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709"/>
        <w:gridCol w:w="368"/>
        <w:gridCol w:w="952"/>
        <w:gridCol w:w="922"/>
        <w:gridCol w:w="922"/>
        <w:gridCol w:w="968"/>
        <w:gridCol w:w="1080"/>
        <w:gridCol w:w="900"/>
        <w:gridCol w:w="720"/>
        <w:gridCol w:w="540"/>
        <w:gridCol w:w="850"/>
        <w:gridCol w:w="738"/>
        <w:gridCol w:w="474"/>
      </w:tblGrid>
      <w:tr>
        <w:trPr>
          <w:trHeight w:val="59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14"/>
                <w:sz w:val="15"/>
                <w:szCs w:val="15"/>
              </w:rPr>
              <w:t>南旗舰</w:t>
            </w:r>
            <w:r>
              <w:rPr>
                <w:rFonts w:ascii="宋体" w:hAnsi="宋体" w:cs="宋体" w:eastAsia="宋体" w:hint="default"/>
                <w:spacing w:val="-54"/>
                <w:sz w:val="15"/>
                <w:szCs w:val="15"/>
              </w:rPr>
              <w:t> </w:t>
            </w:r>
            <w:r>
              <w:rPr>
                <w:rFonts w:ascii="宋体" w:hAnsi="宋体" w:cs="宋体" w:eastAsia="宋体" w:hint="default"/>
                <w:sz w:val="15"/>
                <w:szCs w:val="15"/>
              </w:rPr>
            </w:r>
          </w:p>
          <w:p>
            <w:pPr>
              <w:pStyle w:val="TableParagraph"/>
              <w:spacing w:line="240" w:lineRule="auto"/>
              <w:ind w:left="103" w:right="79"/>
              <w:jc w:val="left"/>
              <w:rPr>
                <w:rFonts w:ascii="宋体" w:hAnsi="宋体" w:cs="宋体" w:eastAsia="宋体" w:hint="default"/>
                <w:sz w:val="15"/>
                <w:szCs w:val="15"/>
              </w:rPr>
            </w:pPr>
            <w:r>
              <w:rPr>
                <w:rFonts w:ascii="宋体" w:hAnsi="宋体" w:cs="宋体" w:eastAsia="宋体" w:hint="default"/>
                <w:spacing w:val="14"/>
                <w:sz w:val="15"/>
                <w:szCs w:val="15"/>
              </w:rPr>
              <w:t>店购置</w:t>
            </w:r>
            <w:r>
              <w:rPr>
                <w:rFonts w:ascii="宋体" w:hAnsi="宋体" w:cs="宋体" w:eastAsia="宋体" w:hint="default"/>
                <w:spacing w:val="-54"/>
                <w:sz w:val="15"/>
                <w:szCs w:val="15"/>
              </w:rPr>
              <w:t> </w:t>
            </w:r>
            <w:r>
              <w:rPr>
                <w:rFonts w:ascii="宋体" w:hAnsi="宋体" w:cs="宋体" w:eastAsia="宋体" w:hint="default"/>
                <w:sz w:val="15"/>
                <w:szCs w:val="15"/>
              </w:rPr>
              <w:t>项目</w:t>
            </w:r>
          </w:p>
        </w:tc>
        <w:tc>
          <w:tcPr>
            <w:tcW w:w="368"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7</w:t>
            </w:r>
            <w:r>
              <w:rPr>
                <w:rFonts w:ascii="宋体" w:hAnsi="宋体" w:cs="宋体" w:eastAsia="宋体" w:hint="default"/>
                <w:sz w:val="15"/>
                <w:szCs w:val="15"/>
              </w:rPr>
              <w:t>）</w:t>
            </w:r>
          </w:p>
        </w:tc>
        <w:tc>
          <w:tcPr>
            <w:tcW w:w="47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both"/>
              <w:rPr>
                <w:rFonts w:ascii="宋体" w:hAnsi="宋体" w:cs="宋体" w:eastAsia="宋体" w:hint="default"/>
                <w:sz w:val="15"/>
                <w:szCs w:val="15"/>
              </w:rPr>
            </w:pPr>
            <w:r>
              <w:rPr>
                <w:rFonts w:ascii="宋体" w:hAnsi="宋体" w:cs="宋体" w:eastAsia="宋体" w:hint="default"/>
                <w:spacing w:val="14"/>
                <w:sz w:val="15"/>
                <w:szCs w:val="15"/>
              </w:rPr>
              <w:t>上海浦</w:t>
            </w:r>
            <w:r>
              <w:rPr>
                <w:rFonts w:ascii="宋体" w:hAnsi="宋体" w:cs="宋体" w:eastAsia="宋体" w:hint="default"/>
                <w:spacing w:val="-54"/>
                <w:sz w:val="15"/>
                <w:szCs w:val="15"/>
              </w:rPr>
              <w:t> </w:t>
            </w:r>
            <w:r>
              <w:rPr>
                <w:rFonts w:ascii="宋体" w:hAnsi="宋体" w:cs="宋体" w:eastAsia="宋体" w:hint="default"/>
                <w:sz w:val="15"/>
                <w:szCs w:val="15"/>
              </w:rPr>
            </w:r>
          </w:p>
          <w:p>
            <w:pPr>
              <w:pStyle w:val="TableParagraph"/>
              <w:spacing w:line="240" w:lineRule="auto"/>
              <w:ind w:left="103" w:right="79"/>
              <w:jc w:val="both"/>
              <w:rPr>
                <w:rFonts w:ascii="宋体" w:hAnsi="宋体" w:cs="宋体" w:eastAsia="宋体" w:hint="default"/>
                <w:sz w:val="15"/>
                <w:szCs w:val="15"/>
              </w:rPr>
            </w:pPr>
            <w:r>
              <w:rPr>
                <w:rFonts w:ascii="宋体" w:hAnsi="宋体" w:cs="宋体" w:eastAsia="宋体" w:hint="default"/>
                <w:spacing w:val="14"/>
                <w:sz w:val="15"/>
                <w:szCs w:val="15"/>
              </w:rPr>
              <w:t>东旗舰</w:t>
            </w:r>
            <w:r>
              <w:rPr>
                <w:rFonts w:ascii="宋体" w:hAnsi="宋体" w:cs="宋体" w:eastAsia="宋体" w:hint="default"/>
                <w:spacing w:val="-54"/>
                <w:sz w:val="15"/>
                <w:szCs w:val="15"/>
              </w:rPr>
              <w:t> </w:t>
            </w:r>
            <w:r>
              <w:rPr>
                <w:rFonts w:ascii="宋体" w:hAnsi="宋体" w:cs="宋体" w:eastAsia="宋体" w:hint="default"/>
                <w:spacing w:val="14"/>
                <w:sz w:val="15"/>
                <w:szCs w:val="15"/>
              </w:rPr>
              <w:t>店购置</w:t>
            </w:r>
            <w:r>
              <w:rPr>
                <w:rFonts w:ascii="宋体" w:hAnsi="宋体" w:cs="宋体" w:eastAsia="宋体" w:hint="default"/>
                <w:spacing w:val="-54"/>
                <w:sz w:val="15"/>
                <w:szCs w:val="15"/>
              </w:rPr>
              <w:t> </w:t>
            </w:r>
            <w:r>
              <w:rPr>
                <w:rFonts w:ascii="宋体" w:hAnsi="宋体" w:cs="宋体" w:eastAsia="宋体" w:hint="default"/>
                <w:sz w:val="15"/>
                <w:szCs w:val="15"/>
              </w:rPr>
              <w:t>项目</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否</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133" w:right="0"/>
              <w:jc w:val="center"/>
              <w:rPr>
                <w:rFonts w:ascii="Times New Roman" w:hAnsi="Times New Roman" w:cs="Times New Roman" w:eastAsia="Times New Roman" w:hint="default"/>
                <w:sz w:val="15"/>
                <w:szCs w:val="15"/>
              </w:rPr>
            </w:pPr>
            <w:r>
              <w:rPr>
                <w:rFonts w:ascii="Times New Roman"/>
                <w:sz w:val="15"/>
              </w:rPr>
              <w:t>576,208.7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162" w:lineRule="exact"/>
              <w:ind w:left="103" w:right="0"/>
              <w:jc w:val="center"/>
              <w:rPr>
                <w:rFonts w:ascii="Times New Roman" w:hAnsi="Times New Roman" w:cs="Times New Roman" w:eastAsia="Times New Roman" w:hint="default"/>
                <w:sz w:val="15"/>
                <w:szCs w:val="15"/>
              </w:rPr>
            </w:pPr>
            <w:r>
              <w:rPr>
                <w:rFonts w:ascii="Times New Roman"/>
                <w:sz w:val="15"/>
              </w:rPr>
              <w:t>542,704.1</w:t>
            </w:r>
          </w:p>
          <w:p>
            <w:pPr>
              <w:pStyle w:val="TableParagraph"/>
              <w:spacing w:line="197" w:lineRule="exact"/>
              <w:ind w:left="24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4</w:t>
            </w:r>
            <w:r>
              <w:rPr>
                <w:rFonts w:ascii="宋体" w:hAnsi="宋体" w:cs="宋体" w:eastAsia="宋体" w:hint="default"/>
                <w:sz w:val="15"/>
                <w:szCs w:val="15"/>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103" w:right="0"/>
              <w:jc w:val="center"/>
              <w:rPr>
                <w:rFonts w:ascii="Times New Roman" w:hAnsi="Times New Roman" w:cs="Times New Roman" w:eastAsia="Times New Roman" w:hint="default"/>
                <w:sz w:val="15"/>
                <w:szCs w:val="15"/>
              </w:rPr>
            </w:pPr>
            <w:r>
              <w:rPr>
                <w:rFonts w:ascii="Times New Roman"/>
                <w:sz w:val="15"/>
              </w:rPr>
              <w:t>542,704.1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365" w:right="0"/>
              <w:jc w:val="left"/>
              <w:rPr>
                <w:rFonts w:ascii="Times New Roman" w:hAnsi="Times New Roman" w:cs="Times New Roman" w:eastAsia="Times New Roman" w:hint="default"/>
                <w:sz w:val="15"/>
                <w:szCs w:val="15"/>
              </w:rPr>
            </w:pPr>
            <w:r>
              <w:rPr>
                <w:rFonts w:ascii="Times New Roman"/>
                <w:sz w:val="15"/>
              </w:rPr>
              <w:t>542,704.1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115" w:right="0"/>
              <w:jc w:val="left"/>
              <w:rPr>
                <w:rFonts w:ascii="Times New Roman" w:hAnsi="Times New Roman" w:cs="Times New Roman" w:eastAsia="Times New Roman" w:hint="default"/>
                <w:sz w:val="15"/>
                <w:szCs w:val="15"/>
              </w:rPr>
            </w:pPr>
            <w:r>
              <w:rPr>
                <w:rFonts w:ascii="Times New Roman"/>
                <w:sz w:val="15"/>
              </w:rPr>
              <w:t>2007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107" w:right="0"/>
              <w:jc w:val="center"/>
              <w:rPr>
                <w:rFonts w:ascii="Times New Roman" w:hAnsi="Times New Roman" w:cs="Times New Roman" w:eastAsia="Times New Roman" w:hint="default"/>
                <w:sz w:val="15"/>
                <w:szCs w:val="15"/>
              </w:rPr>
            </w:pPr>
            <w:r>
              <w:rPr>
                <w:rFonts w:ascii="Times New Roman"/>
                <w:sz w:val="15"/>
              </w:rPr>
              <w:t>29,775.8</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否</w:t>
            </w:r>
          </w:p>
          <w:p>
            <w:pPr>
              <w:pStyle w:val="TableParagraph"/>
              <w:spacing w:line="207" w:lineRule="exact"/>
              <w:ind w:left="40" w:right="0"/>
              <w:jc w:val="center"/>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7</w:t>
            </w:r>
            <w:r>
              <w:rPr>
                <w:rFonts w:ascii="宋体" w:hAnsi="宋体" w:cs="宋体" w:eastAsia="宋体" w:hint="default"/>
                <w:sz w:val="15"/>
                <w:szCs w:val="15"/>
              </w:rPr>
              <w:t>）</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29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368"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center"/>
              <w:rPr>
                <w:rFonts w:ascii="Times New Roman" w:hAnsi="Times New Roman" w:cs="Times New Roman" w:eastAsia="Times New Roman" w:hint="default"/>
                <w:sz w:val="15"/>
                <w:szCs w:val="15"/>
              </w:rPr>
            </w:pPr>
            <w:r>
              <w:rPr>
                <w:rFonts w:ascii="Times New Roman"/>
                <w:sz w:val="15"/>
              </w:rPr>
              <w:t>2,453,560.1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4" w:right="0"/>
              <w:jc w:val="left"/>
              <w:rPr>
                <w:rFonts w:ascii="Times New Roman" w:hAnsi="Times New Roman" w:cs="Times New Roman" w:eastAsia="Times New Roman" w:hint="default"/>
                <w:sz w:val="15"/>
                <w:szCs w:val="15"/>
              </w:rPr>
            </w:pPr>
            <w:r>
              <w:rPr>
                <w:rFonts w:ascii="Times New Roman"/>
                <w:sz w:val="15"/>
              </w:rPr>
              <w:t>2,420,055.5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Times New Roman" w:hAnsi="Times New Roman" w:cs="Times New Roman" w:eastAsia="Times New Roman" w:hint="default"/>
                <w:sz w:val="15"/>
                <w:szCs w:val="15"/>
              </w:rPr>
            </w:pPr>
            <w:r>
              <w:rPr>
                <w:rFonts w:ascii="Times New Roman"/>
                <w:sz w:val="15"/>
              </w:rPr>
              <w:t>2,420,055.5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188,120.8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77" w:right="0"/>
              <w:jc w:val="left"/>
              <w:rPr>
                <w:rFonts w:ascii="Times New Roman" w:hAnsi="Times New Roman" w:cs="Times New Roman" w:eastAsia="Times New Roman" w:hint="default"/>
                <w:sz w:val="15"/>
                <w:szCs w:val="15"/>
              </w:rPr>
            </w:pPr>
            <w:r>
              <w:rPr>
                <w:rFonts w:ascii="Times New Roman"/>
                <w:sz w:val="15"/>
              </w:rPr>
              <w:t>1,780,366.2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(639,689.3)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5"/>
                <w:szCs w:val="15"/>
              </w:rPr>
            </w:pPr>
            <w:r>
              <w:rPr>
                <w:rFonts w:ascii="Times New Roman"/>
                <w:spacing w:val="-1"/>
                <w:sz w:val="15"/>
              </w:rPr>
              <w:t>73.6</w:t>
            </w:r>
          </w:p>
        </w:tc>
        <w:tc>
          <w:tcPr>
            <w:tcW w:w="54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 w:right="0"/>
              <w:jc w:val="center"/>
              <w:rPr>
                <w:rFonts w:ascii="Times New Roman" w:hAnsi="Times New Roman" w:cs="Times New Roman" w:eastAsia="Times New Roman" w:hint="default"/>
                <w:sz w:val="15"/>
                <w:szCs w:val="15"/>
              </w:rPr>
            </w:pPr>
            <w:r>
              <w:rPr>
                <w:rFonts w:ascii="Times New Roman"/>
                <w:sz w:val="15"/>
              </w:rPr>
              <w:t>179,081.1</w:t>
            </w:r>
          </w:p>
        </w:tc>
        <w:tc>
          <w:tcPr>
            <w:tcW w:w="738"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20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26"/>
              <w:jc w:val="left"/>
              <w:rPr>
                <w:rFonts w:ascii="宋体" w:hAnsi="宋体" w:cs="宋体" w:eastAsia="宋体" w:hint="default"/>
                <w:sz w:val="15"/>
                <w:szCs w:val="15"/>
              </w:rPr>
            </w:pPr>
            <w:r>
              <w:rPr>
                <w:rFonts w:ascii="宋体" w:hAnsi="宋体" w:cs="宋体" w:eastAsia="宋体" w:hint="default"/>
                <w:sz w:val="15"/>
                <w:szCs w:val="15"/>
              </w:rPr>
              <w:t>未达到计划进度或预计收益</w:t>
            </w:r>
            <w:r>
              <w:rPr>
                <w:rFonts w:ascii="宋体" w:hAnsi="宋体" w:cs="宋体" w:eastAsia="宋体" w:hint="default"/>
                <w:spacing w:val="-64"/>
                <w:sz w:val="15"/>
                <w:szCs w:val="15"/>
              </w:rPr>
              <w:t> </w:t>
            </w:r>
            <w:r>
              <w:rPr>
                <w:rFonts w:ascii="宋体" w:hAnsi="宋体" w:cs="宋体" w:eastAsia="宋体" w:hint="default"/>
                <w:spacing w:val="-5"/>
                <w:sz w:val="15"/>
                <w:szCs w:val="15"/>
              </w:rPr>
              <w:t>的情况及原因（分具体项目）</w:t>
            </w:r>
          </w:p>
        </w:tc>
        <w:tc>
          <w:tcPr>
            <w:tcW w:w="81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2" w:lineRule="exact" w:before="50"/>
              <w:ind w:left="103"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1</w:t>
            </w:r>
            <w:r>
              <w:rPr>
                <w:rFonts w:ascii="宋体" w:hAnsi="宋体" w:cs="宋体" w:eastAsia="宋体" w:hint="default"/>
                <w:spacing w:val="-5"/>
                <w:sz w:val="15"/>
                <w:szCs w:val="15"/>
              </w:rPr>
              <w:t>、截至</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3"/>
                <w:sz w:val="15"/>
                <w:szCs w:val="15"/>
              </w:rPr>
              <w:t> </w:t>
            </w:r>
            <w:r>
              <w:rPr>
                <w:rFonts w:ascii="宋体" w:hAnsi="宋体" w:cs="宋体" w:eastAsia="宋体" w:hint="default"/>
                <w:spacing w:val="-5"/>
                <w:sz w:val="15"/>
                <w:szCs w:val="15"/>
              </w:rPr>
              <w:t>日，公司</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250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连锁店发展项目已开设</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213</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家连锁店。由于符合公司连锁发展标准的优质店面的稀</w:t>
            </w:r>
          </w:p>
          <w:p>
            <w:pPr>
              <w:pStyle w:val="TableParagraph"/>
              <w:spacing w:line="194" w:lineRule="exact" w:before="14"/>
              <w:ind w:left="103" w:right="101"/>
              <w:jc w:val="left"/>
              <w:rPr>
                <w:rFonts w:ascii="宋体" w:hAnsi="宋体" w:cs="宋体" w:eastAsia="宋体" w:hint="default"/>
                <w:sz w:val="15"/>
                <w:szCs w:val="15"/>
              </w:rPr>
            </w:pPr>
            <w:r>
              <w:rPr>
                <w:rFonts w:ascii="宋体" w:hAnsi="宋体" w:cs="宋体" w:eastAsia="宋体" w:hint="default"/>
                <w:sz w:val="15"/>
                <w:szCs w:val="15"/>
              </w:rPr>
              <w:t>缺性，且商业租金价格呈上涨趋势，给公司连锁发展的店面选址工作带来了一定的压力。公司在 </w:t>
            </w: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年加大开发力度， 尽快实施完成该项目。</w:t>
            </w:r>
          </w:p>
          <w:p>
            <w:pPr>
              <w:pStyle w:val="TableParagraph"/>
              <w:spacing w:line="189"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、沈阳物流中心已于</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年投入使用，年底正在推进工程决算工作，年底结余资金为待支付的工程款以及质保金。</w:t>
            </w:r>
          </w:p>
        </w:tc>
      </w:tr>
      <w:tr>
        <w:trPr>
          <w:trHeight w:val="468" w:hRule="exact"/>
        </w:trPr>
        <w:tc>
          <w:tcPr>
            <w:tcW w:w="20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101"/>
              <w:jc w:val="left"/>
              <w:rPr>
                <w:rFonts w:ascii="宋体" w:hAnsi="宋体" w:cs="宋体" w:eastAsia="宋体" w:hint="default"/>
                <w:sz w:val="15"/>
                <w:szCs w:val="15"/>
              </w:rPr>
            </w:pPr>
            <w:r>
              <w:rPr>
                <w:rFonts w:ascii="宋体" w:hAnsi="宋体" w:cs="宋体" w:eastAsia="宋体" w:hint="default"/>
                <w:sz w:val="15"/>
                <w:szCs w:val="15"/>
              </w:rPr>
              <w:t>项目可行性发生重大变化的</w:t>
            </w:r>
            <w:r>
              <w:rPr>
                <w:rFonts w:ascii="宋体" w:hAnsi="宋体" w:cs="宋体" w:eastAsia="宋体" w:hint="default"/>
                <w:spacing w:val="-64"/>
                <w:sz w:val="15"/>
                <w:szCs w:val="15"/>
              </w:rPr>
              <w:t> </w:t>
            </w:r>
            <w:r>
              <w:rPr>
                <w:rFonts w:ascii="宋体" w:hAnsi="宋体" w:cs="宋体" w:eastAsia="宋体" w:hint="default"/>
                <w:sz w:val="15"/>
                <w:szCs w:val="15"/>
              </w:rPr>
              <w:t>情况说明</w:t>
            </w:r>
          </w:p>
        </w:tc>
        <w:tc>
          <w:tcPr>
            <w:tcW w:w="81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69" w:hRule="exact"/>
        </w:trPr>
        <w:tc>
          <w:tcPr>
            <w:tcW w:w="20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1"/>
              <w:jc w:val="left"/>
              <w:rPr>
                <w:rFonts w:ascii="宋体" w:hAnsi="宋体" w:cs="宋体" w:eastAsia="宋体" w:hint="default"/>
                <w:sz w:val="15"/>
                <w:szCs w:val="15"/>
              </w:rPr>
            </w:pPr>
            <w:r>
              <w:rPr>
                <w:rFonts w:ascii="宋体" w:hAnsi="宋体" w:cs="宋体" w:eastAsia="宋体" w:hint="default"/>
                <w:sz w:val="15"/>
                <w:szCs w:val="15"/>
              </w:rPr>
              <w:t>超募集资金的金额、用途及</w:t>
            </w:r>
            <w:r>
              <w:rPr>
                <w:rFonts w:ascii="宋体" w:hAnsi="宋体" w:cs="宋体" w:eastAsia="宋体" w:hint="default"/>
                <w:spacing w:val="-64"/>
                <w:sz w:val="15"/>
                <w:szCs w:val="15"/>
              </w:rPr>
              <w:t> </w:t>
            </w:r>
            <w:r>
              <w:rPr>
                <w:rFonts w:ascii="宋体" w:hAnsi="宋体" w:cs="宋体" w:eastAsia="宋体" w:hint="default"/>
                <w:sz w:val="15"/>
                <w:szCs w:val="15"/>
              </w:rPr>
              <w:t>使用进展情况</w:t>
            </w:r>
          </w:p>
        </w:tc>
        <w:tc>
          <w:tcPr>
            <w:tcW w:w="81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0" w:hRule="exact"/>
        </w:trPr>
        <w:tc>
          <w:tcPr>
            <w:tcW w:w="2029" w:type="dxa"/>
            <w:gridSpan w:val="3"/>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募集资金投资项目实施地点</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变更情况</w:t>
            </w:r>
          </w:p>
        </w:tc>
        <w:tc>
          <w:tcPr>
            <w:tcW w:w="81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详见下文第</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4 </w:t>
            </w:r>
            <w:r>
              <w:rPr>
                <w:rFonts w:ascii="宋体" w:hAnsi="宋体" w:cs="宋体" w:eastAsia="宋体" w:hint="default"/>
                <w:sz w:val="15"/>
                <w:szCs w:val="15"/>
              </w:rPr>
              <w:t>点内容</w:t>
            </w:r>
          </w:p>
        </w:tc>
      </w:tr>
      <w:tr>
        <w:trPr>
          <w:trHeight w:val="401" w:hRule="exact"/>
        </w:trPr>
        <w:tc>
          <w:tcPr>
            <w:tcW w:w="2029" w:type="dxa"/>
            <w:gridSpan w:val="3"/>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募集资金投资项目实施方式</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调整情况</w:t>
            </w:r>
          </w:p>
        </w:tc>
        <w:tc>
          <w:tcPr>
            <w:tcW w:w="81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0" w:hRule="exact"/>
        </w:trPr>
        <w:tc>
          <w:tcPr>
            <w:tcW w:w="2029" w:type="dxa"/>
            <w:gridSpan w:val="3"/>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募集资金投资项目先期投入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及置换情况</w:t>
            </w:r>
          </w:p>
        </w:tc>
        <w:tc>
          <w:tcPr>
            <w:tcW w:w="81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0" w:hRule="exact"/>
        </w:trPr>
        <w:tc>
          <w:tcPr>
            <w:tcW w:w="2029" w:type="dxa"/>
            <w:gridSpan w:val="3"/>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用闲置募集资金暂时补充流</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动资金情况</w:t>
            </w:r>
          </w:p>
        </w:tc>
        <w:tc>
          <w:tcPr>
            <w:tcW w:w="81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1" w:hRule="exact"/>
        </w:trPr>
        <w:tc>
          <w:tcPr>
            <w:tcW w:w="2029" w:type="dxa"/>
            <w:gridSpan w:val="3"/>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项目实施出现募集资金结余</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的金额及原因</w:t>
            </w:r>
          </w:p>
        </w:tc>
        <w:tc>
          <w:tcPr>
            <w:tcW w:w="81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595" w:hRule="exact"/>
        </w:trPr>
        <w:tc>
          <w:tcPr>
            <w:tcW w:w="20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101"/>
              <w:jc w:val="left"/>
              <w:rPr>
                <w:rFonts w:ascii="宋体" w:hAnsi="宋体" w:cs="宋体" w:eastAsia="宋体" w:hint="default"/>
                <w:sz w:val="15"/>
                <w:szCs w:val="15"/>
              </w:rPr>
            </w:pPr>
            <w:r>
              <w:rPr>
                <w:rFonts w:ascii="宋体" w:hAnsi="宋体" w:cs="宋体" w:eastAsia="宋体" w:hint="default"/>
                <w:sz w:val="15"/>
                <w:szCs w:val="15"/>
              </w:rPr>
              <w:t>尚未使用的募集资金用途及</w:t>
            </w:r>
            <w:r>
              <w:rPr>
                <w:rFonts w:ascii="宋体" w:hAnsi="宋体" w:cs="宋体" w:eastAsia="宋体" w:hint="default"/>
                <w:spacing w:val="-64"/>
                <w:sz w:val="15"/>
                <w:szCs w:val="15"/>
              </w:rPr>
              <w:t> </w:t>
            </w:r>
            <w:r>
              <w:rPr>
                <w:rFonts w:ascii="宋体" w:hAnsi="宋体" w:cs="宋体" w:eastAsia="宋体" w:hint="default"/>
                <w:sz w:val="15"/>
                <w:szCs w:val="15"/>
              </w:rPr>
              <w:t>去向</w:t>
            </w:r>
          </w:p>
        </w:tc>
        <w:tc>
          <w:tcPr>
            <w:tcW w:w="81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本公司尚未使用的募集资金将主要用于</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250</w:t>
            </w:r>
            <w:r>
              <w:rPr>
                <w:rFonts w:ascii="Times New Roman" w:hAnsi="Times New Roman" w:cs="Times New Roman" w:eastAsia="Times New Roman" w:hint="default"/>
                <w:spacing w:val="6"/>
                <w:sz w:val="15"/>
                <w:szCs w:val="15"/>
              </w:rPr>
              <w:t> </w:t>
            </w:r>
            <w:r>
              <w:rPr>
                <w:rFonts w:ascii="宋体" w:hAnsi="宋体" w:cs="宋体" w:eastAsia="宋体" w:hint="default"/>
                <w:spacing w:val="-2"/>
                <w:sz w:val="15"/>
                <w:szCs w:val="15"/>
              </w:rPr>
              <w:t>家连锁店发展项目及沈阳物流中心项目的建设。公司将尚未使用的募集资金存</w:t>
            </w:r>
          </w:p>
          <w:p>
            <w:pPr>
              <w:pStyle w:val="TableParagraph"/>
              <w:spacing w:line="196" w:lineRule="exact" w:before="11"/>
              <w:ind w:left="103" w:right="101"/>
              <w:jc w:val="left"/>
              <w:rPr>
                <w:rFonts w:ascii="宋体" w:hAnsi="宋体" w:cs="宋体" w:eastAsia="宋体" w:hint="default"/>
                <w:sz w:val="15"/>
                <w:szCs w:val="15"/>
              </w:rPr>
            </w:pPr>
            <w:r>
              <w:rPr>
                <w:rFonts w:ascii="宋体" w:hAnsi="宋体" w:cs="宋体" w:eastAsia="宋体" w:hint="default"/>
                <w:sz w:val="15"/>
                <w:szCs w:val="15"/>
              </w:rPr>
              <w:t>放于公司专户中，其中为提高资金使用效率，将闲置的募集资金及利息合计 </w:t>
            </w:r>
            <w:r>
              <w:rPr>
                <w:rFonts w:ascii="Times New Roman" w:hAnsi="Times New Roman" w:cs="Times New Roman" w:eastAsia="Times New Roman" w:hint="default"/>
                <w:sz w:val="15"/>
                <w:szCs w:val="15"/>
              </w:rPr>
              <w:t>5.87 </w:t>
            </w:r>
            <w:r>
              <w:rPr>
                <w:rFonts w:ascii="宋体" w:hAnsi="宋体" w:cs="宋体" w:eastAsia="宋体" w:hint="default"/>
                <w:sz w:val="15"/>
                <w:szCs w:val="15"/>
              </w:rPr>
              <w:t>亿元以定期存单的方式存放，</w:t>
            </w:r>
            <w:r>
              <w:rPr>
                <w:rFonts w:ascii="Times New Roman" w:hAnsi="Times New Roman" w:cs="Times New Roman" w:eastAsia="Times New Roman" w:hint="default"/>
                <w:sz w:val="15"/>
                <w:szCs w:val="15"/>
              </w:rPr>
              <w:t>5000</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万元 以通知存款的方式存放，不存在存单抵押、质押及其他所有权、使用权受到限制的情况。</w:t>
            </w:r>
          </w:p>
        </w:tc>
      </w:tr>
      <w:tr>
        <w:trPr>
          <w:trHeight w:val="400" w:hRule="exact"/>
        </w:trPr>
        <w:tc>
          <w:tcPr>
            <w:tcW w:w="2029" w:type="dxa"/>
            <w:gridSpan w:val="3"/>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募集资金使用及披露中存在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的问题或其他情况</w:t>
            </w:r>
          </w:p>
        </w:tc>
        <w:tc>
          <w:tcPr>
            <w:tcW w:w="81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bl>
    <w:p>
      <w:pPr>
        <w:spacing w:line="257" w:lineRule="exact" w:before="0"/>
        <w:ind w:left="1100" w:right="559"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年非公开发行股票募集的资金低于募集资金原承诺金额的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3,350.46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万元已经调整上</w:t>
      </w:r>
    </w:p>
    <w:p>
      <w:pPr>
        <w:spacing w:before="37"/>
        <w:ind w:left="680" w:right="0" w:firstLine="0"/>
        <w:jc w:val="both"/>
        <w:rPr>
          <w:rFonts w:ascii="宋体" w:hAnsi="宋体" w:cs="宋体" w:eastAsia="宋体" w:hint="default"/>
          <w:sz w:val="21"/>
          <w:szCs w:val="21"/>
        </w:rPr>
      </w:pPr>
      <w:r>
        <w:rPr>
          <w:rFonts w:ascii="宋体" w:hAnsi="宋体" w:cs="宋体" w:eastAsia="宋体" w:hint="default"/>
          <w:sz w:val="21"/>
          <w:szCs w:val="21"/>
        </w:rPr>
        <w:t>海浦东旗舰店购置项目的投资总额。</w:t>
      </w:r>
    </w:p>
    <w:p>
      <w:pPr>
        <w:spacing w:line="278" w:lineRule="auto" w:before="52"/>
        <w:ind w:left="680" w:right="673"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250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家连锁店项目尚未全部实施完毕，且连锁店均在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年之后开设，经营没有达到非 </w:t>
      </w:r>
      <w:r>
        <w:rPr>
          <w:rFonts w:ascii="宋体" w:hAnsi="宋体" w:cs="宋体" w:eastAsia="宋体" w:hint="default"/>
          <w:spacing w:val="-1"/>
          <w:sz w:val="21"/>
          <w:szCs w:val="21"/>
        </w:rPr>
        <w:t>公开发行上市公告书判定年限－正常年（开业后第三年）。随着项目实施的推进，已开设连锁店进</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入成熟稳定期，经营效益逐步提高，该项目效益情况将会进一步体现。</w:t>
      </w:r>
    </w:p>
    <w:p>
      <w:pPr>
        <w:spacing w:before="19"/>
        <w:ind w:left="1100" w:right="559" w:firstLine="0"/>
        <w:jc w:val="left"/>
        <w:rPr>
          <w:rFonts w:ascii="宋体" w:hAnsi="宋体" w:cs="宋体" w:eastAsia="宋体" w:hint="default"/>
          <w:sz w:val="21"/>
          <w:szCs w:val="21"/>
        </w:rPr>
      </w:pPr>
      <w:r>
        <w:rPr>
          <w:rFonts w:ascii="宋体" w:hAnsi="宋体" w:cs="宋体" w:eastAsia="宋体" w:hint="default"/>
          <w:sz w:val="21"/>
          <w:szCs w:val="21"/>
        </w:rPr>
        <w:t>根据 </w:t>
      </w:r>
      <w:r>
        <w:rPr>
          <w:rFonts w:ascii="Times New Roman" w:hAnsi="Times New Roman" w:cs="Times New Roman" w:eastAsia="Times New Roman" w:hint="default"/>
          <w:sz w:val="21"/>
          <w:szCs w:val="21"/>
        </w:rPr>
        <w:t>250 </w:t>
      </w:r>
      <w:r>
        <w:rPr>
          <w:rFonts w:ascii="宋体" w:hAnsi="宋体" w:cs="宋体" w:eastAsia="宋体" w:hint="default"/>
          <w:sz w:val="21"/>
          <w:szCs w:val="21"/>
        </w:rPr>
        <w:t>家连锁店发展项目开业计算，共有 </w:t>
      </w:r>
      <w:r>
        <w:rPr>
          <w:rFonts w:ascii="Times New Roman" w:hAnsi="Times New Roman" w:cs="Times New Roman" w:eastAsia="Times New Roman" w:hint="default"/>
          <w:sz w:val="21"/>
          <w:szCs w:val="21"/>
        </w:rPr>
        <w:t>44 </w:t>
      </w:r>
      <w:r>
        <w:rPr>
          <w:rFonts w:ascii="宋体" w:hAnsi="宋体" w:cs="宋体" w:eastAsia="宋体" w:hint="default"/>
          <w:sz w:val="21"/>
          <w:szCs w:val="21"/>
        </w:rPr>
        <w:t>家连锁店在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年达到开业后第三年，其中</w:t>
      </w:r>
    </w:p>
    <w:p>
      <w:pPr>
        <w:spacing w:before="92"/>
        <w:ind w:left="679" w:right="0" w:firstLine="0"/>
        <w:jc w:val="both"/>
        <w:rPr>
          <w:rFonts w:ascii="宋体" w:hAnsi="宋体" w:cs="宋体" w:eastAsia="宋体" w:hint="default"/>
          <w:sz w:val="21"/>
          <w:szCs w:val="21"/>
        </w:rPr>
      </w:pPr>
      <w:r>
        <w:rPr>
          <w:rFonts w:ascii="宋体" w:hAnsi="宋体" w:cs="宋体" w:eastAsia="宋体" w:hint="default"/>
          <w:sz w:val="21"/>
          <w:szCs w:val="21"/>
        </w:rPr>
        <w:t>公司调整关闭</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0"/>
          <w:sz w:val="21"/>
          <w:szCs w:val="21"/>
        </w:rPr>
        <w:t> </w:t>
      </w:r>
      <w:r>
        <w:rPr>
          <w:rFonts w:ascii="宋体" w:hAnsi="宋体" w:cs="宋体" w:eastAsia="宋体" w:hint="default"/>
          <w:spacing w:val="-3"/>
          <w:sz w:val="21"/>
          <w:szCs w:val="21"/>
        </w:rPr>
        <w:t>家，因此截至报告期末实际有</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41</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家连锁店达到上市公告书判定年限</w:t>
      </w:r>
      <w:r>
        <w:rPr>
          <w:rFonts w:ascii="Times New Roman" w:hAnsi="Times New Roman" w:cs="Times New Roman" w:eastAsia="Times New Roman" w:hint="default"/>
          <w:sz w:val="21"/>
          <w:szCs w:val="21"/>
        </w:rPr>
        <w:t>-</w:t>
      </w:r>
      <w:r>
        <w:rPr>
          <w:rFonts w:ascii="宋体" w:hAnsi="宋体" w:cs="宋体" w:eastAsia="宋体" w:hint="default"/>
          <w:sz w:val="21"/>
          <w:szCs w:val="21"/>
        </w:rPr>
        <w:t>正常年（开业</w:t>
      </w:r>
    </w:p>
    <w:p>
      <w:pPr>
        <w:spacing w:before="91"/>
        <w:ind w:left="680" w:right="0" w:firstLine="0"/>
        <w:jc w:val="both"/>
        <w:rPr>
          <w:rFonts w:ascii="宋体" w:hAnsi="宋体" w:cs="宋体" w:eastAsia="宋体" w:hint="default"/>
          <w:sz w:val="21"/>
          <w:szCs w:val="21"/>
        </w:rPr>
      </w:pPr>
      <w:r>
        <w:rPr>
          <w:rFonts w:ascii="宋体" w:hAnsi="宋体" w:cs="宋体" w:eastAsia="宋体" w:hint="default"/>
          <w:spacing w:val="7"/>
          <w:sz w:val="21"/>
          <w:szCs w:val="21"/>
        </w:rPr>
        <w:t>后第三年</w:t>
      </w:r>
      <w:r>
        <w:rPr>
          <w:rFonts w:ascii="宋体" w:hAnsi="宋体" w:cs="宋体" w:eastAsia="宋体" w:hint="default"/>
          <w:spacing w:val="-99"/>
          <w:sz w:val="21"/>
          <w:szCs w:val="21"/>
        </w:rPr>
        <w:t>）</w:t>
      </w:r>
      <w:r>
        <w:rPr>
          <w:rFonts w:ascii="宋体" w:hAnsi="宋体" w:cs="宋体" w:eastAsia="宋体" w:hint="default"/>
          <w:spacing w:val="7"/>
          <w:sz w:val="21"/>
          <w:szCs w:val="21"/>
        </w:rPr>
        <w:t>。</w:t>
      </w:r>
      <w:r>
        <w:rPr>
          <w:rFonts w:ascii="宋体" w:hAnsi="宋体" w:cs="宋体" w:eastAsia="宋体" w:hint="default"/>
          <w:sz w:val="21"/>
          <w:szCs w:val="21"/>
        </w:rPr>
        <w:t>该</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41 </w:t>
      </w:r>
      <w:r>
        <w:rPr>
          <w:rFonts w:ascii="Times New Roman" w:hAnsi="Times New Roman" w:cs="Times New Roman" w:eastAsia="Times New Roman" w:hint="default"/>
          <w:spacing w:val="8"/>
          <w:sz w:val="21"/>
          <w:szCs w:val="21"/>
        </w:rPr>
        <w:t> </w:t>
      </w:r>
      <w:r>
        <w:rPr>
          <w:rFonts w:ascii="宋体" w:hAnsi="宋体" w:cs="宋体" w:eastAsia="宋体" w:hint="default"/>
          <w:spacing w:val="7"/>
          <w:sz w:val="21"/>
          <w:szCs w:val="21"/>
        </w:rPr>
        <w:t>家</w:t>
      </w:r>
      <w:r>
        <w:rPr>
          <w:rFonts w:ascii="宋体" w:hAnsi="宋体" w:cs="宋体" w:eastAsia="宋体" w:hint="default"/>
          <w:spacing w:val="6"/>
          <w:sz w:val="21"/>
          <w:szCs w:val="21"/>
        </w:rPr>
        <w:t>连</w:t>
      </w:r>
      <w:r>
        <w:rPr>
          <w:rFonts w:ascii="宋体" w:hAnsi="宋体" w:cs="宋体" w:eastAsia="宋体" w:hint="default"/>
          <w:spacing w:val="7"/>
          <w:sz w:val="21"/>
          <w:szCs w:val="21"/>
        </w:rPr>
        <w:t>锁店预计</w:t>
      </w:r>
      <w:r>
        <w:rPr>
          <w:rFonts w:ascii="宋体" w:hAnsi="宋体" w:cs="宋体" w:eastAsia="宋体" w:hint="default"/>
          <w:spacing w:val="6"/>
          <w:sz w:val="21"/>
          <w:szCs w:val="21"/>
        </w:rPr>
        <w:t>正</w:t>
      </w:r>
      <w:r>
        <w:rPr>
          <w:rFonts w:ascii="宋体" w:hAnsi="宋体" w:cs="宋体" w:eastAsia="宋体" w:hint="default"/>
          <w:spacing w:val="7"/>
          <w:sz w:val="21"/>
          <w:szCs w:val="21"/>
        </w:rPr>
        <w:t>常年实现</w:t>
      </w:r>
      <w:r>
        <w:rPr>
          <w:rFonts w:ascii="宋体" w:hAnsi="宋体" w:cs="宋体" w:eastAsia="宋体" w:hint="default"/>
          <w:spacing w:val="6"/>
          <w:sz w:val="21"/>
          <w:szCs w:val="21"/>
        </w:rPr>
        <w:t>销</w:t>
      </w:r>
      <w:r>
        <w:rPr>
          <w:rFonts w:ascii="宋体" w:hAnsi="宋体" w:cs="宋体" w:eastAsia="宋体" w:hint="default"/>
          <w:spacing w:val="7"/>
          <w:sz w:val="21"/>
          <w:szCs w:val="21"/>
        </w:rPr>
        <w:t>售收</w:t>
      </w:r>
      <w:r>
        <w:rPr>
          <w:rFonts w:ascii="宋体" w:hAnsi="宋体" w:cs="宋体" w:eastAsia="宋体" w:hint="default"/>
          <w:sz w:val="21"/>
          <w:szCs w:val="21"/>
        </w:rPr>
        <w:t>入</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1"/>
          <w:sz w:val="21"/>
          <w:szCs w:val="21"/>
        </w:rPr>
        <w:t>8,</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 </w:t>
      </w:r>
      <w:r>
        <w:rPr>
          <w:rFonts w:ascii="Times New Roman" w:hAnsi="Times New Roman" w:cs="Times New Roman" w:eastAsia="Times New Roman" w:hint="default"/>
          <w:spacing w:val="8"/>
          <w:sz w:val="21"/>
          <w:szCs w:val="21"/>
        </w:rPr>
        <w:t> </w:t>
      </w:r>
      <w:r>
        <w:rPr>
          <w:rFonts w:ascii="宋体" w:hAnsi="宋体" w:cs="宋体" w:eastAsia="宋体" w:hint="default"/>
          <w:spacing w:val="7"/>
          <w:sz w:val="21"/>
          <w:szCs w:val="21"/>
        </w:rPr>
        <w:t>万元</w:t>
      </w:r>
      <w:r>
        <w:rPr>
          <w:rFonts w:ascii="宋体" w:hAnsi="宋体" w:cs="宋体" w:eastAsia="宋体" w:hint="default"/>
          <w:spacing w:val="6"/>
          <w:sz w:val="21"/>
          <w:szCs w:val="21"/>
        </w:rPr>
        <w:t>，</w:t>
      </w:r>
      <w:r>
        <w:rPr>
          <w:rFonts w:ascii="宋体" w:hAnsi="宋体" w:cs="宋体" w:eastAsia="宋体" w:hint="default"/>
          <w:spacing w:val="7"/>
          <w:sz w:val="21"/>
          <w:szCs w:val="21"/>
        </w:rPr>
        <w:t>本年度实</w:t>
      </w:r>
      <w:r>
        <w:rPr>
          <w:rFonts w:ascii="宋体" w:hAnsi="宋体" w:cs="宋体" w:eastAsia="宋体" w:hint="default"/>
          <w:spacing w:val="6"/>
          <w:sz w:val="21"/>
          <w:szCs w:val="21"/>
        </w:rPr>
        <w:t>际</w:t>
      </w:r>
      <w:r>
        <w:rPr>
          <w:rFonts w:ascii="宋体" w:hAnsi="宋体" w:cs="宋体" w:eastAsia="宋体" w:hint="default"/>
          <w:spacing w:val="7"/>
          <w:sz w:val="21"/>
          <w:szCs w:val="21"/>
        </w:rPr>
        <w:t>实现销售</w:t>
      </w:r>
      <w:r>
        <w:rPr>
          <w:rFonts w:ascii="宋体" w:hAnsi="宋体" w:cs="宋体" w:eastAsia="宋体" w:hint="default"/>
          <w:spacing w:val="6"/>
          <w:sz w:val="21"/>
          <w:szCs w:val="21"/>
        </w:rPr>
        <w:t>收</w:t>
      </w:r>
      <w:r>
        <w:rPr>
          <w:rFonts w:ascii="宋体" w:hAnsi="宋体" w:cs="宋体" w:eastAsia="宋体" w:hint="default"/>
          <w:sz w:val="21"/>
          <w:szCs w:val="21"/>
        </w:rPr>
        <w:t>入</w:t>
      </w:r>
    </w:p>
    <w:p>
      <w:pPr>
        <w:spacing w:line="326" w:lineRule="auto" w:before="92"/>
        <w:ind w:left="680" w:right="672" w:hanging="1"/>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266,685.80</w:t>
      </w:r>
      <w:r>
        <w:rPr>
          <w:rFonts w:ascii="Times New Roman" w:hAnsi="Times New Roman" w:cs="Times New Roman" w:eastAsia="Times New Roman" w:hint="default"/>
          <w:spacing w:val="9"/>
          <w:sz w:val="21"/>
          <w:szCs w:val="21"/>
        </w:rPr>
        <w:t> </w:t>
      </w:r>
      <w:r>
        <w:rPr>
          <w:rFonts w:ascii="宋体" w:hAnsi="宋体" w:cs="宋体" w:eastAsia="宋体" w:hint="default"/>
          <w:spacing w:val="-10"/>
          <w:sz w:val="21"/>
          <w:szCs w:val="21"/>
        </w:rPr>
        <w:t>万元（含税），完成了预计销售的</w:t>
      </w:r>
      <w:r>
        <w:rPr>
          <w:rFonts w:ascii="宋体" w:hAnsi="宋体" w:cs="宋体" w:eastAsia="宋体" w:hint="default"/>
          <w:spacing w:val="-45"/>
          <w:sz w:val="21"/>
          <w:szCs w:val="21"/>
        </w:rPr>
        <w:t> </w:t>
      </w:r>
      <w:r>
        <w:rPr>
          <w:rFonts w:ascii="Times New Roman" w:hAnsi="Times New Roman" w:cs="Times New Roman" w:eastAsia="Times New Roman" w:hint="default"/>
          <w:spacing w:val="-2"/>
          <w:sz w:val="21"/>
          <w:szCs w:val="21"/>
        </w:rPr>
        <w:t>77%</w:t>
      </w:r>
      <w:r>
        <w:rPr>
          <w:rFonts w:ascii="宋体" w:hAnsi="宋体" w:cs="宋体" w:eastAsia="宋体" w:hint="default"/>
          <w:spacing w:val="-2"/>
          <w:sz w:val="21"/>
          <w:szCs w:val="21"/>
        </w:rPr>
        <w:t>，较预期有一定的差距，主要原因为：部分店面所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在商圈有待进一步培育、成熟，同时由于满足公司连锁发展标准的优质店面资源有一定的稀缺性， 部分连锁店未能取得目标商圈中的理想物业，随着本公司店面经营管理能力的提升，以及店面经营 的成熟，效益水平将会进一步提升。</w:t>
      </w:r>
    </w:p>
    <w:p>
      <w:pPr>
        <w:spacing w:line="324" w:lineRule="auto" w:before="32"/>
        <w:ind w:left="680" w:right="672"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：沈阳物流中心项目不直接产生经济效益，但沈阳物流中心建成后有助于公司的东北区域 物流整合，在有效保障货源的前提下加快库存周转率，有效节约人力成本和租赁费用，提高作业效 率，进一步提升公司的配送服务质量和品牌形象。</w:t>
      </w:r>
    </w:p>
    <w:p>
      <w:pPr>
        <w:spacing w:line="316" w:lineRule="auto" w:before="33"/>
        <w:ind w:left="680" w:right="672" w:firstLine="420"/>
        <w:jc w:val="both"/>
        <w:rPr>
          <w:rFonts w:ascii="Times New Roman" w:hAnsi="Times New Roman" w:cs="Times New Roman" w:eastAsia="Times New Roman" w:hint="default"/>
          <w:sz w:val="21"/>
          <w:szCs w:val="21"/>
        </w:rPr>
      </w:pPr>
      <w:r>
        <w:rPr>
          <w:rFonts w:ascii="宋体" w:hAnsi="宋体" w:cs="宋体" w:eastAsia="宋体" w:hint="default"/>
          <w:sz w:val="21"/>
          <w:szCs w:val="21"/>
        </w:rPr>
        <w:t>注 </w:t>
      </w:r>
      <w:r>
        <w:rPr>
          <w:rFonts w:ascii="Times New Roman" w:hAnsi="Times New Roman" w:cs="Times New Roman" w:eastAsia="Times New Roman" w:hint="default"/>
          <w:sz w:val="21"/>
          <w:szCs w:val="21"/>
        </w:rPr>
        <w:t>7</w:t>
      </w:r>
      <w:r>
        <w:rPr>
          <w:rFonts w:ascii="宋体" w:hAnsi="宋体" w:cs="宋体" w:eastAsia="宋体" w:hint="default"/>
          <w:sz w:val="21"/>
          <w:szCs w:val="21"/>
        </w:rPr>
        <w:t>：武汉中南旗舰店购置项目、上海浦东旗舰店购置项目在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年达到上市公告书判定年 限</w:t>
      </w:r>
      <w:r>
        <w:rPr>
          <w:rFonts w:ascii="Times New Roman" w:hAnsi="Times New Roman" w:cs="Times New Roman" w:eastAsia="Times New Roman" w:hint="default"/>
          <w:sz w:val="21"/>
          <w:szCs w:val="21"/>
        </w:rPr>
        <w:t>-</w:t>
      </w:r>
      <w:r>
        <w:rPr>
          <w:rFonts w:ascii="宋体" w:hAnsi="宋体" w:cs="宋体" w:eastAsia="宋体" w:hint="default"/>
          <w:sz w:val="21"/>
          <w:szCs w:val="21"/>
        </w:rPr>
        <w:t>正常年</w:t>
      </w:r>
      <w:r>
        <w:rPr>
          <w:rFonts w:ascii="Times New Roman" w:hAnsi="Times New Roman" w:cs="Times New Roman" w:eastAsia="Times New Roman" w:hint="default"/>
          <w:sz w:val="21"/>
          <w:szCs w:val="21"/>
        </w:rPr>
        <w:t>(</w:t>
      </w:r>
      <w:r>
        <w:rPr>
          <w:rFonts w:ascii="宋体" w:hAnsi="宋体" w:cs="宋体" w:eastAsia="宋体" w:hint="default"/>
          <w:sz w:val="21"/>
          <w:szCs w:val="21"/>
        </w:rPr>
        <w:t>开业后第三年</w:t>
      </w:r>
      <w:r>
        <w:rPr>
          <w:rFonts w:ascii="Times New Roman" w:hAnsi="Times New Roman" w:cs="Times New Roman" w:eastAsia="Times New Roman" w:hint="default"/>
          <w:sz w:val="21"/>
          <w:szCs w:val="21"/>
        </w:rPr>
        <w:t>)</w:t>
      </w:r>
      <w:r>
        <w:rPr>
          <w:rFonts w:ascii="宋体" w:hAnsi="宋体" w:cs="宋体" w:eastAsia="宋体" w:hint="default"/>
          <w:sz w:val="21"/>
          <w:szCs w:val="21"/>
        </w:rPr>
        <w:t>，两店预计正常年分别实现人民币</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r>
        <w:rPr>
          <w:rFonts w:ascii="宋体" w:hAnsi="宋体" w:cs="宋体" w:eastAsia="宋体" w:hint="default"/>
          <w:sz w:val="21"/>
          <w:szCs w:val="21"/>
        </w:rPr>
        <w:t>、人民币</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p>
    <w:p>
      <w:pPr>
        <w:spacing w:before="16"/>
        <w:ind w:left="679" w:right="0" w:firstLine="0"/>
        <w:jc w:val="both"/>
        <w:rPr>
          <w:rFonts w:ascii="宋体" w:hAnsi="宋体" w:cs="宋体" w:eastAsia="宋体" w:hint="default"/>
          <w:sz w:val="21"/>
          <w:szCs w:val="21"/>
        </w:rPr>
      </w:pPr>
      <w:r>
        <w:rPr>
          <w:rFonts w:ascii="宋体" w:hAnsi="宋体" w:cs="宋体" w:eastAsia="宋体" w:hint="default"/>
          <w:spacing w:val="-4"/>
          <w:sz w:val="21"/>
          <w:szCs w:val="21"/>
        </w:rPr>
        <w:t>的销售规模，武汉中南旗舰店</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年度实际实现销售收入人民币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2.55</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亿元</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含税</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，上海浦东旗舰店</w:t>
      </w:r>
    </w:p>
    <w:p>
      <w:pPr>
        <w:spacing w:line="314" w:lineRule="auto" w:before="92"/>
        <w:ind w:left="1099" w:right="655" w:hanging="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年度实际实现销售收入人民币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5.84 </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r>
        <w:rPr>
          <w:rFonts w:ascii="宋体" w:hAnsi="宋体" w:cs="宋体" w:eastAsia="宋体" w:hint="default"/>
          <w:sz w:val="21"/>
          <w:szCs w:val="21"/>
        </w:rPr>
        <w:t>，分别完成了预期销售收入的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73%</w:t>
      </w:r>
      <w:r>
        <w:rPr>
          <w:rFonts w:ascii="宋体" w:hAnsi="宋体" w:cs="宋体" w:eastAsia="宋体" w:hint="default"/>
          <w:sz w:val="21"/>
          <w:szCs w:val="21"/>
        </w:rPr>
        <w:t>、</w:t>
      </w:r>
      <w:r>
        <w:rPr>
          <w:rFonts w:ascii="Times New Roman" w:hAnsi="Times New Roman" w:cs="Times New Roman" w:eastAsia="Times New Roman" w:hint="default"/>
          <w:sz w:val="21"/>
          <w:szCs w:val="21"/>
        </w:rPr>
        <w:t>78%</w:t>
      </w:r>
      <w:r>
        <w:rPr>
          <w:rFonts w:ascii="宋体" w:hAnsi="宋体" w:cs="宋体" w:eastAsia="宋体" w:hint="default"/>
          <w:sz w:val="21"/>
          <w:szCs w:val="21"/>
        </w:rPr>
        <w:t>。 上述两家连锁店的购置，能够有效地保障公司店面经营的持续性和稳定性，并且在商业物业租</w:t>
      </w:r>
    </w:p>
    <w:p>
      <w:pPr>
        <w:spacing w:before="43"/>
        <w:ind w:left="680" w:right="0" w:firstLine="0"/>
        <w:jc w:val="both"/>
        <w:rPr>
          <w:rFonts w:ascii="宋体" w:hAnsi="宋体" w:cs="宋体" w:eastAsia="宋体" w:hint="default"/>
          <w:sz w:val="21"/>
          <w:szCs w:val="21"/>
        </w:rPr>
      </w:pPr>
      <w:r>
        <w:rPr>
          <w:rFonts w:ascii="宋体" w:hAnsi="宋体" w:cs="宋体" w:eastAsia="宋体" w:hint="default"/>
          <w:sz w:val="21"/>
          <w:szCs w:val="21"/>
        </w:rPr>
        <w:t>金水平不断上涨的市场环境下，以购置方式提前锁定物业成本，有助于公司降低店面运营成本。武</w:t>
      </w:r>
    </w:p>
    <w:p>
      <w:pPr>
        <w:spacing w:after="0"/>
        <w:jc w:val="both"/>
        <w:rPr>
          <w:rFonts w:ascii="宋体" w:hAnsi="宋体" w:cs="宋体" w:eastAsia="宋体" w:hint="default"/>
          <w:sz w:val="21"/>
          <w:szCs w:val="21"/>
        </w:rPr>
        <w:sectPr>
          <w:pgSz w:w="11910" w:h="16840"/>
          <w:pgMar w:header="748" w:footer="714" w:top="980" w:bottom="900" w:left="760" w:right="760"/>
        </w:sectPr>
      </w:pPr>
    </w:p>
    <w:p>
      <w:pPr>
        <w:spacing w:line="240" w:lineRule="auto" w:before="2"/>
        <w:rPr>
          <w:rFonts w:ascii="宋体" w:hAnsi="宋体" w:cs="宋体" w:eastAsia="宋体" w:hint="default"/>
          <w:sz w:val="29"/>
          <w:szCs w:val="29"/>
        </w:rPr>
      </w:pPr>
    </w:p>
    <w:p>
      <w:pPr>
        <w:spacing w:line="328" w:lineRule="auto" w:before="35"/>
        <w:ind w:left="660" w:right="671" w:firstLine="0"/>
        <w:jc w:val="both"/>
        <w:rPr>
          <w:rFonts w:ascii="宋体" w:hAnsi="宋体" w:cs="宋体" w:eastAsia="宋体" w:hint="default"/>
          <w:sz w:val="21"/>
          <w:szCs w:val="21"/>
        </w:rPr>
      </w:pPr>
      <w:r>
        <w:rPr>
          <w:rFonts w:ascii="宋体" w:hAnsi="宋体" w:cs="宋体" w:eastAsia="宋体" w:hint="default"/>
          <w:sz w:val="21"/>
          <w:szCs w:val="21"/>
        </w:rPr>
        <w:t>汉中南店和上海浦东旗舰店的开设，对公司在当地的连锁发展起到了一锤定音的效果。两家旗舰店 开设后，在店面布局、店面形象、购物环境、消费动线、店面服务以及购物流程等方面不断进行探 索完善，销售收入逐年提升，两家连锁店的单店销售额均已跻身当地市场的前列，有力的提升了消 费者对公司的认知度与公司的品牌美誉度，增强了公司的市场竞争力，扩大了公司的市场份额。相 </w:t>
      </w:r>
      <w:r>
        <w:rPr>
          <w:rFonts w:ascii="宋体" w:hAnsi="宋体" w:cs="宋体" w:eastAsia="宋体" w:hint="default"/>
          <w:spacing w:val="-2"/>
          <w:sz w:val="21"/>
          <w:szCs w:val="21"/>
        </w:rPr>
        <w:t>较于原先较为积极的销售收入预计金额，两家连锁店的销售收入完成率尚有一定的差距，但从</w:t>
      </w:r>
      <w:r>
        <w:rPr>
          <w:rFonts w:ascii="宋体" w:hAnsi="宋体" w:cs="宋体" w:eastAsia="宋体" w:hint="default"/>
          <w:spacing w:val="-28"/>
          <w:sz w:val="21"/>
          <w:szCs w:val="21"/>
        </w:rPr>
        <w:t> </w:t>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pacing w:val="-47"/>
          <w:sz w:val="21"/>
          <w:szCs w:val="21"/>
        </w:rPr>
      </w:r>
      <w:r>
        <w:rPr>
          <w:rFonts w:ascii="宋体" w:hAnsi="宋体" w:cs="宋体" w:eastAsia="宋体" w:hint="default"/>
          <w:sz w:val="21"/>
          <w:szCs w:val="21"/>
        </w:rPr>
        <w:t>年的数据上看，两家连锁店仍然保持着较快的增长速度，我们相信，通过进一步增强商品规划，丰 富产品类别以及加强宣传推广等措施，使得两家门店的销售收入在未来的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年进一步提升，以达 到预期。</w:t>
      </w:r>
    </w:p>
    <w:p>
      <w:pPr>
        <w:pStyle w:val="BodyText"/>
        <w:tabs>
          <w:tab w:pos="1559" w:val="left" w:leader="none"/>
        </w:tabs>
        <w:spacing w:line="240" w:lineRule="auto" w:before="25"/>
        <w:ind w:left="1140" w:right="260"/>
        <w:jc w:val="left"/>
      </w:pPr>
      <w:r>
        <w:rPr>
          <w:rFonts w:ascii="Wingdings" w:hAnsi="Wingdings" w:cs="Wingdings" w:eastAsia="Wingdings" w:hint="default"/>
        </w:rPr>
        <w:t></w:t>
      </w:r>
      <w:r>
        <w:rPr>
          <w:rFonts w:ascii="Times New Roman" w:hAnsi="Times New Roman" w:cs="Times New Roman" w:eastAsia="Times New Roman" w:hint="default"/>
        </w:rPr>
        <w:tab/>
      </w:r>
      <w:r>
        <w:rPr>
          <w:rFonts w:ascii="Times New Roman" w:hAnsi="Times New Roman" w:cs="Times New Roman" w:eastAsia="Times New Roman" w:hint="default"/>
        </w:rPr>
        <w:t>2009 </w:t>
      </w:r>
      <w:r>
        <w:rPr/>
        <w:t>年非公开发行股票募集资金使用情况</w:t>
      </w:r>
    </w:p>
    <w:p>
      <w:pPr>
        <w:spacing w:line="240" w:lineRule="auto" w:before="13"/>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088"/>
        <w:gridCol w:w="362"/>
        <w:gridCol w:w="900"/>
        <w:gridCol w:w="1080"/>
        <w:gridCol w:w="900"/>
        <w:gridCol w:w="900"/>
        <w:gridCol w:w="900"/>
        <w:gridCol w:w="900"/>
        <w:gridCol w:w="720"/>
        <w:gridCol w:w="540"/>
        <w:gridCol w:w="658"/>
        <w:gridCol w:w="709"/>
        <w:gridCol w:w="473"/>
      </w:tblGrid>
      <w:tr>
        <w:trPr>
          <w:trHeight w:val="301" w:hRule="exact"/>
        </w:trPr>
        <w:tc>
          <w:tcPr>
            <w:tcW w:w="34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5"/>
                <w:szCs w:val="15"/>
              </w:rPr>
            </w:pPr>
            <w:r>
              <w:rPr>
                <w:rFonts w:ascii="宋体" w:hAnsi="宋体" w:cs="宋体" w:eastAsia="宋体" w:hint="default"/>
                <w:sz w:val="15"/>
                <w:szCs w:val="15"/>
              </w:rPr>
              <w:t>募集资金总额</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3,000,000</w:t>
            </w:r>
            <w:r>
              <w:rPr>
                <w:rFonts w:ascii="宋体" w:hAnsi="宋体" w:cs="宋体" w:eastAsia="宋体" w:hint="default"/>
                <w:sz w:val="15"/>
                <w:szCs w:val="15"/>
              </w:rPr>
              <w:t>（注</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8</w:t>
            </w:r>
            <w:r>
              <w:rPr>
                <w:rFonts w:ascii="宋体" w:hAnsi="宋体" w:cs="宋体" w:eastAsia="宋体" w:hint="default"/>
                <w:sz w:val="15"/>
                <w:szCs w:val="15"/>
              </w:rPr>
              <w:t>）</w:t>
            </w:r>
          </w:p>
        </w:tc>
        <w:tc>
          <w:tcPr>
            <w:tcW w:w="3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8" w:right="0"/>
              <w:jc w:val="left"/>
              <w:rPr>
                <w:rFonts w:ascii="宋体" w:hAnsi="宋体" w:cs="宋体" w:eastAsia="宋体" w:hint="default"/>
                <w:sz w:val="15"/>
                <w:szCs w:val="15"/>
              </w:rPr>
            </w:pPr>
            <w:r>
              <w:rPr>
                <w:rFonts w:ascii="宋体" w:hAnsi="宋体" w:cs="宋体" w:eastAsia="宋体" w:hint="default"/>
                <w:sz w:val="15"/>
                <w:szCs w:val="15"/>
              </w:rPr>
              <w:t>本年度投入募集资金总额</w:t>
            </w:r>
          </w:p>
        </w:tc>
        <w:tc>
          <w:tcPr>
            <w:tcW w:w="11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8" w:right="0"/>
              <w:jc w:val="left"/>
              <w:rPr>
                <w:rFonts w:ascii="Times New Roman" w:hAnsi="Times New Roman" w:cs="Times New Roman" w:eastAsia="Times New Roman" w:hint="default"/>
                <w:sz w:val="15"/>
                <w:szCs w:val="15"/>
              </w:rPr>
            </w:pPr>
            <w:r>
              <w:rPr>
                <w:rFonts w:ascii="Times New Roman"/>
                <w:sz w:val="15"/>
              </w:rPr>
              <w:t>974,522.70</w:t>
            </w:r>
          </w:p>
        </w:tc>
      </w:tr>
      <w:tr>
        <w:trPr>
          <w:trHeight w:val="301" w:hRule="exact"/>
        </w:trPr>
        <w:tc>
          <w:tcPr>
            <w:tcW w:w="34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5" w:right="0"/>
              <w:jc w:val="left"/>
              <w:rPr>
                <w:rFonts w:ascii="宋体" w:hAnsi="宋体" w:cs="宋体" w:eastAsia="宋体" w:hint="default"/>
                <w:sz w:val="15"/>
                <w:szCs w:val="15"/>
              </w:rPr>
            </w:pPr>
            <w:r>
              <w:rPr>
                <w:rFonts w:ascii="宋体" w:hAnsi="宋体" w:cs="宋体" w:eastAsia="宋体" w:hint="default"/>
                <w:sz w:val="15"/>
                <w:szCs w:val="15"/>
              </w:rPr>
              <w:t>变更用途的募集资金总额</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5"/>
                <w:szCs w:val="15"/>
              </w:rPr>
            </w:pPr>
            <w:r>
              <w:rPr>
                <w:rFonts w:ascii="Times New Roman"/>
                <w:sz w:val="15"/>
              </w:rPr>
              <w:t>0.0</w:t>
            </w:r>
          </w:p>
        </w:tc>
        <w:tc>
          <w:tcPr>
            <w:tcW w:w="3718" w:type="dxa"/>
            <w:gridSpan w:val="5"/>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8" w:right="0"/>
              <w:jc w:val="left"/>
              <w:rPr>
                <w:rFonts w:ascii="宋体" w:hAnsi="宋体" w:cs="宋体" w:eastAsia="宋体" w:hint="default"/>
                <w:sz w:val="15"/>
                <w:szCs w:val="15"/>
              </w:rPr>
            </w:pPr>
            <w:r>
              <w:rPr>
                <w:rFonts w:ascii="宋体" w:hAnsi="宋体" w:cs="宋体" w:eastAsia="宋体" w:hint="default"/>
                <w:sz w:val="15"/>
                <w:szCs w:val="15"/>
              </w:rPr>
              <w:t>已累计投入募集资金总额</w:t>
            </w:r>
          </w:p>
        </w:tc>
        <w:tc>
          <w:tcPr>
            <w:tcW w:w="11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8" w:right="0"/>
              <w:jc w:val="left"/>
              <w:rPr>
                <w:rFonts w:ascii="Times New Roman" w:hAnsi="Times New Roman" w:cs="Times New Roman" w:eastAsia="Times New Roman" w:hint="default"/>
                <w:sz w:val="15"/>
                <w:szCs w:val="15"/>
              </w:rPr>
            </w:pPr>
            <w:r>
              <w:rPr>
                <w:rFonts w:ascii="Times New Roman"/>
                <w:sz w:val="15"/>
              </w:rPr>
              <w:t>974,522.70</w:t>
            </w:r>
          </w:p>
        </w:tc>
      </w:tr>
      <w:tr>
        <w:trPr>
          <w:trHeight w:val="300" w:hRule="exact"/>
        </w:trPr>
        <w:tc>
          <w:tcPr>
            <w:tcW w:w="34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35" w:right="0"/>
              <w:jc w:val="left"/>
              <w:rPr>
                <w:rFonts w:ascii="宋体" w:hAnsi="宋体" w:cs="宋体" w:eastAsia="宋体" w:hint="default"/>
                <w:sz w:val="15"/>
                <w:szCs w:val="15"/>
              </w:rPr>
            </w:pPr>
            <w:r>
              <w:rPr>
                <w:rFonts w:ascii="宋体" w:hAnsi="宋体" w:cs="宋体" w:eastAsia="宋体" w:hint="default"/>
                <w:sz w:val="15"/>
                <w:szCs w:val="15"/>
              </w:rPr>
              <w:t>变更用途的募集资金总额比例</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5"/>
                <w:szCs w:val="15"/>
              </w:rPr>
            </w:pPr>
            <w:r>
              <w:rPr>
                <w:rFonts w:ascii="Times New Roman"/>
                <w:sz w:val="15"/>
              </w:rPr>
              <w:t>0%</w:t>
            </w:r>
          </w:p>
        </w:tc>
        <w:tc>
          <w:tcPr>
            <w:tcW w:w="3718" w:type="dxa"/>
            <w:gridSpan w:val="5"/>
            <w:vMerge/>
            <w:tcBorders>
              <w:left w:val="single" w:sz="4" w:space="0" w:color="000000"/>
              <w:bottom w:val="single" w:sz="4" w:space="0" w:color="000000"/>
              <w:right w:val="single" w:sz="4" w:space="0" w:color="000000"/>
            </w:tcBorders>
          </w:tcPr>
          <w:p>
            <w:pPr/>
          </w:p>
        </w:tc>
        <w:tc>
          <w:tcPr>
            <w:tcW w:w="1182" w:type="dxa"/>
            <w:gridSpan w:val="2"/>
            <w:tcBorders>
              <w:top w:val="single" w:sz="4" w:space="0" w:color="000000"/>
              <w:left w:val="single" w:sz="4" w:space="0" w:color="000000"/>
              <w:bottom w:val="single" w:sz="4" w:space="0" w:color="000000"/>
              <w:right w:val="single" w:sz="4" w:space="0" w:color="000000"/>
            </w:tcBorders>
          </w:tcPr>
          <w:p>
            <w:pPr/>
          </w:p>
        </w:tc>
      </w:tr>
      <w:tr>
        <w:trPr>
          <w:trHeight w:val="1402"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464" w:right="162" w:hanging="300"/>
              <w:jc w:val="left"/>
              <w:rPr>
                <w:rFonts w:ascii="宋体" w:hAnsi="宋体" w:cs="宋体" w:eastAsia="宋体" w:hint="default"/>
                <w:sz w:val="15"/>
                <w:szCs w:val="15"/>
              </w:rPr>
            </w:pPr>
            <w:r>
              <w:rPr>
                <w:rFonts w:ascii="宋体" w:hAnsi="宋体" w:cs="宋体" w:eastAsia="宋体" w:hint="default"/>
                <w:sz w:val="15"/>
                <w:szCs w:val="15"/>
              </w:rPr>
              <w:t>承诺投资项 目</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7" w:right="23"/>
              <w:jc w:val="both"/>
              <w:rPr>
                <w:rFonts w:ascii="宋体" w:hAnsi="宋体" w:cs="宋体" w:eastAsia="宋体" w:hint="default"/>
                <w:sz w:val="15"/>
                <w:szCs w:val="15"/>
              </w:rPr>
            </w:pPr>
            <w:r>
              <w:rPr>
                <w:rFonts w:ascii="宋体" w:hAnsi="宋体" w:cs="宋体" w:eastAsia="宋体" w:hint="default"/>
                <w:sz w:val="15"/>
                <w:szCs w:val="15"/>
              </w:rPr>
              <w:t>是否 已变 更项 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23" w:right="14"/>
              <w:jc w:val="left"/>
              <w:rPr>
                <w:rFonts w:ascii="宋体" w:hAnsi="宋体" w:cs="宋体" w:eastAsia="宋体" w:hint="default"/>
                <w:sz w:val="15"/>
                <w:szCs w:val="15"/>
              </w:rPr>
            </w:pPr>
            <w:r>
              <w:rPr>
                <w:rFonts w:ascii="宋体" w:hAnsi="宋体" w:cs="宋体" w:eastAsia="宋体" w:hint="default"/>
                <w:sz w:val="15"/>
                <w:szCs w:val="15"/>
              </w:rPr>
              <w:t>募集资金承 诺投资总额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385" w:right="158" w:hanging="226"/>
              <w:jc w:val="left"/>
              <w:rPr>
                <w:rFonts w:ascii="宋体" w:hAnsi="宋体" w:cs="宋体" w:eastAsia="宋体" w:hint="default"/>
                <w:sz w:val="15"/>
                <w:szCs w:val="15"/>
              </w:rPr>
            </w:pPr>
            <w:r>
              <w:rPr>
                <w:rFonts w:ascii="宋体" w:hAnsi="宋体" w:cs="宋体" w:eastAsia="宋体" w:hint="default"/>
                <w:sz w:val="15"/>
                <w:szCs w:val="15"/>
              </w:rPr>
              <w:t>调整后投资 总额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5" w:right="143"/>
              <w:jc w:val="both"/>
              <w:rPr>
                <w:rFonts w:ascii="Times New Roman" w:hAnsi="Times New Roman" w:cs="Times New Roman" w:eastAsia="Times New Roman" w:hint="default"/>
                <w:sz w:val="15"/>
                <w:szCs w:val="15"/>
              </w:rPr>
            </w:pPr>
            <w:r>
              <w:rPr>
                <w:rFonts w:ascii="宋体" w:hAnsi="宋体" w:cs="宋体" w:eastAsia="宋体" w:hint="default"/>
                <w:sz w:val="15"/>
                <w:szCs w:val="15"/>
              </w:rPr>
              <w:t>截至期末 承诺投入 金额</w:t>
            </w:r>
            <w:r>
              <w:rPr>
                <w:rFonts w:ascii="Times New Roman" w:hAnsi="Times New Roman" w:cs="Times New Roman" w:eastAsia="Times New Roman" w:hint="default"/>
                <w:sz w:val="15"/>
                <w:szCs w:val="15"/>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19" w:right="143" w:hanging="75"/>
              <w:jc w:val="left"/>
              <w:rPr>
                <w:rFonts w:ascii="宋体" w:hAnsi="宋体" w:cs="宋体" w:eastAsia="宋体" w:hint="default"/>
                <w:sz w:val="15"/>
                <w:szCs w:val="15"/>
              </w:rPr>
            </w:pPr>
            <w:r>
              <w:rPr>
                <w:rFonts w:ascii="宋体" w:hAnsi="宋体" w:cs="宋体" w:eastAsia="宋体" w:hint="default"/>
                <w:sz w:val="15"/>
                <w:szCs w:val="15"/>
              </w:rPr>
              <w:t>本年度投 入金额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5" w:right="143"/>
              <w:jc w:val="both"/>
              <w:rPr>
                <w:rFonts w:ascii="Times New Roman" w:hAnsi="Times New Roman" w:cs="Times New Roman" w:eastAsia="Times New Roman" w:hint="default"/>
                <w:sz w:val="15"/>
                <w:szCs w:val="15"/>
              </w:rPr>
            </w:pPr>
            <w:r>
              <w:rPr>
                <w:rFonts w:ascii="宋体" w:hAnsi="宋体" w:cs="宋体" w:eastAsia="宋体" w:hint="default"/>
                <w:sz w:val="15"/>
                <w:szCs w:val="15"/>
              </w:rPr>
              <w:t>截至期末 累计投入 金额</w:t>
            </w:r>
            <w:r>
              <w:rPr>
                <w:rFonts w:ascii="Times New Roman" w:hAnsi="Times New Roman" w:cs="Times New Roman" w:eastAsia="Times New Roman" w:hint="default"/>
                <w:sz w:val="15"/>
                <w:szCs w:val="15"/>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15" w:right="113" w:firstLine="30"/>
              <w:jc w:val="both"/>
              <w:rPr>
                <w:rFonts w:ascii="Times New Roman" w:hAnsi="Times New Roman" w:cs="Times New Roman" w:eastAsia="Times New Roman" w:hint="default"/>
                <w:sz w:val="15"/>
                <w:szCs w:val="15"/>
              </w:rPr>
            </w:pPr>
            <w:r>
              <w:rPr>
                <w:rFonts w:ascii="宋体" w:hAnsi="宋体" w:cs="宋体" w:eastAsia="宋体" w:hint="default"/>
                <w:sz w:val="15"/>
                <w:szCs w:val="15"/>
              </w:rPr>
              <w:t>截至期末 累计投入 金额与承 诺投入金 额的差额 </w:t>
            </w:r>
            <w:r>
              <w:rPr>
                <w:rFonts w:ascii="Times New Roman" w:hAnsi="Times New Roman" w:cs="Times New Roman" w:eastAsia="Times New Roman" w:hint="default"/>
                <w:sz w:val="15"/>
                <w:szCs w:val="15"/>
              </w:rPr>
              <w:t>(3)=(2)-(1)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29" w:right="128"/>
              <w:jc w:val="both"/>
              <w:rPr>
                <w:rFonts w:ascii="宋体" w:hAnsi="宋体" w:cs="宋体" w:eastAsia="宋体" w:hint="default"/>
                <w:sz w:val="15"/>
                <w:szCs w:val="15"/>
              </w:rPr>
            </w:pPr>
            <w:r>
              <w:rPr>
                <w:rFonts w:ascii="宋体" w:hAnsi="宋体" w:cs="宋体" w:eastAsia="宋体" w:hint="default"/>
                <w:sz w:val="15"/>
                <w:szCs w:val="15"/>
              </w:rPr>
              <w:t>截至期 末投入 进度</w:t>
            </w:r>
          </w:p>
          <w:p>
            <w:pPr>
              <w:pStyle w:val="TableParagraph"/>
              <w:spacing w:line="244" w:lineRule="auto"/>
              <w:ind w:left="116" w:right="114" w:hanging="1"/>
              <w:jc w:val="center"/>
              <w:rPr>
                <w:rFonts w:ascii="Times New Roman" w:hAnsi="Times New Roman" w:cs="Times New Roman" w:eastAsia="Times New Roman"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 </w:t>
            </w:r>
            <w:r>
              <w:rPr>
                <w:rFonts w:ascii="Times New Roman" w:hAnsi="Times New Roman" w:cs="Times New Roman" w:eastAsia="Times New Roman" w:hint="default"/>
                <w:sz w:val="15"/>
                <w:szCs w:val="15"/>
              </w:rPr>
              <w:t>(4)=(2)/ (1)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9" w:right="0"/>
              <w:jc w:val="both"/>
              <w:rPr>
                <w:rFonts w:ascii="宋体" w:hAnsi="宋体" w:cs="宋体" w:eastAsia="宋体" w:hint="default"/>
                <w:sz w:val="15"/>
                <w:szCs w:val="15"/>
              </w:rPr>
            </w:pPr>
            <w:r>
              <w:rPr>
                <w:rFonts w:ascii="宋体" w:hAnsi="宋体" w:cs="宋体" w:eastAsia="宋体" w:hint="default"/>
                <w:sz w:val="15"/>
                <w:szCs w:val="15"/>
              </w:rPr>
              <w:t>项目</w:t>
            </w:r>
          </w:p>
          <w:p>
            <w:pPr>
              <w:pStyle w:val="TableParagraph"/>
              <w:spacing w:line="240" w:lineRule="auto"/>
              <w:ind w:left="109" w:right="119"/>
              <w:jc w:val="both"/>
              <w:rPr>
                <w:rFonts w:ascii="宋体" w:hAnsi="宋体" w:cs="宋体" w:eastAsia="宋体" w:hint="default"/>
                <w:sz w:val="15"/>
                <w:szCs w:val="15"/>
              </w:rPr>
            </w:pPr>
            <w:r>
              <w:rPr>
                <w:rFonts w:ascii="宋体" w:hAnsi="宋体" w:cs="宋体" w:eastAsia="宋体" w:hint="default"/>
                <w:sz w:val="15"/>
                <w:szCs w:val="15"/>
              </w:rPr>
              <w:t>达到 预定 可使 用状 态日 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9" w:right="26"/>
              <w:jc w:val="center"/>
              <w:rPr>
                <w:rFonts w:ascii="宋体" w:hAnsi="宋体" w:cs="宋体" w:eastAsia="宋体" w:hint="default"/>
                <w:sz w:val="15"/>
                <w:szCs w:val="15"/>
              </w:rPr>
            </w:pPr>
            <w:r>
              <w:rPr>
                <w:rFonts w:ascii="宋体" w:hAnsi="宋体" w:cs="宋体" w:eastAsia="宋体" w:hint="default"/>
                <w:sz w:val="15"/>
                <w:szCs w:val="15"/>
              </w:rPr>
              <w:t>本年度实 现的效益</w:t>
            </w:r>
          </w:p>
          <w:p>
            <w:pPr>
              <w:pStyle w:val="TableParagraph"/>
              <w:spacing w:line="240" w:lineRule="auto"/>
              <w:ind w:left="19" w:right="26"/>
              <w:jc w:val="center"/>
              <w:rPr>
                <w:rFonts w:ascii="宋体" w:hAnsi="宋体" w:cs="宋体" w:eastAsia="宋体" w:hint="default"/>
                <w:sz w:val="15"/>
                <w:szCs w:val="15"/>
              </w:rPr>
            </w:pPr>
            <w:r>
              <w:rPr>
                <w:rFonts w:ascii="宋体" w:hAnsi="宋体" w:cs="宋体" w:eastAsia="宋体" w:hint="default"/>
                <w:sz w:val="15"/>
                <w:szCs w:val="15"/>
              </w:rPr>
              <w:t>（利润总 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4" w:right="122"/>
              <w:jc w:val="both"/>
              <w:rPr>
                <w:rFonts w:ascii="宋体" w:hAnsi="宋体" w:cs="宋体" w:eastAsia="宋体" w:hint="default"/>
                <w:sz w:val="15"/>
                <w:szCs w:val="15"/>
              </w:rPr>
            </w:pPr>
            <w:r>
              <w:rPr>
                <w:rFonts w:ascii="宋体" w:hAnsi="宋体" w:cs="宋体" w:eastAsia="宋体" w:hint="default"/>
                <w:sz w:val="15"/>
                <w:szCs w:val="15"/>
              </w:rPr>
              <w:t>是否达 到预计 效益</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2" w:right="0"/>
              <w:jc w:val="both"/>
              <w:rPr>
                <w:rFonts w:ascii="宋体" w:hAnsi="宋体" w:cs="宋体" w:eastAsia="宋体" w:hint="default"/>
                <w:sz w:val="15"/>
                <w:szCs w:val="15"/>
              </w:rPr>
            </w:pPr>
            <w:r>
              <w:rPr>
                <w:rFonts w:ascii="宋体" w:hAnsi="宋体" w:cs="宋体" w:eastAsia="宋体" w:hint="default"/>
                <w:sz w:val="15"/>
                <w:szCs w:val="15"/>
              </w:rPr>
              <w:t>项目</w:t>
            </w:r>
          </w:p>
          <w:p>
            <w:pPr>
              <w:pStyle w:val="TableParagraph"/>
              <w:spacing w:line="240" w:lineRule="auto"/>
              <w:ind w:left="82" w:right="78"/>
              <w:jc w:val="both"/>
              <w:rPr>
                <w:rFonts w:ascii="宋体" w:hAnsi="宋体" w:cs="宋体" w:eastAsia="宋体" w:hint="default"/>
                <w:sz w:val="15"/>
                <w:szCs w:val="15"/>
              </w:rPr>
            </w:pPr>
            <w:r>
              <w:rPr>
                <w:rFonts w:ascii="宋体" w:hAnsi="宋体" w:cs="宋体" w:eastAsia="宋体" w:hint="default"/>
                <w:sz w:val="15"/>
                <w:szCs w:val="15"/>
              </w:rPr>
              <w:t>可行 性是 否发 生重 大变 化</w:t>
            </w:r>
          </w:p>
        </w:tc>
      </w:tr>
      <w:tr>
        <w:trPr>
          <w:trHeight w:val="400"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0"/>
              <w:jc w:val="center"/>
              <w:rPr>
                <w:rFonts w:ascii="黑体" w:hAnsi="黑体" w:cs="黑体" w:eastAsia="黑体" w:hint="default"/>
                <w:sz w:val="15"/>
                <w:szCs w:val="15"/>
              </w:rPr>
            </w:pPr>
            <w:r>
              <w:rPr>
                <w:rFonts w:ascii="Times New Roman" w:hAnsi="Times New Roman" w:cs="Times New Roman" w:eastAsia="Times New Roman" w:hint="default"/>
                <w:sz w:val="15"/>
                <w:szCs w:val="15"/>
              </w:rPr>
              <w:t>250</w:t>
            </w:r>
            <w:r>
              <w:rPr>
                <w:rFonts w:ascii="Times New Roman" w:hAnsi="Times New Roman" w:cs="Times New Roman" w:eastAsia="Times New Roman" w:hint="default"/>
                <w:spacing w:val="-1"/>
                <w:sz w:val="15"/>
                <w:szCs w:val="15"/>
              </w:rPr>
              <w:t> </w:t>
            </w:r>
            <w:r>
              <w:rPr>
                <w:rFonts w:ascii="黑体" w:hAnsi="黑体" w:cs="黑体" w:eastAsia="黑体" w:hint="default"/>
                <w:sz w:val="15"/>
                <w:szCs w:val="15"/>
              </w:rPr>
              <w:t>家连锁店</w:t>
            </w:r>
          </w:p>
          <w:p>
            <w:pPr>
              <w:pStyle w:val="TableParagraph"/>
              <w:spacing w:line="190" w:lineRule="exact"/>
              <w:ind w:right="1"/>
              <w:jc w:val="center"/>
              <w:rPr>
                <w:rFonts w:ascii="黑体" w:hAnsi="黑体" w:cs="黑体" w:eastAsia="黑体" w:hint="default"/>
                <w:sz w:val="15"/>
                <w:szCs w:val="15"/>
              </w:rPr>
            </w:pPr>
            <w:r>
              <w:rPr>
                <w:rFonts w:ascii="黑体" w:hAnsi="黑体" w:cs="黑体" w:eastAsia="黑体" w:hint="default"/>
                <w:sz w:val="15"/>
                <w:szCs w:val="15"/>
              </w:rPr>
              <w:t>发展项目</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黑体" w:hAnsi="黑体" w:cs="黑体" w:eastAsia="黑体" w:hint="default"/>
                <w:sz w:val="15"/>
                <w:szCs w:val="15"/>
              </w:rPr>
            </w:pPr>
            <w:r>
              <w:rPr>
                <w:rFonts w:ascii="黑体" w:hAnsi="黑体" w:cs="黑体" w:eastAsia="黑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1,400,000.0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1,400,000.0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2"/>
                <w:sz w:val="15"/>
              </w:rPr>
              <w:t>241,211.7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2"/>
                <w:sz w:val="15"/>
              </w:rPr>
              <w:t>241,211.7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8" w:right="0"/>
              <w:jc w:val="center"/>
              <w:rPr>
                <w:rFonts w:ascii="Times New Roman" w:hAnsi="Times New Roman" w:cs="Times New Roman" w:eastAsia="Times New Roman" w:hint="default"/>
                <w:sz w:val="15"/>
                <w:szCs w:val="15"/>
              </w:rPr>
            </w:pPr>
            <w:r>
              <w:rPr>
                <w:rFonts w:ascii="Times New Roman"/>
                <w:sz w:val="15"/>
              </w:rPr>
              <w:t>241,211.7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sz w:val="15"/>
              </w:rPr>
              <w:t>2011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 w:right="0"/>
              <w:jc w:val="left"/>
              <w:rPr>
                <w:rFonts w:ascii="Times New Roman" w:hAnsi="Times New Roman" w:cs="Times New Roman" w:eastAsia="Times New Roman" w:hint="default"/>
                <w:sz w:val="15"/>
                <w:szCs w:val="15"/>
              </w:rPr>
            </w:pPr>
            <w:r>
              <w:rPr>
                <w:rFonts w:ascii="Times New Roman"/>
                <w:sz w:val="15"/>
              </w:rPr>
              <w:t>58,501.8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47"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7" w:lineRule="exact"/>
              <w:ind w:left="103" w:right="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9</w:t>
            </w:r>
            <w:r>
              <w:rPr>
                <w:rFonts w:ascii="宋体" w:hAnsi="宋体" w:cs="宋体" w:eastAsia="宋体" w:hint="default"/>
                <w:sz w:val="15"/>
                <w:szCs w:val="15"/>
              </w:rPr>
              <w:t>）</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40" w:right="0"/>
              <w:jc w:val="left"/>
              <w:rPr>
                <w:rFonts w:ascii="黑体" w:hAnsi="黑体" w:cs="黑体" w:eastAsia="黑体" w:hint="default"/>
                <w:sz w:val="18"/>
                <w:szCs w:val="18"/>
              </w:rPr>
            </w:pPr>
            <w:r>
              <w:rPr>
                <w:rFonts w:ascii="黑体" w:hAnsi="黑体" w:cs="黑体" w:eastAsia="黑体" w:hint="default"/>
                <w:sz w:val="18"/>
                <w:szCs w:val="18"/>
              </w:rPr>
              <w:t>否</w:t>
            </w:r>
          </w:p>
        </w:tc>
      </w:tr>
      <w:tr>
        <w:trPr>
          <w:trHeight w:val="401"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3" w:right="0" w:firstLine="1"/>
              <w:jc w:val="left"/>
              <w:rPr>
                <w:rFonts w:ascii="黑体" w:hAnsi="黑体" w:cs="黑体" w:eastAsia="黑体" w:hint="default"/>
                <w:sz w:val="15"/>
                <w:szCs w:val="15"/>
              </w:rPr>
            </w:pPr>
            <w:r>
              <w:rPr>
                <w:rFonts w:ascii="黑体" w:hAnsi="黑体" w:cs="黑体" w:eastAsia="黑体" w:hint="default"/>
                <w:sz w:val="15"/>
                <w:szCs w:val="15"/>
              </w:rPr>
              <w:t>成都物流中</w:t>
            </w:r>
          </w:p>
          <w:p>
            <w:pPr>
              <w:pStyle w:val="TableParagraph"/>
              <w:spacing w:line="196" w:lineRule="exact"/>
              <w:ind w:left="163" w:right="0"/>
              <w:jc w:val="left"/>
              <w:rPr>
                <w:rFonts w:ascii="黑体" w:hAnsi="黑体" w:cs="黑体" w:eastAsia="黑体" w:hint="default"/>
                <w:sz w:val="15"/>
                <w:szCs w:val="15"/>
              </w:rPr>
            </w:pPr>
            <w:r>
              <w:rPr>
                <w:rFonts w:ascii="黑体" w:hAnsi="黑体" w:cs="黑体" w:eastAsia="黑体" w:hint="default"/>
                <w:sz w:val="15"/>
                <w:szCs w:val="15"/>
              </w:rPr>
              <w:t>心建设项目</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黑体" w:hAnsi="黑体" w:cs="黑体" w:eastAsia="黑体" w:hint="default"/>
                <w:sz w:val="15"/>
                <w:szCs w:val="15"/>
              </w:rPr>
            </w:pPr>
            <w:r>
              <w:rPr>
                <w:rFonts w:ascii="黑体" w:hAnsi="黑体" w:cs="黑体" w:eastAsia="黑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151,980.8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151,980.8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48,180.7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48,180.7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7" w:right="0"/>
              <w:jc w:val="center"/>
              <w:rPr>
                <w:rFonts w:ascii="Times New Roman" w:hAnsi="Times New Roman" w:cs="Times New Roman" w:eastAsia="Times New Roman" w:hint="default"/>
                <w:sz w:val="15"/>
                <w:szCs w:val="15"/>
              </w:rPr>
            </w:pPr>
            <w:r>
              <w:rPr>
                <w:rFonts w:ascii="Times New Roman"/>
                <w:sz w:val="15"/>
              </w:rPr>
              <w:t>48,180.7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sz w:val="15"/>
              </w:rPr>
              <w:t>2011</w:t>
            </w:r>
          </w:p>
        </w:tc>
        <w:tc>
          <w:tcPr>
            <w:tcW w:w="658" w:type="dxa"/>
            <w:tcBorders>
              <w:top w:val="single" w:sz="4" w:space="0" w:color="000000"/>
              <w:left w:val="single" w:sz="4" w:space="0" w:color="000000"/>
              <w:bottom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196" w:lineRule="exact"/>
              <w:ind w:left="147"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7" w:lineRule="exact"/>
              <w:ind w:left="159"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40" w:right="0"/>
              <w:jc w:val="left"/>
              <w:rPr>
                <w:rFonts w:ascii="黑体" w:hAnsi="黑体" w:cs="黑体" w:eastAsia="黑体" w:hint="default"/>
                <w:sz w:val="18"/>
                <w:szCs w:val="18"/>
              </w:rPr>
            </w:pPr>
            <w:r>
              <w:rPr>
                <w:rFonts w:ascii="黑体" w:hAnsi="黑体" w:cs="黑体" w:eastAsia="黑体" w:hint="default"/>
                <w:sz w:val="18"/>
                <w:szCs w:val="18"/>
              </w:rPr>
              <w:t>否</w:t>
            </w:r>
          </w:p>
        </w:tc>
      </w:tr>
      <w:tr>
        <w:trPr>
          <w:trHeight w:val="400"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63" w:right="0" w:firstLine="1"/>
              <w:jc w:val="left"/>
              <w:rPr>
                <w:rFonts w:ascii="黑体" w:hAnsi="黑体" w:cs="黑体" w:eastAsia="黑体" w:hint="default"/>
                <w:sz w:val="15"/>
                <w:szCs w:val="15"/>
              </w:rPr>
            </w:pPr>
            <w:r>
              <w:rPr>
                <w:rFonts w:ascii="黑体" w:hAnsi="黑体" w:cs="黑体" w:eastAsia="黑体" w:hint="default"/>
                <w:sz w:val="15"/>
                <w:szCs w:val="15"/>
              </w:rPr>
              <w:t>无锡物流中</w:t>
            </w:r>
          </w:p>
          <w:p>
            <w:pPr>
              <w:pStyle w:val="TableParagraph"/>
              <w:spacing w:line="195" w:lineRule="exact"/>
              <w:ind w:left="163" w:right="0"/>
              <w:jc w:val="left"/>
              <w:rPr>
                <w:rFonts w:ascii="黑体" w:hAnsi="黑体" w:cs="黑体" w:eastAsia="黑体" w:hint="default"/>
                <w:sz w:val="15"/>
                <w:szCs w:val="15"/>
              </w:rPr>
            </w:pPr>
            <w:r>
              <w:rPr>
                <w:rFonts w:ascii="黑体" w:hAnsi="黑体" w:cs="黑体" w:eastAsia="黑体" w:hint="default"/>
                <w:sz w:val="15"/>
                <w:szCs w:val="15"/>
              </w:rPr>
              <w:t>心建设项目</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黑体" w:hAnsi="黑体" w:cs="黑体" w:eastAsia="黑体" w:hint="default"/>
                <w:sz w:val="15"/>
                <w:szCs w:val="15"/>
              </w:rPr>
            </w:pPr>
            <w:r>
              <w:rPr>
                <w:rFonts w:ascii="黑体" w:hAnsi="黑体" w:cs="黑体" w:eastAsia="黑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152,469.9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152,469.9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68,902.1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68,902.1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7" w:right="0"/>
              <w:jc w:val="center"/>
              <w:rPr>
                <w:rFonts w:ascii="Times New Roman" w:hAnsi="Times New Roman" w:cs="Times New Roman" w:eastAsia="Times New Roman" w:hint="default"/>
                <w:sz w:val="15"/>
                <w:szCs w:val="15"/>
              </w:rPr>
            </w:pPr>
            <w:r>
              <w:rPr>
                <w:rFonts w:ascii="Times New Roman"/>
                <w:sz w:val="15"/>
              </w:rPr>
              <w:t>68,902.1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sz w:val="15"/>
              </w:rPr>
              <w:t>2011</w:t>
            </w:r>
          </w:p>
        </w:tc>
        <w:tc>
          <w:tcPr>
            <w:tcW w:w="658" w:type="dxa"/>
            <w:tcBorders>
              <w:top w:val="single" w:sz="4" w:space="0" w:color="000000"/>
              <w:left w:val="single" w:sz="4" w:space="0" w:color="000000"/>
              <w:bottom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40" w:right="0"/>
              <w:jc w:val="left"/>
              <w:rPr>
                <w:rFonts w:ascii="黑体" w:hAnsi="黑体" w:cs="黑体" w:eastAsia="黑体" w:hint="default"/>
                <w:sz w:val="18"/>
                <w:szCs w:val="18"/>
              </w:rPr>
            </w:pPr>
            <w:r>
              <w:rPr>
                <w:rFonts w:ascii="黑体" w:hAnsi="黑体" w:cs="黑体" w:eastAsia="黑体" w:hint="default"/>
                <w:sz w:val="18"/>
                <w:szCs w:val="18"/>
              </w:rPr>
              <w:t>否</w:t>
            </w:r>
          </w:p>
        </w:tc>
      </w:tr>
      <w:tr>
        <w:trPr>
          <w:trHeight w:val="400"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63" w:right="0" w:firstLine="1"/>
              <w:jc w:val="left"/>
              <w:rPr>
                <w:rFonts w:ascii="黑体" w:hAnsi="黑体" w:cs="黑体" w:eastAsia="黑体" w:hint="default"/>
                <w:sz w:val="15"/>
                <w:szCs w:val="15"/>
              </w:rPr>
            </w:pPr>
            <w:r>
              <w:rPr>
                <w:rFonts w:ascii="黑体" w:hAnsi="黑体" w:cs="黑体" w:eastAsia="黑体" w:hint="default"/>
                <w:sz w:val="15"/>
                <w:szCs w:val="15"/>
              </w:rPr>
              <w:t>重庆物流中</w:t>
            </w:r>
          </w:p>
          <w:p>
            <w:pPr>
              <w:pStyle w:val="TableParagraph"/>
              <w:spacing w:line="195" w:lineRule="exact"/>
              <w:ind w:left="163" w:right="0"/>
              <w:jc w:val="left"/>
              <w:rPr>
                <w:rFonts w:ascii="黑体" w:hAnsi="黑体" w:cs="黑体" w:eastAsia="黑体" w:hint="default"/>
                <w:sz w:val="15"/>
                <w:szCs w:val="15"/>
              </w:rPr>
            </w:pPr>
            <w:r>
              <w:rPr>
                <w:rFonts w:ascii="黑体" w:hAnsi="黑体" w:cs="黑体" w:eastAsia="黑体" w:hint="default"/>
                <w:sz w:val="15"/>
                <w:szCs w:val="15"/>
              </w:rPr>
              <w:t>心建设项目</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黑体" w:hAnsi="黑体" w:cs="黑体" w:eastAsia="黑体" w:hint="default"/>
                <w:sz w:val="15"/>
                <w:szCs w:val="15"/>
              </w:rPr>
            </w:pPr>
            <w:r>
              <w:rPr>
                <w:rFonts w:ascii="黑体" w:hAnsi="黑体" w:cs="黑体" w:eastAsia="黑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166,697.0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166,697.0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62,933.5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62,933.5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7" w:right="0"/>
              <w:jc w:val="center"/>
              <w:rPr>
                <w:rFonts w:ascii="Times New Roman" w:hAnsi="Times New Roman" w:cs="Times New Roman" w:eastAsia="Times New Roman" w:hint="default"/>
                <w:sz w:val="15"/>
                <w:szCs w:val="15"/>
              </w:rPr>
            </w:pPr>
            <w:r>
              <w:rPr>
                <w:rFonts w:ascii="Times New Roman"/>
                <w:sz w:val="15"/>
              </w:rPr>
              <w:t>62,933.5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5"/>
                <w:szCs w:val="15"/>
              </w:rPr>
            </w:pPr>
            <w:r>
              <w:rPr>
                <w:rFonts w:ascii="Times New Roman"/>
                <w:sz w:val="15"/>
              </w:rPr>
              <w:t>2012</w:t>
            </w:r>
          </w:p>
        </w:tc>
        <w:tc>
          <w:tcPr>
            <w:tcW w:w="658" w:type="dxa"/>
            <w:tcBorders>
              <w:top w:val="single" w:sz="4" w:space="0" w:color="000000"/>
              <w:left w:val="single" w:sz="4" w:space="0" w:color="000000"/>
              <w:bottom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40" w:right="0"/>
              <w:jc w:val="left"/>
              <w:rPr>
                <w:rFonts w:ascii="黑体" w:hAnsi="黑体" w:cs="黑体" w:eastAsia="黑体" w:hint="default"/>
                <w:sz w:val="18"/>
                <w:szCs w:val="18"/>
              </w:rPr>
            </w:pPr>
            <w:r>
              <w:rPr>
                <w:rFonts w:ascii="黑体" w:hAnsi="黑体" w:cs="黑体" w:eastAsia="黑体" w:hint="default"/>
                <w:sz w:val="18"/>
                <w:szCs w:val="18"/>
              </w:rPr>
              <w:t>否</w:t>
            </w:r>
          </w:p>
        </w:tc>
      </w:tr>
      <w:tr>
        <w:trPr>
          <w:trHeight w:val="401"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3" w:right="0" w:firstLine="1"/>
              <w:jc w:val="left"/>
              <w:rPr>
                <w:rFonts w:ascii="黑体" w:hAnsi="黑体" w:cs="黑体" w:eastAsia="黑体" w:hint="default"/>
                <w:sz w:val="15"/>
                <w:szCs w:val="15"/>
              </w:rPr>
            </w:pPr>
            <w:r>
              <w:rPr>
                <w:rFonts w:ascii="黑体" w:hAnsi="黑体" w:cs="黑体" w:eastAsia="黑体" w:hint="default"/>
                <w:sz w:val="15"/>
                <w:szCs w:val="15"/>
              </w:rPr>
              <w:t>天津物流中</w:t>
            </w:r>
          </w:p>
          <w:p>
            <w:pPr>
              <w:pStyle w:val="TableParagraph"/>
              <w:spacing w:line="196" w:lineRule="exact"/>
              <w:ind w:left="163" w:right="0"/>
              <w:jc w:val="left"/>
              <w:rPr>
                <w:rFonts w:ascii="黑体" w:hAnsi="黑体" w:cs="黑体" w:eastAsia="黑体" w:hint="default"/>
                <w:sz w:val="15"/>
                <w:szCs w:val="15"/>
              </w:rPr>
            </w:pPr>
            <w:r>
              <w:rPr>
                <w:rFonts w:ascii="黑体" w:hAnsi="黑体" w:cs="黑体" w:eastAsia="黑体" w:hint="default"/>
                <w:sz w:val="15"/>
                <w:szCs w:val="15"/>
              </w:rPr>
              <w:t>心建设项目</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黑体" w:hAnsi="黑体" w:cs="黑体" w:eastAsia="黑体" w:hint="default"/>
                <w:sz w:val="15"/>
                <w:szCs w:val="15"/>
              </w:rPr>
            </w:pPr>
            <w:r>
              <w:rPr>
                <w:rFonts w:ascii="黑体" w:hAnsi="黑体" w:cs="黑体" w:eastAsia="黑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158,008.0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158,008.0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47,310.6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47,310.6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7" w:right="0"/>
              <w:jc w:val="center"/>
              <w:rPr>
                <w:rFonts w:ascii="Times New Roman" w:hAnsi="Times New Roman" w:cs="Times New Roman" w:eastAsia="Times New Roman" w:hint="default"/>
                <w:sz w:val="15"/>
                <w:szCs w:val="15"/>
              </w:rPr>
            </w:pPr>
            <w:r>
              <w:rPr>
                <w:rFonts w:ascii="Times New Roman"/>
                <w:sz w:val="15"/>
              </w:rPr>
              <w:t>47,310.6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sz w:val="15"/>
              </w:rPr>
              <w:t>2011</w:t>
            </w:r>
          </w:p>
        </w:tc>
        <w:tc>
          <w:tcPr>
            <w:tcW w:w="658" w:type="dxa"/>
            <w:tcBorders>
              <w:top w:val="single" w:sz="4" w:space="0" w:color="000000"/>
              <w:left w:val="single" w:sz="4" w:space="0" w:color="000000"/>
              <w:bottom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40" w:right="0"/>
              <w:jc w:val="left"/>
              <w:rPr>
                <w:rFonts w:ascii="黑体" w:hAnsi="黑体" w:cs="黑体" w:eastAsia="黑体" w:hint="default"/>
                <w:sz w:val="18"/>
                <w:szCs w:val="18"/>
              </w:rPr>
            </w:pPr>
            <w:r>
              <w:rPr>
                <w:rFonts w:ascii="黑体" w:hAnsi="黑体" w:cs="黑体" w:eastAsia="黑体" w:hint="default"/>
                <w:sz w:val="18"/>
                <w:szCs w:val="18"/>
              </w:rPr>
              <w:t>否</w:t>
            </w:r>
          </w:p>
        </w:tc>
      </w:tr>
      <w:tr>
        <w:trPr>
          <w:trHeight w:val="400"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63" w:right="0" w:firstLine="1"/>
              <w:jc w:val="left"/>
              <w:rPr>
                <w:rFonts w:ascii="黑体" w:hAnsi="黑体" w:cs="黑体" w:eastAsia="黑体" w:hint="default"/>
                <w:sz w:val="15"/>
                <w:szCs w:val="15"/>
              </w:rPr>
            </w:pPr>
            <w:r>
              <w:rPr>
                <w:rFonts w:ascii="黑体" w:hAnsi="黑体" w:cs="黑体" w:eastAsia="黑体" w:hint="default"/>
                <w:sz w:val="15"/>
                <w:szCs w:val="15"/>
              </w:rPr>
              <w:t>徐州物流中</w:t>
            </w:r>
          </w:p>
          <w:p>
            <w:pPr>
              <w:pStyle w:val="TableParagraph"/>
              <w:spacing w:line="195" w:lineRule="exact"/>
              <w:ind w:left="163" w:right="0"/>
              <w:jc w:val="left"/>
              <w:rPr>
                <w:rFonts w:ascii="黑体" w:hAnsi="黑体" w:cs="黑体" w:eastAsia="黑体" w:hint="default"/>
                <w:sz w:val="15"/>
                <w:szCs w:val="15"/>
              </w:rPr>
            </w:pPr>
            <w:r>
              <w:rPr>
                <w:rFonts w:ascii="黑体" w:hAnsi="黑体" w:cs="黑体" w:eastAsia="黑体" w:hint="default"/>
                <w:sz w:val="15"/>
                <w:szCs w:val="15"/>
              </w:rPr>
              <w:t>心建设项目</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黑体" w:hAnsi="黑体" w:cs="黑体" w:eastAsia="黑体" w:hint="default"/>
                <w:sz w:val="15"/>
                <w:szCs w:val="15"/>
              </w:rPr>
            </w:pPr>
            <w:r>
              <w:rPr>
                <w:rFonts w:ascii="黑体" w:hAnsi="黑体" w:cs="黑体" w:eastAsia="黑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2"/>
                <w:sz w:val="15"/>
              </w:rPr>
              <w:t>113,994.0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2"/>
                <w:sz w:val="15"/>
              </w:rPr>
              <w:t>113,994.0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20,151.7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20,151.7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7" w:right="0"/>
              <w:jc w:val="center"/>
              <w:rPr>
                <w:rFonts w:ascii="Times New Roman" w:hAnsi="Times New Roman" w:cs="Times New Roman" w:eastAsia="Times New Roman" w:hint="default"/>
                <w:sz w:val="15"/>
                <w:szCs w:val="15"/>
              </w:rPr>
            </w:pPr>
            <w:r>
              <w:rPr>
                <w:rFonts w:ascii="Times New Roman"/>
                <w:sz w:val="15"/>
              </w:rPr>
              <w:t>20,151.7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5"/>
                <w:szCs w:val="15"/>
              </w:rPr>
            </w:pPr>
            <w:r>
              <w:rPr>
                <w:rFonts w:ascii="Times New Roman"/>
                <w:sz w:val="15"/>
              </w:rPr>
              <w:t>2012</w:t>
            </w:r>
          </w:p>
        </w:tc>
        <w:tc>
          <w:tcPr>
            <w:tcW w:w="658" w:type="dxa"/>
            <w:tcBorders>
              <w:top w:val="single" w:sz="4" w:space="0" w:color="000000"/>
              <w:left w:val="single" w:sz="4" w:space="0" w:color="000000"/>
              <w:bottom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40" w:right="0"/>
              <w:jc w:val="left"/>
              <w:rPr>
                <w:rFonts w:ascii="黑体" w:hAnsi="黑体" w:cs="黑体" w:eastAsia="黑体" w:hint="default"/>
                <w:sz w:val="18"/>
                <w:szCs w:val="18"/>
              </w:rPr>
            </w:pPr>
            <w:r>
              <w:rPr>
                <w:rFonts w:ascii="黑体" w:hAnsi="黑体" w:cs="黑体" w:eastAsia="黑体" w:hint="default"/>
                <w:sz w:val="18"/>
                <w:szCs w:val="18"/>
              </w:rPr>
              <w:t>否</w:t>
            </w:r>
          </w:p>
        </w:tc>
      </w:tr>
      <w:tr>
        <w:trPr>
          <w:trHeight w:val="595"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64" w:right="0"/>
              <w:jc w:val="left"/>
              <w:rPr>
                <w:rFonts w:ascii="黑体" w:hAnsi="黑体" w:cs="黑体" w:eastAsia="黑体" w:hint="default"/>
                <w:sz w:val="15"/>
                <w:szCs w:val="15"/>
              </w:rPr>
            </w:pPr>
            <w:r>
              <w:rPr>
                <w:rFonts w:ascii="黑体" w:hAnsi="黑体" w:cs="黑体" w:eastAsia="黑体" w:hint="default"/>
                <w:sz w:val="15"/>
                <w:szCs w:val="15"/>
              </w:rPr>
              <w:t>北京物流中</w:t>
            </w:r>
          </w:p>
          <w:p>
            <w:pPr>
              <w:pStyle w:val="TableParagraph"/>
              <w:spacing w:line="240" w:lineRule="auto"/>
              <w:ind w:left="388" w:right="162" w:hanging="225"/>
              <w:jc w:val="left"/>
              <w:rPr>
                <w:rFonts w:ascii="黑体" w:hAnsi="黑体" w:cs="黑体" w:eastAsia="黑体" w:hint="default"/>
                <w:sz w:val="15"/>
                <w:szCs w:val="15"/>
              </w:rPr>
            </w:pPr>
            <w:r>
              <w:rPr>
                <w:rFonts w:ascii="黑体" w:hAnsi="黑体" w:cs="黑体" w:eastAsia="黑体" w:hint="default"/>
                <w:sz w:val="15"/>
                <w:szCs w:val="15"/>
              </w:rPr>
              <w:t>心建设二期 项目</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黑体" w:hAnsi="黑体" w:cs="黑体" w:eastAsia="黑体" w:hint="default"/>
                <w:sz w:val="15"/>
                <w:szCs w:val="15"/>
              </w:rPr>
            </w:pPr>
            <w:r>
              <w:rPr>
                <w:rFonts w:ascii="黑体" w:hAnsi="黑体" w:cs="黑体" w:eastAsia="黑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267,208.0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267,208.0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92,395.5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92,395.5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7" w:right="0"/>
              <w:jc w:val="center"/>
              <w:rPr>
                <w:rFonts w:ascii="Times New Roman" w:hAnsi="Times New Roman" w:cs="Times New Roman" w:eastAsia="Times New Roman" w:hint="default"/>
                <w:sz w:val="15"/>
                <w:szCs w:val="15"/>
              </w:rPr>
            </w:pPr>
            <w:r>
              <w:rPr>
                <w:rFonts w:ascii="Times New Roman"/>
                <w:sz w:val="15"/>
              </w:rPr>
              <w:t>92,395.5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2012</w:t>
            </w:r>
          </w:p>
        </w:tc>
        <w:tc>
          <w:tcPr>
            <w:tcW w:w="658" w:type="dxa"/>
            <w:tcBorders>
              <w:top w:val="single" w:sz="4" w:space="0" w:color="000000"/>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0" w:right="0"/>
              <w:jc w:val="left"/>
              <w:rPr>
                <w:rFonts w:ascii="黑体" w:hAnsi="黑体" w:cs="黑体" w:eastAsia="黑体" w:hint="default"/>
                <w:sz w:val="18"/>
                <w:szCs w:val="18"/>
              </w:rPr>
            </w:pPr>
            <w:r>
              <w:rPr>
                <w:rFonts w:ascii="黑体" w:hAnsi="黑体" w:cs="黑体" w:eastAsia="黑体" w:hint="default"/>
                <w:sz w:val="18"/>
                <w:szCs w:val="18"/>
              </w:rPr>
              <w:t>否</w:t>
            </w:r>
          </w:p>
        </w:tc>
      </w:tr>
      <w:tr>
        <w:trPr>
          <w:trHeight w:val="400"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0"/>
              <w:jc w:val="center"/>
              <w:rPr>
                <w:rFonts w:ascii="黑体" w:hAnsi="黑体" w:cs="黑体" w:eastAsia="黑体" w:hint="default"/>
                <w:sz w:val="15"/>
                <w:szCs w:val="15"/>
              </w:rPr>
            </w:pPr>
            <w:r>
              <w:rPr>
                <w:rFonts w:ascii="黑体" w:hAnsi="黑体" w:cs="黑体" w:eastAsia="黑体" w:hint="default"/>
                <w:sz w:val="15"/>
                <w:szCs w:val="15"/>
              </w:rPr>
              <w:t>补充流动资</w:t>
            </w:r>
          </w:p>
          <w:p>
            <w:pPr>
              <w:pStyle w:val="TableParagraph"/>
              <w:spacing w:line="195" w:lineRule="exact"/>
              <w:ind w:right="0"/>
              <w:jc w:val="center"/>
              <w:rPr>
                <w:rFonts w:ascii="黑体" w:hAnsi="黑体" w:cs="黑体" w:eastAsia="黑体" w:hint="default"/>
                <w:sz w:val="15"/>
                <w:szCs w:val="15"/>
              </w:rPr>
            </w:pPr>
            <w:r>
              <w:rPr>
                <w:rFonts w:ascii="黑体" w:hAnsi="黑体" w:cs="黑体" w:eastAsia="黑体" w:hint="default"/>
                <w:sz w:val="15"/>
                <w:szCs w:val="15"/>
              </w:rPr>
              <w:t>金项目</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黑体" w:hAnsi="黑体" w:cs="黑体" w:eastAsia="黑体" w:hint="default"/>
                <w:sz w:val="15"/>
                <w:szCs w:val="15"/>
              </w:rPr>
            </w:pPr>
            <w:r>
              <w:rPr>
                <w:rFonts w:ascii="黑体" w:hAnsi="黑体" w:cs="黑体" w:eastAsia="黑体" w:hint="default"/>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390,000.0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390,000.0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193,794.6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193,794.6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2" w:right="0"/>
              <w:jc w:val="center"/>
              <w:rPr>
                <w:rFonts w:ascii="Times New Roman" w:hAnsi="Times New Roman" w:cs="Times New Roman" w:eastAsia="Times New Roman" w:hint="default"/>
                <w:sz w:val="15"/>
                <w:szCs w:val="15"/>
              </w:rPr>
            </w:pPr>
            <w:r>
              <w:rPr>
                <w:rFonts w:ascii="Times New Roman"/>
                <w:sz w:val="15"/>
              </w:rPr>
              <w:t>193,794.6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5"/>
                <w:szCs w:val="15"/>
              </w:rPr>
            </w:pPr>
            <w:r>
              <w:rPr>
                <w:rFonts w:ascii="Times New Roman"/>
                <w:sz w:val="15"/>
              </w:rPr>
              <w:t>2011</w:t>
            </w:r>
          </w:p>
        </w:tc>
        <w:tc>
          <w:tcPr>
            <w:tcW w:w="65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14"/>
                <w:sz w:val="15"/>
                <w:szCs w:val="15"/>
              </w:rPr>
              <w:t>不适用</w:t>
            </w:r>
            <w:r>
              <w:rPr>
                <w:rFonts w:ascii="宋体" w:hAnsi="宋体" w:cs="宋体" w:eastAsia="宋体" w:hint="default"/>
                <w:spacing w:val="-54"/>
                <w:sz w:val="15"/>
                <w:szCs w:val="15"/>
              </w:rPr>
              <w:t> </w:t>
            </w:r>
            <w:r>
              <w:rPr>
                <w:rFonts w:ascii="宋体" w:hAnsi="宋体" w:cs="宋体" w:eastAsia="宋体" w:hint="default"/>
                <w:sz w:val="15"/>
                <w:szCs w:val="15"/>
              </w:rPr>
            </w:r>
          </w:p>
          <w:p>
            <w:pPr>
              <w:pStyle w:val="TableParagraph"/>
              <w:spacing w:line="207" w:lineRule="exact"/>
              <w:ind w:left="10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11)</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40" w:right="0"/>
              <w:jc w:val="left"/>
              <w:rPr>
                <w:rFonts w:ascii="黑体" w:hAnsi="黑体" w:cs="黑体" w:eastAsia="黑体" w:hint="default"/>
                <w:sz w:val="18"/>
                <w:szCs w:val="18"/>
              </w:rPr>
            </w:pPr>
            <w:r>
              <w:rPr>
                <w:rFonts w:ascii="黑体" w:hAnsi="黑体" w:cs="黑体" w:eastAsia="黑体" w:hint="default"/>
                <w:sz w:val="18"/>
                <w:szCs w:val="18"/>
              </w:rPr>
              <w:t>否</w:t>
            </w:r>
          </w:p>
        </w:tc>
      </w:tr>
      <w:tr>
        <w:trPr>
          <w:trHeight w:val="595"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4" w:right="0"/>
              <w:jc w:val="left"/>
              <w:rPr>
                <w:rFonts w:ascii="黑体" w:hAnsi="黑体" w:cs="黑体" w:eastAsia="黑体" w:hint="default"/>
                <w:sz w:val="15"/>
                <w:szCs w:val="15"/>
              </w:rPr>
            </w:pPr>
            <w:r>
              <w:rPr>
                <w:rFonts w:ascii="黑体" w:hAnsi="黑体" w:cs="黑体" w:eastAsia="黑体" w:hint="default"/>
                <w:sz w:val="15"/>
                <w:szCs w:val="15"/>
              </w:rPr>
              <w:t>超额募集资</w:t>
            </w:r>
          </w:p>
          <w:p>
            <w:pPr>
              <w:pStyle w:val="TableParagraph"/>
              <w:spacing w:line="240" w:lineRule="auto"/>
              <w:ind w:left="238" w:right="162" w:hanging="75"/>
              <w:jc w:val="left"/>
              <w:rPr>
                <w:rFonts w:ascii="黑体" w:hAnsi="黑体" w:cs="黑体" w:eastAsia="黑体" w:hint="default"/>
                <w:sz w:val="15"/>
                <w:szCs w:val="15"/>
              </w:rPr>
            </w:pPr>
            <w:r>
              <w:rPr>
                <w:rFonts w:ascii="黑体" w:hAnsi="黑体" w:cs="黑体" w:eastAsia="黑体" w:hint="default"/>
                <w:sz w:val="15"/>
                <w:szCs w:val="15"/>
              </w:rPr>
              <w:t>金补充公司 流动资金</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1"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199,642.3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199,642.3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199,642.3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199,642.3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1" w:right="0"/>
              <w:jc w:val="center"/>
              <w:rPr>
                <w:rFonts w:ascii="Times New Roman" w:hAnsi="Times New Roman" w:cs="Times New Roman" w:eastAsia="Times New Roman" w:hint="default"/>
                <w:sz w:val="15"/>
                <w:szCs w:val="15"/>
              </w:rPr>
            </w:pPr>
            <w:r>
              <w:rPr>
                <w:rFonts w:ascii="Times New Roman"/>
                <w:sz w:val="15"/>
              </w:rPr>
              <w:t>199,642.3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5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1"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黑体" w:hAnsi="黑体" w:cs="黑体" w:eastAsia="黑体" w:hint="default"/>
                <w:sz w:val="15"/>
                <w:szCs w:val="15"/>
              </w:rPr>
            </w:pPr>
            <w:r>
              <w:rPr>
                <w:rFonts w:ascii="黑体" w:hAnsi="黑体" w:cs="黑体" w:eastAsia="黑体" w:hint="default"/>
                <w:sz w:val="15"/>
                <w:szCs w:val="15"/>
              </w:rPr>
              <w:t>合计</w:t>
            </w:r>
          </w:p>
        </w:tc>
        <w:tc>
          <w:tcPr>
            <w:tcW w:w="36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spacing w:val="-1"/>
                <w:sz w:val="15"/>
              </w:rPr>
              <w:t>3,000,000.0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spacing w:val="-1"/>
                <w:sz w:val="15"/>
              </w:rPr>
              <w:t>3,000,000.0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spacing w:val="-1"/>
                <w:sz w:val="15"/>
              </w:rPr>
              <w:t>974,522.7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spacing w:val="-1"/>
                <w:sz w:val="15"/>
              </w:rPr>
              <w:t>974,522.7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2" w:right="0"/>
              <w:jc w:val="center"/>
              <w:rPr>
                <w:rFonts w:ascii="Times New Roman" w:hAnsi="Times New Roman" w:cs="Times New Roman" w:eastAsia="Times New Roman" w:hint="default"/>
                <w:sz w:val="15"/>
                <w:szCs w:val="15"/>
              </w:rPr>
            </w:pPr>
            <w:r>
              <w:rPr>
                <w:rFonts w:ascii="Times New Roman"/>
                <w:sz w:val="15"/>
              </w:rPr>
              <w:t>974,522.7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9" w:right="0"/>
              <w:jc w:val="left"/>
              <w:rPr>
                <w:rFonts w:ascii="Times New Roman" w:hAnsi="Times New Roman" w:cs="Times New Roman" w:eastAsia="Times New Roman" w:hint="default"/>
                <w:sz w:val="15"/>
                <w:szCs w:val="15"/>
              </w:rPr>
            </w:pPr>
            <w:r>
              <w:rPr>
                <w:rFonts w:ascii="Times New Roman"/>
                <w:sz w:val="15"/>
              </w:rPr>
              <w:t>58,501.8</w:t>
            </w:r>
          </w:p>
        </w:tc>
        <w:tc>
          <w:tcPr>
            <w:tcW w:w="70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351" w:type="dxa"/>
            <w:gridSpan w:val="3"/>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2"/>
                <w:sz w:val="15"/>
                <w:szCs w:val="15"/>
              </w:rPr>
              <w:t>未达到计划进度或预计收益的情</w:t>
            </w:r>
            <w:r>
              <w:rPr>
                <w:rFonts w:ascii="宋体" w:hAnsi="宋体" w:cs="宋体" w:eastAsia="宋体" w:hint="default"/>
                <w:sz w:val="15"/>
                <w:szCs w:val="15"/>
              </w:rPr>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况及原因（分具体项目）</w:t>
            </w:r>
          </w:p>
        </w:tc>
        <w:tc>
          <w:tcPr>
            <w:tcW w:w="778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73" w:hRule="exact"/>
        </w:trPr>
        <w:tc>
          <w:tcPr>
            <w:tcW w:w="23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101"/>
              <w:jc w:val="left"/>
              <w:rPr>
                <w:rFonts w:ascii="宋体" w:hAnsi="宋体" w:cs="宋体" w:eastAsia="宋体" w:hint="default"/>
                <w:sz w:val="15"/>
                <w:szCs w:val="15"/>
              </w:rPr>
            </w:pPr>
            <w:r>
              <w:rPr>
                <w:rFonts w:ascii="宋体" w:hAnsi="宋体" w:cs="宋体" w:eastAsia="宋体" w:hint="default"/>
                <w:spacing w:val="2"/>
                <w:sz w:val="15"/>
                <w:szCs w:val="15"/>
              </w:rPr>
              <w:t>项目可行性发生重大变化的情况 </w:t>
            </w:r>
            <w:r>
              <w:rPr>
                <w:rFonts w:ascii="宋体" w:hAnsi="宋体" w:cs="宋体" w:eastAsia="宋体" w:hint="default"/>
                <w:sz w:val="15"/>
                <w:szCs w:val="15"/>
              </w:rPr>
              <w:t>说明</w:t>
            </w:r>
          </w:p>
        </w:tc>
        <w:tc>
          <w:tcPr>
            <w:tcW w:w="778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791" w:hRule="exact"/>
        </w:trPr>
        <w:tc>
          <w:tcPr>
            <w:tcW w:w="23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pacing w:val="2"/>
                <w:sz w:val="15"/>
                <w:szCs w:val="15"/>
              </w:rPr>
              <w:t>超募集资金的金额、用途及使用 </w:t>
            </w:r>
            <w:r>
              <w:rPr>
                <w:rFonts w:ascii="宋体" w:hAnsi="宋体" w:cs="宋体" w:eastAsia="宋体" w:hint="default"/>
                <w:sz w:val="15"/>
                <w:szCs w:val="15"/>
              </w:rPr>
              <w:t>进展情况</w:t>
            </w:r>
          </w:p>
        </w:tc>
        <w:tc>
          <w:tcPr>
            <w:tcW w:w="7780" w:type="dxa"/>
            <w:gridSpan w:val="10"/>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both"/>
              <w:rPr>
                <w:rFonts w:ascii="宋体" w:hAnsi="宋体" w:cs="宋体" w:eastAsia="宋体" w:hint="default"/>
                <w:sz w:val="15"/>
                <w:szCs w:val="15"/>
              </w:rPr>
            </w:pPr>
            <w:r>
              <w:rPr>
                <w:rFonts w:ascii="宋体" w:hAnsi="宋体" w:cs="宋体" w:eastAsia="宋体" w:hint="default"/>
                <w:sz w:val="15"/>
                <w:szCs w:val="15"/>
              </w:rPr>
              <w:t>经公司</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1"/>
                <w:sz w:val="15"/>
                <w:szCs w:val="15"/>
              </w:rPr>
              <w:t>0</w:t>
            </w:r>
            <w:r>
              <w:rPr>
                <w:rFonts w:ascii="Times New Roman" w:hAnsi="Times New Roman" w:cs="Times New Roman" w:eastAsia="Times New Roman" w:hint="default"/>
                <w:sz w:val="15"/>
                <w:szCs w:val="15"/>
              </w:rPr>
              <w:t>9 </w:t>
            </w:r>
            <w:r>
              <w:rPr>
                <w:rFonts w:ascii="宋体" w:hAnsi="宋体" w:cs="宋体" w:eastAsia="宋体" w:hint="default"/>
                <w:sz w:val="15"/>
                <w:szCs w:val="15"/>
              </w:rPr>
              <w:t>年</w:t>
            </w:r>
            <w:r>
              <w:rPr>
                <w:rFonts w:ascii="宋体" w:hAnsi="宋体" w:cs="宋体" w:eastAsia="宋体" w:hint="default"/>
                <w:spacing w:val="-2"/>
                <w:sz w:val="15"/>
                <w:szCs w:val="15"/>
              </w:rPr>
              <w:t>第</w:t>
            </w:r>
            <w:r>
              <w:rPr>
                <w:rFonts w:ascii="宋体" w:hAnsi="宋体" w:cs="宋体" w:eastAsia="宋体" w:hint="default"/>
                <w:sz w:val="15"/>
                <w:szCs w:val="15"/>
              </w:rPr>
              <w:t>二次临时股东大会审议通过</w:t>
            </w:r>
            <w:r>
              <w:rPr>
                <w:rFonts w:ascii="宋体" w:hAnsi="宋体" w:cs="宋体" w:eastAsia="宋体" w:hint="default"/>
                <w:spacing w:val="-6"/>
                <w:sz w:val="15"/>
                <w:szCs w:val="15"/>
              </w:rPr>
              <w:t>的</w:t>
            </w:r>
            <w:r>
              <w:rPr>
                <w:rFonts w:ascii="宋体" w:hAnsi="宋体" w:cs="宋体" w:eastAsia="宋体" w:hint="default"/>
                <w:sz w:val="15"/>
                <w:szCs w:val="15"/>
              </w:rPr>
              <w:t>《关于公司</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1"/>
                <w:sz w:val="15"/>
                <w:szCs w:val="15"/>
              </w:rPr>
              <w:t>0</w:t>
            </w:r>
            <w:r>
              <w:rPr>
                <w:rFonts w:ascii="Times New Roman" w:hAnsi="Times New Roman" w:cs="Times New Roman" w:eastAsia="Times New Roman" w:hint="default"/>
                <w:sz w:val="15"/>
                <w:szCs w:val="15"/>
              </w:rPr>
              <w:t>9 </w:t>
            </w:r>
            <w:r>
              <w:rPr>
                <w:rFonts w:ascii="宋体" w:hAnsi="宋体" w:cs="宋体" w:eastAsia="宋体" w:hint="default"/>
                <w:sz w:val="15"/>
                <w:szCs w:val="15"/>
              </w:rPr>
              <w:t>年非</w:t>
            </w:r>
            <w:r>
              <w:rPr>
                <w:rFonts w:ascii="宋体" w:hAnsi="宋体" w:cs="宋体" w:eastAsia="宋体" w:hint="default"/>
                <w:spacing w:val="-2"/>
                <w:sz w:val="15"/>
                <w:szCs w:val="15"/>
              </w:rPr>
              <w:t>公</w:t>
            </w:r>
            <w:r>
              <w:rPr>
                <w:rFonts w:ascii="宋体" w:hAnsi="宋体" w:cs="宋体" w:eastAsia="宋体" w:hint="default"/>
                <w:sz w:val="15"/>
                <w:szCs w:val="15"/>
              </w:rPr>
              <w:t>开发行股票方案的议案</w:t>
            </w:r>
            <w:r>
              <w:rPr>
                <w:rFonts w:ascii="宋体" w:hAnsi="宋体" w:cs="宋体" w:eastAsia="宋体" w:hint="default"/>
                <w:spacing w:val="-75"/>
                <w:sz w:val="15"/>
                <w:szCs w:val="15"/>
              </w:rPr>
              <w:t>》</w:t>
            </w:r>
            <w:r>
              <w:rPr>
                <w:rFonts w:ascii="宋体" w:hAnsi="宋体" w:cs="宋体" w:eastAsia="宋体" w:hint="default"/>
                <w:spacing w:val="-6"/>
                <w:sz w:val="15"/>
                <w:szCs w:val="15"/>
              </w:rPr>
              <w:t>，</w:t>
            </w:r>
            <w:r>
              <w:rPr>
                <w:rFonts w:ascii="宋体" w:hAnsi="宋体" w:cs="宋体" w:eastAsia="宋体" w:hint="default"/>
                <w:sz w:val="15"/>
                <w:szCs w:val="15"/>
              </w:rPr>
              <w:t>本次非</w:t>
            </w:r>
            <w:r>
              <w:rPr>
                <w:rFonts w:ascii="宋体" w:hAnsi="宋体" w:cs="宋体" w:eastAsia="宋体" w:hint="default"/>
                <w:spacing w:val="-2"/>
                <w:sz w:val="15"/>
                <w:szCs w:val="15"/>
              </w:rPr>
              <w:t>公</w:t>
            </w:r>
            <w:r>
              <w:rPr>
                <w:rFonts w:ascii="宋体" w:hAnsi="宋体" w:cs="宋体" w:eastAsia="宋体" w:hint="default"/>
                <w:sz w:val="15"/>
                <w:szCs w:val="15"/>
              </w:rPr>
              <w:t>开发行股</w:t>
            </w:r>
          </w:p>
          <w:p>
            <w:pPr>
              <w:pStyle w:val="TableParagraph"/>
              <w:spacing w:line="232" w:lineRule="auto"/>
              <w:ind w:left="103" w:right="101"/>
              <w:jc w:val="both"/>
              <w:rPr>
                <w:rFonts w:ascii="宋体" w:hAnsi="宋体" w:cs="宋体" w:eastAsia="宋体" w:hint="default"/>
                <w:sz w:val="15"/>
                <w:szCs w:val="15"/>
              </w:rPr>
            </w:pPr>
            <w:r>
              <w:rPr>
                <w:rFonts w:ascii="宋体" w:hAnsi="宋体" w:cs="宋体" w:eastAsia="宋体" w:hint="default"/>
                <w:sz w:val="15"/>
                <w:szCs w:val="15"/>
              </w:rPr>
              <w:t>票实际募集资金超过募集资金项目计划使用募集资金投入的部分，将用于补充公司营运资金，不足部分将由公司自</w:t>
            </w:r>
            <w:r>
              <w:rPr>
                <w:rFonts w:ascii="宋体" w:hAnsi="宋体" w:cs="宋体" w:eastAsia="宋体" w:hint="default"/>
                <w:spacing w:val="-23"/>
                <w:sz w:val="15"/>
                <w:szCs w:val="15"/>
              </w:rPr>
              <w:t> </w:t>
            </w:r>
            <w:r>
              <w:rPr>
                <w:rFonts w:ascii="宋体" w:hAnsi="宋体" w:cs="宋体" w:eastAsia="宋体" w:hint="default"/>
                <w:spacing w:val="-23"/>
                <w:sz w:val="15"/>
                <w:szCs w:val="15"/>
              </w:rPr>
            </w:r>
            <w:r>
              <w:rPr>
                <w:rFonts w:ascii="宋体" w:hAnsi="宋体" w:cs="宋体" w:eastAsia="宋体" w:hint="default"/>
                <w:sz w:val="15"/>
                <w:szCs w:val="15"/>
              </w:rPr>
              <w:t>筹解决。公司</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年非公开发行募集资金超过项目计划使用募集资金</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199,642,295.45</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元。已于报告期内用于补充公 司的营运资金。</w:t>
            </w:r>
          </w:p>
        </w:tc>
      </w:tr>
      <w:tr>
        <w:trPr>
          <w:trHeight w:val="400" w:hRule="exact"/>
        </w:trPr>
        <w:tc>
          <w:tcPr>
            <w:tcW w:w="2351" w:type="dxa"/>
            <w:gridSpan w:val="3"/>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2"/>
                <w:sz w:val="15"/>
                <w:szCs w:val="15"/>
              </w:rPr>
              <w:t>募集资金投资项目实施地点变更</w:t>
            </w:r>
            <w:r>
              <w:rPr>
                <w:rFonts w:ascii="宋体" w:hAnsi="宋体" w:cs="宋体" w:eastAsia="宋体" w:hint="default"/>
                <w:sz w:val="15"/>
                <w:szCs w:val="15"/>
              </w:rPr>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情况</w:t>
            </w:r>
          </w:p>
        </w:tc>
        <w:tc>
          <w:tcPr>
            <w:tcW w:w="778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详见下文第</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4 </w:t>
            </w:r>
            <w:r>
              <w:rPr>
                <w:rFonts w:ascii="宋体" w:hAnsi="宋体" w:cs="宋体" w:eastAsia="宋体" w:hint="default"/>
                <w:sz w:val="15"/>
                <w:szCs w:val="15"/>
              </w:rPr>
              <w:t>点内容</w:t>
            </w:r>
          </w:p>
        </w:tc>
      </w:tr>
      <w:tr>
        <w:trPr>
          <w:trHeight w:val="400" w:hRule="exact"/>
        </w:trPr>
        <w:tc>
          <w:tcPr>
            <w:tcW w:w="2351" w:type="dxa"/>
            <w:gridSpan w:val="3"/>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2"/>
                <w:sz w:val="15"/>
                <w:szCs w:val="15"/>
              </w:rPr>
              <w:t>募集资金投资项目实施方式调整</w:t>
            </w:r>
            <w:r>
              <w:rPr>
                <w:rFonts w:ascii="宋体" w:hAnsi="宋体" w:cs="宋体" w:eastAsia="宋体" w:hint="default"/>
                <w:sz w:val="15"/>
                <w:szCs w:val="15"/>
              </w:rPr>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情况</w:t>
            </w:r>
          </w:p>
        </w:tc>
        <w:tc>
          <w:tcPr>
            <w:tcW w:w="778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1" w:hRule="exact"/>
        </w:trPr>
        <w:tc>
          <w:tcPr>
            <w:tcW w:w="2351" w:type="dxa"/>
            <w:gridSpan w:val="3"/>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2"/>
                <w:sz w:val="15"/>
                <w:szCs w:val="15"/>
              </w:rPr>
              <w:t>募集资金投资项目先期投入及置</w:t>
            </w:r>
            <w:r>
              <w:rPr>
                <w:rFonts w:ascii="宋体" w:hAnsi="宋体" w:cs="宋体" w:eastAsia="宋体" w:hint="default"/>
                <w:sz w:val="15"/>
                <w:szCs w:val="15"/>
              </w:rPr>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换情况</w:t>
            </w:r>
          </w:p>
        </w:tc>
        <w:tc>
          <w:tcPr>
            <w:tcW w:w="778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详见下文第</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5 </w:t>
            </w:r>
            <w:r>
              <w:rPr>
                <w:rFonts w:ascii="宋体" w:hAnsi="宋体" w:cs="宋体" w:eastAsia="宋体" w:hint="default"/>
                <w:sz w:val="15"/>
                <w:szCs w:val="15"/>
              </w:rPr>
              <w:t>点内容</w:t>
            </w:r>
          </w:p>
        </w:tc>
      </w:tr>
      <w:tr>
        <w:trPr>
          <w:trHeight w:val="400" w:hRule="exact"/>
        </w:trPr>
        <w:tc>
          <w:tcPr>
            <w:tcW w:w="2351" w:type="dxa"/>
            <w:gridSpan w:val="3"/>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2"/>
                <w:sz w:val="15"/>
                <w:szCs w:val="15"/>
              </w:rPr>
              <w:t>用闲置募集资金暂时补充流动资</w:t>
            </w:r>
            <w:r>
              <w:rPr>
                <w:rFonts w:ascii="宋体" w:hAnsi="宋体" w:cs="宋体" w:eastAsia="宋体" w:hint="default"/>
                <w:sz w:val="15"/>
                <w:szCs w:val="15"/>
              </w:rPr>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金情况</w:t>
            </w:r>
          </w:p>
        </w:tc>
        <w:tc>
          <w:tcPr>
            <w:tcW w:w="778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0" w:hRule="exact"/>
        </w:trPr>
        <w:tc>
          <w:tcPr>
            <w:tcW w:w="2351" w:type="dxa"/>
            <w:gridSpan w:val="3"/>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2"/>
                <w:sz w:val="15"/>
                <w:szCs w:val="15"/>
              </w:rPr>
              <w:t>项目实施出现募集资金结余的金</w:t>
            </w:r>
            <w:r>
              <w:rPr>
                <w:rFonts w:ascii="宋体" w:hAnsi="宋体" w:cs="宋体" w:eastAsia="宋体" w:hint="default"/>
                <w:sz w:val="15"/>
                <w:szCs w:val="15"/>
              </w:rPr>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额及原因</w:t>
            </w:r>
          </w:p>
        </w:tc>
        <w:tc>
          <w:tcPr>
            <w:tcW w:w="778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595" w:hRule="exact"/>
        </w:trPr>
        <w:tc>
          <w:tcPr>
            <w:tcW w:w="23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尚未使用的募集资金用途及去向</w:t>
            </w:r>
          </w:p>
        </w:tc>
        <w:tc>
          <w:tcPr>
            <w:tcW w:w="7780" w:type="dxa"/>
            <w:gridSpan w:val="10"/>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公司尚未使用的募集资金将主要用于连锁店发展项目及各物流中心项目的建设。公司将尚未使用的募集资金存放于</w:t>
            </w:r>
          </w:p>
          <w:p>
            <w:pPr>
              <w:pStyle w:val="TableParagraph"/>
              <w:spacing w:line="194" w:lineRule="exact" w:before="19"/>
              <w:ind w:left="103" w:right="101"/>
              <w:jc w:val="left"/>
              <w:rPr>
                <w:rFonts w:ascii="宋体" w:hAnsi="宋体" w:cs="宋体" w:eastAsia="宋体" w:hint="default"/>
                <w:sz w:val="15"/>
                <w:szCs w:val="15"/>
              </w:rPr>
            </w:pPr>
            <w:r>
              <w:rPr>
                <w:rFonts w:ascii="宋体" w:hAnsi="宋体" w:cs="宋体" w:eastAsia="宋体" w:hint="default"/>
                <w:sz w:val="15"/>
                <w:szCs w:val="15"/>
              </w:rPr>
              <w:t>公司专户中，其中为提高资金使用效率，将闲置的募集资金及利息 </w:t>
            </w:r>
            <w:r>
              <w:rPr>
                <w:rFonts w:ascii="Times New Roman" w:hAnsi="Times New Roman" w:cs="Times New Roman" w:eastAsia="Times New Roman" w:hint="default"/>
                <w:sz w:val="15"/>
                <w:szCs w:val="15"/>
              </w:rPr>
              <w:t>17.23 </w:t>
            </w:r>
            <w:r>
              <w:rPr>
                <w:rFonts w:ascii="宋体" w:hAnsi="宋体" w:cs="宋体" w:eastAsia="宋体" w:hint="default"/>
                <w:sz w:val="15"/>
                <w:szCs w:val="15"/>
              </w:rPr>
              <w:t>亿元以定期存单的方式存放，</w:t>
            </w:r>
            <w:r>
              <w:rPr>
                <w:rFonts w:ascii="Times New Roman" w:hAnsi="Times New Roman" w:cs="Times New Roman" w:eastAsia="Times New Roman" w:hint="default"/>
                <w:sz w:val="15"/>
                <w:szCs w:val="15"/>
              </w:rPr>
              <w:t>5000</w:t>
            </w:r>
            <w:r>
              <w:rPr>
                <w:rFonts w:ascii="Times New Roman" w:hAnsi="Times New Roman" w:cs="Times New Roman" w:eastAsia="Times New Roman" w:hint="default"/>
                <w:spacing w:val="-17"/>
                <w:sz w:val="15"/>
                <w:szCs w:val="15"/>
              </w:rPr>
              <w:t> </w:t>
            </w:r>
            <w:r>
              <w:rPr>
                <w:rFonts w:ascii="宋体" w:hAnsi="宋体" w:cs="宋体" w:eastAsia="宋体" w:hint="default"/>
                <w:sz w:val="15"/>
                <w:szCs w:val="15"/>
              </w:rPr>
              <w:t>万元以 通知存款的方式存放，不存在存单抵押、质押及其他所有权、使用权受到限制的情况。</w:t>
            </w:r>
          </w:p>
        </w:tc>
      </w:tr>
    </w:tbl>
    <w:p>
      <w:pPr>
        <w:spacing w:after="0" w:line="194" w:lineRule="exact"/>
        <w:jc w:val="left"/>
        <w:rPr>
          <w:rFonts w:ascii="宋体" w:hAnsi="宋体" w:cs="宋体" w:eastAsia="宋体" w:hint="default"/>
          <w:sz w:val="15"/>
          <w:szCs w:val="15"/>
        </w:rPr>
        <w:sectPr>
          <w:pgSz w:w="11910" w:h="16840"/>
          <w:pgMar w:header="748" w:footer="714" w:top="980" w:bottom="900" w:left="780" w:right="7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420" w:lineRule="exact"/>
        <w:ind w:left="11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507.25pt;height:21pt;mso-position-horizontal-relative:char;mso-position-vertical-relative:line" coordorigin="0,0" coordsize="10145,420">
            <v:group style="position:absolute;left:5;top:10;width:2361;height:2" coordorigin="5,10" coordsize="2361,2">
              <v:shape style="position:absolute;left:5;top:10;width:2361;height:2" coordorigin="5,10" coordsize="2361,0" path="m5,10l2365,10e" filled="false" stroked="true" strokeweight=".48004pt" strokecolor="#000000">
                <v:path arrowok="t"/>
              </v:shape>
            </v:group>
            <v:group style="position:absolute;left:2365;top:10;width:7770;height:2" coordorigin="2365,10" coordsize="7770,2">
              <v:shape style="position:absolute;left:2365;top:10;width:7770;height:2" coordorigin="2365,10" coordsize="7770,0" path="m2365,10l10135,10e" filled="false" stroked="true" strokeweight=".48pt" strokecolor="#000000">
                <v:path arrowok="t"/>
              </v:shape>
            </v:group>
            <v:group style="position:absolute;left:10;top:5;width:2;height:411" coordorigin="10,5" coordsize="2,411">
              <v:shape style="position:absolute;left:10;top:5;width:2;height:411" coordorigin="10,5" coordsize="0,411" path="m10,5l10,415e" filled="false" stroked="true" strokeweight=".48pt" strokecolor="#000000">
                <v:path arrowok="t"/>
              </v:shape>
            </v:group>
            <v:group style="position:absolute;left:5;top:410;width:2351;height:2" coordorigin="5,410" coordsize="2351,2">
              <v:shape style="position:absolute;left:5;top:410;width:2351;height:2" coordorigin="5,410" coordsize="2351,0" path="m5,410l2356,410e" filled="false" stroked="true" strokeweight=".47998pt" strokecolor="#000000">
                <v:path arrowok="t"/>
              </v:shape>
            </v:group>
            <v:group style="position:absolute;left:2360;top:14;width:2;height:401" coordorigin="2360,14" coordsize="2,401">
              <v:shape style="position:absolute;left:2360;top:14;width:2;height:401" coordorigin="2360,14" coordsize="0,401" path="m2360,14l2360,415e" filled="false" stroked="true" strokeweight=".48001pt" strokecolor="#000000">
                <v:path arrowok="t"/>
              </v:shape>
            </v:group>
            <v:group style="position:absolute;left:2365;top:410;width:7770;height:2" coordorigin="2365,410" coordsize="7770,2">
              <v:shape style="position:absolute;left:2365;top:410;width:7770;height:2" coordorigin="2365,410" coordsize="7770,0" path="m2365,410l10135,410e" filled="false" stroked="true" strokeweight=".48pt" strokecolor="#000000">
                <v:path arrowok="t"/>
              </v:shape>
            </v:group>
            <v:group style="position:absolute;left:10140;top:5;width:2;height:411" coordorigin="10140,5" coordsize="2,411">
              <v:shape style="position:absolute;left:10140;top:5;width:2;height:411" coordorigin="10140,5" coordsize="0,411" path="m10140,5l10140,415e" filled="false" stroked="true" strokeweight=".47998pt" strokecolor="#000000">
                <v:path arrowok="t"/>
              </v:shape>
              <v:shape style="position:absolute;left:10;top:10;width:2351;height:401" type="#_x0000_t202" filled="false" stroked="false">
                <v:textbox inset="0,0,0,0">
                  <w:txbxContent>
                    <w:p>
                      <w:pPr>
                        <w:spacing w:line="175" w:lineRule="exact" w:before="0"/>
                        <w:ind w:left="108" w:right="0" w:firstLine="0"/>
                        <w:jc w:val="left"/>
                        <w:rPr>
                          <w:rFonts w:ascii="宋体" w:hAnsi="宋体" w:cs="宋体" w:eastAsia="宋体" w:hint="default"/>
                          <w:sz w:val="15"/>
                          <w:szCs w:val="15"/>
                        </w:rPr>
                      </w:pPr>
                      <w:r>
                        <w:rPr>
                          <w:rFonts w:ascii="宋体" w:hAnsi="宋体" w:cs="宋体" w:eastAsia="宋体" w:hint="default"/>
                          <w:sz w:val="15"/>
                          <w:szCs w:val="15"/>
                        </w:rPr>
                        <w:t>募集资金使用及披露中存在的问</w:t>
                      </w:r>
                    </w:p>
                    <w:p>
                      <w:pPr>
                        <w:spacing w:line="195" w:lineRule="exact" w:before="0"/>
                        <w:ind w:left="108" w:right="0" w:firstLine="0"/>
                        <w:jc w:val="left"/>
                        <w:rPr>
                          <w:rFonts w:ascii="宋体" w:hAnsi="宋体" w:cs="宋体" w:eastAsia="宋体" w:hint="default"/>
                          <w:sz w:val="15"/>
                          <w:szCs w:val="15"/>
                        </w:rPr>
                      </w:pPr>
                      <w:r>
                        <w:rPr>
                          <w:rFonts w:ascii="宋体" w:hAnsi="宋体" w:cs="宋体" w:eastAsia="宋体" w:hint="default"/>
                          <w:sz w:val="15"/>
                          <w:szCs w:val="15"/>
                        </w:rPr>
                        <w:t>题或其他情况</w:t>
                      </w:r>
                    </w:p>
                  </w:txbxContent>
                </v:textbox>
                <w10:wrap type="none"/>
              </v:shape>
              <v:shape style="position:absolute;left:2468;top:133;width:1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无</w:t>
                      </w:r>
                    </w:p>
                  </w:txbxContent>
                </v:textbox>
                <w10:wrap type="none"/>
              </v:shape>
            </v:group>
          </v:group>
        </w:pict>
      </w:r>
      <w:r>
        <w:rPr>
          <w:rFonts w:ascii="宋体" w:hAnsi="宋体" w:cs="宋体" w:eastAsia="宋体" w:hint="default"/>
          <w:position w:val="-7"/>
          <w:sz w:val="20"/>
          <w:szCs w:val="20"/>
        </w:rPr>
      </w:r>
    </w:p>
    <w:p>
      <w:pPr>
        <w:spacing w:line="252" w:lineRule="exact" w:before="0"/>
        <w:ind w:left="1100" w:right="559"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w:t>
      </w:r>
      <w:r>
        <w:rPr>
          <w:rFonts w:ascii="宋体" w:hAnsi="宋体" w:cs="宋体" w:eastAsia="宋体" w:hint="default"/>
          <w:sz w:val="21"/>
          <w:szCs w:val="21"/>
        </w:rPr>
        <w:t>：扣除发行费用后，公司</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年非公开发行募集资金总额为</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2,999,999,995.45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元，另尚余</w:t>
      </w:r>
    </w:p>
    <w:p>
      <w:pPr>
        <w:spacing w:before="91"/>
        <w:ind w:left="68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45.03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万元的发行费用未支付。</w:t>
      </w:r>
    </w:p>
    <w:p>
      <w:pPr>
        <w:spacing w:line="314" w:lineRule="auto" w:before="92"/>
        <w:ind w:left="680" w:right="673"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Times New Roman" w:hAnsi="Times New Roman" w:cs="Times New Roman" w:eastAsia="Times New Roman" w:hint="default"/>
          <w:sz w:val="21"/>
          <w:szCs w:val="21"/>
        </w:rPr>
        <w:t>250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家连锁店项目尚未全部实施完毕，且连锁店均在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年及以后开设，经营没有达到 非公开发行上市公告书判定年限</w:t>
      </w:r>
      <w:r>
        <w:rPr>
          <w:rFonts w:ascii="Times New Roman" w:hAnsi="Times New Roman" w:cs="Times New Roman" w:eastAsia="Times New Roman" w:hint="default"/>
          <w:sz w:val="21"/>
          <w:szCs w:val="21"/>
        </w:rPr>
        <w:t>-</w:t>
      </w:r>
      <w:r>
        <w:rPr>
          <w:rFonts w:ascii="宋体" w:hAnsi="宋体" w:cs="宋体" w:eastAsia="宋体" w:hint="default"/>
          <w:sz w:val="21"/>
          <w:szCs w:val="21"/>
        </w:rPr>
        <w:t>正常年</w:t>
      </w:r>
      <w:r>
        <w:rPr>
          <w:rFonts w:ascii="Times New Roman" w:hAnsi="Times New Roman" w:cs="Times New Roman" w:eastAsia="Times New Roman" w:hint="default"/>
          <w:sz w:val="21"/>
          <w:szCs w:val="21"/>
        </w:rPr>
        <w:t>(</w:t>
      </w:r>
      <w:r>
        <w:rPr>
          <w:rFonts w:ascii="宋体" w:hAnsi="宋体" w:cs="宋体" w:eastAsia="宋体" w:hint="default"/>
          <w:sz w:val="21"/>
          <w:szCs w:val="21"/>
        </w:rPr>
        <w:t>开业后第三年</w:t>
      </w:r>
      <w:r>
        <w:rPr>
          <w:rFonts w:ascii="Times New Roman" w:hAnsi="Times New Roman" w:cs="Times New Roman" w:eastAsia="Times New Roman" w:hint="default"/>
          <w:sz w:val="21"/>
          <w:szCs w:val="21"/>
        </w:rPr>
        <w:t>)</w:t>
      </w:r>
      <w:r>
        <w:rPr>
          <w:rFonts w:ascii="宋体" w:hAnsi="宋体" w:cs="宋体" w:eastAsia="宋体" w:hint="default"/>
          <w:sz w:val="21"/>
          <w:szCs w:val="21"/>
        </w:rPr>
        <w:t>。随着项目实施的推进，已开设连锁店进入 成熟稳定期，经营效益逐步提高，该项目效益情况将会进一步体现。</w:t>
      </w:r>
    </w:p>
    <w:p>
      <w:pPr>
        <w:spacing w:line="324" w:lineRule="auto" w:before="41"/>
        <w:ind w:left="680" w:right="672"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4"/>
          <w:sz w:val="21"/>
          <w:szCs w:val="21"/>
        </w:rPr>
        <w:t> </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：成都物流、无锡物流等六个物流中心项目尚处于建设期，不产生经济效益；物流中心的</w:t>
      </w:r>
      <w:r>
        <w:rPr>
          <w:rFonts w:ascii="宋体" w:hAnsi="宋体" w:cs="宋体" w:eastAsia="宋体" w:hint="default"/>
          <w:sz w:val="21"/>
          <w:szCs w:val="21"/>
        </w:rPr>
        <w:t> 建成后有助于本公司全国各地区的物流整合，在有效保障货源的前提下加快库存周转率，有效节约 人力成本和租赁费用，提高作业效率，进一步提升本公司的配送服务质量和品牌形象。</w:t>
      </w:r>
    </w:p>
    <w:p>
      <w:pPr>
        <w:spacing w:line="326" w:lineRule="auto" w:before="34"/>
        <w:ind w:left="680" w:right="672"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11</w:t>
      </w:r>
      <w:r>
        <w:rPr>
          <w:rFonts w:ascii="宋体" w:hAnsi="宋体" w:cs="宋体" w:eastAsia="宋体" w:hint="default"/>
          <w:spacing w:val="-3"/>
          <w:sz w:val="21"/>
          <w:szCs w:val="21"/>
        </w:rPr>
        <w:t>：补充流动资金项目募集资金将主要用于扩大公司定制包销、</w:t>
      </w:r>
      <w:r>
        <w:rPr>
          <w:rFonts w:ascii="Times New Roman" w:hAnsi="Times New Roman" w:cs="Times New Roman" w:eastAsia="Times New Roman" w:hint="default"/>
          <w:spacing w:val="-3"/>
          <w:sz w:val="21"/>
          <w:szCs w:val="21"/>
        </w:rPr>
        <w:t>OEM</w:t>
      </w:r>
      <w:r>
        <w:rPr>
          <w:rFonts w:ascii="宋体" w:hAnsi="宋体" w:cs="宋体" w:eastAsia="宋体" w:hint="default"/>
          <w:spacing w:val="-3"/>
          <w:sz w:val="21"/>
          <w:szCs w:val="21"/>
        </w:rPr>
        <w:t>、差异化产品比例，能</w:t>
      </w:r>
      <w:r>
        <w:rPr>
          <w:rFonts w:ascii="宋体" w:hAnsi="宋体" w:cs="宋体" w:eastAsia="宋体" w:hint="default"/>
          <w:sz w:val="21"/>
          <w:szCs w:val="21"/>
        </w:rPr>
        <w:t> 够有效加强公司单品管理能力，从而有助于毛利率水平的提升；同时募集资金还将用于对供应商淡 季生产和旺季备货的资金支持，进一步提升与供应商的合作关系，优化供应链管理，实现双方合作 共赢。</w:t>
      </w:r>
    </w:p>
    <w:p>
      <w:pPr>
        <w:pStyle w:val="BodyText"/>
        <w:spacing w:line="240" w:lineRule="auto" w:before="27"/>
        <w:ind w:left="1160" w:right="559"/>
        <w:jc w:val="left"/>
      </w:pPr>
      <w:r>
        <w:rPr>
          <w:rFonts w:ascii="Times New Roman" w:hAnsi="Times New Roman" w:cs="Times New Roman" w:eastAsia="Times New Roman" w:hint="default"/>
        </w:rPr>
        <w:t>2</w:t>
      </w:r>
      <w:r>
        <w:rPr/>
        <w:t>、募集资金管理制度</w:t>
      </w:r>
    </w:p>
    <w:p>
      <w:pPr>
        <w:pStyle w:val="BodyText"/>
        <w:spacing w:line="338" w:lineRule="auto" w:before="135"/>
        <w:ind w:left="680" w:right="672" w:firstLine="540"/>
        <w:jc w:val="both"/>
      </w:pPr>
      <w:r>
        <w:rPr>
          <w:rFonts w:ascii="Times New Roman" w:hAnsi="Times New Roman" w:cs="Times New Roman" w:eastAsia="Times New Roman" w:hint="default"/>
        </w:rPr>
        <w:t>2004</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spacing w:val="-8"/>
        </w:rPr>
        <w:t>日，公司制订了《募集资金管理办法》，并经公司第二届董事会第</w:t>
      </w:r>
      <w:r>
        <w:rPr/>
        <w:t> 四次会议通过。</w:t>
      </w:r>
    </w:p>
    <w:p>
      <w:pPr>
        <w:pStyle w:val="BodyText"/>
        <w:spacing w:line="324" w:lineRule="auto" w:before="55"/>
        <w:ind w:left="680" w:right="670" w:firstLine="540"/>
        <w:jc w:val="both"/>
      </w:pPr>
      <w:r>
        <w:rPr>
          <w:spacing w:val="2"/>
        </w:rPr>
        <w:t>根据《中小企业板上市公司募集资金管理细则》等相关法律法规的规定，公司对 </w:t>
      </w:r>
      <w:r>
        <w:rPr/>
        <w:t>募集资金管理制度予以修订。</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t>日，经公司第二届董事会第四十七次会议 </w:t>
      </w:r>
      <w:r>
        <w:rPr>
          <w:spacing w:val="-6"/>
        </w:rPr>
        <w:t>审议，通过了修订后的《募集资金管理制度》。</w:t>
      </w:r>
    </w:p>
    <w:p>
      <w:pPr>
        <w:pStyle w:val="BodyText"/>
        <w:spacing w:line="240" w:lineRule="auto" w:before="38"/>
        <w:ind w:left="1160" w:right="559"/>
        <w:jc w:val="left"/>
      </w:pPr>
      <w:r>
        <w:rPr>
          <w:rFonts w:ascii="Times New Roman" w:hAnsi="Times New Roman" w:cs="Times New Roman" w:eastAsia="Times New Roman" w:hint="default"/>
        </w:rPr>
        <w:t>3</w:t>
      </w:r>
      <w:r>
        <w:rPr/>
        <w:t>、募集资金的管理及存放情况</w:t>
      </w:r>
    </w:p>
    <w:p>
      <w:pPr>
        <w:pStyle w:val="BodyText"/>
        <w:spacing w:line="314" w:lineRule="auto" w:before="104"/>
        <w:ind w:left="1160" w:right="559"/>
        <w:jc w:val="left"/>
      </w:pPr>
      <w:r>
        <w:rPr/>
        <w:t>（</w:t>
      </w:r>
      <w:r>
        <w:rPr>
          <w:rFonts w:ascii="Times New Roman" w:hAnsi="Times New Roman" w:cs="Times New Roman" w:eastAsia="Times New Roman" w:hint="default"/>
        </w:rPr>
        <w:t>1</w:t>
      </w:r>
      <w:r>
        <w:rPr/>
        <w:t>）募集资金管理情况 公司募集资金实行专户存储制度，于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月，公司、保荐人分别与中国银行股</w:t>
      </w:r>
    </w:p>
    <w:p>
      <w:pPr>
        <w:pStyle w:val="BodyText"/>
        <w:spacing w:line="240" w:lineRule="auto" w:before="22"/>
        <w:ind w:left="680" w:right="0"/>
        <w:jc w:val="both"/>
      </w:pPr>
      <w:r>
        <w:rPr>
          <w:spacing w:val="-3"/>
        </w:rPr>
        <w:t>份有限公司南京鼓楼支行、中国光大银行南京分行、华夏银行股份有限公司南京营业部</w:t>
      </w:r>
    </w:p>
    <w:p>
      <w:pPr>
        <w:pStyle w:val="BodyText"/>
        <w:spacing w:line="240" w:lineRule="auto" w:before="122"/>
        <w:ind w:left="680" w:right="0"/>
        <w:jc w:val="both"/>
      </w:pPr>
      <w:r>
        <w:rPr/>
        <w:t>（以下简称“商业银行</w:t>
      </w:r>
      <w:r>
        <w:rPr>
          <w:spacing w:val="-120"/>
        </w:rPr>
        <w:t>”</w:t>
      </w:r>
      <w:r>
        <w:rPr/>
        <w:t>）签订《募集资金三方监管协议</w:t>
      </w:r>
      <w:r>
        <w:rPr>
          <w:spacing w:val="-120"/>
        </w:rPr>
        <w:t>》</w:t>
      </w:r>
      <w:r>
        <w:rPr/>
        <w:t>；</w:t>
      </w:r>
    </w:p>
    <w:p>
      <w:pPr>
        <w:pStyle w:val="BodyText"/>
        <w:spacing w:line="240" w:lineRule="auto" w:before="122"/>
        <w:ind w:left="1160" w:right="559"/>
        <w:jc w:val="left"/>
      </w:pPr>
      <w:r>
        <w:rPr/>
        <w:t>公司</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月向特定投资者非公开发行股票募集资金到位后，公司、保荐机构</w:t>
      </w:r>
    </w:p>
    <w:p>
      <w:pPr>
        <w:pStyle w:val="BodyText"/>
        <w:spacing w:line="324" w:lineRule="auto" w:before="104"/>
        <w:ind w:left="680" w:right="673"/>
        <w:jc w:val="both"/>
      </w:pPr>
      <w:r>
        <w:rPr/>
        <w:t>于</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月分别与华夏银行股份有限公司南京营业部、中国光大银行南京分行、中 </w:t>
      </w:r>
      <w:r>
        <w:rPr>
          <w:spacing w:val="-3"/>
        </w:rPr>
        <w:t>国民生银行股份有限公司南京新街口支行、深圳发展银行股份有限公司南京汉中路支行</w:t>
      </w:r>
      <w:r>
        <w:rPr>
          <w:spacing w:val="-98"/>
        </w:rPr>
        <w:t> </w:t>
      </w:r>
      <w:r>
        <w:rPr>
          <w:spacing w:val="-98"/>
        </w:rPr>
      </w:r>
      <w:r>
        <w:rPr>
          <w:spacing w:val="-5"/>
        </w:rPr>
        <w:t>就此次募集资金的存放签订了《募集资金三方监管协议》；</w:t>
      </w:r>
    </w:p>
    <w:p>
      <w:pPr>
        <w:pStyle w:val="BodyText"/>
        <w:spacing w:line="321" w:lineRule="auto" w:before="38"/>
        <w:ind w:left="680" w:right="672" w:firstLine="480"/>
        <w:jc w:val="both"/>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月，公司、保荐机构分别与交通银行江苏省分行、中国银行南京鼓楼支 </w:t>
      </w:r>
      <w:r>
        <w:rPr>
          <w:spacing w:val="-3"/>
        </w:rPr>
        <w:t>行、中国民生银行南京新街口支行、光大银行南京分行营业部、深圳发展银行南京汉中</w:t>
      </w:r>
      <w:r>
        <w:rPr>
          <w:spacing w:val="-96"/>
        </w:rPr>
        <w:t> </w:t>
      </w:r>
      <w:r>
        <w:rPr>
          <w:spacing w:val="-96"/>
        </w:rPr>
      </w:r>
      <w:r>
        <w:rPr>
          <w:spacing w:val="-7"/>
        </w:rPr>
        <w:t>路支行、华夏银行南京分行营业部就</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spacing w:val="-6"/>
        </w:rPr>
        <w:t>年非公开发行股票募集资金的存放签订了《募</w:t>
      </w:r>
      <w:r>
        <w:rPr/>
        <w:t> </w:t>
      </w:r>
      <w:r>
        <w:rPr>
          <w:spacing w:val="-11"/>
        </w:rPr>
        <w:t>集资金三方监管协议》。</w:t>
      </w:r>
    </w:p>
    <w:p>
      <w:pPr>
        <w:pStyle w:val="BodyText"/>
        <w:spacing w:line="333" w:lineRule="auto" w:before="41"/>
        <w:ind w:left="680" w:right="673" w:firstLine="480"/>
        <w:jc w:val="both"/>
      </w:pPr>
      <w:r>
        <w:rPr>
          <w:spacing w:val="-3"/>
        </w:rPr>
        <w:t>上述协议与三方监管协议范本不存在重大差异，本公司在使用募集资金时已经遵照</w:t>
      </w:r>
      <w:r>
        <w:rPr/>
        <w:t> 履行。</w:t>
      </w:r>
    </w:p>
    <w:p>
      <w:pPr>
        <w:spacing w:after="0" w:line="333" w:lineRule="auto"/>
        <w:jc w:val="both"/>
        <w:sectPr>
          <w:pgSz w:w="11910" w:h="16840"/>
          <w:pgMar w:header="748" w:footer="714" w:top="980" w:bottom="900" w:left="760" w:right="760"/>
        </w:sectPr>
      </w:pPr>
    </w:p>
    <w:p>
      <w:pPr>
        <w:spacing w:line="240" w:lineRule="auto" w:before="7"/>
        <w:rPr>
          <w:rFonts w:ascii="宋体" w:hAnsi="宋体" w:cs="宋体" w:eastAsia="宋体" w:hint="default"/>
          <w:sz w:val="29"/>
          <w:szCs w:val="29"/>
        </w:rPr>
      </w:pPr>
    </w:p>
    <w:p>
      <w:pPr>
        <w:pStyle w:val="BodyText"/>
        <w:spacing w:line="333" w:lineRule="auto" w:before="26"/>
        <w:ind w:left="240" w:right="119" w:firstLine="540"/>
        <w:jc w:val="left"/>
      </w:pPr>
      <w:r>
        <w:rPr>
          <w:spacing w:val="2"/>
        </w:rPr>
        <w:t>在使用募集资金时，公司按照《募集资金管理制度》中的相关规定，严格履行了 </w:t>
      </w:r>
      <w:r>
        <w:rPr/>
        <w:t>申请和审批手续。</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tabs>
          <w:tab w:pos="7319" w:val="left" w:leader="none"/>
        </w:tabs>
        <w:spacing w:before="172"/>
        <w:ind w:left="720" w:right="119" w:firstLine="0"/>
        <w:jc w:val="left"/>
        <w:rPr>
          <w:rFonts w:ascii="宋体" w:hAnsi="宋体" w:cs="宋体" w:eastAsia="宋体" w:hint="default"/>
          <w:sz w:val="21"/>
          <w:szCs w:val="21"/>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）募集资金存放情况</w:t>
        <w:tab/>
      </w:r>
      <w:r>
        <w:rPr>
          <w:rFonts w:ascii="宋体" w:hAnsi="宋体" w:cs="宋体" w:eastAsia="宋体" w:hint="default"/>
          <w:sz w:val="21"/>
          <w:szCs w:val="21"/>
        </w:rPr>
        <w:t>（单位：千元）</w:t>
      </w:r>
    </w:p>
    <w:p>
      <w:pPr>
        <w:pStyle w:val="BodyText"/>
        <w:spacing w:line="240" w:lineRule="auto" w:before="135"/>
        <w:ind w:left="719" w:right="119"/>
        <w:jc w:val="left"/>
      </w:pPr>
      <w:r>
        <w:rPr/>
        <w:t>截至</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日，公司（母公司）有</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个募集资金专户和</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个定期存款</w:t>
      </w:r>
    </w:p>
    <w:p>
      <w:pPr>
        <w:pStyle w:val="BodyText"/>
        <w:spacing w:line="240" w:lineRule="auto" w:before="135"/>
        <w:ind w:left="239" w:right="2202"/>
        <w:jc w:val="left"/>
      </w:pPr>
      <w:r>
        <w:rPr/>
        <w:t>账户</w:t>
      </w:r>
      <w:r>
        <w:rPr>
          <w:sz w:val="22"/>
          <w:szCs w:val="22"/>
        </w:rPr>
        <w:t>以</w:t>
      </w:r>
      <w:r>
        <w:rPr/>
        <w:t>及</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个通知存款账户，具体情况如下：</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358"/>
        <w:gridCol w:w="2542"/>
        <w:gridCol w:w="2971"/>
        <w:gridCol w:w="1117"/>
        <w:gridCol w:w="1070"/>
        <w:gridCol w:w="1187"/>
      </w:tblGrid>
      <w:tr>
        <w:trPr>
          <w:trHeight w:val="323" w:hRule="exact"/>
        </w:trPr>
        <w:tc>
          <w:tcPr>
            <w:tcW w:w="2899" w:type="dxa"/>
            <w:gridSpan w:val="2"/>
            <w:vMerge w:val="restart"/>
            <w:tcBorders>
              <w:top w:val="single" w:sz="12" w:space="0" w:color="000000"/>
              <w:left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开户银行</w:t>
            </w:r>
          </w:p>
        </w:tc>
        <w:tc>
          <w:tcPr>
            <w:tcW w:w="2971"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银行账号</w:t>
            </w:r>
          </w:p>
        </w:tc>
        <w:tc>
          <w:tcPr>
            <w:tcW w:w="3374" w:type="dxa"/>
            <w:gridSpan w:val="3"/>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
              <w:ind w:left="7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r>
      <w:tr>
        <w:trPr>
          <w:trHeight w:val="490" w:hRule="exact"/>
        </w:trPr>
        <w:tc>
          <w:tcPr>
            <w:tcW w:w="2899" w:type="dxa"/>
            <w:gridSpan w:val="2"/>
            <w:vMerge/>
            <w:tcBorders>
              <w:left w:val="single" w:sz="12" w:space="0" w:color="000000"/>
              <w:bottom w:val="single" w:sz="4" w:space="0" w:color="000000"/>
              <w:right w:val="single" w:sz="4" w:space="0" w:color="000000"/>
            </w:tcBorders>
          </w:tcPr>
          <w:p>
            <w:pPr/>
          </w:p>
        </w:tc>
        <w:tc>
          <w:tcPr>
            <w:tcW w:w="2971" w:type="dxa"/>
            <w:vMerge/>
            <w:tcBorders>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3" w:right="192" w:hanging="180"/>
              <w:jc w:val="left"/>
              <w:rPr>
                <w:rFonts w:ascii="宋体" w:hAnsi="宋体" w:cs="宋体" w:eastAsia="宋体" w:hint="default"/>
                <w:sz w:val="18"/>
                <w:szCs w:val="18"/>
              </w:rPr>
            </w:pPr>
            <w:r>
              <w:rPr>
                <w:rFonts w:ascii="宋体" w:hAnsi="宋体" w:cs="宋体" w:eastAsia="宋体" w:hint="default"/>
                <w:sz w:val="18"/>
                <w:szCs w:val="18"/>
              </w:rPr>
              <w:t>募集资金 余额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0" w:right="348"/>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1"/>
              <w:ind w:left="8"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94" w:hRule="exact"/>
        </w:trPr>
        <w:tc>
          <w:tcPr>
            <w:tcW w:w="358"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4" w:lineRule="auto"/>
              <w:ind w:left="47" w:right="108"/>
              <w:jc w:val="both"/>
              <w:rPr>
                <w:rFonts w:ascii="宋体" w:hAnsi="宋体" w:cs="宋体" w:eastAsia="宋体" w:hint="default"/>
                <w:sz w:val="18"/>
                <w:szCs w:val="18"/>
              </w:rPr>
            </w:pPr>
            <w:r>
              <w:rPr>
                <w:rFonts w:ascii="宋体" w:hAnsi="宋体" w:cs="宋体" w:eastAsia="宋体" w:hint="default"/>
                <w:sz w:val="18"/>
                <w:szCs w:val="18"/>
              </w:rPr>
              <w:t>募 集 资 金 专 户</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6" w:right="0"/>
              <w:jc w:val="left"/>
              <w:rPr>
                <w:rFonts w:ascii="宋体" w:hAnsi="宋体" w:cs="宋体" w:eastAsia="宋体" w:hint="default"/>
                <w:sz w:val="18"/>
                <w:szCs w:val="18"/>
              </w:rPr>
            </w:pPr>
            <w:r>
              <w:rPr>
                <w:rFonts w:ascii="宋体" w:hAnsi="宋体" w:cs="宋体" w:eastAsia="宋体" w:hint="default"/>
                <w:sz w:val="18"/>
                <w:szCs w:val="18"/>
              </w:rPr>
              <w:t>华夏银行南京分行营业部</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4131200001819100086118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9"/>
              <w:jc w:val="right"/>
              <w:rPr>
                <w:rFonts w:ascii="Times New Roman" w:hAnsi="Times New Roman" w:cs="Times New Roman" w:eastAsia="Times New Roman" w:hint="default"/>
                <w:sz w:val="18"/>
                <w:szCs w:val="18"/>
              </w:rPr>
            </w:pPr>
            <w:r>
              <w:rPr>
                <w:rFonts w:ascii="Times New Roman"/>
                <w:sz w:val="18"/>
              </w:rPr>
              <w:t>94.00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6"/>
              <w:jc w:val="right"/>
              <w:rPr>
                <w:rFonts w:ascii="Times New Roman" w:hAnsi="Times New Roman" w:cs="Times New Roman" w:eastAsia="Times New Roman" w:hint="default"/>
                <w:sz w:val="18"/>
                <w:szCs w:val="18"/>
              </w:rPr>
            </w:pPr>
            <w:r>
              <w:rPr>
                <w:rFonts w:ascii="Times New Roman"/>
                <w:sz w:val="18"/>
              </w:rPr>
              <w:t>10,386.74</w:t>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29"/>
              <w:jc w:val="right"/>
              <w:rPr>
                <w:rFonts w:ascii="Times New Roman" w:hAnsi="Times New Roman" w:cs="Times New Roman" w:eastAsia="Times New Roman" w:hint="default"/>
                <w:sz w:val="18"/>
                <w:szCs w:val="18"/>
              </w:rPr>
            </w:pPr>
            <w:r>
              <w:rPr>
                <w:rFonts w:ascii="Times New Roman"/>
                <w:sz w:val="18"/>
              </w:rPr>
              <w:t>10,480.74</w:t>
            </w:r>
          </w:p>
        </w:tc>
      </w:tr>
      <w:tr>
        <w:trPr>
          <w:trHeight w:val="294"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3"/>
              <w:jc w:val="right"/>
              <w:rPr>
                <w:rFonts w:ascii="宋体" w:hAnsi="宋体" w:cs="宋体" w:eastAsia="宋体" w:hint="default"/>
                <w:sz w:val="18"/>
                <w:szCs w:val="18"/>
              </w:rPr>
            </w:pPr>
            <w:r>
              <w:rPr>
                <w:rFonts w:ascii="宋体" w:hAnsi="宋体" w:cs="宋体" w:eastAsia="宋体" w:hint="default"/>
                <w:sz w:val="18"/>
                <w:szCs w:val="18"/>
              </w:rPr>
              <w:t>中国光大银行南京分行营业部</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76490188000151375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9"/>
              <w:jc w:val="right"/>
              <w:rPr>
                <w:rFonts w:ascii="Times New Roman" w:hAnsi="Times New Roman" w:cs="Times New Roman" w:eastAsia="Times New Roman" w:hint="default"/>
                <w:sz w:val="18"/>
                <w:szCs w:val="18"/>
              </w:rPr>
            </w:pPr>
            <w:r>
              <w:rPr>
                <w:rFonts w:ascii="Times New Roman"/>
                <w:sz w:val="18"/>
              </w:rPr>
              <w:t>7,420.88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7"/>
              <w:jc w:val="right"/>
              <w:rPr>
                <w:rFonts w:ascii="Times New Roman" w:hAnsi="Times New Roman" w:cs="Times New Roman" w:eastAsia="Times New Roman" w:hint="default"/>
                <w:sz w:val="18"/>
                <w:szCs w:val="18"/>
              </w:rPr>
            </w:pPr>
            <w:r>
              <w:rPr>
                <w:rFonts w:ascii="Times New Roman"/>
                <w:sz w:val="18"/>
              </w:rPr>
              <w:t>6,442.59</w:t>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29"/>
              <w:jc w:val="right"/>
              <w:rPr>
                <w:rFonts w:ascii="Times New Roman" w:hAnsi="Times New Roman" w:cs="Times New Roman" w:eastAsia="Times New Roman" w:hint="default"/>
                <w:sz w:val="18"/>
                <w:szCs w:val="18"/>
              </w:rPr>
            </w:pPr>
            <w:r>
              <w:rPr>
                <w:rFonts w:ascii="Times New Roman"/>
                <w:sz w:val="18"/>
              </w:rPr>
              <w:t>13,863.47</w:t>
            </w:r>
          </w:p>
        </w:tc>
      </w:tr>
      <w:tr>
        <w:trPr>
          <w:trHeight w:val="294"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6" w:right="0"/>
              <w:jc w:val="left"/>
              <w:rPr>
                <w:rFonts w:ascii="宋体" w:hAnsi="宋体" w:cs="宋体" w:eastAsia="宋体" w:hint="default"/>
                <w:sz w:val="18"/>
                <w:szCs w:val="18"/>
              </w:rPr>
            </w:pPr>
            <w:r>
              <w:rPr>
                <w:rFonts w:ascii="宋体" w:hAnsi="宋体" w:cs="宋体" w:eastAsia="宋体" w:hint="default"/>
                <w:sz w:val="18"/>
                <w:szCs w:val="18"/>
              </w:rPr>
              <w:t>华夏银行南京分行营业部</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4131200001819100105110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7"/>
              <w:jc w:val="right"/>
              <w:rPr>
                <w:rFonts w:ascii="Times New Roman" w:hAnsi="Times New Roman" w:cs="Times New Roman" w:eastAsia="Times New Roman" w:hint="default"/>
                <w:sz w:val="18"/>
                <w:szCs w:val="18"/>
              </w:rPr>
            </w:pPr>
            <w:r>
              <w:rPr>
                <w:rFonts w:ascii="Times New Roman"/>
                <w:sz w:val="18"/>
              </w:rPr>
              <w:t>2,851.49</w:t>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29"/>
              <w:jc w:val="right"/>
              <w:rPr>
                <w:rFonts w:ascii="Times New Roman" w:hAnsi="Times New Roman" w:cs="Times New Roman" w:eastAsia="Times New Roman" w:hint="default"/>
                <w:sz w:val="18"/>
                <w:szCs w:val="18"/>
              </w:rPr>
            </w:pPr>
            <w:r>
              <w:rPr>
                <w:rFonts w:ascii="Times New Roman"/>
                <w:sz w:val="18"/>
              </w:rPr>
              <w:t>2,851.49</w:t>
            </w:r>
          </w:p>
        </w:tc>
      </w:tr>
      <w:tr>
        <w:trPr>
          <w:trHeight w:val="479"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中国民生银行南京分行新街口</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0" w:right="0"/>
              <w:jc w:val="left"/>
              <w:rPr>
                <w:rFonts w:ascii="Times New Roman" w:hAnsi="Times New Roman" w:cs="Times New Roman" w:eastAsia="Times New Roman" w:hint="default"/>
                <w:sz w:val="18"/>
                <w:szCs w:val="18"/>
              </w:rPr>
            </w:pPr>
            <w:r>
              <w:rPr>
                <w:rFonts w:ascii="Times New Roman"/>
                <w:sz w:val="18"/>
              </w:rPr>
              <w:t>0804014210006558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4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8"/>
              <w:jc w:val="right"/>
              <w:rPr>
                <w:rFonts w:ascii="Times New Roman" w:hAnsi="Times New Roman" w:cs="Times New Roman" w:eastAsia="Times New Roman" w:hint="default"/>
                <w:sz w:val="18"/>
                <w:szCs w:val="18"/>
              </w:rPr>
            </w:pPr>
            <w:r>
              <w:rPr>
                <w:rFonts w:ascii="Times New Roman"/>
                <w:sz w:val="18"/>
              </w:rPr>
              <w:t>10,953.97</w:t>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29"/>
              <w:jc w:val="right"/>
              <w:rPr>
                <w:rFonts w:ascii="Times New Roman" w:hAnsi="Times New Roman" w:cs="Times New Roman" w:eastAsia="Times New Roman" w:hint="default"/>
                <w:sz w:val="18"/>
                <w:szCs w:val="18"/>
              </w:rPr>
            </w:pPr>
            <w:r>
              <w:rPr>
                <w:rFonts w:ascii="Times New Roman"/>
                <w:sz w:val="18"/>
              </w:rPr>
              <w:t>10,953.97</w:t>
            </w:r>
          </w:p>
        </w:tc>
      </w:tr>
      <w:tr>
        <w:trPr>
          <w:trHeight w:val="294"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3"/>
              <w:jc w:val="right"/>
              <w:rPr>
                <w:rFonts w:ascii="宋体" w:hAnsi="宋体" w:cs="宋体" w:eastAsia="宋体" w:hint="default"/>
                <w:sz w:val="18"/>
                <w:szCs w:val="18"/>
              </w:rPr>
            </w:pPr>
            <w:r>
              <w:rPr>
                <w:rFonts w:ascii="宋体" w:hAnsi="宋体" w:cs="宋体" w:eastAsia="宋体" w:hint="default"/>
                <w:sz w:val="18"/>
                <w:szCs w:val="18"/>
              </w:rPr>
              <w:t>中国民生银行南京新街口支行</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0804014210007403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7"/>
              <w:jc w:val="right"/>
              <w:rPr>
                <w:rFonts w:ascii="Times New Roman" w:hAnsi="Times New Roman" w:cs="Times New Roman" w:eastAsia="Times New Roman" w:hint="default"/>
                <w:sz w:val="18"/>
                <w:szCs w:val="18"/>
              </w:rPr>
            </w:pPr>
            <w:r>
              <w:rPr>
                <w:rFonts w:ascii="Times New Roman"/>
                <w:sz w:val="18"/>
              </w:rPr>
              <w:t>149.62</w:t>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29"/>
              <w:jc w:val="right"/>
              <w:rPr>
                <w:rFonts w:ascii="Times New Roman" w:hAnsi="Times New Roman" w:cs="Times New Roman" w:eastAsia="Times New Roman" w:hint="default"/>
                <w:sz w:val="18"/>
                <w:szCs w:val="18"/>
              </w:rPr>
            </w:pPr>
            <w:r>
              <w:rPr>
                <w:rFonts w:ascii="Times New Roman"/>
                <w:sz w:val="18"/>
              </w:rPr>
              <w:t>149.62</w:t>
            </w:r>
          </w:p>
        </w:tc>
      </w:tr>
      <w:tr>
        <w:trPr>
          <w:trHeight w:val="294"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6" w:right="0"/>
              <w:jc w:val="left"/>
              <w:rPr>
                <w:rFonts w:ascii="宋体" w:hAnsi="宋体" w:cs="宋体" w:eastAsia="宋体" w:hint="default"/>
                <w:sz w:val="18"/>
                <w:szCs w:val="18"/>
              </w:rPr>
            </w:pPr>
            <w:r>
              <w:rPr>
                <w:rFonts w:ascii="宋体" w:hAnsi="宋体" w:cs="宋体" w:eastAsia="宋体" w:hint="default"/>
                <w:sz w:val="18"/>
                <w:szCs w:val="18"/>
              </w:rPr>
              <w:t>中国银行南京鼓楼支行</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801201654458095001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sz w:val="18"/>
              </w:rPr>
              <w:t>67,364.82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7"/>
              <w:jc w:val="right"/>
              <w:rPr>
                <w:rFonts w:ascii="Times New Roman" w:hAnsi="Times New Roman" w:cs="Times New Roman" w:eastAsia="Times New Roman" w:hint="default"/>
                <w:sz w:val="18"/>
                <w:szCs w:val="18"/>
              </w:rPr>
            </w:pPr>
            <w:r>
              <w:rPr>
                <w:rFonts w:ascii="Times New Roman"/>
                <w:sz w:val="18"/>
              </w:rPr>
              <w:t>6,654.03</w:t>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29"/>
              <w:jc w:val="right"/>
              <w:rPr>
                <w:rFonts w:ascii="Times New Roman" w:hAnsi="Times New Roman" w:cs="Times New Roman" w:eastAsia="Times New Roman" w:hint="default"/>
                <w:sz w:val="18"/>
                <w:szCs w:val="18"/>
              </w:rPr>
            </w:pPr>
            <w:r>
              <w:rPr>
                <w:rFonts w:ascii="Times New Roman"/>
                <w:sz w:val="18"/>
              </w:rPr>
              <w:t>74,018.85</w:t>
            </w:r>
          </w:p>
        </w:tc>
      </w:tr>
      <w:tr>
        <w:trPr>
          <w:trHeight w:val="478"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交通银行江苏省分行南京鼓楼</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0" w:right="0"/>
              <w:jc w:val="left"/>
              <w:rPr>
                <w:rFonts w:ascii="Times New Roman" w:hAnsi="Times New Roman" w:cs="Times New Roman" w:eastAsia="Times New Roman" w:hint="default"/>
                <w:sz w:val="18"/>
                <w:szCs w:val="18"/>
              </w:rPr>
            </w:pPr>
            <w:r>
              <w:rPr>
                <w:rFonts w:ascii="Times New Roman"/>
                <w:sz w:val="18"/>
              </w:rPr>
              <w:t>320006621018170055183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49"/>
              <w:jc w:val="right"/>
              <w:rPr>
                <w:rFonts w:ascii="Times New Roman" w:hAnsi="Times New Roman" w:cs="Times New Roman" w:eastAsia="Times New Roman" w:hint="default"/>
                <w:sz w:val="18"/>
                <w:szCs w:val="18"/>
              </w:rPr>
            </w:pPr>
            <w:r>
              <w:rPr>
                <w:rFonts w:ascii="Times New Roman"/>
                <w:sz w:val="18"/>
              </w:rPr>
              <w:t>32,696.12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7"/>
              <w:jc w:val="right"/>
              <w:rPr>
                <w:rFonts w:ascii="Times New Roman" w:hAnsi="Times New Roman" w:cs="Times New Roman" w:eastAsia="Times New Roman" w:hint="default"/>
                <w:sz w:val="18"/>
                <w:szCs w:val="18"/>
              </w:rPr>
            </w:pPr>
            <w:r>
              <w:rPr>
                <w:rFonts w:ascii="Times New Roman"/>
                <w:sz w:val="18"/>
              </w:rPr>
              <w:t>6,473.28</w:t>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29"/>
              <w:jc w:val="right"/>
              <w:rPr>
                <w:rFonts w:ascii="Times New Roman" w:hAnsi="Times New Roman" w:cs="Times New Roman" w:eastAsia="Times New Roman" w:hint="default"/>
                <w:sz w:val="18"/>
                <w:szCs w:val="18"/>
              </w:rPr>
            </w:pPr>
            <w:r>
              <w:rPr>
                <w:rFonts w:ascii="Times New Roman"/>
                <w:sz w:val="18"/>
              </w:rPr>
              <w:t>39,169.40</w:t>
            </w:r>
          </w:p>
        </w:tc>
      </w:tr>
      <w:tr>
        <w:trPr>
          <w:trHeight w:val="294"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6" w:right="0"/>
              <w:jc w:val="left"/>
              <w:rPr>
                <w:rFonts w:ascii="宋体" w:hAnsi="宋体" w:cs="宋体" w:eastAsia="宋体" w:hint="default"/>
                <w:sz w:val="18"/>
                <w:szCs w:val="18"/>
              </w:rPr>
            </w:pPr>
            <w:r>
              <w:rPr>
                <w:rFonts w:ascii="宋体" w:hAnsi="宋体" w:cs="宋体" w:eastAsia="宋体" w:hint="default"/>
                <w:sz w:val="18"/>
                <w:szCs w:val="18"/>
              </w:rPr>
              <w:t>中国光大银行南京分行</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077360188000224313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9"/>
              <w:jc w:val="right"/>
              <w:rPr>
                <w:rFonts w:ascii="Times New Roman" w:hAnsi="Times New Roman" w:cs="Times New Roman" w:eastAsia="Times New Roman" w:hint="default"/>
                <w:sz w:val="18"/>
                <w:szCs w:val="18"/>
              </w:rPr>
            </w:pPr>
            <w:r>
              <w:rPr>
                <w:rFonts w:ascii="Times New Roman"/>
                <w:sz w:val="18"/>
              </w:rPr>
              <w:t>47.41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7"/>
              <w:jc w:val="right"/>
              <w:rPr>
                <w:rFonts w:ascii="Times New Roman" w:hAnsi="Times New Roman" w:cs="Times New Roman" w:eastAsia="Times New Roman" w:hint="default"/>
                <w:sz w:val="18"/>
                <w:szCs w:val="18"/>
              </w:rPr>
            </w:pPr>
            <w:r>
              <w:rPr>
                <w:rFonts w:ascii="Times New Roman"/>
                <w:sz w:val="18"/>
              </w:rPr>
              <w:t>6,333.51</w:t>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29"/>
              <w:jc w:val="right"/>
              <w:rPr>
                <w:rFonts w:ascii="Times New Roman" w:hAnsi="Times New Roman" w:cs="Times New Roman" w:eastAsia="Times New Roman" w:hint="default"/>
                <w:sz w:val="18"/>
                <w:szCs w:val="18"/>
              </w:rPr>
            </w:pPr>
            <w:r>
              <w:rPr>
                <w:rFonts w:ascii="Times New Roman"/>
                <w:sz w:val="18"/>
              </w:rPr>
              <w:t>6,380.92</w:t>
            </w:r>
          </w:p>
        </w:tc>
      </w:tr>
      <w:tr>
        <w:trPr>
          <w:trHeight w:val="294"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3"/>
              <w:jc w:val="right"/>
              <w:rPr>
                <w:rFonts w:ascii="宋体" w:hAnsi="宋体" w:cs="宋体" w:eastAsia="宋体" w:hint="default"/>
                <w:sz w:val="18"/>
                <w:szCs w:val="18"/>
              </w:rPr>
            </w:pPr>
            <w:r>
              <w:rPr>
                <w:rFonts w:ascii="宋体" w:hAnsi="宋体" w:cs="宋体" w:eastAsia="宋体" w:hint="default"/>
                <w:sz w:val="18"/>
                <w:szCs w:val="18"/>
              </w:rPr>
              <w:t>深圳发展银行南京汉中路支行</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11006855520612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sz w:val="18"/>
              </w:rPr>
              <w:t>46,337.22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7"/>
              <w:jc w:val="right"/>
              <w:rPr>
                <w:rFonts w:ascii="Times New Roman" w:hAnsi="Times New Roman" w:cs="Times New Roman" w:eastAsia="Times New Roman" w:hint="default"/>
                <w:sz w:val="18"/>
                <w:szCs w:val="18"/>
              </w:rPr>
            </w:pPr>
            <w:r>
              <w:rPr>
                <w:rFonts w:ascii="Times New Roman"/>
                <w:sz w:val="18"/>
              </w:rPr>
              <w:t>4,856.38</w:t>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29"/>
              <w:jc w:val="right"/>
              <w:rPr>
                <w:rFonts w:ascii="Times New Roman" w:hAnsi="Times New Roman" w:cs="Times New Roman" w:eastAsia="Times New Roman" w:hint="default"/>
                <w:sz w:val="18"/>
                <w:szCs w:val="18"/>
              </w:rPr>
            </w:pPr>
            <w:r>
              <w:rPr>
                <w:rFonts w:ascii="Times New Roman"/>
                <w:sz w:val="18"/>
              </w:rPr>
              <w:t>51,193.60</w:t>
            </w:r>
          </w:p>
        </w:tc>
      </w:tr>
      <w:tr>
        <w:trPr>
          <w:trHeight w:val="294" w:hRule="exact"/>
        </w:trPr>
        <w:tc>
          <w:tcPr>
            <w:tcW w:w="358" w:type="dxa"/>
            <w:vMerge/>
            <w:tcBorders>
              <w:left w:val="single" w:sz="12"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6" w:right="0"/>
              <w:jc w:val="left"/>
              <w:rPr>
                <w:rFonts w:ascii="宋体" w:hAnsi="宋体" w:cs="宋体" w:eastAsia="宋体" w:hint="default"/>
                <w:sz w:val="18"/>
                <w:szCs w:val="18"/>
              </w:rPr>
            </w:pPr>
            <w:r>
              <w:rPr>
                <w:rFonts w:ascii="宋体" w:hAnsi="宋体" w:cs="宋体" w:eastAsia="宋体" w:hint="default"/>
                <w:sz w:val="18"/>
                <w:szCs w:val="18"/>
              </w:rPr>
              <w:t>华夏银行南京分行营业部</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077710819100110631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sz w:val="18"/>
              </w:rPr>
              <w:t>53,763.00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7"/>
              <w:jc w:val="right"/>
              <w:rPr>
                <w:rFonts w:ascii="Times New Roman" w:hAnsi="Times New Roman" w:cs="Times New Roman" w:eastAsia="Times New Roman" w:hint="default"/>
                <w:sz w:val="18"/>
                <w:szCs w:val="18"/>
              </w:rPr>
            </w:pPr>
            <w:r>
              <w:rPr>
                <w:rFonts w:ascii="Times New Roman"/>
                <w:sz w:val="18"/>
              </w:rPr>
              <w:t>5,944.84</w:t>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29"/>
              <w:jc w:val="right"/>
              <w:rPr>
                <w:rFonts w:ascii="Times New Roman" w:hAnsi="Times New Roman" w:cs="Times New Roman" w:eastAsia="Times New Roman" w:hint="default"/>
                <w:sz w:val="18"/>
                <w:szCs w:val="18"/>
              </w:rPr>
            </w:pPr>
            <w:r>
              <w:rPr>
                <w:rFonts w:ascii="Times New Roman"/>
                <w:sz w:val="18"/>
              </w:rPr>
              <w:t>59,707.84</w:t>
            </w:r>
          </w:p>
        </w:tc>
      </w:tr>
      <w:tr>
        <w:trPr>
          <w:trHeight w:val="294" w:hRule="exact"/>
        </w:trPr>
        <w:tc>
          <w:tcPr>
            <w:tcW w:w="358"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4" w:lineRule="auto"/>
              <w:ind w:left="47" w:right="108"/>
              <w:jc w:val="both"/>
              <w:rPr>
                <w:rFonts w:ascii="宋体" w:hAnsi="宋体" w:cs="宋体" w:eastAsia="宋体" w:hint="default"/>
                <w:sz w:val="18"/>
                <w:szCs w:val="18"/>
              </w:rPr>
            </w:pPr>
            <w:r>
              <w:rPr>
                <w:rFonts w:ascii="宋体" w:hAnsi="宋体" w:cs="宋体" w:eastAsia="宋体" w:hint="default"/>
                <w:sz w:val="18"/>
                <w:szCs w:val="18"/>
              </w:rPr>
              <w:t>定 期 存 款 账 户</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6" w:right="0"/>
              <w:jc w:val="left"/>
              <w:rPr>
                <w:rFonts w:ascii="宋体" w:hAnsi="宋体" w:cs="宋体" w:eastAsia="宋体" w:hint="default"/>
                <w:sz w:val="18"/>
                <w:szCs w:val="18"/>
              </w:rPr>
            </w:pPr>
            <w:r>
              <w:rPr>
                <w:rFonts w:ascii="宋体" w:hAnsi="宋体" w:cs="宋体" w:eastAsia="宋体" w:hint="default"/>
                <w:sz w:val="18"/>
                <w:szCs w:val="18"/>
              </w:rPr>
              <w:t>华夏银行南京分行营业部</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077718301116036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sz w:val="18"/>
              </w:rPr>
              <w:t>500,000.00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29"/>
              <w:jc w:val="right"/>
              <w:rPr>
                <w:rFonts w:ascii="Times New Roman" w:hAnsi="Times New Roman" w:cs="Times New Roman" w:eastAsia="Times New Roman" w:hint="default"/>
                <w:sz w:val="18"/>
                <w:szCs w:val="18"/>
              </w:rPr>
            </w:pPr>
            <w:r>
              <w:rPr>
                <w:rFonts w:ascii="Times New Roman"/>
                <w:sz w:val="18"/>
              </w:rPr>
              <w:t>500,000.00</w:t>
            </w:r>
          </w:p>
        </w:tc>
      </w:tr>
      <w:tr>
        <w:trPr>
          <w:trHeight w:val="294"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6" w:right="0"/>
              <w:jc w:val="left"/>
              <w:rPr>
                <w:rFonts w:ascii="宋体" w:hAnsi="宋体" w:cs="宋体" w:eastAsia="宋体" w:hint="default"/>
                <w:sz w:val="18"/>
                <w:szCs w:val="18"/>
              </w:rPr>
            </w:pPr>
            <w:r>
              <w:rPr>
                <w:rFonts w:ascii="宋体" w:hAnsi="宋体" w:cs="宋体" w:eastAsia="宋体" w:hint="default"/>
                <w:sz w:val="18"/>
                <w:szCs w:val="18"/>
              </w:rPr>
              <w:t>华夏银行南京分行营业部</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077718301116238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sz w:val="18"/>
              </w:rPr>
              <w:t>52,198.40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7"/>
              <w:jc w:val="right"/>
              <w:rPr>
                <w:rFonts w:ascii="Times New Roman" w:hAnsi="Times New Roman" w:cs="Times New Roman" w:eastAsia="Times New Roman" w:hint="default"/>
                <w:sz w:val="18"/>
                <w:szCs w:val="18"/>
              </w:rPr>
            </w:pPr>
            <w:r>
              <w:rPr>
                <w:rFonts w:ascii="Times New Roman"/>
                <w:sz w:val="18"/>
              </w:rPr>
              <w:t>34,801.60</w:t>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29"/>
              <w:jc w:val="right"/>
              <w:rPr>
                <w:rFonts w:ascii="Times New Roman" w:hAnsi="Times New Roman" w:cs="Times New Roman" w:eastAsia="Times New Roman" w:hint="default"/>
                <w:sz w:val="18"/>
                <w:szCs w:val="18"/>
              </w:rPr>
            </w:pPr>
            <w:r>
              <w:rPr>
                <w:rFonts w:ascii="Times New Roman"/>
                <w:sz w:val="18"/>
              </w:rPr>
              <w:t>87,000.00</w:t>
            </w:r>
          </w:p>
        </w:tc>
      </w:tr>
      <w:tr>
        <w:trPr>
          <w:trHeight w:val="294"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6" w:right="0"/>
              <w:jc w:val="left"/>
              <w:rPr>
                <w:rFonts w:ascii="宋体" w:hAnsi="宋体" w:cs="宋体" w:eastAsia="宋体" w:hint="default"/>
                <w:sz w:val="18"/>
                <w:szCs w:val="18"/>
              </w:rPr>
            </w:pPr>
            <w:r>
              <w:rPr>
                <w:rFonts w:ascii="宋体" w:hAnsi="宋体" w:cs="宋体" w:eastAsia="宋体" w:hint="default"/>
                <w:sz w:val="18"/>
                <w:szCs w:val="18"/>
              </w:rPr>
              <w:t>中国光大银行南京分行</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76490181000458312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sz w:val="18"/>
              </w:rPr>
              <w:t>200,000.00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29"/>
              <w:jc w:val="right"/>
              <w:rPr>
                <w:rFonts w:ascii="Times New Roman" w:hAnsi="Times New Roman" w:cs="Times New Roman" w:eastAsia="Times New Roman" w:hint="default"/>
                <w:sz w:val="18"/>
                <w:szCs w:val="18"/>
              </w:rPr>
            </w:pPr>
            <w:r>
              <w:rPr>
                <w:rFonts w:ascii="Times New Roman"/>
                <w:sz w:val="18"/>
              </w:rPr>
              <w:t>200,000.00</w:t>
            </w:r>
          </w:p>
        </w:tc>
      </w:tr>
      <w:tr>
        <w:trPr>
          <w:trHeight w:val="294"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6" w:right="0"/>
              <w:jc w:val="left"/>
              <w:rPr>
                <w:rFonts w:ascii="宋体" w:hAnsi="宋体" w:cs="宋体" w:eastAsia="宋体" w:hint="default"/>
                <w:sz w:val="18"/>
                <w:szCs w:val="18"/>
              </w:rPr>
            </w:pPr>
            <w:r>
              <w:rPr>
                <w:rFonts w:ascii="宋体" w:hAnsi="宋体" w:cs="宋体" w:eastAsia="宋体" w:hint="default"/>
                <w:sz w:val="18"/>
                <w:szCs w:val="18"/>
              </w:rPr>
              <w:t>中国光大银行南京分行</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76490181000458230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sz w:val="18"/>
              </w:rPr>
              <w:t>90,000.00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29"/>
              <w:jc w:val="right"/>
              <w:rPr>
                <w:rFonts w:ascii="Times New Roman" w:hAnsi="Times New Roman" w:cs="Times New Roman" w:eastAsia="Times New Roman" w:hint="default"/>
                <w:sz w:val="18"/>
                <w:szCs w:val="18"/>
              </w:rPr>
            </w:pPr>
            <w:r>
              <w:rPr>
                <w:rFonts w:ascii="Times New Roman"/>
                <w:sz w:val="18"/>
              </w:rPr>
              <w:t>90,000.00</w:t>
            </w:r>
          </w:p>
        </w:tc>
      </w:tr>
      <w:tr>
        <w:trPr>
          <w:trHeight w:val="478"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华夏银行股份有限公司南京营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业部</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0" w:right="0"/>
              <w:jc w:val="left"/>
              <w:rPr>
                <w:rFonts w:ascii="Times New Roman" w:hAnsi="Times New Roman" w:cs="Times New Roman" w:eastAsia="Times New Roman" w:hint="default"/>
                <w:sz w:val="18"/>
                <w:szCs w:val="18"/>
              </w:rPr>
            </w:pPr>
            <w:r>
              <w:rPr>
                <w:rFonts w:ascii="Times New Roman"/>
                <w:sz w:val="18"/>
              </w:rPr>
              <w:t>077718301115443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50"/>
              <w:jc w:val="right"/>
              <w:rPr>
                <w:rFonts w:ascii="Times New Roman" w:hAnsi="Times New Roman" w:cs="Times New Roman" w:eastAsia="Times New Roman" w:hint="default"/>
                <w:sz w:val="18"/>
                <w:szCs w:val="18"/>
              </w:rPr>
            </w:pPr>
            <w:r>
              <w:rPr>
                <w:rFonts w:ascii="Times New Roman"/>
                <w:sz w:val="18"/>
              </w:rPr>
              <w:t>335,000.00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29"/>
              <w:jc w:val="right"/>
              <w:rPr>
                <w:rFonts w:ascii="Times New Roman" w:hAnsi="Times New Roman" w:cs="Times New Roman" w:eastAsia="Times New Roman" w:hint="default"/>
                <w:sz w:val="18"/>
                <w:szCs w:val="18"/>
              </w:rPr>
            </w:pPr>
            <w:r>
              <w:rPr>
                <w:rFonts w:ascii="Times New Roman"/>
                <w:sz w:val="18"/>
              </w:rPr>
              <w:t>335,000.00</w:t>
            </w:r>
          </w:p>
        </w:tc>
      </w:tr>
      <w:tr>
        <w:trPr>
          <w:trHeight w:val="479"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华夏银行股份有限公司南京营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业部</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0" w:right="0"/>
              <w:jc w:val="left"/>
              <w:rPr>
                <w:rFonts w:ascii="Times New Roman" w:hAnsi="Times New Roman" w:cs="Times New Roman" w:eastAsia="Times New Roman" w:hint="default"/>
                <w:sz w:val="18"/>
                <w:szCs w:val="18"/>
              </w:rPr>
            </w:pPr>
            <w:r>
              <w:rPr>
                <w:rFonts w:ascii="Times New Roman"/>
                <w:sz w:val="18"/>
              </w:rPr>
              <w:t>077718301115342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50"/>
              <w:jc w:val="right"/>
              <w:rPr>
                <w:rFonts w:ascii="Times New Roman" w:hAnsi="Times New Roman" w:cs="Times New Roman" w:eastAsia="Times New Roman" w:hint="default"/>
                <w:sz w:val="18"/>
                <w:szCs w:val="18"/>
              </w:rPr>
            </w:pPr>
            <w:r>
              <w:rPr>
                <w:rFonts w:ascii="Times New Roman"/>
                <w:sz w:val="18"/>
              </w:rPr>
              <w:t>50,000.00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29"/>
              <w:jc w:val="right"/>
              <w:rPr>
                <w:rFonts w:ascii="Times New Roman" w:hAnsi="Times New Roman" w:cs="Times New Roman" w:eastAsia="Times New Roman" w:hint="default"/>
                <w:sz w:val="18"/>
                <w:szCs w:val="18"/>
              </w:rPr>
            </w:pPr>
            <w:r>
              <w:rPr>
                <w:rFonts w:ascii="Times New Roman"/>
                <w:sz w:val="18"/>
              </w:rPr>
              <w:t>50,000.00</w:t>
            </w:r>
          </w:p>
        </w:tc>
      </w:tr>
      <w:tr>
        <w:trPr>
          <w:trHeight w:val="478"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交通银行江苏省分行南京鼓楼</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0" w:right="0"/>
              <w:jc w:val="left"/>
              <w:rPr>
                <w:rFonts w:ascii="Times New Roman" w:hAnsi="Times New Roman" w:cs="Times New Roman" w:eastAsia="Times New Roman" w:hint="default"/>
                <w:sz w:val="18"/>
                <w:szCs w:val="18"/>
              </w:rPr>
            </w:pPr>
            <w:r>
              <w:rPr>
                <w:rFonts w:ascii="Times New Roman"/>
                <w:sz w:val="18"/>
              </w:rPr>
              <w:t>320006621608510004368-00477823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49"/>
              <w:jc w:val="right"/>
              <w:rPr>
                <w:rFonts w:ascii="Times New Roman" w:hAnsi="Times New Roman" w:cs="Times New Roman" w:eastAsia="Times New Roman" w:hint="default"/>
                <w:sz w:val="18"/>
                <w:szCs w:val="18"/>
              </w:rPr>
            </w:pPr>
            <w:r>
              <w:rPr>
                <w:rFonts w:ascii="Times New Roman"/>
                <w:sz w:val="18"/>
              </w:rPr>
              <w:t>342,000.00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29"/>
              <w:jc w:val="right"/>
              <w:rPr>
                <w:rFonts w:ascii="Times New Roman" w:hAnsi="Times New Roman" w:cs="Times New Roman" w:eastAsia="Times New Roman" w:hint="default"/>
                <w:sz w:val="18"/>
                <w:szCs w:val="18"/>
              </w:rPr>
            </w:pPr>
            <w:r>
              <w:rPr>
                <w:rFonts w:ascii="Times New Roman"/>
                <w:sz w:val="18"/>
              </w:rPr>
              <w:t>342,000.00</w:t>
            </w:r>
          </w:p>
        </w:tc>
      </w:tr>
      <w:tr>
        <w:trPr>
          <w:trHeight w:val="478"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交通银行江苏省分行南京鼓楼</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0" w:right="0"/>
              <w:jc w:val="left"/>
              <w:rPr>
                <w:rFonts w:ascii="Times New Roman" w:hAnsi="Times New Roman" w:cs="Times New Roman" w:eastAsia="Times New Roman" w:hint="default"/>
                <w:sz w:val="18"/>
                <w:szCs w:val="18"/>
              </w:rPr>
            </w:pPr>
            <w:r>
              <w:rPr>
                <w:rFonts w:ascii="Times New Roman"/>
                <w:sz w:val="18"/>
              </w:rPr>
              <w:t>320006621608510004368-00477824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49"/>
              <w:jc w:val="right"/>
              <w:rPr>
                <w:rFonts w:ascii="Times New Roman" w:hAnsi="Times New Roman" w:cs="Times New Roman" w:eastAsia="Times New Roman" w:hint="default"/>
                <w:sz w:val="18"/>
                <w:szCs w:val="18"/>
              </w:rPr>
            </w:pPr>
            <w:r>
              <w:rPr>
                <w:rFonts w:ascii="Times New Roman"/>
                <w:sz w:val="18"/>
              </w:rPr>
              <w:t>78,000.00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29"/>
              <w:jc w:val="right"/>
              <w:rPr>
                <w:rFonts w:ascii="Times New Roman" w:hAnsi="Times New Roman" w:cs="Times New Roman" w:eastAsia="Times New Roman" w:hint="default"/>
                <w:sz w:val="18"/>
                <w:szCs w:val="18"/>
              </w:rPr>
            </w:pPr>
            <w:r>
              <w:rPr>
                <w:rFonts w:ascii="Times New Roman"/>
                <w:sz w:val="18"/>
              </w:rPr>
              <w:t>78,000.00</w:t>
            </w:r>
          </w:p>
        </w:tc>
      </w:tr>
      <w:tr>
        <w:trPr>
          <w:trHeight w:val="479"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中国民生银行南京分行新街口</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0" w:right="0"/>
              <w:jc w:val="left"/>
              <w:rPr>
                <w:rFonts w:ascii="Times New Roman" w:hAnsi="Times New Roman" w:cs="Times New Roman" w:eastAsia="Times New Roman" w:hint="default"/>
                <w:sz w:val="18"/>
                <w:szCs w:val="18"/>
              </w:rPr>
            </w:pPr>
            <w:r>
              <w:rPr>
                <w:rFonts w:ascii="Times New Roman"/>
                <w:sz w:val="18"/>
              </w:rPr>
              <w:t>0804014260001705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50"/>
              <w:jc w:val="right"/>
              <w:rPr>
                <w:rFonts w:ascii="Times New Roman" w:hAnsi="Times New Roman" w:cs="Times New Roman" w:eastAsia="Times New Roman" w:hint="default"/>
                <w:sz w:val="18"/>
                <w:szCs w:val="18"/>
              </w:rPr>
            </w:pPr>
            <w:r>
              <w:rPr>
                <w:rFonts w:ascii="Times New Roman"/>
                <w:sz w:val="18"/>
              </w:rPr>
              <w:t>421,428.66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7"/>
              <w:jc w:val="right"/>
              <w:rPr>
                <w:rFonts w:ascii="Times New Roman" w:hAnsi="Times New Roman" w:cs="Times New Roman" w:eastAsia="Times New Roman" w:hint="default"/>
                <w:sz w:val="18"/>
                <w:szCs w:val="18"/>
              </w:rPr>
            </w:pPr>
            <w:r>
              <w:rPr>
                <w:rFonts w:ascii="Times New Roman"/>
                <w:sz w:val="18"/>
              </w:rPr>
              <w:t>6,571.34</w:t>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29"/>
              <w:jc w:val="right"/>
              <w:rPr>
                <w:rFonts w:ascii="Times New Roman" w:hAnsi="Times New Roman" w:cs="Times New Roman" w:eastAsia="Times New Roman" w:hint="default"/>
                <w:sz w:val="18"/>
                <w:szCs w:val="18"/>
              </w:rPr>
            </w:pPr>
            <w:r>
              <w:rPr>
                <w:rFonts w:ascii="Times New Roman"/>
                <w:sz w:val="18"/>
              </w:rPr>
              <w:t>428,000.00</w:t>
            </w:r>
          </w:p>
        </w:tc>
      </w:tr>
      <w:tr>
        <w:trPr>
          <w:trHeight w:val="478"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深圳发展银行南京分行汉中路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0" w:right="0"/>
              <w:jc w:val="left"/>
              <w:rPr>
                <w:rFonts w:ascii="Times New Roman" w:hAnsi="Times New Roman" w:cs="Times New Roman" w:eastAsia="Times New Roman" w:hint="default"/>
                <w:sz w:val="18"/>
                <w:szCs w:val="18"/>
              </w:rPr>
            </w:pPr>
            <w:r>
              <w:rPr>
                <w:rFonts w:ascii="Times New Roman"/>
                <w:sz w:val="18"/>
              </w:rPr>
              <w:t>12006855520602-000007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50"/>
              <w:jc w:val="right"/>
              <w:rPr>
                <w:rFonts w:ascii="Times New Roman" w:hAnsi="Times New Roman" w:cs="Times New Roman" w:eastAsia="Times New Roman" w:hint="default"/>
                <w:sz w:val="18"/>
                <w:szCs w:val="18"/>
              </w:rPr>
            </w:pPr>
            <w:r>
              <w:rPr>
                <w:rFonts w:ascii="Times New Roman"/>
                <w:sz w:val="18"/>
              </w:rPr>
              <w:t>30,000.00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29"/>
              <w:jc w:val="right"/>
              <w:rPr>
                <w:rFonts w:ascii="Times New Roman" w:hAnsi="Times New Roman" w:cs="Times New Roman" w:eastAsia="Times New Roman" w:hint="default"/>
                <w:sz w:val="18"/>
                <w:szCs w:val="18"/>
              </w:rPr>
            </w:pPr>
            <w:r>
              <w:rPr>
                <w:rFonts w:ascii="Times New Roman"/>
                <w:sz w:val="18"/>
              </w:rPr>
              <w:t>30,000.00</w:t>
            </w:r>
          </w:p>
        </w:tc>
      </w:tr>
      <w:tr>
        <w:trPr>
          <w:trHeight w:val="478"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深圳发展银行南京分行汉中路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0" w:right="0"/>
              <w:jc w:val="left"/>
              <w:rPr>
                <w:rFonts w:ascii="Times New Roman" w:hAnsi="Times New Roman" w:cs="Times New Roman" w:eastAsia="Times New Roman" w:hint="default"/>
                <w:sz w:val="18"/>
                <w:szCs w:val="18"/>
              </w:rPr>
            </w:pPr>
            <w:r>
              <w:rPr>
                <w:rFonts w:ascii="Times New Roman"/>
                <w:sz w:val="18"/>
              </w:rPr>
              <w:t>12006855520602-000008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50"/>
              <w:jc w:val="right"/>
              <w:rPr>
                <w:rFonts w:ascii="Times New Roman" w:hAnsi="Times New Roman" w:cs="Times New Roman" w:eastAsia="Times New Roman" w:hint="default"/>
                <w:sz w:val="18"/>
                <w:szCs w:val="18"/>
              </w:rPr>
            </w:pPr>
            <w:r>
              <w:rPr>
                <w:rFonts w:ascii="Times New Roman"/>
                <w:sz w:val="18"/>
              </w:rPr>
              <w:t>100,000.00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29"/>
              <w:jc w:val="right"/>
              <w:rPr>
                <w:rFonts w:ascii="Times New Roman" w:hAnsi="Times New Roman" w:cs="Times New Roman" w:eastAsia="Times New Roman" w:hint="default"/>
                <w:sz w:val="18"/>
                <w:szCs w:val="18"/>
              </w:rPr>
            </w:pPr>
            <w:r>
              <w:rPr>
                <w:rFonts w:ascii="Times New Roman"/>
                <w:sz w:val="18"/>
              </w:rPr>
              <w:t>100,000.00</w:t>
            </w:r>
          </w:p>
        </w:tc>
      </w:tr>
      <w:tr>
        <w:trPr>
          <w:trHeight w:val="479" w:hRule="exact"/>
        </w:trPr>
        <w:tc>
          <w:tcPr>
            <w:tcW w:w="358" w:type="dxa"/>
            <w:vMerge/>
            <w:tcBorders>
              <w:left w:val="single" w:sz="12"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6" w:right="0"/>
              <w:jc w:val="left"/>
              <w:rPr>
                <w:rFonts w:ascii="宋体" w:hAnsi="宋体" w:cs="宋体" w:eastAsia="宋体" w:hint="default"/>
                <w:sz w:val="18"/>
                <w:szCs w:val="18"/>
              </w:rPr>
            </w:pPr>
            <w:r>
              <w:rPr>
                <w:rFonts w:ascii="宋体" w:hAnsi="宋体" w:cs="宋体" w:eastAsia="宋体" w:hint="default"/>
                <w:sz w:val="18"/>
                <w:szCs w:val="18"/>
              </w:rPr>
              <w:t>中国银行股份有限公司南京鼓</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楼支行</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0" w:right="0"/>
              <w:jc w:val="left"/>
              <w:rPr>
                <w:rFonts w:ascii="Times New Roman" w:hAnsi="Times New Roman" w:cs="Times New Roman" w:eastAsia="Times New Roman" w:hint="default"/>
                <w:sz w:val="18"/>
                <w:szCs w:val="18"/>
              </w:rPr>
            </w:pPr>
            <w:r>
              <w:rPr>
                <w:rFonts w:ascii="Times New Roman"/>
                <w:sz w:val="18"/>
              </w:rPr>
              <w:t>01654458211001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50"/>
              <w:jc w:val="right"/>
              <w:rPr>
                <w:rFonts w:ascii="Times New Roman" w:hAnsi="Times New Roman" w:cs="Times New Roman" w:eastAsia="Times New Roman" w:hint="default"/>
                <w:sz w:val="18"/>
                <w:szCs w:val="18"/>
              </w:rPr>
            </w:pPr>
            <w:r>
              <w:rPr>
                <w:rFonts w:ascii="Times New Roman"/>
                <w:sz w:val="18"/>
              </w:rPr>
              <w:t>70,000.00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29"/>
              <w:jc w:val="right"/>
              <w:rPr>
                <w:rFonts w:ascii="Times New Roman" w:hAnsi="Times New Roman" w:cs="Times New Roman" w:eastAsia="Times New Roman" w:hint="default"/>
                <w:sz w:val="18"/>
                <w:szCs w:val="18"/>
              </w:rPr>
            </w:pPr>
            <w:r>
              <w:rPr>
                <w:rFonts w:ascii="Times New Roman"/>
                <w:sz w:val="18"/>
              </w:rPr>
              <w:t>70,000.00</w:t>
            </w:r>
          </w:p>
        </w:tc>
      </w:tr>
      <w:tr>
        <w:trPr>
          <w:trHeight w:val="587" w:hRule="exact"/>
        </w:trPr>
        <w:tc>
          <w:tcPr>
            <w:tcW w:w="358" w:type="dxa"/>
            <w:vMerge w:val="restart"/>
            <w:tcBorders>
              <w:top w:val="single" w:sz="4" w:space="0" w:color="000000"/>
              <w:left w:val="single" w:sz="12" w:space="0" w:color="000000"/>
              <w:right w:val="single" w:sz="4" w:space="0" w:color="000000"/>
            </w:tcBorders>
          </w:tcPr>
          <w:p>
            <w:pPr>
              <w:pStyle w:val="TableParagraph"/>
              <w:spacing w:line="244" w:lineRule="auto"/>
              <w:ind w:left="47" w:right="108"/>
              <w:jc w:val="both"/>
              <w:rPr>
                <w:rFonts w:ascii="宋体" w:hAnsi="宋体" w:cs="宋体" w:eastAsia="宋体" w:hint="default"/>
                <w:sz w:val="18"/>
                <w:szCs w:val="18"/>
              </w:rPr>
            </w:pPr>
            <w:r>
              <w:rPr>
                <w:rFonts w:ascii="宋体" w:hAnsi="宋体" w:cs="宋体" w:eastAsia="宋体" w:hint="default"/>
                <w:sz w:val="18"/>
                <w:szCs w:val="18"/>
              </w:rPr>
              <w:t>通 知 存 款 户</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16" w:right="0"/>
              <w:jc w:val="left"/>
              <w:rPr>
                <w:rFonts w:ascii="宋体" w:hAnsi="宋体" w:cs="宋体" w:eastAsia="宋体" w:hint="default"/>
                <w:sz w:val="18"/>
                <w:szCs w:val="18"/>
              </w:rPr>
            </w:pPr>
            <w:r>
              <w:rPr>
                <w:rFonts w:ascii="宋体" w:hAnsi="宋体" w:cs="宋体" w:eastAsia="宋体" w:hint="default"/>
                <w:sz w:val="18"/>
                <w:szCs w:val="18"/>
              </w:rPr>
              <w:t>中国光大银行南京分行</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76490181000490972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50,000.00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50,000.00</w:t>
            </w:r>
          </w:p>
        </w:tc>
      </w:tr>
      <w:tr>
        <w:trPr>
          <w:trHeight w:val="660" w:hRule="exact"/>
        </w:trPr>
        <w:tc>
          <w:tcPr>
            <w:tcW w:w="358" w:type="dxa"/>
            <w:vMerge/>
            <w:tcBorders>
              <w:left w:val="single" w:sz="12"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49" w:firstLine="13"/>
              <w:jc w:val="left"/>
              <w:rPr>
                <w:rFonts w:ascii="宋体" w:hAnsi="宋体" w:cs="宋体" w:eastAsia="宋体" w:hint="default"/>
                <w:sz w:val="18"/>
                <w:szCs w:val="18"/>
              </w:rPr>
            </w:pPr>
            <w:r>
              <w:rPr>
                <w:rFonts w:ascii="宋体" w:hAnsi="宋体" w:cs="宋体" w:eastAsia="宋体" w:hint="default"/>
                <w:sz w:val="18"/>
                <w:szCs w:val="18"/>
              </w:rPr>
              <w:t>中国银行股份有限公司南京鼓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楼支行</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801201654458213001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50,000.00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50,000.00</w:t>
            </w:r>
          </w:p>
        </w:tc>
      </w:tr>
      <w:tr>
        <w:trPr>
          <w:trHeight w:val="323" w:hRule="exact"/>
        </w:trPr>
        <w:tc>
          <w:tcPr>
            <w:tcW w:w="358" w:type="dxa"/>
            <w:tcBorders>
              <w:top w:val="single" w:sz="4" w:space="0" w:color="000000"/>
              <w:left w:val="single" w:sz="12" w:space="0" w:color="000000"/>
              <w:bottom w:val="single" w:sz="12" w:space="0" w:color="000000"/>
              <w:right w:val="single" w:sz="4" w:space="0" w:color="000000"/>
            </w:tcBorders>
          </w:tcPr>
          <w:p>
            <w:pPr/>
          </w:p>
        </w:tc>
        <w:tc>
          <w:tcPr>
            <w:tcW w:w="25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left="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50"/>
              <w:jc w:val="right"/>
              <w:rPr>
                <w:rFonts w:ascii="Times New Roman" w:hAnsi="Times New Roman" w:cs="Times New Roman" w:eastAsia="Times New Roman" w:hint="default"/>
                <w:sz w:val="18"/>
                <w:szCs w:val="18"/>
              </w:rPr>
            </w:pPr>
            <w:r>
              <w:rPr>
                <w:rFonts w:ascii="Times New Roman"/>
                <w:spacing w:val="-1"/>
                <w:sz w:val="18"/>
              </w:rPr>
              <w:t>2,576,350.51</w:t>
            </w:r>
          </w:p>
        </w:tc>
        <w:tc>
          <w:tcPr>
            <w:tcW w:w="10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37"/>
              <w:jc w:val="right"/>
              <w:rPr>
                <w:rFonts w:ascii="Times New Roman" w:hAnsi="Times New Roman" w:cs="Times New Roman" w:eastAsia="Times New Roman" w:hint="default"/>
                <w:sz w:val="18"/>
                <w:szCs w:val="18"/>
              </w:rPr>
            </w:pPr>
            <w:r>
              <w:rPr>
                <w:rFonts w:ascii="Times New Roman"/>
                <w:sz w:val="18"/>
              </w:rPr>
              <w:t>102,419.39</w:t>
            </w:r>
          </w:p>
        </w:tc>
        <w:tc>
          <w:tcPr>
            <w:tcW w:w="118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3"/>
              <w:ind w:right="29"/>
              <w:jc w:val="right"/>
              <w:rPr>
                <w:rFonts w:ascii="Times New Roman" w:hAnsi="Times New Roman" w:cs="Times New Roman" w:eastAsia="Times New Roman" w:hint="default"/>
                <w:sz w:val="18"/>
                <w:szCs w:val="18"/>
              </w:rPr>
            </w:pPr>
            <w:r>
              <w:rPr>
                <w:rFonts w:ascii="Times New Roman"/>
                <w:spacing w:val="-1"/>
                <w:sz w:val="18"/>
              </w:rPr>
              <w:t>2,678,769.90</w:t>
            </w:r>
          </w:p>
        </w:tc>
      </w:tr>
    </w:tbl>
    <w:p>
      <w:pPr>
        <w:spacing w:line="253" w:lineRule="exact" w:before="0"/>
        <w:ind w:left="680" w:right="119" w:firstLine="0"/>
        <w:jc w:val="left"/>
        <w:rPr>
          <w:rFonts w:ascii="宋体" w:hAnsi="宋体" w:cs="宋体" w:eastAsia="宋体" w:hint="default"/>
          <w:sz w:val="22"/>
          <w:szCs w:val="22"/>
        </w:rPr>
      </w:pPr>
      <w:r>
        <w:rPr>
          <w:rFonts w:ascii="宋体" w:hAnsi="宋体" w:cs="宋体" w:eastAsia="宋体" w:hint="default"/>
          <w:sz w:val="22"/>
          <w:szCs w:val="22"/>
        </w:rPr>
        <w:t>公司通过子公司或分公司实施的募集资金项目，在项目具体实施过程中，募集资金连同其</w:t>
      </w:r>
    </w:p>
    <w:p>
      <w:pPr>
        <w:spacing w:after="0" w:line="253" w:lineRule="exact"/>
        <w:jc w:val="left"/>
        <w:rPr>
          <w:rFonts w:ascii="宋体" w:hAnsi="宋体" w:cs="宋体" w:eastAsia="宋体" w:hint="default"/>
          <w:sz w:val="22"/>
          <w:szCs w:val="22"/>
        </w:rPr>
        <w:sectPr>
          <w:pgSz w:w="11910" w:h="16840"/>
          <w:pgMar w:header="748" w:footer="714" w:top="980" w:bottom="900" w:left="1200" w:right="1180"/>
        </w:sectPr>
      </w:pPr>
    </w:p>
    <w:p>
      <w:pPr>
        <w:spacing w:line="240" w:lineRule="auto" w:before="5"/>
        <w:rPr>
          <w:rFonts w:ascii="宋体" w:hAnsi="宋体" w:cs="宋体" w:eastAsia="宋体" w:hint="default"/>
          <w:sz w:val="29"/>
          <w:szCs w:val="29"/>
        </w:rPr>
      </w:pPr>
    </w:p>
    <w:p>
      <w:pPr>
        <w:spacing w:before="31"/>
        <w:ind w:left="220" w:right="0" w:firstLine="0"/>
        <w:jc w:val="left"/>
        <w:rPr>
          <w:rFonts w:ascii="宋体" w:hAnsi="宋体" w:cs="宋体" w:eastAsia="宋体" w:hint="default"/>
          <w:sz w:val="21"/>
          <w:szCs w:val="21"/>
        </w:rPr>
      </w:pPr>
      <w:r>
        <w:rPr>
          <w:rFonts w:ascii="宋体" w:hAnsi="宋体" w:cs="宋体" w:eastAsia="宋体" w:hint="default"/>
          <w:w w:val="99"/>
          <w:sz w:val="22"/>
          <w:szCs w:val="22"/>
        </w:rPr>
        <w:t>他股东</w:t>
      </w:r>
      <w:r>
        <w:rPr>
          <w:rFonts w:ascii="宋体" w:hAnsi="宋体" w:cs="宋体" w:eastAsia="宋体" w:hint="default"/>
          <w:spacing w:val="1"/>
          <w:w w:val="99"/>
          <w:sz w:val="22"/>
          <w:szCs w:val="22"/>
        </w:rPr>
        <w:t>增资</w:t>
      </w:r>
      <w:r>
        <w:rPr>
          <w:rFonts w:ascii="宋体" w:hAnsi="宋体" w:cs="宋体" w:eastAsia="宋体" w:hint="default"/>
          <w:w w:val="99"/>
          <w:sz w:val="22"/>
          <w:szCs w:val="22"/>
        </w:rPr>
        <w:t>款也实</w:t>
      </w:r>
      <w:r>
        <w:rPr>
          <w:rFonts w:ascii="宋体" w:hAnsi="宋体" w:cs="宋体" w:eastAsia="宋体" w:hint="default"/>
          <w:spacing w:val="1"/>
          <w:w w:val="99"/>
          <w:sz w:val="22"/>
          <w:szCs w:val="22"/>
        </w:rPr>
        <w:t>行专</w:t>
      </w:r>
      <w:r>
        <w:rPr>
          <w:rFonts w:ascii="宋体" w:hAnsi="宋体" w:cs="宋体" w:eastAsia="宋体" w:hint="default"/>
          <w:w w:val="99"/>
          <w:sz w:val="22"/>
          <w:szCs w:val="22"/>
        </w:rPr>
        <w:t>户管理</w:t>
      </w:r>
      <w:r>
        <w:rPr>
          <w:rFonts w:ascii="宋体" w:hAnsi="宋体" w:cs="宋体" w:eastAsia="宋体" w:hint="default"/>
          <w:spacing w:val="1"/>
          <w:w w:val="99"/>
          <w:sz w:val="22"/>
          <w:szCs w:val="22"/>
        </w:rPr>
        <w:t>，具</w:t>
      </w:r>
      <w:r>
        <w:rPr>
          <w:rFonts w:ascii="宋体" w:hAnsi="宋体" w:cs="宋体" w:eastAsia="宋体" w:hint="default"/>
          <w:w w:val="99"/>
          <w:sz w:val="22"/>
          <w:szCs w:val="22"/>
        </w:rPr>
        <w:t>体情况</w:t>
      </w:r>
      <w:r>
        <w:rPr>
          <w:rFonts w:ascii="宋体" w:hAnsi="宋体" w:cs="宋体" w:eastAsia="宋体" w:hint="default"/>
          <w:spacing w:val="1"/>
          <w:w w:val="99"/>
          <w:sz w:val="22"/>
          <w:szCs w:val="22"/>
        </w:rPr>
        <w:t>如</w:t>
      </w:r>
      <w:r>
        <w:rPr>
          <w:rFonts w:ascii="宋体" w:hAnsi="宋体" w:cs="宋体" w:eastAsia="宋体" w:hint="default"/>
          <w:w w:val="99"/>
          <w:sz w:val="22"/>
          <w:szCs w:val="22"/>
        </w:rPr>
        <w:t>下</w:t>
      </w:r>
      <w:r>
        <w:rPr>
          <w:rFonts w:ascii="宋体" w:hAnsi="宋体" w:cs="宋体" w:eastAsia="宋体" w:hint="default"/>
          <w:spacing w:val="-110"/>
          <w:w w:val="99"/>
          <w:sz w:val="22"/>
          <w:szCs w:val="22"/>
        </w:rPr>
        <w:t>：</w:t>
      </w:r>
      <w:r>
        <w:rPr>
          <w:rFonts w:ascii="宋体" w:hAnsi="宋体" w:cs="宋体" w:eastAsia="宋体" w:hint="default"/>
          <w:sz w:val="21"/>
          <w:szCs w:val="21"/>
        </w:rPr>
        <w:t>（单位：千元）</w:t>
      </w:r>
    </w:p>
    <w:p>
      <w:pPr>
        <w:spacing w:line="240" w:lineRule="auto" w:before="7"/>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3163"/>
        <w:gridCol w:w="2160"/>
        <w:gridCol w:w="964"/>
        <w:gridCol w:w="986"/>
        <w:gridCol w:w="896"/>
        <w:gridCol w:w="1063"/>
      </w:tblGrid>
      <w:tr>
        <w:trPr>
          <w:trHeight w:val="304" w:hRule="exact"/>
        </w:trPr>
        <w:tc>
          <w:tcPr>
            <w:tcW w:w="3163" w:type="dxa"/>
            <w:vMerge w:val="restart"/>
            <w:tcBorders>
              <w:top w:val="single" w:sz="12" w:space="0" w:color="000000"/>
              <w:left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开户银行</w:t>
            </w:r>
          </w:p>
        </w:tc>
        <w:tc>
          <w:tcPr>
            <w:tcW w:w="2160" w:type="dxa"/>
            <w:vMerge w:val="restart"/>
            <w:tcBorders>
              <w:top w:val="single" w:sz="12"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银行账号</w:t>
            </w:r>
          </w:p>
        </w:tc>
        <w:tc>
          <w:tcPr>
            <w:tcW w:w="3908" w:type="dxa"/>
            <w:gridSpan w:val="4"/>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1"/>
              <w:ind w:left="10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r>
      <w:tr>
        <w:trPr>
          <w:trHeight w:val="479" w:hRule="exact"/>
        </w:trPr>
        <w:tc>
          <w:tcPr>
            <w:tcW w:w="3163" w:type="dxa"/>
            <w:vMerge/>
            <w:tcBorders>
              <w:left w:val="single" w:sz="12" w:space="0" w:color="000000"/>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 w:right="0"/>
              <w:jc w:val="center"/>
              <w:rPr>
                <w:rFonts w:ascii="宋体" w:hAnsi="宋体" w:cs="宋体" w:eastAsia="宋体" w:hint="default"/>
                <w:sz w:val="18"/>
                <w:szCs w:val="18"/>
              </w:rPr>
            </w:pPr>
            <w:r>
              <w:rPr>
                <w:rFonts w:ascii="宋体" w:hAnsi="宋体" w:cs="宋体" w:eastAsia="宋体" w:hint="default"/>
                <w:sz w:val="18"/>
                <w:szCs w:val="18"/>
              </w:rPr>
              <w:t>募集资金</w:t>
            </w:r>
          </w:p>
          <w:p>
            <w:pPr>
              <w:pStyle w:val="TableParagraph"/>
              <w:spacing w:line="235" w:lineRule="exact"/>
              <w:ind w:left="8"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4" w:right="0" w:hanging="90"/>
              <w:jc w:val="left"/>
              <w:rPr>
                <w:rFonts w:ascii="宋体" w:hAnsi="宋体" w:cs="宋体" w:eastAsia="宋体" w:hint="default"/>
                <w:sz w:val="18"/>
                <w:szCs w:val="18"/>
              </w:rPr>
            </w:pPr>
            <w:r>
              <w:rPr>
                <w:rFonts w:ascii="宋体" w:hAnsi="宋体" w:cs="宋体" w:eastAsia="宋体" w:hint="default"/>
                <w:sz w:val="18"/>
                <w:szCs w:val="18"/>
              </w:rPr>
              <w:t>其他股东</w:t>
            </w:r>
          </w:p>
          <w:p>
            <w:pPr>
              <w:pStyle w:val="TableParagraph"/>
              <w:spacing w:line="235" w:lineRule="exact"/>
              <w:ind w:left="224" w:right="0"/>
              <w:jc w:val="left"/>
              <w:rPr>
                <w:rFonts w:ascii="宋体" w:hAnsi="宋体" w:cs="宋体" w:eastAsia="宋体" w:hint="default"/>
                <w:sz w:val="18"/>
                <w:szCs w:val="18"/>
              </w:rPr>
            </w:pPr>
            <w:r>
              <w:rPr>
                <w:rFonts w:ascii="宋体" w:hAnsi="宋体" w:cs="宋体" w:eastAsia="宋体" w:hint="default"/>
                <w:sz w:val="18"/>
                <w:szCs w:val="18"/>
              </w:rPr>
              <w:t>增资款</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9" w:right="0"/>
              <w:jc w:val="left"/>
              <w:rPr>
                <w:rFonts w:ascii="宋体" w:hAnsi="宋体" w:cs="宋体" w:eastAsia="宋体" w:hint="default"/>
                <w:sz w:val="18"/>
                <w:szCs w:val="18"/>
              </w:rPr>
            </w:pPr>
            <w:r>
              <w:rPr>
                <w:rFonts w:ascii="宋体" w:hAnsi="宋体" w:cs="宋体" w:eastAsia="宋体" w:hint="default"/>
                <w:sz w:val="18"/>
                <w:szCs w:val="18"/>
              </w:rPr>
              <w:t>利息</w:t>
            </w:r>
          </w:p>
          <w:p>
            <w:pPr>
              <w:pStyle w:val="TableParagraph"/>
              <w:spacing w:line="235" w:lineRule="exact"/>
              <w:ind w:left="269"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6"/>
              <w:ind w:left="35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294" w:hRule="exact"/>
        </w:trPr>
        <w:tc>
          <w:tcPr>
            <w:tcW w:w="3163"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106" w:right="0"/>
              <w:jc w:val="left"/>
              <w:rPr>
                <w:rFonts w:ascii="宋体" w:hAnsi="宋体" w:cs="宋体" w:eastAsia="宋体" w:hint="default"/>
                <w:sz w:val="18"/>
                <w:szCs w:val="18"/>
              </w:rPr>
            </w:pPr>
            <w:r>
              <w:rPr>
                <w:rFonts w:ascii="宋体" w:hAnsi="宋体" w:cs="宋体" w:eastAsia="宋体" w:hint="default"/>
                <w:sz w:val="18"/>
                <w:szCs w:val="18"/>
              </w:rPr>
              <w:t>中国建设银行杭州转塘分行</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0" w:right="0"/>
              <w:jc w:val="left"/>
              <w:rPr>
                <w:rFonts w:ascii="Times New Roman" w:hAnsi="Times New Roman" w:cs="Times New Roman" w:eastAsia="Times New Roman" w:hint="default"/>
                <w:sz w:val="18"/>
                <w:szCs w:val="18"/>
              </w:rPr>
            </w:pPr>
            <w:r>
              <w:rPr>
                <w:rFonts w:ascii="Times New Roman"/>
                <w:sz w:val="18"/>
              </w:rPr>
              <w:t>33001616786052500334</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75"/>
              <w:jc w:val="right"/>
              <w:rPr>
                <w:rFonts w:ascii="Times New Roman" w:hAnsi="Times New Roman" w:cs="Times New Roman" w:eastAsia="Times New Roman" w:hint="default"/>
                <w:sz w:val="18"/>
                <w:szCs w:val="18"/>
              </w:rPr>
            </w:pPr>
            <w:r>
              <w:rPr>
                <w:rFonts w:ascii="Times New Roman"/>
                <w:sz w:val="18"/>
              </w:rPr>
              <w:t>6,496.00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77"/>
              <w:jc w:val="right"/>
              <w:rPr>
                <w:rFonts w:ascii="Times New Roman" w:hAnsi="Times New Roman" w:cs="Times New Roman" w:eastAsia="Times New Roman" w:hint="default"/>
                <w:sz w:val="18"/>
                <w:szCs w:val="18"/>
              </w:rPr>
            </w:pPr>
            <w:r>
              <w:rPr>
                <w:rFonts w:ascii="Times New Roman"/>
                <w:sz w:val="18"/>
              </w:rPr>
              <w:t>219.40</w:t>
            </w: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right="60"/>
              <w:jc w:val="right"/>
              <w:rPr>
                <w:rFonts w:ascii="Times New Roman" w:hAnsi="Times New Roman" w:cs="Times New Roman" w:eastAsia="Times New Roman" w:hint="default"/>
                <w:sz w:val="18"/>
                <w:szCs w:val="18"/>
              </w:rPr>
            </w:pPr>
            <w:r>
              <w:rPr>
                <w:rFonts w:ascii="Times New Roman"/>
                <w:sz w:val="18"/>
              </w:rPr>
              <w:t>6,715.40</w:t>
            </w:r>
          </w:p>
        </w:tc>
      </w:tr>
      <w:tr>
        <w:trPr>
          <w:trHeight w:val="293" w:hRule="exact"/>
        </w:trPr>
        <w:tc>
          <w:tcPr>
            <w:tcW w:w="3163"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106" w:right="0"/>
              <w:jc w:val="left"/>
              <w:rPr>
                <w:rFonts w:ascii="宋体" w:hAnsi="宋体" w:cs="宋体" w:eastAsia="宋体" w:hint="default"/>
                <w:sz w:val="18"/>
                <w:szCs w:val="18"/>
              </w:rPr>
            </w:pPr>
            <w:r>
              <w:rPr>
                <w:rFonts w:ascii="宋体" w:hAnsi="宋体" w:cs="宋体" w:eastAsia="宋体" w:hint="default"/>
                <w:sz w:val="18"/>
                <w:szCs w:val="18"/>
              </w:rPr>
              <w:t>光大银行杭州分行（注）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0" w:right="0"/>
              <w:jc w:val="left"/>
              <w:rPr>
                <w:rFonts w:ascii="Times New Roman" w:hAnsi="Times New Roman" w:cs="Times New Roman" w:eastAsia="Times New Roman" w:hint="default"/>
                <w:sz w:val="18"/>
                <w:szCs w:val="18"/>
              </w:rPr>
            </w:pPr>
            <w:r>
              <w:rPr>
                <w:rFonts w:ascii="Times New Roman"/>
                <w:sz w:val="18"/>
              </w:rPr>
              <w:t>76790188000357870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76"/>
              <w:jc w:val="right"/>
              <w:rPr>
                <w:rFonts w:ascii="Times New Roman" w:hAnsi="Times New Roman" w:cs="Times New Roman" w:eastAsia="Times New Roman" w:hint="default"/>
                <w:sz w:val="18"/>
                <w:szCs w:val="18"/>
              </w:rPr>
            </w:pPr>
            <w:r>
              <w:rPr>
                <w:rFonts w:ascii="Times New Roman"/>
                <w:sz w:val="18"/>
              </w:rPr>
              <w:t>23,976.00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76"/>
              <w:jc w:val="right"/>
              <w:rPr>
                <w:rFonts w:ascii="Times New Roman" w:hAnsi="Times New Roman" w:cs="Times New Roman" w:eastAsia="Times New Roman" w:hint="default"/>
                <w:sz w:val="18"/>
                <w:szCs w:val="18"/>
              </w:rPr>
            </w:pPr>
            <w:r>
              <w:rPr>
                <w:rFonts w:ascii="Times New Roman"/>
                <w:sz w:val="18"/>
              </w:rPr>
              <w:t>3,024.00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77"/>
              <w:jc w:val="right"/>
              <w:rPr>
                <w:rFonts w:ascii="Times New Roman" w:hAnsi="Times New Roman" w:cs="Times New Roman" w:eastAsia="Times New Roman" w:hint="default"/>
                <w:sz w:val="18"/>
                <w:szCs w:val="18"/>
              </w:rPr>
            </w:pPr>
            <w:r>
              <w:rPr>
                <w:rFonts w:ascii="Times New Roman"/>
                <w:spacing w:val="-2"/>
                <w:sz w:val="18"/>
              </w:rPr>
              <w:t>11.60</w:t>
            </w: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right="60"/>
              <w:jc w:val="right"/>
              <w:rPr>
                <w:rFonts w:ascii="Times New Roman" w:hAnsi="Times New Roman" w:cs="Times New Roman" w:eastAsia="Times New Roman" w:hint="default"/>
                <w:sz w:val="18"/>
                <w:szCs w:val="18"/>
              </w:rPr>
            </w:pPr>
            <w:r>
              <w:rPr>
                <w:rFonts w:ascii="Times New Roman"/>
                <w:spacing w:val="-1"/>
                <w:sz w:val="18"/>
              </w:rPr>
              <w:t>27,011.60</w:t>
            </w:r>
          </w:p>
        </w:tc>
      </w:tr>
      <w:tr>
        <w:trPr>
          <w:trHeight w:val="294" w:hRule="exact"/>
        </w:trPr>
        <w:tc>
          <w:tcPr>
            <w:tcW w:w="3163"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106" w:right="0"/>
              <w:jc w:val="left"/>
              <w:rPr>
                <w:rFonts w:ascii="宋体" w:hAnsi="宋体" w:cs="宋体" w:eastAsia="宋体" w:hint="default"/>
                <w:sz w:val="18"/>
                <w:szCs w:val="18"/>
              </w:rPr>
            </w:pPr>
            <w:r>
              <w:rPr>
                <w:rFonts w:ascii="宋体" w:hAnsi="宋体" w:cs="宋体" w:eastAsia="宋体" w:hint="default"/>
                <w:sz w:val="18"/>
                <w:szCs w:val="18"/>
              </w:rPr>
              <w:t>中国建设银行深圳益民支行</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44201606800052501848</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5"/>
              <w:jc w:val="right"/>
              <w:rPr>
                <w:rFonts w:ascii="Times New Roman" w:hAnsi="Times New Roman" w:cs="Times New Roman" w:eastAsia="Times New Roman" w:hint="default"/>
                <w:sz w:val="18"/>
                <w:szCs w:val="18"/>
              </w:rPr>
            </w:pPr>
            <w:r>
              <w:rPr>
                <w:rFonts w:ascii="Times New Roman"/>
                <w:sz w:val="18"/>
              </w:rPr>
              <w:t>571.60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1,700.00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7"/>
              <w:jc w:val="right"/>
              <w:rPr>
                <w:rFonts w:ascii="Times New Roman" w:hAnsi="Times New Roman" w:cs="Times New Roman" w:eastAsia="Times New Roman" w:hint="default"/>
                <w:sz w:val="18"/>
                <w:szCs w:val="18"/>
              </w:rPr>
            </w:pPr>
            <w:r>
              <w:rPr>
                <w:rFonts w:ascii="Times New Roman"/>
                <w:sz w:val="18"/>
              </w:rPr>
              <w:t>69.41</w:t>
            </w: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60"/>
              <w:jc w:val="right"/>
              <w:rPr>
                <w:rFonts w:ascii="Times New Roman" w:hAnsi="Times New Roman" w:cs="Times New Roman" w:eastAsia="Times New Roman" w:hint="default"/>
                <w:sz w:val="18"/>
                <w:szCs w:val="18"/>
              </w:rPr>
            </w:pPr>
            <w:r>
              <w:rPr>
                <w:rFonts w:ascii="Times New Roman"/>
                <w:sz w:val="18"/>
              </w:rPr>
              <w:t>2,341.01</w:t>
            </w:r>
          </w:p>
        </w:tc>
      </w:tr>
      <w:tr>
        <w:trPr>
          <w:trHeight w:val="294" w:hRule="exact"/>
        </w:trPr>
        <w:tc>
          <w:tcPr>
            <w:tcW w:w="3163"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106" w:right="0"/>
              <w:jc w:val="left"/>
              <w:rPr>
                <w:rFonts w:ascii="宋体" w:hAnsi="宋体" w:cs="宋体" w:eastAsia="宋体" w:hint="default"/>
                <w:sz w:val="18"/>
                <w:szCs w:val="18"/>
              </w:rPr>
            </w:pPr>
            <w:r>
              <w:rPr>
                <w:rFonts w:ascii="宋体" w:hAnsi="宋体" w:cs="宋体" w:eastAsia="宋体" w:hint="default"/>
                <w:sz w:val="18"/>
                <w:szCs w:val="18"/>
              </w:rPr>
              <w:t>中国工商银行深圳市布吉支行（注）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4000022339201489742</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2,340.00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260.00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60"/>
              <w:jc w:val="right"/>
              <w:rPr>
                <w:rFonts w:ascii="Times New Roman" w:hAnsi="Times New Roman" w:cs="Times New Roman" w:eastAsia="Times New Roman" w:hint="default"/>
                <w:sz w:val="18"/>
                <w:szCs w:val="18"/>
              </w:rPr>
            </w:pPr>
            <w:r>
              <w:rPr>
                <w:rFonts w:ascii="Times New Roman"/>
                <w:sz w:val="18"/>
              </w:rPr>
              <w:t>2,600.00</w:t>
            </w:r>
          </w:p>
        </w:tc>
      </w:tr>
      <w:tr>
        <w:trPr>
          <w:trHeight w:val="294" w:hRule="exact"/>
        </w:trPr>
        <w:tc>
          <w:tcPr>
            <w:tcW w:w="3163"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106" w:right="0"/>
              <w:jc w:val="left"/>
              <w:rPr>
                <w:rFonts w:ascii="宋体" w:hAnsi="宋体" w:cs="宋体" w:eastAsia="宋体" w:hint="default"/>
                <w:sz w:val="18"/>
                <w:szCs w:val="18"/>
              </w:rPr>
            </w:pPr>
            <w:r>
              <w:rPr>
                <w:rFonts w:ascii="宋体" w:hAnsi="宋体" w:cs="宋体" w:eastAsia="宋体" w:hint="default"/>
                <w:sz w:val="18"/>
                <w:szCs w:val="18"/>
              </w:rPr>
              <w:t>华夏银行广州中环支行</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690810228840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17,910.00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2,310.00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7"/>
              <w:jc w:val="right"/>
              <w:rPr>
                <w:rFonts w:ascii="Times New Roman" w:hAnsi="Times New Roman" w:cs="Times New Roman" w:eastAsia="Times New Roman" w:hint="default"/>
                <w:sz w:val="18"/>
                <w:szCs w:val="18"/>
              </w:rPr>
            </w:pPr>
            <w:r>
              <w:rPr>
                <w:rFonts w:ascii="Times New Roman"/>
                <w:sz w:val="18"/>
              </w:rPr>
              <w:t>40.01</w:t>
            </w: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60"/>
              <w:jc w:val="right"/>
              <w:rPr>
                <w:rFonts w:ascii="Times New Roman" w:hAnsi="Times New Roman" w:cs="Times New Roman" w:eastAsia="Times New Roman" w:hint="default"/>
                <w:sz w:val="18"/>
                <w:szCs w:val="18"/>
              </w:rPr>
            </w:pPr>
            <w:r>
              <w:rPr>
                <w:rFonts w:ascii="Times New Roman"/>
                <w:sz w:val="18"/>
              </w:rPr>
              <w:t>20,260.01</w:t>
            </w:r>
          </w:p>
        </w:tc>
      </w:tr>
      <w:tr>
        <w:trPr>
          <w:trHeight w:val="294" w:hRule="exact"/>
        </w:trPr>
        <w:tc>
          <w:tcPr>
            <w:tcW w:w="3163"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106" w:right="0"/>
              <w:jc w:val="left"/>
              <w:rPr>
                <w:rFonts w:ascii="宋体" w:hAnsi="宋体" w:cs="宋体" w:eastAsia="宋体" w:hint="default"/>
                <w:sz w:val="18"/>
                <w:szCs w:val="18"/>
              </w:rPr>
            </w:pPr>
            <w:r>
              <w:rPr>
                <w:rFonts w:ascii="宋体" w:hAnsi="宋体" w:cs="宋体" w:eastAsia="宋体" w:hint="default"/>
                <w:sz w:val="18"/>
                <w:szCs w:val="18"/>
              </w:rPr>
              <w:t>华夏银行广州中环支行</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5034200001810200054350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1,023.20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9,300.00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7"/>
              <w:jc w:val="right"/>
              <w:rPr>
                <w:rFonts w:ascii="Times New Roman" w:hAnsi="Times New Roman" w:cs="Times New Roman" w:eastAsia="Times New Roman" w:hint="default"/>
                <w:sz w:val="18"/>
                <w:szCs w:val="18"/>
              </w:rPr>
            </w:pPr>
            <w:r>
              <w:rPr>
                <w:rFonts w:ascii="Times New Roman"/>
                <w:sz w:val="18"/>
              </w:rPr>
              <w:t>316.91</w:t>
            </w: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60"/>
              <w:jc w:val="right"/>
              <w:rPr>
                <w:rFonts w:ascii="Times New Roman" w:hAnsi="Times New Roman" w:cs="Times New Roman" w:eastAsia="Times New Roman" w:hint="default"/>
                <w:sz w:val="18"/>
                <w:szCs w:val="18"/>
              </w:rPr>
            </w:pPr>
            <w:r>
              <w:rPr>
                <w:rFonts w:ascii="Times New Roman"/>
                <w:spacing w:val="-1"/>
                <w:sz w:val="18"/>
              </w:rPr>
              <w:t>10,640.11</w:t>
            </w:r>
          </w:p>
        </w:tc>
      </w:tr>
      <w:tr>
        <w:trPr>
          <w:trHeight w:val="294" w:hRule="exact"/>
        </w:trPr>
        <w:tc>
          <w:tcPr>
            <w:tcW w:w="3163"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106" w:right="0"/>
              <w:jc w:val="left"/>
              <w:rPr>
                <w:rFonts w:ascii="宋体" w:hAnsi="宋体" w:cs="宋体" w:eastAsia="宋体" w:hint="default"/>
                <w:sz w:val="18"/>
                <w:szCs w:val="18"/>
              </w:rPr>
            </w:pPr>
            <w:r>
              <w:rPr>
                <w:rFonts w:ascii="宋体" w:hAnsi="宋体" w:cs="宋体" w:eastAsia="宋体" w:hint="default"/>
                <w:sz w:val="18"/>
                <w:szCs w:val="18"/>
              </w:rPr>
              <w:t>中国银行湖北省分行万松支行</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807818982508213001</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7"/>
              <w:jc w:val="right"/>
              <w:rPr>
                <w:rFonts w:ascii="Times New Roman" w:hAnsi="Times New Roman" w:cs="Times New Roman" w:eastAsia="Times New Roman" w:hint="default"/>
                <w:sz w:val="18"/>
                <w:szCs w:val="18"/>
              </w:rPr>
            </w:pPr>
            <w:r>
              <w:rPr>
                <w:rFonts w:ascii="Times New Roman"/>
                <w:sz w:val="18"/>
              </w:rPr>
              <w:t>3,730.00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60"/>
              <w:jc w:val="right"/>
              <w:rPr>
                <w:rFonts w:ascii="Times New Roman" w:hAnsi="Times New Roman" w:cs="Times New Roman" w:eastAsia="Times New Roman" w:hint="default"/>
                <w:sz w:val="18"/>
                <w:szCs w:val="18"/>
              </w:rPr>
            </w:pPr>
            <w:r>
              <w:rPr>
                <w:rFonts w:ascii="Times New Roman"/>
                <w:sz w:val="18"/>
              </w:rPr>
              <w:t>3,730.00</w:t>
            </w:r>
          </w:p>
        </w:tc>
      </w:tr>
      <w:tr>
        <w:trPr>
          <w:trHeight w:val="294" w:hRule="exact"/>
        </w:trPr>
        <w:tc>
          <w:tcPr>
            <w:tcW w:w="3163"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106" w:right="0"/>
              <w:jc w:val="left"/>
              <w:rPr>
                <w:rFonts w:ascii="宋体" w:hAnsi="宋体" w:cs="宋体" w:eastAsia="宋体" w:hint="default"/>
                <w:sz w:val="18"/>
                <w:szCs w:val="18"/>
              </w:rPr>
            </w:pPr>
            <w:r>
              <w:rPr>
                <w:rFonts w:ascii="宋体" w:hAnsi="宋体" w:cs="宋体" w:eastAsia="宋体" w:hint="default"/>
                <w:sz w:val="18"/>
                <w:szCs w:val="18"/>
              </w:rPr>
              <w:t>中国银行武汉江汉支行（注）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18982528099001</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3,510.00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5"/>
              <w:jc w:val="right"/>
              <w:rPr>
                <w:rFonts w:ascii="Times New Roman" w:hAnsi="Times New Roman" w:cs="Times New Roman" w:eastAsia="Times New Roman" w:hint="default"/>
                <w:sz w:val="18"/>
                <w:szCs w:val="18"/>
              </w:rPr>
            </w:pPr>
            <w:r>
              <w:rPr>
                <w:rFonts w:ascii="Times New Roman"/>
                <w:sz w:val="18"/>
              </w:rPr>
              <w:t>390.00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7"/>
              <w:jc w:val="right"/>
              <w:rPr>
                <w:rFonts w:ascii="Times New Roman" w:hAnsi="Times New Roman" w:cs="Times New Roman" w:eastAsia="Times New Roman" w:hint="default"/>
                <w:sz w:val="18"/>
                <w:szCs w:val="18"/>
              </w:rPr>
            </w:pPr>
            <w:r>
              <w:rPr>
                <w:rFonts w:ascii="Times New Roman"/>
                <w:sz w:val="18"/>
              </w:rPr>
              <w:t>1.04</w:t>
            </w: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60"/>
              <w:jc w:val="right"/>
              <w:rPr>
                <w:rFonts w:ascii="Times New Roman" w:hAnsi="Times New Roman" w:cs="Times New Roman" w:eastAsia="Times New Roman" w:hint="default"/>
                <w:sz w:val="18"/>
                <w:szCs w:val="18"/>
              </w:rPr>
            </w:pPr>
            <w:r>
              <w:rPr>
                <w:rFonts w:ascii="Times New Roman"/>
                <w:sz w:val="18"/>
              </w:rPr>
              <w:t>3,901.04</w:t>
            </w:r>
          </w:p>
        </w:tc>
      </w:tr>
      <w:tr>
        <w:trPr>
          <w:trHeight w:val="294" w:hRule="exact"/>
        </w:trPr>
        <w:tc>
          <w:tcPr>
            <w:tcW w:w="3163"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106" w:right="0"/>
              <w:jc w:val="left"/>
              <w:rPr>
                <w:rFonts w:ascii="宋体" w:hAnsi="宋体" w:cs="宋体" w:eastAsia="宋体" w:hint="default"/>
                <w:sz w:val="18"/>
                <w:szCs w:val="18"/>
              </w:rPr>
            </w:pPr>
            <w:r>
              <w:rPr>
                <w:rFonts w:ascii="宋体" w:hAnsi="宋体" w:cs="宋体" w:eastAsia="宋体" w:hint="default"/>
                <w:sz w:val="18"/>
                <w:szCs w:val="18"/>
              </w:rPr>
              <w:t>交通银行沈阳分行金鹰广场支行</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211111207018010014649</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5,200.00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7"/>
              <w:jc w:val="right"/>
              <w:rPr>
                <w:rFonts w:ascii="Times New Roman" w:hAnsi="Times New Roman" w:cs="Times New Roman" w:eastAsia="Times New Roman" w:hint="default"/>
                <w:sz w:val="18"/>
                <w:szCs w:val="18"/>
              </w:rPr>
            </w:pPr>
            <w:r>
              <w:rPr>
                <w:rFonts w:ascii="Times New Roman"/>
                <w:sz w:val="18"/>
              </w:rPr>
              <w:t>251.07</w:t>
            </w: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60"/>
              <w:jc w:val="right"/>
              <w:rPr>
                <w:rFonts w:ascii="Times New Roman" w:hAnsi="Times New Roman" w:cs="Times New Roman" w:eastAsia="Times New Roman" w:hint="default"/>
                <w:sz w:val="18"/>
                <w:szCs w:val="18"/>
              </w:rPr>
            </w:pPr>
            <w:r>
              <w:rPr>
                <w:rFonts w:ascii="Times New Roman"/>
                <w:sz w:val="18"/>
              </w:rPr>
              <w:t>5,451.07</w:t>
            </w:r>
          </w:p>
        </w:tc>
      </w:tr>
      <w:tr>
        <w:trPr>
          <w:trHeight w:val="294" w:hRule="exact"/>
        </w:trPr>
        <w:tc>
          <w:tcPr>
            <w:tcW w:w="3163"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106" w:right="0"/>
              <w:jc w:val="left"/>
              <w:rPr>
                <w:rFonts w:ascii="宋体" w:hAnsi="宋体" w:cs="宋体" w:eastAsia="宋体" w:hint="default"/>
                <w:sz w:val="18"/>
                <w:szCs w:val="18"/>
              </w:rPr>
            </w:pPr>
            <w:r>
              <w:rPr>
                <w:rFonts w:ascii="宋体" w:hAnsi="宋体" w:cs="宋体" w:eastAsia="宋体" w:hint="default"/>
                <w:sz w:val="18"/>
                <w:szCs w:val="18"/>
              </w:rPr>
              <w:t>交通银行辽宁省分行（注）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211111207018010053576</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29,430.00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3,270.00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7"/>
              <w:jc w:val="right"/>
              <w:rPr>
                <w:rFonts w:ascii="Times New Roman" w:hAnsi="Times New Roman" w:cs="Times New Roman" w:eastAsia="Times New Roman" w:hint="default"/>
                <w:sz w:val="18"/>
                <w:szCs w:val="18"/>
              </w:rPr>
            </w:pPr>
            <w:r>
              <w:rPr>
                <w:rFonts w:ascii="Times New Roman"/>
                <w:sz w:val="18"/>
              </w:rPr>
              <w:t>6.54</w:t>
            </w: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60"/>
              <w:jc w:val="right"/>
              <w:rPr>
                <w:rFonts w:ascii="Times New Roman" w:hAnsi="Times New Roman" w:cs="Times New Roman" w:eastAsia="Times New Roman" w:hint="default"/>
                <w:sz w:val="18"/>
                <w:szCs w:val="18"/>
              </w:rPr>
            </w:pPr>
            <w:r>
              <w:rPr>
                <w:rFonts w:ascii="Times New Roman"/>
                <w:sz w:val="18"/>
              </w:rPr>
              <w:t>32,706.54</w:t>
            </w:r>
          </w:p>
        </w:tc>
      </w:tr>
      <w:tr>
        <w:trPr>
          <w:trHeight w:val="294" w:hRule="exact"/>
        </w:trPr>
        <w:tc>
          <w:tcPr>
            <w:tcW w:w="3163"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106" w:right="0"/>
              <w:jc w:val="left"/>
              <w:rPr>
                <w:rFonts w:ascii="宋体" w:hAnsi="宋体" w:cs="宋体" w:eastAsia="宋体" w:hint="default"/>
                <w:sz w:val="18"/>
                <w:szCs w:val="18"/>
              </w:rPr>
            </w:pPr>
            <w:r>
              <w:rPr>
                <w:rFonts w:ascii="宋体" w:hAnsi="宋体" w:cs="宋体" w:eastAsia="宋体" w:hint="default"/>
                <w:sz w:val="18"/>
                <w:szCs w:val="18"/>
              </w:rPr>
              <w:t>中国银行长春西安大路支行</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162007412917</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796.40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1,600.00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7"/>
              <w:jc w:val="right"/>
              <w:rPr>
                <w:rFonts w:ascii="Times New Roman" w:hAnsi="Times New Roman" w:cs="Times New Roman" w:eastAsia="Times New Roman" w:hint="default"/>
                <w:sz w:val="18"/>
                <w:szCs w:val="18"/>
              </w:rPr>
            </w:pPr>
            <w:r>
              <w:rPr>
                <w:rFonts w:ascii="Times New Roman"/>
                <w:sz w:val="18"/>
              </w:rPr>
              <w:t>47.86</w:t>
            </w: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60"/>
              <w:jc w:val="right"/>
              <w:rPr>
                <w:rFonts w:ascii="Times New Roman" w:hAnsi="Times New Roman" w:cs="Times New Roman" w:eastAsia="Times New Roman" w:hint="default"/>
                <w:sz w:val="18"/>
                <w:szCs w:val="18"/>
              </w:rPr>
            </w:pPr>
            <w:r>
              <w:rPr>
                <w:rFonts w:ascii="Times New Roman"/>
                <w:sz w:val="18"/>
              </w:rPr>
              <w:t>2,444.26</w:t>
            </w:r>
          </w:p>
        </w:tc>
      </w:tr>
      <w:tr>
        <w:trPr>
          <w:trHeight w:val="294" w:hRule="exact"/>
        </w:trPr>
        <w:tc>
          <w:tcPr>
            <w:tcW w:w="3163"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106" w:right="0"/>
              <w:jc w:val="left"/>
              <w:rPr>
                <w:rFonts w:ascii="宋体" w:hAnsi="宋体" w:cs="宋体" w:eastAsia="宋体" w:hint="default"/>
                <w:sz w:val="18"/>
                <w:szCs w:val="18"/>
              </w:rPr>
            </w:pPr>
            <w:r>
              <w:rPr>
                <w:rFonts w:ascii="宋体" w:hAnsi="宋体" w:cs="宋体" w:eastAsia="宋体" w:hint="default"/>
                <w:sz w:val="18"/>
                <w:szCs w:val="18"/>
              </w:rPr>
              <w:t>中国工商银行汕尾分行（注）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2009002139023344945</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1,080.00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120.00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7"/>
              <w:jc w:val="right"/>
              <w:rPr>
                <w:rFonts w:ascii="Times New Roman" w:hAnsi="Times New Roman" w:cs="Times New Roman" w:eastAsia="Times New Roman" w:hint="default"/>
                <w:sz w:val="18"/>
                <w:szCs w:val="18"/>
              </w:rPr>
            </w:pPr>
            <w:r>
              <w:rPr>
                <w:rFonts w:ascii="Times New Roman"/>
                <w:sz w:val="18"/>
              </w:rPr>
              <w:t>0.18</w:t>
            </w: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60"/>
              <w:jc w:val="right"/>
              <w:rPr>
                <w:rFonts w:ascii="Times New Roman" w:hAnsi="Times New Roman" w:cs="Times New Roman" w:eastAsia="Times New Roman" w:hint="default"/>
                <w:sz w:val="18"/>
                <w:szCs w:val="18"/>
              </w:rPr>
            </w:pPr>
            <w:r>
              <w:rPr>
                <w:rFonts w:ascii="Times New Roman"/>
                <w:sz w:val="18"/>
              </w:rPr>
              <w:t>1,200.18</w:t>
            </w:r>
          </w:p>
        </w:tc>
      </w:tr>
      <w:tr>
        <w:trPr>
          <w:trHeight w:val="294" w:hRule="exact"/>
        </w:trPr>
        <w:tc>
          <w:tcPr>
            <w:tcW w:w="3163"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106" w:right="0"/>
              <w:jc w:val="left"/>
              <w:rPr>
                <w:rFonts w:ascii="宋体" w:hAnsi="宋体" w:cs="宋体" w:eastAsia="宋体" w:hint="default"/>
                <w:sz w:val="18"/>
                <w:szCs w:val="18"/>
              </w:rPr>
            </w:pPr>
            <w:r>
              <w:rPr>
                <w:rFonts w:ascii="宋体" w:hAnsi="宋体" w:cs="宋体" w:eastAsia="宋体" w:hint="default"/>
                <w:sz w:val="18"/>
                <w:szCs w:val="18"/>
              </w:rPr>
              <w:t>中国建设银行清远天湖支行（注）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44001760211053001399</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2,610.00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290.00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7"/>
              <w:jc w:val="right"/>
              <w:rPr>
                <w:rFonts w:ascii="Times New Roman" w:hAnsi="Times New Roman" w:cs="Times New Roman" w:eastAsia="Times New Roman" w:hint="default"/>
                <w:sz w:val="18"/>
                <w:szCs w:val="18"/>
              </w:rPr>
            </w:pPr>
            <w:r>
              <w:rPr>
                <w:rFonts w:ascii="Times New Roman"/>
                <w:sz w:val="18"/>
              </w:rPr>
              <w:t>0.20</w:t>
            </w: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60"/>
              <w:jc w:val="right"/>
              <w:rPr>
                <w:rFonts w:ascii="Times New Roman" w:hAnsi="Times New Roman" w:cs="Times New Roman" w:eastAsia="Times New Roman" w:hint="default"/>
                <w:sz w:val="18"/>
                <w:szCs w:val="18"/>
              </w:rPr>
            </w:pPr>
            <w:r>
              <w:rPr>
                <w:rFonts w:ascii="Times New Roman"/>
                <w:sz w:val="18"/>
              </w:rPr>
              <w:t>2,900.20</w:t>
            </w:r>
          </w:p>
        </w:tc>
      </w:tr>
      <w:tr>
        <w:trPr>
          <w:trHeight w:val="294" w:hRule="exact"/>
        </w:trPr>
        <w:tc>
          <w:tcPr>
            <w:tcW w:w="3163"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106" w:right="-23"/>
              <w:jc w:val="left"/>
              <w:rPr>
                <w:rFonts w:ascii="宋体" w:hAnsi="宋体" w:cs="宋体" w:eastAsia="宋体" w:hint="default"/>
                <w:sz w:val="18"/>
                <w:szCs w:val="18"/>
              </w:rPr>
            </w:pPr>
            <w:r>
              <w:rPr>
                <w:rFonts w:ascii="宋体" w:hAnsi="宋体" w:cs="宋体" w:eastAsia="宋体" w:hint="default"/>
                <w:sz w:val="18"/>
                <w:szCs w:val="18"/>
              </w:rPr>
              <w:t>中国工商银行酒泉广场东路支行（注）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2713035929200031575</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2,520.00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279.98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60"/>
              <w:jc w:val="right"/>
              <w:rPr>
                <w:rFonts w:ascii="Times New Roman" w:hAnsi="Times New Roman" w:cs="Times New Roman" w:eastAsia="Times New Roman" w:hint="default"/>
                <w:sz w:val="18"/>
                <w:szCs w:val="18"/>
              </w:rPr>
            </w:pPr>
            <w:r>
              <w:rPr>
                <w:rFonts w:ascii="Times New Roman"/>
                <w:sz w:val="18"/>
              </w:rPr>
              <w:t>2,799.98</w:t>
            </w:r>
          </w:p>
        </w:tc>
      </w:tr>
      <w:tr>
        <w:trPr>
          <w:trHeight w:val="294" w:hRule="exact"/>
        </w:trPr>
        <w:tc>
          <w:tcPr>
            <w:tcW w:w="3163"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106" w:right="0"/>
              <w:jc w:val="left"/>
              <w:rPr>
                <w:rFonts w:ascii="宋体" w:hAnsi="宋体" w:cs="宋体" w:eastAsia="宋体" w:hint="default"/>
                <w:sz w:val="18"/>
                <w:szCs w:val="18"/>
              </w:rPr>
            </w:pPr>
            <w:r>
              <w:rPr>
                <w:rFonts w:ascii="宋体" w:hAnsi="宋体" w:cs="宋体" w:eastAsia="宋体" w:hint="default"/>
                <w:sz w:val="18"/>
                <w:szCs w:val="18"/>
              </w:rPr>
              <w:t>中国光大银行宁波中山支行（注）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77700188000004331</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3,300.00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7"/>
              <w:jc w:val="right"/>
              <w:rPr>
                <w:rFonts w:ascii="Times New Roman" w:hAnsi="Times New Roman" w:cs="Times New Roman" w:eastAsia="Times New Roman" w:hint="default"/>
                <w:sz w:val="18"/>
                <w:szCs w:val="18"/>
              </w:rPr>
            </w:pPr>
            <w:r>
              <w:rPr>
                <w:rFonts w:ascii="Times New Roman"/>
                <w:sz w:val="18"/>
              </w:rPr>
              <w:t>0.89</w:t>
            </w: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60"/>
              <w:jc w:val="right"/>
              <w:rPr>
                <w:rFonts w:ascii="Times New Roman" w:hAnsi="Times New Roman" w:cs="Times New Roman" w:eastAsia="Times New Roman" w:hint="default"/>
                <w:sz w:val="18"/>
                <w:szCs w:val="18"/>
              </w:rPr>
            </w:pPr>
            <w:r>
              <w:rPr>
                <w:rFonts w:ascii="Times New Roman"/>
                <w:sz w:val="18"/>
              </w:rPr>
              <w:t>3,300.89</w:t>
            </w:r>
          </w:p>
        </w:tc>
      </w:tr>
      <w:tr>
        <w:trPr>
          <w:trHeight w:val="294" w:hRule="exact"/>
        </w:trPr>
        <w:tc>
          <w:tcPr>
            <w:tcW w:w="3163"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106" w:right="0"/>
              <w:jc w:val="left"/>
              <w:rPr>
                <w:rFonts w:ascii="宋体" w:hAnsi="宋体" w:cs="宋体" w:eastAsia="宋体" w:hint="default"/>
                <w:sz w:val="18"/>
                <w:szCs w:val="18"/>
              </w:rPr>
            </w:pPr>
            <w:r>
              <w:rPr>
                <w:rFonts w:ascii="宋体" w:hAnsi="宋体" w:cs="宋体" w:eastAsia="宋体" w:hint="default"/>
                <w:sz w:val="18"/>
                <w:szCs w:val="18"/>
              </w:rPr>
              <w:t>交通银行福州晋安支行（注）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 w:right="0"/>
              <w:jc w:val="left"/>
              <w:rPr>
                <w:rFonts w:ascii="Times New Roman" w:hAnsi="Times New Roman" w:cs="Times New Roman" w:eastAsia="Times New Roman" w:hint="default"/>
                <w:sz w:val="18"/>
                <w:szCs w:val="18"/>
              </w:rPr>
            </w:pPr>
            <w:r>
              <w:rPr>
                <w:rFonts w:ascii="Times New Roman"/>
                <w:sz w:val="18"/>
              </w:rPr>
              <w:t>351008200018010052271</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6"/>
              <w:jc w:val="right"/>
              <w:rPr>
                <w:rFonts w:ascii="Times New Roman" w:hAnsi="Times New Roman" w:cs="Times New Roman" w:eastAsia="Times New Roman" w:hint="default"/>
                <w:sz w:val="18"/>
                <w:szCs w:val="18"/>
              </w:rPr>
            </w:pPr>
            <w:r>
              <w:rPr>
                <w:rFonts w:ascii="Times New Roman"/>
                <w:sz w:val="18"/>
              </w:rPr>
              <w:t>1,350.00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5"/>
              <w:jc w:val="right"/>
              <w:rPr>
                <w:rFonts w:ascii="Times New Roman" w:hAnsi="Times New Roman" w:cs="Times New Roman" w:eastAsia="Times New Roman" w:hint="default"/>
                <w:sz w:val="18"/>
                <w:szCs w:val="18"/>
              </w:rPr>
            </w:pPr>
            <w:r>
              <w:rPr>
                <w:rFonts w:ascii="Times New Roman"/>
                <w:sz w:val="18"/>
              </w:rPr>
              <w:t>150.00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7"/>
              <w:jc w:val="right"/>
              <w:rPr>
                <w:rFonts w:ascii="Times New Roman" w:hAnsi="Times New Roman" w:cs="Times New Roman" w:eastAsia="Times New Roman" w:hint="default"/>
                <w:sz w:val="18"/>
                <w:szCs w:val="18"/>
              </w:rPr>
            </w:pPr>
            <w:r>
              <w:rPr>
                <w:rFonts w:ascii="Times New Roman"/>
                <w:sz w:val="18"/>
              </w:rPr>
              <w:t>0.39</w:t>
            </w: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60"/>
              <w:jc w:val="right"/>
              <w:rPr>
                <w:rFonts w:ascii="Times New Roman" w:hAnsi="Times New Roman" w:cs="Times New Roman" w:eastAsia="Times New Roman" w:hint="default"/>
                <w:sz w:val="18"/>
                <w:szCs w:val="18"/>
              </w:rPr>
            </w:pPr>
            <w:r>
              <w:rPr>
                <w:rFonts w:ascii="Times New Roman"/>
                <w:sz w:val="18"/>
              </w:rPr>
              <w:t>1,500.39</w:t>
            </w:r>
          </w:p>
        </w:tc>
      </w:tr>
      <w:tr>
        <w:trPr>
          <w:trHeight w:val="305" w:hRule="exact"/>
        </w:trPr>
        <w:tc>
          <w:tcPr>
            <w:tcW w:w="3163" w:type="dxa"/>
            <w:tcBorders>
              <w:top w:val="single" w:sz="4" w:space="0" w:color="000000"/>
              <w:left w:val="single" w:sz="12" w:space="0" w:color="000000"/>
              <w:bottom w:val="single" w:sz="12" w:space="0" w:color="000000"/>
              <w:right w:val="single" w:sz="4" w:space="0" w:color="000000"/>
            </w:tcBorders>
          </w:tcPr>
          <w:p>
            <w:pPr>
              <w:pStyle w:val="TableParagraph"/>
              <w:spacing w:line="231" w:lineRule="exact"/>
              <w:ind w:left="10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0" w:type="dxa"/>
            <w:tcBorders>
              <w:top w:val="single" w:sz="4" w:space="0" w:color="000000"/>
              <w:left w:val="single" w:sz="4" w:space="0" w:color="000000"/>
              <w:bottom w:val="single" w:sz="12" w:space="0" w:color="000000"/>
              <w:right w:val="single" w:sz="4" w:space="0" w:color="000000"/>
            </w:tcBorders>
          </w:tcPr>
          <w:p>
            <w:pPr/>
          </w:p>
        </w:tc>
        <w:tc>
          <w:tcPr>
            <w:tcW w:w="9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77"/>
              <w:jc w:val="right"/>
              <w:rPr>
                <w:rFonts w:ascii="Times New Roman" w:hAnsi="Times New Roman" w:cs="Times New Roman" w:eastAsia="Times New Roman" w:hint="default"/>
                <w:sz w:val="18"/>
                <w:szCs w:val="18"/>
              </w:rPr>
            </w:pPr>
            <w:r>
              <w:rPr>
                <w:rFonts w:ascii="Times New Roman"/>
                <w:sz w:val="18"/>
              </w:rPr>
              <w:t>90,417.20</w:t>
            </w:r>
          </w:p>
        </w:tc>
        <w:tc>
          <w:tcPr>
            <w:tcW w:w="9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78"/>
              <w:jc w:val="right"/>
              <w:rPr>
                <w:rFonts w:ascii="Times New Roman" w:hAnsi="Times New Roman" w:cs="Times New Roman" w:eastAsia="Times New Roman" w:hint="default"/>
                <w:sz w:val="18"/>
                <w:szCs w:val="18"/>
              </w:rPr>
            </w:pPr>
            <w:r>
              <w:rPr>
                <w:rFonts w:ascii="Times New Roman"/>
                <w:spacing w:val="-1"/>
                <w:sz w:val="18"/>
              </w:rPr>
              <w:t>38,119.98</w:t>
            </w:r>
          </w:p>
        </w:tc>
        <w:tc>
          <w:tcPr>
            <w:tcW w:w="8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78"/>
              <w:jc w:val="right"/>
              <w:rPr>
                <w:rFonts w:ascii="Times New Roman" w:hAnsi="Times New Roman" w:cs="Times New Roman" w:eastAsia="Times New Roman" w:hint="default"/>
                <w:sz w:val="18"/>
                <w:szCs w:val="18"/>
              </w:rPr>
            </w:pPr>
            <w:r>
              <w:rPr>
                <w:rFonts w:ascii="Times New Roman"/>
                <w:sz w:val="18"/>
              </w:rPr>
              <w:t>965.50</w:t>
            </w:r>
          </w:p>
        </w:tc>
        <w:tc>
          <w:tcPr>
            <w:tcW w:w="106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3"/>
              <w:ind w:right="60"/>
              <w:jc w:val="right"/>
              <w:rPr>
                <w:rFonts w:ascii="Times New Roman" w:hAnsi="Times New Roman" w:cs="Times New Roman" w:eastAsia="Times New Roman" w:hint="default"/>
                <w:sz w:val="18"/>
                <w:szCs w:val="18"/>
              </w:rPr>
            </w:pPr>
            <w:r>
              <w:rPr>
                <w:rFonts w:ascii="Times New Roman"/>
                <w:sz w:val="18"/>
              </w:rPr>
              <w:t>129,502.68</w:t>
            </w:r>
          </w:p>
        </w:tc>
      </w:tr>
    </w:tbl>
    <w:p>
      <w:pPr>
        <w:spacing w:line="241" w:lineRule="exact" w:before="0"/>
        <w:ind w:left="220" w:right="0" w:firstLine="0"/>
        <w:jc w:val="left"/>
        <w:rPr>
          <w:rFonts w:ascii="宋体" w:hAnsi="宋体" w:cs="宋体" w:eastAsia="宋体" w:hint="default"/>
          <w:sz w:val="21"/>
          <w:szCs w:val="21"/>
        </w:rPr>
      </w:pPr>
      <w:r>
        <w:rPr>
          <w:rFonts w:ascii="宋体" w:hAnsi="宋体" w:cs="宋体" w:eastAsia="宋体" w:hint="default"/>
          <w:sz w:val="21"/>
          <w:szCs w:val="21"/>
        </w:rPr>
        <w:t>注：对于由子公司实施的募集资金项目，公司是以向子公司增资的形式，将募集资金划拨到对应的</w:t>
      </w:r>
    </w:p>
    <w:p>
      <w:pPr>
        <w:spacing w:line="333" w:lineRule="auto" w:before="108"/>
        <w:ind w:left="220" w:right="214" w:firstLine="0"/>
        <w:jc w:val="left"/>
        <w:rPr>
          <w:rFonts w:ascii="宋体" w:hAnsi="宋体" w:cs="宋体" w:eastAsia="宋体" w:hint="default"/>
          <w:sz w:val="21"/>
          <w:szCs w:val="21"/>
        </w:rPr>
      </w:pPr>
      <w:r>
        <w:rPr>
          <w:rFonts w:ascii="宋体" w:hAnsi="宋体" w:cs="宋体" w:eastAsia="宋体" w:hint="default"/>
          <w:sz w:val="21"/>
          <w:szCs w:val="21"/>
        </w:rPr>
        <w:t>子公司，后予以支付或置换。报告期末，公司正在办理有关子公司的增资手续，故公司子公司开立 验资户用于专门存放公司以及其他股东的增资款。</w:t>
      </w:r>
    </w:p>
    <w:p>
      <w:pPr>
        <w:pStyle w:val="BodyText"/>
        <w:spacing w:line="240" w:lineRule="auto" w:before="141"/>
        <w:ind w:left="700"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2010 </w:t>
      </w:r>
      <w:r>
        <w:rPr/>
        <w:t>年募集资金项目的实施地点变更情况</w:t>
      </w:r>
    </w:p>
    <w:p>
      <w:pPr>
        <w:pStyle w:val="BodyText"/>
        <w:spacing w:line="240" w:lineRule="auto" w:before="135"/>
        <w:ind w:left="700" w:right="0"/>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spacing w:val="-5"/>
        </w:rPr>
        <w:t>11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20"/>
        </w:rPr>
        <w:t> </w:t>
      </w:r>
      <w:r>
        <w:rPr/>
        <w:t>日，公司召开第四届董事会第六次会议，审议通过《关于连锁店</w:t>
      </w:r>
    </w:p>
    <w:p>
      <w:pPr>
        <w:pStyle w:val="BodyText"/>
        <w:spacing w:line="240" w:lineRule="auto" w:before="104"/>
        <w:ind w:left="220" w:right="0"/>
        <w:jc w:val="left"/>
        <w:rPr>
          <w:rFonts w:ascii="Times New Roman" w:hAnsi="Times New Roman" w:cs="Times New Roman" w:eastAsia="Times New Roman" w:hint="default"/>
        </w:rPr>
      </w:pPr>
      <w:r>
        <w:rPr/>
        <w:t>发展项目中部分连锁店实施地点变更的议案</w:t>
      </w:r>
      <w:r>
        <w:rPr>
          <w:spacing w:val="-120"/>
        </w:rPr>
        <w:t>》</w:t>
      </w:r>
      <w:r>
        <w:rPr>
          <w:spacing w:val="-30"/>
        </w:rPr>
        <w:t>，</w:t>
      </w:r>
      <w:r>
        <w:rPr/>
        <w:t>根据董事会决议</w:t>
      </w:r>
      <w:r>
        <w:rPr>
          <w:spacing w:val="-30"/>
        </w:rPr>
        <w:t>，</w:t>
      </w:r>
      <w:r>
        <w:rPr/>
        <w:t>分别对</w:t>
      </w:r>
      <w:r>
        <w:rPr>
          <w:spacing w:val="-60"/>
        </w:rPr>
        <w:t> </w:t>
      </w:r>
      <w:r>
        <w:rPr>
          <w:rFonts w:ascii="Times New Roman" w:hAnsi="Times New Roman" w:cs="Times New Roman" w:eastAsia="Times New Roman" w:hint="default"/>
        </w:rPr>
        <w:t>2007 </w:t>
      </w:r>
      <w:r>
        <w:rPr/>
        <w:t>年</w:t>
      </w:r>
      <w:r>
        <w:rPr>
          <w:spacing w:val="-30"/>
        </w:rPr>
        <w:t>、</w:t>
      </w:r>
      <w:r>
        <w:rPr>
          <w:rFonts w:ascii="Times New Roman" w:hAnsi="Times New Roman" w:cs="Times New Roman" w:eastAsia="Times New Roman" w:hint="default"/>
        </w:rPr>
        <w:t>2009</w:t>
      </w:r>
    </w:p>
    <w:p>
      <w:pPr>
        <w:pStyle w:val="BodyText"/>
        <w:spacing w:line="314" w:lineRule="auto" w:before="104"/>
        <w:ind w:left="219" w:right="217"/>
        <w:jc w:val="left"/>
      </w:pPr>
      <w:r>
        <w:rPr/>
        <w:t>年非公开发行募集资金项目之一的</w:t>
      </w:r>
      <w:r>
        <w:rPr>
          <w:spacing w:val="-53"/>
        </w:rPr>
        <w:t> </w:t>
      </w:r>
      <w:r>
        <w:rPr>
          <w:rFonts w:ascii="Times New Roman" w:hAnsi="Times New Roman" w:cs="Times New Roman" w:eastAsia="Times New Roman" w:hint="default"/>
        </w:rPr>
        <w:t>250</w:t>
      </w:r>
      <w:r>
        <w:rPr>
          <w:rFonts w:ascii="Times New Roman" w:hAnsi="Times New Roman" w:cs="Times New Roman" w:eastAsia="Times New Roman" w:hint="default"/>
          <w:spacing w:val="7"/>
        </w:rPr>
        <w:t> </w:t>
      </w:r>
      <w:r>
        <w:rPr/>
        <w:t>家连锁店发展项目中合计</w:t>
      </w:r>
      <w:r>
        <w:rPr>
          <w:spacing w:val="-53"/>
        </w:rPr>
        <w:t> </w:t>
      </w:r>
      <w:r>
        <w:rPr>
          <w:rFonts w:ascii="Times New Roman" w:hAnsi="Times New Roman" w:cs="Times New Roman" w:eastAsia="Times New Roman" w:hint="default"/>
        </w:rPr>
        <w:t>47</w:t>
      </w:r>
      <w:r>
        <w:rPr>
          <w:rFonts w:ascii="Times New Roman" w:hAnsi="Times New Roman" w:cs="Times New Roman" w:eastAsia="Times New Roman" w:hint="default"/>
          <w:spacing w:val="7"/>
        </w:rPr>
        <w:t> </w:t>
      </w:r>
      <w:r>
        <w:rPr/>
        <w:t>家连锁店的实施地 点进行变更，变更明细如下：</w:t>
      </w:r>
    </w:p>
    <w:p>
      <w:pPr>
        <w:spacing w:line="240" w:lineRule="auto" w:before="9"/>
        <w:rPr>
          <w:rFonts w:ascii="宋体" w:hAnsi="宋体" w:cs="宋体" w:eastAsia="宋体" w:hint="default"/>
          <w:sz w:val="6"/>
          <w:szCs w:val="6"/>
        </w:rPr>
      </w:pPr>
    </w:p>
    <w:tbl>
      <w:tblPr>
        <w:tblW w:w="0" w:type="auto"/>
        <w:jc w:val="left"/>
        <w:tblInd w:w="359" w:type="dxa"/>
        <w:tblLayout w:type="fixed"/>
        <w:tblCellMar>
          <w:top w:w="0" w:type="dxa"/>
          <w:left w:w="0" w:type="dxa"/>
          <w:bottom w:w="0" w:type="dxa"/>
          <w:right w:w="0" w:type="dxa"/>
        </w:tblCellMar>
        <w:tblLook w:val="01E0"/>
      </w:tblPr>
      <w:tblGrid>
        <w:gridCol w:w="1314"/>
        <w:gridCol w:w="900"/>
        <w:gridCol w:w="1440"/>
        <w:gridCol w:w="1260"/>
        <w:gridCol w:w="1955"/>
        <w:gridCol w:w="1853"/>
      </w:tblGrid>
      <w:tr>
        <w:trPr>
          <w:trHeight w:val="305" w:hRule="exact"/>
        </w:trPr>
        <w:tc>
          <w:tcPr>
            <w:tcW w:w="1314" w:type="dxa"/>
            <w:vMerge w:val="restart"/>
            <w:tcBorders>
              <w:top w:val="single" w:sz="12" w:space="0" w:color="000000"/>
              <w:left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900" w:type="dxa"/>
            <w:vMerge w:val="restart"/>
            <w:tcBorders>
              <w:top w:val="single" w:sz="12"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地  区</w:t>
            </w:r>
          </w:p>
        </w:tc>
        <w:tc>
          <w:tcPr>
            <w:tcW w:w="270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1346" w:right="0"/>
              <w:jc w:val="left"/>
              <w:rPr>
                <w:rFonts w:ascii="宋体" w:hAnsi="宋体" w:cs="宋体" w:eastAsia="宋体" w:hint="default"/>
                <w:sz w:val="18"/>
                <w:szCs w:val="18"/>
              </w:rPr>
            </w:pPr>
            <w:r>
              <w:rPr>
                <w:rFonts w:ascii="宋体" w:hAnsi="宋体" w:cs="宋体" w:eastAsia="宋体" w:hint="default"/>
                <w:sz w:val="18"/>
                <w:szCs w:val="18"/>
              </w:rPr>
              <w:t>变更前</w:t>
            </w:r>
          </w:p>
        </w:tc>
        <w:tc>
          <w:tcPr>
            <w:tcW w:w="3808"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32" w:lineRule="exact"/>
              <w:ind w:left="550" w:right="0"/>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712" w:hRule="exact"/>
        </w:trPr>
        <w:tc>
          <w:tcPr>
            <w:tcW w:w="1314" w:type="dxa"/>
            <w:vMerge/>
            <w:tcBorders>
              <w:left w:val="single" w:sz="12"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店面</w:t>
            </w:r>
          </w:p>
          <w:p>
            <w:pPr>
              <w:pStyle w:val="TableParagraph"/>
              <w:spacing w:line="240" w:lineRule="auto"/>
              <w:ind w:left="103" w:right="101"/>
              <w:jc w:val="center"/>
              <w:rPr>
                <w:rFonts w:ascii="宋体" w:hAnsi="宋体" w:cs="宋体" w:eastAsia="宋体" w:hint="default"/>
                <w:sz w:val="18"/>
                <w:szCs w:val="18"/>
              </w:rPr>
            </w:pPr>
            <w:r>
              <w:rPr>
                <w:rFonts w:ascii="宋体" w:hAnsi="宋体" w:cs="宋体" w:eastAsia="宋体" w:hint="default"/>
                <w:spacing w:val="-6"/>
                <w:sz w:val="18"/>
                <w:szCs w:val="18"/>
              </w:rPr>
              <w:t>（暂定名，以工</w:t>
            </w:r>
            <w:r>
              <w:rPr>
                <w:rFonts w:ascii="宋体" w:hAnsi="宋体" w:cs="宋体" w:eastAsia="宋体" w:hint="default"/>
                <w:sz w:val="18"/>
                <w:szCs w:val="18"/>
              </w:rPr>
              <w:t> 商核准为准）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商圈与区域</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店面</w:t>
            </w:r>
          </w:p>
          <w:p>
            <w:pPr>
              <w:pStyle w:val="TableParagraph"/>
              <w:spacing w:line="240" w:lineRule="auto"/>
              <w:ind w:left="103" w:right="102"/>
              <w:jc w:val="center"/>
              <w:rPr>
                <w:rFonts w:ascii="宋体" w:hAnsi="宋体" w:cs="宋体" w:eastAsia="宋体" w:hint="default"/>
                <w:sz w:val="18"/>
                <w:szCs w:val="18"/>
              </w:rPr>
            </w:pPr>
            <w:r>
              <w:rPr>
                <w:rFonts w:ascii="宋体" w:hAnsi="宋体" w:cs="宋体" w:eastAsia="宋体" w:hint="default"/>
                <w:spacing w:val="-7"/>
                <w:sz w:val="18"/>
                <w:szCs w:val="18"/>
              </w:rPr>
              <w:t>（暂定名，以工商核准</w:t>
            </w:r>
            <w:r>
              <w:rPr>
                <w:rFonts w:ascii="宋体" w:hAnsi="宋体" w:cs="宋体" w:eastAsia="宋体" w:hint="default"/>
                <w:sz w:val="18"/>
                <w:szCs w:val="18"/>
              </w:rPr>
              <w:t> 为准）</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商圈与区域</w:t>
            </w:r>
          </w:p>
        </w:tc>
      </w:tr>
      <w:tr>
        <w:trPr>
          <w:trHeight w:val="350" w:hRule="exact"/>
        </w:trPr>
        <w:tc>
          <w:tcPr>
            <w:tcW w:w="1314" w:type="dxa"/>
            <w:vMerge w:val="restart"/>
            <w:tcBorders>
              <w:top w:val="single" w:sz="4" w:space="0" w:color="000000"/>
              <w:left w:val="single" w:sz="12" w:space="0" w:color="000000"/>
              <w:right w:val="single" w:sz="4" w:space="0" w:color="000000"/>
            </w:tcBorders>
          </w:tcPr>
          <w:p>
            <w:pPr>
              <w:pStyle w:val="TableParagraph"/>
              <w:spacing w:line="211" w:lineRule="exact"/>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年募集</w:t>
            </w:r>
          </w:p>
          <w:p>
            <w:pPr>
              <w:pStyle w:val="TableParagraph"/>
              <w:spacing w:line="234" w:lineRule="exact" w:before="15"/>
              <w:ind w:left="102" w:right="110"/>
              <w:jc w:val="center"/>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 连锁店发展项 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大连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西岗店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西岗商圈</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金玛商城店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开发区商圈</w:t>
            </w:r>
          </w:p>
        </w:tc>
      </w:tr>
      <w:tr>
        <w:trPr>
          <w:trHeight w:val="349"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通化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白山店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八道江商圈</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中东新天地店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中东商圈</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哈尔滨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道外店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道外商圈</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双城店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双城市商圈</w:t>
            </w:r>
          </w:p>
        </w:tc>
      </w:tr>
      <w:tr>
        <w:trPr>
          <w:trHeight w:val="350" w:hRule="exact"/>
        </w:trPr>
        <w:tc>
          <w:tcPr>
            <w:tcW w:w="1314" w:type="dxa"/>
            <w:vMerge/>
            <w:tcBorders>
              <w:left w:val="single" w:sz="12"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北  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天通苑店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天通苑商圈</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万芳桥店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万芳桥商圈</w:t>
            </w:r>
          </w:p>
        </w:tc>
      </w:tr>
      <w:tr>
        <w:trPr>
          <w:trHeight w:val="349" w:hRule="exact"/>
        </w:trPr>
        <w:tc>
          <w:tcPr>
            <w:tcW w:w="1314" w:type="dxa"/>
            <w:vMerge/>
            <w:tcBorders>
              <w:left w:val="single" w:sz="12"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北苑店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北苑商圈</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公园路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红领巾桥商圈</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包头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集宁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集宁店</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嘉茂店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呼市嘉茂商圈</w:t>
            </w:r>
          </w:p>
        </w:tc>
      </w:tr>
      <w:tr>
        <w:trPr>
          <w:trHeight w:val="350" w:hRule="exact"/>
        </w:trPr>
        <w:tc>
          <w:tcPr>
            <w:tcW w:w="1314" w:type="dxa"/>
            <w:vMerge/>
            <w:tcBorders>
              <w:left w:val="single" w:sz="12"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长寿路店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长寿路商圈</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顾戴路店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顾戴路商圈</w:t>
            </w:r>
          </w:p>
        </w:tc>
      </w:tr>
      <w:tr>
        <w:trPr>
          <w:trHeight w:val="349" w:hRule="exact"/>
        </w:trPr>
        <w:tc>
          <w:tcPr>
            <w:tcW w:w="1314" w:type="dxa"/>
            <w:vMerge/>
            <w:tcBorders>
              <w:left w:val="single" w:sz="12"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卢湾店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卢湾商圈</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浦江镇店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浦江镇</w:t>
            </w:r>
          </w:p>
        </w:tc>
      </w:tr>
      <w:tr>
        <w:trPr>
          <w:trHeight w:val="350" w:hRule="exact"/>
        </w:trPr>
        <w:tc>
          <w:tcPr>
            <w:tcW w:w="1314" w:type="dxa"/>
            <w:vMerge/>
            <w:tcBorders>
              <w:left w:val="single" w:sz="12"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斜土路店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斜土路商圈</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泗泾五金城店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泗泾镇</w:t>
            </w:r>
          </w:p>
        </w:tc>
      </w:tr>
      <w:tr>
        <w:trPr>
          <w:trHeight w:val="350" w:hRule="exact"/>
        </w:trPr>
        <w:tc>
          <w:tcPr>
            <w:tcW w:w="1314" w:type="dxa"/>
            <w:vMerge/>
            <w:tcBorders>
              <w:left w:val="single" w:sz="12"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曲阳店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曲阳商圈</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沪闵路店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南方商城商圈</w:t>
            </w:r>
          </w:p>
        </w:tc>
      </w:tr>
    </w:tbl>
    <w:p>
      <w:pPr>
        <w:spacing w:after="0" w:line="240" w:lineRule="auto"/>
        <w:jc w:val="center"/>
        <w:rPr>
          <w:rFonts w:ascii="宋体" w:hAnsi="宋体" w:cs="宋体" w:eastAsia="宋体" w:hint="default"/>
          <w:sz w:val="18"/>
          <w:szCs w:val="18"/>
        </w:rPr>
        <w:sectPr>
          <w:pgSz w:w="11910" w:h="16840"/>
          <w:pgMar w:header="748" w:footer="714" w:top="980" w:bottom="900" w:left="1220" w:right="12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79" w:type="dxa"/>
        <w:tblLayout w:type="fixed"/>
        <w:tblCellMar>
          <w:top w:w="0" w:type="dxa"/>
          <w:left w:w="0" w:type="dxa"/>
          <w:bottom w:w="0" w:type="dxa"/>
          <w:right w:w="0" w:type="dxa"/>
        </w:tblCellMar>
        <w:tblLook w:val="01E0"/>
      </w:tblPr>
      <w:tblGrid>
        <w:gridCol w:w="1314"/>
        <w:gridCol w:w="900"/>
        <w:gridCol w:w="1440"/>
        <w:gridCol w:w="1260"/>
        <w:gridCol w:w="1955"/>
        <w:gridCol w:w="1853"/>
      </w:tblGrid>
      <w:tr>
        <w:trPr>
          <w:trHeight w:val="350" w:hRule="exact"/>
        </w:trPr>
        <w:tc>
          <w:tcPr>
            <w:tcW w:w="1314" w:type="dxa"/>
            <w:vMerge w:val="restart"/>
            <w:tcBorders>
              <w:top w:val="single" w:sz="4" w:space="0" w:color="000000"/>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绍兴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诸暨店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诸暨市区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新昌店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471" w:right="0"/>
              <w:jc w:val="left"/>
              <w:rPr>
                <w:rFonts w:ascii="宋体" w:hAnsi="宋体" w:cs="宋体" w:eastAsia="宋体" w:hint="default"/>
                <w:sz w:val="18"/>
                <w:szCs w:val="18"/>
              </w:rPr>
            </w:pPr>
            <w:r>
              <w:rPr>
                <w:rFonts w:ascii="宋体" w:hAnsi="宋体" w:cs="宋体" w:eastAsia="宋体" w:hint="default"/>
                <w:sz w:val="18"/>
                <w:szCs w:val="18"/>
              </w:rPr>
              <w:t>新昌县商圈</w:t>
            </w:r>
          </w:p>
        </w:tc>
      </w:tr>
      <w:tr>
        <w:trPr>
          <w:trHeight w:val="349"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绍兴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嵊州店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嵊州市区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秋涛二店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201" w:right="0"/>
              <w:jc w:val="left"/>
              <w:rPr>
                <w:rFonts w:ascii="宋体" w:hAnsi="宋体" w:cs="宋体" w:eastAsia="宋体" w:hint="default"/>
                <w:sz w:val="18"/>
                <w:szCs w:val="18"/>
              </w:rPr>
            </w:pPr>
            <w:r>
              <w:rPr>
                <w:rFonts w:ascii="宋体" w:hAnsi="宋体" w:cs="宋体" w:eastAsia="宋体" w:hint="default"/>
                <w:sz w:val="18"/>
                <w:szCs w:val="18"/>
              </w:rPr>
              <w:t>杭州秋涛北路商圈</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福州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东街口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东街口商圈</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马尾君竹路店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471" w:right="0"/>
              <w:jc w:val="left"/>
              <w:rPr>
                <w:rFonts w:ascii="宋体" w:hAnsi="宋体" w:cs="宋体" w:eastAsia="宋体" w:hint="default"/>
                <w:sz w:val="18"/>
                <w:szCs w:val="18"/>
              </w:rPr>
            </w:pPr>
            <w:r>
              <w:rPr>
                <w:rFonts w:ascii="宋体" w:hAnsi="宋体" w:cs="宋体" w:eastAsia="宋体" w:hint="default"/>
                <w:sz w:val="18"/>
                <w:szCs w:val="18"/>
              </w:rPr>
              <w:t>马尾区商圈</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南昌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中山路店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中山路商圈</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烟水亭店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291" w:right="0"/>
              <w:jc w:val="left"/>
              <w:rPr>
                <w:rFonts w:ascii="宋体" w:hAnsi="宋体" w:cs="宋体" w:eastAsia="宋体" w:hint="default"/>
                <w:sz w:val="18"/>
                <w:szCs w:val="18"/>
              </w:rPr>
            </w:pPr>
            <w:r>
              <w:rPr>
                <w:rFonts w:ascii="宋体" w:hAnsi="宋体" w:cs="宋体" w:eastAsia="宋体" w:hint="default"/>
                <w:sz w:val="18"/>
                <w:szCs w:val="18"/>
              </w:rPr>
              <w:t>九江大中路商圈</w:t>
            </w:r>
          </w:p>
        </w:tc>
      </w:tr>
      <w:tr>
        <w:trPr>
          <w:trHeight w:val="349" w:hRule="exact"/>
        </w:trPr>
        <w:tc>
          <w:tcPr>
            <w:tcW w:w="1314" w:type="dxa"/>
            <w:vMerge/>
            <w:tcBorders>
              <w:left w:val="single" w:sz="12"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广州新塘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新塘商圈</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珠江新城店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381" w:right="0"/>
              <w:jc w:val="left"/>
              <w:rPr>
                <w:rFonts w:ascii="宋体" w:hAnsi="宋体" w:cs="宋体" w:eastAsia="宋体" w:hint="default"/>
                <w:sz w:val="18"/>
                <w:szCs w:val="18"/>
              </w:rPr>
            </w:pPr>
            <w:r>
              <w:rPr>
                <w:rFonts w:ascii="宋体" w:hAnsi="宋体" w:cs="宋体" w:eastAsia="宋体" w:hint="default"/>
                <w:sz w:val="18"/>
                <w:szCs w:val="18"/>
              </w:rPr>
              <w:t>珠江新城商圈</w:t>
            </w:r>
          </w:p>
        </w:tc>
      </w:tr>
      <w:tr>
        <w:trPr>
          <w:trHeight w:val="350" w:hRule="exact"/>
        </w:trPr>
        <w:tc>
          <w:tcPr>
            <w:tcW w:w="1314"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34" w:lineRule="exact"/>
              <w:ind w:left="102" w:right="110" w:firstLine="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年募集 项目－</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 连锁店发展项 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河池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河池店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河池市区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灵川店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灵川县</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防城港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防城港店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港口区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步行街店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111" w:right="0"/>
              <w:jc w:val="left"/>
              <w:rPr>
                <w:rFonts w:ascii="宋体" w:hAnsi="宋体" w:cs="宋体" w:eastAsia="宋体" w:hint="default"/>
                <w:sz w:val="18"/>
                <w:szCs w:val="18"/>
              </w:rPr>
            </w:pPr>
            <w:r>
              <w:rPr>
                <w:rFonts w:ascii="宋体" w:hAnsi="宋体" w:cs="宋体" w:eastAsia="宋体" w:hint="default"/>
                <w:sz w:val="18"/>
                <w:szCs w:val="18"/>
              </w:rPr>
              <w:t>柳州五星步行街商圈</w:t>
            </w:r>
          </w:p>
        </w:tc>
      </w:tr>
      <w:tr>
        <w:trPr>
          <w:trHeight w:val="349"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古田店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古田商圈</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当阳店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当阳县</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钟家村店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钟家村商圈</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枝江店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枝江县</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凯里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凯里店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凯里城区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丁字口店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291" w:right="0"/>
              <w:jc w:val="left"/>
              <w:rPr>
                <w:rFonts w:ascii="宋体" w:hAnsi="宋体" w:cs="宋体" w:eastAsia="宋体" w:hint="default"/>
                <w:sz w:val="18"/>
                <w:szCs w:val="18"/>
              </w:rPr>
            </w:pPr>
            <w:r>
              <w:rPr>
                <w:rFonts w:ascii="宋体" w:hAnsi="宋体" w:cs="宋体" w:eastAsia="宋体" w:hint="default"/>
                <w:sz w:val="18"/>
                <w:szCs w:val="18"/>
              </w:rPr>
              <w:t>遵义丁字口商圈</w:t>
            </w:r>
          </w:p>
        </w:tc>
      </w:tr>
      <w:tr>
        <w:trPr>
          <w:trHeight w:val="349" w:hRule="exact"/>
        </w:trPr>
        <w:tc>
          <w:tcPr>
            <w:tcW w:w="1314" w:type="dxa"/>
            <w:vMerge/>
            <w:tcBorders>
              <w:left w:val="single" w:sz="12"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榆林</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榆林店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榆阳区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群力大厦店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291" w:right="0"/>
              <w:jc w:val="left"/>
              <w:rPr>
                <w:rFonts w:ascii="宋体" w:hAnsi="宋体" w:cs="宋体" w:eastAsia="宋体" w:hint="default"/>
                <w:sz w:val="18"/>
                <w:szCs w:val="18"/>
              </w:rPr>
            </w:pPr>
            <w:r>
              <w:rPr>
                <w:rFonts w:ascii="宋体" w:hAnsi="宋体" w:cs="宋体" w:eastAsia="宋体" w:hint="default"/>
                <w:sz w:val="18"/>
                <w:szCs w:val="18"/>
              </w:rPr>
              <w:t>西安高新区商圈</w:t>
            </w:r>
          </w:p>
        </w:tc>
      </w:tr>
      <w:tr>
        <w:trPr>
          <w:trHeight w:val="350" w:hRule="exact"/>
        </w:trPr>
        <w:tc>
          <w:tcPr>
            <w:tcW w:w="1314"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4" w:lineRule="exact"/>
              <w:ind w:left="93"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6"/>
                <w:sz w:val="18"/>
                <w:szCs w:val="18"/>
              </w:rPr>
              <w:t> </w:t>
            </w:r>
            <w:r>
              <w:rPr>
                <w:rFonts w:ascii="宋体" w:hAnsi="宋体" w:cs="宋体" w:eastAsia="宋体" w:hint="default"/>
                <w:spacing w:val="24"/>
                <w:sz w:val="18"/>
                <w:szCs w:val="18"/>
              </w:rPr>
              <w:t>年募集</w:t>
            </w:r>
            <w:r>
              <w:rPr>
                <w:rFonts w:ascii="宋体" w:hAnsi="宋体" w:cs="宋体" w:eastAsia="宋体" w:hint="default"/>
                <w:spacing w:val="-54"/>
                <w:sz w:val="18"/>
                <w:szCs w:val="18"/>
              </w:rPr>
              <w:t> </w:t>
            </w:r>
            <w:r>
              <w:rPr>
                <w:rFonts w:ascii="宋体" w:hAnsi="宋体" w:cs="宋体" w:eastAsia="宋体" w:hint="default"/>
                <w:spacing w:val="2"/>
                <w:sz w:val="18"/>
                <w:szCs w:val="18"/>
              </w:rPr>
              <w:t>项目－</w:t>
            </w:r>
            <w:r>
              <w:rPr>
                <w:rFonts w:ascii="Times New Roman" w:hAnsi="Times New Roman" w:cs="Times New Roman" w:eastAsia="Times New Roman" w:hint="default"/>
                <w:spacing w:val="2"/>
                <w:sz w:val="18"/>
                <w:szCs w:val="18"/>
              </w:rPr>
              <w:t>250</w:t>
            </w:r>
            <w:r>
              <w:rPr>
                <w:rFonts w:ascii="Times New Roman" w:hAnsi="Times New Roman" w:cs="Times New Roman" w:eastAsia="Times New Roman" w:hint="default"/>
                <w:spacing w:val="48"/>
                <w:sz w:val="18"/>
                <w:szCs w:val="18"/>
              </w:rPr>
              <w:t> </w:t>
            </w:r>
            <w:r>
              <w:rPr>
                <w:rFonts w:ascii="宋体" w:hAnsi="宋体" w:cs="宋体" w:eastAsia="宋体" w:hint="default"/>
                <w:sz w:val="18"/>
                <w:szCs w:val="18"/>
              </w:rPr>
              <w:t>家 </w:t>
            </w:r>
            <w:r>
              <w:rPr>
                <w:rFonts w:ascii="宋体" w:hAnsi="宋体" w:cs="宋体" w:eastAsia="宋体" w:hint="default"/>
                <w:spacing w:val="3"/>
                <w:sz w:val="18"/>
                <w:szCs w:val="18"/>
              </w:rPr>
              <w:t>连锁店发展项</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南京路店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和平区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金纬路店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291" w:right="0"/>
              <w:jc w:val="left"/>
              <w:rPr>
                <w:rFonts w:ascii="宋体" w:hAnsi="宋体" w:cs="宋体" w:eastAsia="宋体" w:hint="default"/>
                <w:sz w:val="18"/>
                <w:szCs w:val="18"/>
              </w:rPr>
            </w:pPr>
            <w:r>
              <w:rPr>
                <w:rFonts w:ascii="宋体" w:hAnsi="宋体" w:cs="宋体" w:eastAsia="宋体" w:hint="default"/>
                <w:sz w:val="18"/>
                <w:szCs w:val="18"/>
              </w:rPr>
              <w:t>狮子林大街商圈</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大沽南路店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河西区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珠江海上皇店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469" w:right="0"/>
              <w:jc w:val="left"/>
              <w:rPr>
                <w:rFonts w:ascii="宋体" w:hAnsi="宋体" w:cs="宋体" w:eastAsia="宋体" w:hint="default"/>
                <w:sz w:val="18"/>
                <w:szCs w:val="18"/>
              </w:rPr>
            </w:pPr>
            <w:r>
              <w:rPr>
                <w:rFonts w:ascii="宋体" w:hAnsi="宋体" w:cs="宋体" w:eastAsia="宋体" w:hint="default"/>
                <w:sz w:val="18"/>
                <w:szCs w:val="18"/>
              </w:rPr>
              <w:t>解放南路商圈</w:t>
            </w:r>
          </w:p>
        </w:tc>
      </w:tr>
      <w:tr>
        <w:trPr>
          <w:trHeight w:val="349"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唐山</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路南店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路南区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迁西店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739" w:right="0"/>
              <w:jc w:val="left"/>
              <w:rPr>
                <w:rFonts w:ascii="宋体" w:hAnsi="宋体" w:cs="宋体" w:eastAsia="宋体" w:hint="default"/>
                <w:sz w:val="18"/>
                <w:szCs w:val="18"/>
              </w:rPr>
            </w:pPr>
            <w:r>
              <w:rPr>
                <w:rFonts w:ascii="宋体" w:hAnsi="宋体" w:cs="宋体" w:eastAsia="宋体" w:hint="default"/>
                <w:sz w:val="18"/>
                <w:szCs w:val="18"/>
              </w:rPr>
              <w:t>迁西县</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中山路店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市区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杭州天城路店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381" w:right="0"/>
              <w:jc w:val="left"/>
              <w:rPr>
                <w:rFonts w:ascii="宋体" w:hAnsi="宋体" w:cs="宋体" w:eastAsia="宋体" w:hint="default"/>
                <w:sz w:val="18"/>
                <w:szCs w:val="18"/>
              </w:rPr>
            </w:pPr>
            <w:r>
              <w:rPr>
                <w:rFonts w:ascii="宋体" w:hAnsi="宋体" w:cs="宋体" w:eastAsia="宋体" w:hint="default"/>
                <w:sz w:val="18"/>
                <w:szCs w:val="18"/>
              </w:rPr>
              <w:t>秋涛北路商圈</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新区店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上虞</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三衢路店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291" w:right="0"/>
              <w:jc w:val="left"/>
              <w:rPr>
                <w:rFonts w:ascii="宋体" w:hAnsi="宋体" w:cs="宋体" w:eastAsia="宋体" w:hint="default"/>
                <w:sz w:val="18"/>
                <w:szCs w:val="18"/>
              </w:rPr>
            </w:pPr>
            <w:r>
              <w:rPr>
                <w:rFonts w:ascii="宋体" w:hAnsi="宋体" w:cs="宋体" w:eastAsia="宋体" w:hint="default"/>
                <w:sz w:val="18"/>
                <w:szCs w:val="18"/>
              </w:rPr>
              <w:t>金华三衢路商圈</w:t>
            </w:r>
          </w:p>
        </w:tc>
      </w:tr>
      <w:tr>
        <w:trPr>
          <w:trHeight w:val="349"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长乐路店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秦淮区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桥北二店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561" w:right="0"/>
              <w:jc w:val="left"/>
              <w:rPr>
                <w:rFonts w:ascii="宋体" w:hAnsi="宋体" w:cs="宋体" w:eastAsia="宋体" w:hint="default"/>
                <w:sz w:val="18"/>
                <w:szCs w:val="18"/>
              </w:rPr>
            </w:pPr>
            <w:r>
              <w:rPr>
                <w:rFonts w:ascii="宋体" w:hAnsi="宋体" w:cs="宋体" w:eastAsia="宋体" w:hint="default"/>
                <w:sz w:val="18"/>
                <w:szCs w:val="18"/>
              </w:rPr>
              <w:t>桥北商圈</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同贤街店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高淳县</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尧化门店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471" w:right="0"/>
              <w:jc w:val="left"/>
              <w:rPr>
                <w:rFonts w:ascii="宋体" w:hAnsi="宋体" w:cs="宋体" w:eastAsia="宋体" w:hint="default"/>
                <w:sz w:val="18"/>
                <w:szCs w:val="18"/>
              </w:rPr>
            </w:pPr>
            <w:r>
              <w:rPr>
                <w:rFonts w:ascii="宋体" w:hAnsi="宋体" w:cs="宋体" w:eastAsia="宋体" w:hint="default"/>
                <w:sz w:val="18"/>
                <w:szCs w:val="18"/>
              </w:rPr>
              <w:t>尧化门商圈</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山东路店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市北区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辽阳西路店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471" w:right="0"/>
              <w:jc w:val="left"/>
              <w:rPr>
                <w:rFonts w:ascii="宋体" w:hAnsi="宋体" w:cs="宋体" w:eastAsia="宋体" w:hint="default"/>
                <w:sz w:val="18"/>
                <w:szCs w:val="18"/>
              </w:rPr>
            </w:pPr>
            <w:r>
              <w:rPr>
                <w:rFonts w:ascii="宋体" w:hAnsi="宋体" w:cs="宋体" w:eastAsia="宋体" w:hint="default"/>
                <w:sz w:val="18"/>
                <w:szCs w:val="18"/>
              </w:rPr>
              <w:t>山东路商圈</w:t>
            </w:r>
          </w:p>
        </w:tc>
      </w:tr>
      <w:tr>
        <w:trPr>
          <w:trHeight w:val="349"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中山二路店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越秀区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仁化店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471" w:right="0"/>
              <w:jc w:val="left"/>
              <w:rPr>
                <w:rFonts w:ascii="宋体" w:hAnsi="宋体" w:cs="宋体" w:eastAsia="宋体" w:hint="default"/>
                <w:sz w:val="18"/>
                <w:szCs w:val="18"/>
              </w:rPr>
            </w:pPr>
            <w:r>
              <w:rPr>
                <w:rFonts w:ascii="宋体" w:hAnsi="宋体" w:cs="宋体" w:eastAsia="宋体" w:hint="default"/>
                <w:sz w:val="18"/>
                <w:szCs w:val="18"/>
              </w:rPr>
              <w:t>韶关仁化县</w:t>
            </w:r>
          </w:p>
        </w:tc>
      </w:tr>
      <w:tr>
        <w:trPr>
          <w:trHeight w:val="479"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湛江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吴川店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吴川市</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海盛东方城</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hAnsi="宋体" w:cs="宋体" w:eastAsia="宋体" w:hint="default"/>
                <w:sz w:val="18"/>
                <w:szCs w:val="18"/>
              </w:rPr>
              <w:t>佛山禅城区</w:t>
            </w:r>
          </w:p>
          <w:p>
            <w:pPr>
              <w:pStyle w:val="TableParagraph"/>
              <w:spacing w:line="235" w:lineRule="exact"/>
              <w:ind w:left="9" w:right="0"/>
              <w:jc w:val="center"/>
              <w:rPr>
                <w:rFonts w:ascii="宋体" w:hAnsi="宋体" w:cs="宋体" w:eastAsia="宋体" w:hint="default"/>
                <w:sz w:val="18"/>
                <w:szCs w:val="18"/>
              </w:rPr>
            </w:pPr>
            <w:r>
              <w:rPr>
                <w:rFonts w:ascii="宋体" w:hAnsi="宋体" w:cs="宋体" w:eastAsia="宋体" w:hint="default"/>
                <w:sz w:val="18"/>
                <w:szCs w:val="18"/>
              </w:rPr>
              <w:t>南庄镇</w:t>
            </w:r>
          </w:p>
        </w:tc>
      </w:tr>
      <w:tr>
        <w:trPr>
          <w:trHeight w:val="349"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清远</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清远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清远</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南海鸿大广场店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201" w:right="0"/>
              <w:jc w:val="left"/>
              <w:rPr>
                <w:rFonts w:ascii="宋体" w:hAnsi="宋体" w:cs="宋体" w:eastAsia="宋体" w:hint="default"/>
                <w:sz w:val="18"/>
                <w:szCs w:val="18"/>
              </w:rPr>
            </w:pPr>
            <w:r>
              <w:rPr>
                <w:rFonts w:ascii="宋体" w:hAnsi="宋体" w:cs="宋体" w:eastAsia="宋体" w:hint="default"/>
                <w:sz w:val="18"/>
                <w:szCs w:val="18"/>
              </w:rPr>
              <w:t>佛山南海大道商圈</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三亚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解放路店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河西区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宝真购物广场店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471" w:right="0"/>
              <w:jc w:val="left"/>
              <w:rPr>
                <w:rFonts w:ascii="宋体" w:hAnsi="宋体" w:cs="宋体" w:eastAsia="宋体" w:hint="default"/>
                <w:sz w:val="18"/>
                <w:szCs w:val="18"/>
              </w:rPr>
            </w:pPr>
            <w:r>
              <w:rPr>
                <w:rFonts w:ascii="宋体" w:hAnsi="宋体" w:cs="宋体" w:eastAsia="宋体" w:hint="default"/>
                <w:sz w:val="18"/>
                <w:szCs w:val="18"/>
              </w:rPr>
              <w:t>琼海市商圈</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万家丽店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芙蓉区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汉华国际店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291" w:right="0"/>
              <w:jc w:val="left"/>
              <w:rPr>
                <w:rFonts w:ascii="宋体" w:hAnsi="宋体" w:cs="宋体" w:eastAsia="宋体" w:hint="default"/>
                <w:sz w:val="18"/>
                <w:szCs w:val="18"/>
              </w:rPr>
            </w:pPr>
            <w:r>
              <w:rPr>
                <w:rFonts w:ascii="宋体" w:hAnsi="宋体" w:cs="宋体" w:eastAsia="宋体" w:hint="default"/>
                <w:sz w:val="18"/>
                <w:szCs w:val="18"/>
              </w:rPr>
              <w:t>株洲建设路商圈</w:t>
            </w:r>
          </w:p>
        </w:tc>
      </w:tr>
      <w:tr>
        <w:trPr>
          <w:trHeight w:val="349"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兰州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东部商圈店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城关区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阳光商厦店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291" w:right="0"/>
              <w:jc w:val="left"/>
              <w:rPr>
                <w:rFonts w:ascii="宋体" w:hAnsi="宋体" w:cs="宋体" w:eastAsia="宋体" w:hint="default"/>
                <w:sz w:val="18"/>
                <w:szCs w:val="18"/>
              </w:rPr>
            </w:pPr>
            <w:r>
              <w:rPr>
                <w:rFonts w:ascii="宋体" w:hAnsi="宋体" w:cs="宋体" w:eastAsia="宋体" w:hint="default"/>
                <w:sz w:val="18"/>
                <w:szCs w:val="18"/>
              </w:rPr>
              <w:t>武威步行街商圈</w:t>
            </w:r>
          </w:p>
        </w:tc>
      </w:tr>
      <w:tr>
        <w:trPr>
          <w:trHeight w:val="479"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乌鲁木</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齐</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水磨沟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水磨沟区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金色时代店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6"/>
              <w:ind w:left="201" w:right="0"/>
              <w:jc w:val="left"/>
              <w:rPr>
                <w:rFonts w:ascii="宋体" w:hAnsi="宋体" w:cs="宋体" w:eastAsia="宋体" w:hint="default"/>
                <w:sz w:val="18"/>
                <w:szCs w:val="18"/>
              </w:rPr>
            </w:pPr>
            <w:r>
              <w:rPr>
                <w:rFonts w:ascii="宋体" w:hAnsi="宋体" w:cs="宋体" w:eastAsia="宋体" w:hint="default"/>
                <w:sz w:val="18"/>
                <w:szCs w:val="18"/>
              </w:rPr>
              <w:t>库尔勒金三角商圈</w:t>
            </w:r>
          </w:p>
        </w:tc>
      </w:tr>
      <w:tr>
        <w:trPr>
          <w:trHeight w:val="349"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成仁路店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锦江区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金堂店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金堂县</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金沙店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青羊区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正西街店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381" w:right="0"/>
              <w:jc w:val="left"/>
              <w:rPr>
                <w:rFonts w:ascii="宋体" w:hAnsi="宋体" w:cs="宋体" w:eastAsia="宋体" w:hint="default"/>
                <w:sz w:val="18"/>
                <w:szCs w:val="18"/>
              </w:rPr>
            </w:pPr>
            <w:r>
              <w:rPr>
                <w:rFonts w:ascii="宋体" w:hAnsi="宋体" w:cs="宋体" w:eastAsia="宋体" w:hint="default"/>
                <w:sz w:val="18"/>
                <w:szCs w:val="18"/>
              </w:rPr>
              <w:t>双流县华阳镇</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青江店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青白江区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龙马大道店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291" w:right="0"/>
              <w:jc w:val="left"/>
              <w:rPr>
                <w:rFonts w:ascii="宋体" w:hAnsi="宋体" w:cs="宋体" w:eastAsia="宋体" w:hint="default"/>
                <w:sz w:val="18"/>
                <w:szCs w:val="18"/>
              </w:rPr>
            </w:pPr>
            <w:r>
              <w:rPr>
                <w:rFonts w:ascii="宋体" w:hAnsi="宋体" w:cs="宋体" w:eastAsia="宋体" w:hint="default"/>
                <w:sz w:val="18"/>
                <w:szCs w:val="18"/>
              </w:rPr>
              <w:t>泸州龙马潭商圈</w:t>
            </w:r>
          </w:p>
        </w:tc>
      </w:tr>
      <w:tr>
        <w:trPr>
          <w:trHeight w:val="349"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资阳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简阳店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简阳市</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十字口店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291" w:right="0"/>
              <w:jc w:val="left"/>
              <w:rPr>
                <w:rFonts w:ascii="宋体" w:hAnsi="宋体" w:cs="宋体" w:eastAsia="宋体" w:hint="default"/>
                <w:sz w:val="18"/>
                <w:szCs w:val="18"/>
              </w:rPr>
            </w:pPr>
            <w:r>
              <w:rPr>
                <w:rFonts w:ascii="宋体" w:hAnsi="宋体" w:cs="宋体" w:eastAsia="宋体" w:hint="default"/>
                <w:sz w:val="18"/>
                <w:szCs w:val="18"/>
              </w:rPr>
              <w:t>自贡解放路商圈</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贵阳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大南门店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南明区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开阳店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开阳县</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西市店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西市区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正大店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471" w:right="0"/>
              <w:jc w:val="left"/>
              <w:rPr>
                <w:rFonts w:ascii="宋体" w:hAnsi="宋体" w:cs="宋体" w:eastAsia="宋体" w:hint="default"/>
                <w:sz w:val="18"/>
                <w:szCs w:val="18"/>
              </w:rPr>
            </w:pPr>
            <w:r>
              <w:rPr>
                <w:rFonts w:ascii="宋体" w:hAnsi="宋体" w:cs="宋体" w:eastAsia="宋体" w:hint="default"/>
                <w:sz w:val="18"/>
                <w:szCs w:val="18"/>
              </w:rPr>
              <w:t>西市区商圈</w:t>
            </w:r>
          </w:p>
        </w:tc>
      </w:tr>
      <w:tr>
        <w:trPr>
          <w:trHeight w:val="349"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北京路店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盘龙区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天马路中央大街店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201" w:right="0"/>
              <w:jc w:val="left"/>
              <w:rPr>
                <w:rFonts w:ascii="宋体" w:hAnsi="宋体" w:cs="宋体" w:eastAsia="宋体" w:hint="default"/>
                <w:sz w:val="18"/>
                <w:szCs w:val="18"/>
              </w:rPr>
            </w:pPr>
            <w:r>
              <w:rPr>
                <w:rFonts w:ascii="宋体" w:hAnsi="宋体" w:cs="宋体" w:eastAsia="宋体" w:hint="default"/>
                <w:sz w:val="18"/>
                <w:szCs w:val="18"/>
              </w:rPr>
              <w:t>红河州天马路商圈</w:t>
            </w:r>
          </w:p>
        </w:tc>
      </w:tr>
      <w:tr>
        <w:trPr>
          <w:trHeight w:val="479"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石桥铺店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石桥铺高新</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渝西广场店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6"/>
              <w:ind w:left="201" w:right="0"/>
              <w:jc w:val="left"/>
              <w:rPr>
                <w:rFonts w:ascii="宋体" w:hAnsi="宋体" w:cs="宋体" w:eastAsia="宋体" w:hint="default"/>
                <w:sz w:val="18"/>
                <w:szCs w:val="18"/>
              </w:rPr>
            </w:pPr>
            <w:r>
              <w:rPr>
                <w:rFonts w:ascii="宋体" w:hAnsi="宋体" w:cs="宋体" w:eastAsia="宋体" w:hint="default"/>
                <w:sz w:val="18"/>
                <w:szCs w:val="18"/>
              </w:rPr>
              <w:t>永川中央大街商圈</w:t>
            </w:r>
          </w:p>
        </w:tc>
      </w:tr>
      <w:tr>
        <w:trPr>
          <w:trHeight w:val="349"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黔江店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黔江县</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巫山店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巫山县</w:t>
            </w:r>
          </w:p>
        </w:tc>
      </w:tr>
      <w:tr>
        <w:trPr>
          <w:trHeight w:val="350" w:hRule="exact"/>
        </w:trPr>
        <w:tc>
          <w:tcPr>
            <w:tcW w:w="1314" w:type="dxa"/>
            <w:vMerge/>
            <w:tcBorders>
              <w:left w:val="single" w:sz="12"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巴中</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巴中店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巴州区</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丰都店</w:t>
            </w:r>
          </w:p>
        </w:tc>
        <w:tc>
          <w:tcPr>
            <w:tcW w:w="18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丰都县</w:t>
            </w:r>
          </w:p>
        </w:tc>
      </w:tr>
      <w:tr>
        <w:trPr>
          <w:trHeight w:val="361" w:hRule="exact"/>
        </w:trPr>
        <w:tc>
          <w:tcPr>
            <w:tcW w:w="1314" w:type="dxa"/>
            <w:vMerge/>
            <w:tcBorders>
              <w:left w:val="single" w:sz="12" w:space="0" w:color="000000"/>
              <w:bottom w:val="single" w:sz="12" w:space="0" w:color="000000"/>
              <w:right w:val="single" w:sz="4" w:space="0" w:color="000000"/>
            </w:tcBorders>
          </w:tcPr>
          <w:p>
            <w:pP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哈尔滨</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哈一百</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道里区</w:t>
            </w:r>
          </w:p>
        </w:tc>
        <w:tc>
          <w:tcPr>
            <w:tcW w:w="19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牡丹江旗舰店</w:t>
            </w:r>
          </w:p>
        </w:tc>
        <w:tc>
          <w:tcPr>
            <w:tcW w:w="185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left="201" w:right="0"/>
              <w:jc w:val="left"/>
              <w:rPr>
                <w:rFonts w:ascii="宋体" w:hAnsi="宋体" w:cs="宋体" w:eastAsia="宋体" w:hint="default"/>
                <w:sz w:val="18"/>
                <w:szCs w:val="18"/>
              </w:rPr>
            </w:pPr>
            <w:r>
              <w:rPr>
                <w:rFonts w:ascii="宋体" w:hAnsi="宋体" w:cs="宋体" w:eastAsia="宋体" w:hint="default"/>
                <w:sz w:val="18"/>
                <w:szCs w:val="18"/>
              </w:rPr>
              <w:t>牡丹江太平路商圈</w:t>
            </w:r>
          </w:p>
        </w:tc>
      </w:tr>
    </w:tbl>
    <w:p>
      <w:pPr>
        <w:pStyle w:val="BodyText"/>
        <w:spacing w:line="357" w:lineRule="auto" w:before="81"/>
        <w:ind w:right="97" w:firstLine="480"/>
        <w:jc w:val="left"/>
      </w:pPr>
      <w:r>
        <w:rPr>
          <w:spacing w:val="-3"/>
        </w:rPr>
        <w:t>上述连锁店实施地点变更后，原连锁店发展项目的投资方案不变，不会对项目的实</w:t>
      </w:r>
      <w:r>
        <w:rPr/>
        <w:t> </w:t>
      </w:r>
      <w:r>
        <w:rPr>
          <w:spacing w:val="-6"/>
        </w:rPr>
        <w:t>施进度和盈利水平产生不利的影响，而通过本次调整，募集资金使用效率得到有效保证。</w:t>
      </w:r>
    </w:p>
    <w:p>
      <w:pPr>
        <w:spacing w:after="0" w:line="357" w:lineRule="auto"/>
        <w:jc w:val="left"/>
        <w:sectPr>
          <w:pgSz w:w="11910" w:h="16840"/>
          <w:pgMar w:header="748" w:footer="714" w:top="980" w:bottom="900" w:left="1300" w:right="1200"/>
        </w:sectPr>
      </w:pPr>
    </w:p>
    <w:p>
      <w:pPr>
        <w:spacing w:line="240" w:lineRule="auto" w:before="7"/>
        <w:rPr>
          <w:rFonts w:ascii="宋体" w:hAnsi="宋体" w:cs="宋体" w:eastAsia="宋体" w:hint="default"/>
          <w:sz w:val="29"/>
          <w:szCs w:val="29"/>
        </w:rPr>
      </w:pPr>
    </w:p>
    <w:p>
      <w:pPr>
        <w:pStyle w:val="BodyText"/>
        <w:spacing w:line="240" w:lineRule="auto" w:before="26"/>
        <w:ind w:left="640" w:right="84"/>
        <w:jc w:val="left"/>
      </w:pPr>
      <w:r>
        <w:rPr>
          <w:rFonts w:ascii="Times New Roman" w:hAnsi="Times New Roman" w:cs="Times New Roman" w:eastAsia="Times New Roman" w:hint="default"/>
        </w:rPr>
        <w:t>5</w:t>
      </w:r>
      <w:r>
        <w:rPr/>
        <w:t>、募集资金项目先期投入及置换情况</w:t>
      </w:r>
    </w:p>
    <w:p>
      <w:pPr>
        <w:spacing w:line="240" w:lineRule="auto" w:before="11"/>
        <w:rPr>
          <w:rFonts w:ascii="宋体" w:hAnsi="宋体" w:cs="宋体" w:eastAsia="宋体" w:hint="default"/>
          <w:sz w:val="18"/>
          <w:szCs w:val="18"/>
        </w:rPr>
      </w:pPr>
    </w:p>
    <w:p>
      <w:pPr>
        <w:pStyle w:val="BodyText"/>
        <w:spacing w:line="240" w:lineRule="auto"/>
        <w:ind w:left="0" w:right="207"/>
        <w:jc w:val="right"/>
      </w:pPr>
      <w:r>
        <w:rPr/>
        <w:t>截至</w:t>
      </w:r>
      <w:r>
        <w:rPr>
          <w:spacing w:val="-4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9"/>
        </w:rPr>
        <w:t> </w:t>
      </w:r>
      <w:r>
        <w:rPr/>
        <w:t>月</w:t>
      </w:r>
      <w:r>
        <w:rPr>
          <w:spacing w:val="-41"/>
        </w:rPr>
        <w:t> </w:t>
      </w:r>
      <w:r>
        <w:rPr>
          <w:rFonts w:ascii="Times New Roman" w:hAnsi="Times New Roman" w:cs="Times New Roman" w:eastAsia="Times New Roman" w:hint="default"/>
        </w:rPr>
        <w:t>25</w:t>
      </w:r>
      <w:r>
        <w:rPr>
          <w:rFonts w:ascii="Times New Roman" w:hAnsi="Times New Roman" w:cs="Times New Roman" w:eastAsia="Times New Roman" w:hint="default"/>
          <w:spacing w:val="19"/>
        </w:rPr>
        <w:t> </w:t>
      </w:r>
      <w:r>
        <w:rPr/>
        <w:t>日止，公司以自筹资金预先投入募集资金投资项目计人民币</w:t>
      </w:r>
    </w:p>
    <w:p>
      <w:pPr>
        <w:pStyle w:val="BodyText"/>
        <w:spacing w:line="240" w:lineRule="auto" w:before="108"/>
        <w:ind w:left="160" w:right="84"/>
        <w:jc w:val="left"/>
      </w:pPr>
      <w:r>
        <w:rPr>
          <w:rFonts w:ascii="Times New Roman" w:hAnsi="Times New Roman" w:cs="Times New Roman" w:eastAsia="Times New Roman" w:hint="default"/>
        </w:rPr>
        <w:t>389,853,402 </w:t>
      </w:r>
      <w:r>
        <w:rPr/>
        <w:t>元，具体运用情况如下：</w:t>
      </w:r>
    </w:p>
    <w:p>
      <w:pPr>
        <w:spacing w:before="142"/>
        <w:ind w:left="0" w:right="207" w:firstLine="0"/>
        <w:jc w:val="right"/>
        <w:rPr>
          <w:rFonts w:ascii="宋体" w:hAnsi="宋体" w:cs="宋体" w:eastAsia="宋体" w:hint="default"/>
          <w:sz w:val="21"/>
          <w:szCs w:val="21"/>
        </w:rPr>
      </w:pPr>
      <w:r>
        <w:rPr>
          <w:rFonts w:ascii="宋体" w:hAnsi="宋体" w:cs="宋体" w:eastAsia="宋体" w:hint="default"/>
          <w:sz w:val="21"/>
          <w:szCs w:val="21"/>
        </w:rPr>
        <w:t>（单位：千元）</w:t>
      </w:r>
    </w:p>
    <w:p>
      <w:pPr>
        <w:spacing w:line="240" w:lineRule="auto" w:before="7"/>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878"/>
        <w:gridCol w:w="2944"/>
        <w:gridCol w:w="3280"/>
      </w:tblGrid>
      <w:tr>
        <w:trPr>
          <w:trHeight w:val="488" w:hRule="exact"/>
        </w:trPr>
        <w:tc>
          <w:tcPr>
            <w:tcW w:w="287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9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566" w:right="0"/>
              <w:jc w:val="left"/>
              <w:rPr>
                <w:rFonts w:ascii="宋体" w:hAnsi="宋体" w:cs="宋体" w:eastAsia="宋体" w:hint="default"/>
                <w:sz w:val="18"/>
                <w:szCs w:val="18"/>
              </w:rPr>
            </w:pPr>
            <w:r>
              <w:rPr>
                <w:rFonts w:ascii="宋体" w:hAnsi="宋体" w:cs="宋体" w:eastAsia="宋体" w:hint="default"/>
                <w:sz w:val="18"/>
                <w:szCs w:val="18"/>
              </w:rPr>
              <w:t>募集资金承诺投资总额</w:t>
            </w:r>
          </w:p>
        </w:tc>
        <w:tc>
          <w:tcPr>
            <w:tcW w:w="3280" w:type="dxa"/>
            <w:tcBorders>
              <w:top w:val="single" w:sz="12" w:space="0" w:color="000000"/>
              <w:left w:val="single" w:sz="4" w:space="0" w:color="000000"/>
              <w:bottom w:val="single" w:sz="4" w:space="0" w:color="000000"/>
              <w:right w:val="single" w:sz="12" w:space="0" w:color="000000"/>
            </w:tcBorders>
          </w:tcPr>
          <w:p>
            <w:pPr>
              <w:pStyle w:val="TableParagraph"/>
              <w:spacing w:line="213" w:lineRule="exact"/>
              <w:ind w:left="10" w:right="0"/>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日止以自筹资金预先</w:t>
            </w:r>
          </w:p>
          <w:p>
            <w:pPr>
              <w:pStyle w:val="TableParagraph"/>
              <w:spacing w:line="228" w:lineRule="exact"/>
              <w:ind w:right="15"/>
              <w:jc w:val="center"/>
              <w:rPr>
                <w:rFonts w:ascii="宋体" w:hAnsi="宋体" w:cs="宋体" w:eastAsia="宋体" w:hint="default"/>
                <w:sz w:val="18"/>
                <w:szCs w:val="18"/>
              </w:rPr>
            </w:pPr>
            <w:r>
              <w:rPr>
                <w:rFonts w:ascii="宋体" w:hAnsi="宋体" w:cs="宋体" w:eastAsia="宋体" w:hint="default"/>
                <w:sz w:val="18"/>
                <w:szCs w:val="18"/>
              </w:rPr>
              <w:t>投入募集资金投资项目金额</w:t>
            </w:r>
          </w:p>
        </w:tc>
      </w:tr>
      <w:tr>
        <w:trPr>
          <w:trHeight w:val="350" w:hRule="exact"/>
        </w:trPr>
        <w:tc>
          <w:tcPr>
            <w:tcW w:w="2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家连锁店发展项目</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1,400,000.0</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sz w:val="18"/>
              </w:rPr>
              <w:t>125,174.7</w:t>
            </w:r>
          </w:p>
        </w:tc>
      </w:tr>
      <w:tr>
        <w:trPr>
          <w:trHeight w:val="349" w:hRule="exact"/>
        </w:trPr>
        <w:tc>
          <w:tcPr>
            <w:tcW w:w="2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成都物流中心建设项目</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z w:val="18"/>
              </w:rPr>
              <w:t>151,980.8</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sz w:val="18"/>
              </w:rPr>
              <w:t>32,297.2</w:t>
            </w:r>
          </w:p>
        </w:tc>
      </w:tr>
      <w:tr>
        <w:trPr>
          <w:trHeight w:val="350" w:hRule="exact"/>
        </w:trPr>
        <w:tc>
          <w:tcPr>
            <w:tcW w:w="2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无锡物流中心建设项目</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z w:val="18"/>
              </w:rPr>
              <w:t>152,469.9</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sz w:val="18"/>
              </w:rPr>
              <w:t>39,908.9</w:t>
            </w:r>
          </w:p>
        </w:tc>
      </w:tr>
      <w:tr>
        <w:trPr>
          <w:trHeight w:val="350" w:hRule="exact"/>
        </w:trPr>
        <w:tc>
          <w:tcPr>
            <w:tcW w:w="2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重庆物流中心建设项目</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z w:val="18"/>
              </w:rPr>
              <w:t>166,697.0</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sz w:val="18"/>
              </w:rPr>
              <w:t>62,893.4</w:t>
            </w:r>
          </w:p>
        </w:tc>
      </w:tr>
      <w:tr>
        <w:trPr>
          <w:trHeight w:val="349" w:hRule="exact"/>
        </w:trPr>
        <w:tc>
          <w:tcPr>
            <w:tcW w:w="2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天津物流中心建设项目</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z w:val="18"/>
              </w:rPr>
              <w:t>158,008.0</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spacing w:val="-1"/>
                <w:w w:val="95"/>
                <w:sz w:val="18"/>
              </w:rPr>
              <w:t>20,211.8</w:t>
            </w:r>
          </w:p>
        </w:tc>
      </w:tr>
      <w:tr>
        <w:trPr>
          <w:trHeight w:val="350" w:hRule="exact"/>
        </w:trPr>
        <w:tc>
          <w:tcPr>
            <w:tcW w:w="2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徐州物流中心建设项目</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113,994.0</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sz w:val="18"/>
              </w:rPr>
              <w:t>18,809.4</w:t>
            </w:r>
          </w:p>
        </w:tc>
      </w:tr>
      <w:tr>
        <w:trPr>
          <w:trHeight w:val="350" w:hRule="exact"/>
        </w:trPr>
        <w:tc>
          <w:tcPr>
            <w:tcW w:w="2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北京物流中心建设二期项目</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z w:val="18"/>
              </w:rPr>
              <w:t>267,208.0</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sz w:val="18"/>
              </w:rPr>
              <w:t>90,558.0</w:t>
            </w:r>
          </w:p>
        </w:tc>
      </w:tr>
      <w:tr>
        <w:trPr>
          <w:trHeight w:val="349" w:hRule="exact"/>
        </w:trPr>
        <w:tc>
          <w:tcPr>
            <w:tcW w:w="28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补充流动资金项目</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z w:val="18"/>
              </w:rPr>
              <w:t>390,000.0</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35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287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9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2,800,357.7</w:t>
            </w:r>
          </w:p>
        </w:tc>
        <w:tc>
          <w:tcPr>
            <w:tcW w:w="32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sz w:val="18"/>
              </w:rPr>
              <w:t>389,853.4</w:t>
            </w:r>
          </w:p>
        </w:tc>
      </w:tr>
    </w:tbl>
    <w:p>
      <w:pPr>
        <w:pStyle w:val="BodyText"/>
        <w:spacing w:line="275" w:lineRule="exact"/>
        <w:ind w:left="160" w:right="0" w:firstLine="480"/>
        <w:jc w:val="both"/>
      </w:pPr>
      <w:r>
        <w:rPr>
          <w:spacing w:val="4"/>
        </w:rPr>
        <w:t>公司以自筹资金预先投入募集资金投资项目的情况已经普华永道中天会计师事务</w:t>
      </w:r>
      <w:r>
        <w:rPr/>
      </w:r>
    </w:p>
    <w:p>
      <w:pPr>
        <w:pStyle w:val="BodyText"/>
        <w:spacing w:line="348" w:lineRule="auto" w:before="154"/>
        <w:ind w:left="160" w:right="170"/>
        <w:jc w:val="both"/>
      </w:pPr>
      <w:r>
        <w:rPr/>
        <w:t>所审核，并出具了普华永道中天特审字</w:t>
      </w:r>
      <w:r>
        <w:rPr>
          <w:rFonts w:ascii="Times New Roman" w:hAnsi="Times New Roman" w:cs="Times New Roman" w:eastAsia="Times New Roman" w:hint="default"/>
        </w:rPr>
        <w:t>(2010)</w:t>
      </w:r>
      <w:r>
        <w:rPr/>
        <w:t>第</w:t>
      </w:r>
      <w:r>
        <w:rPr>
          <w:spacing w:val="-66"/>
        </w:rPr>
        <w:t> </w:t>
      </w:r>
      <w:r>
        <w:rPr>
          <w:rFonts w:ascii="Times New Roman" w:hAnsi="Times New Roman" w:cs="Times New Roman" w:eastAsia="Times New Roman" w:hint="default"/>
        </w:rPr>
        <w:t>710</w:t>
      </w:r>
      <w:r>
        <w:rPr>
          <w:rFonts w:ascii="Times New Roman" w:hAnsi="Times New Roman" w:cs="Times New Roman" w:eastAsia="Times New Roman" w:hint="default"/>
          <w:spacing w:val="-6"/>
        </w:rPr>
        <w:t> </w:t>
      </w:r>
      <w:r>
        <w:rPr/>
        <w:t>号《以自筹资金预先投入募集资金 </w:t>
      </w:r>
      <w:r>
        <w:rPr>
          <w:spacing w:val="-4"/>
        </w:rPr>
        <w:t>投资项目情况报告的鉴证报告》。经公司第三届董事会第三十七次会议审议通过，同意</w:t>
      </w:r>
      <w:r>
        <w:rPr>
          <w:spacing w:val="-89"/>
        </w:rPr>
        <w:t> </w:t>
      </w:r>
      <w:r>
        <w:rPr>
          <w:spacing w:val="-89"/>
        </w:rPr>
      </w:r>
      <w:r>
        <w:rPr/>
        <w:t>公司以募集资金置换预先已投入募投项目的自筹资金 </w:t>
      </w:r>
      <w:r>
        <w:rPr>
          <w:rFonts w:ascii="Times New Roman" w:hAnsi="Times New Roman" w:cs="Times New Roman" w:eastAsia="Times New Roman" w:hint="default"/>
        </w:rPr>
        <w:t>38,985.34</w:t>
      </w:r>
      <w:r>
        <w:rPr>
          <w:rFonts w:ascii="Times New Roman" w:hAnsi="Times New Roman" w:cs="Times New Roman" w:eastAsia="Times New Roman" w:hint="default"/>
          <w:spacing w:val="-32"/>
        </w:rPr>
        <w:t> </w:t>
      </w:r>
      <w:r>
        <w:rPr/>
        <w:t>万元。具体情况参见公</w:t>
      </w:r>
    </w:p>
    <w:p>
      <w:pPr>
        <w:pStyle w:val="BodyText"/>
        <w:spacing w:line="240" w:lineRule="auto" w:before="16"/>
        <w:ind w:left="160" w:right="0"/>
        <w:jc w:val="both"/>
      </w:pPr>
      <w:r>
        <w:rPr/>
        <w:t>司</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8 </w:t>
      </w:r>
      <w:r>
        <w:rPr/>
        <w:t>日《关于以募集资金置换预先已投入募投项目的自筹资金的公告</w:t>
      </w:r>
      <w:r>
        <w:rPr>
          <w:spacing w:val="-120"/>
        </w:rPr>
        <w:t>》</w:t>
      </w:r>
      <w:r>
        <w:rPr/>
        <w:t>。</w:t>
      </w:r>
    </w:p>
    <w:p>
      <w:pPr>
        <w:pStyle w:val="BodyText"/>
        <w:spacing w:line="240" w:lineRule="auto" w:before="135"/>
        <w:ind w:left="640" w:right="84"/>
        <w:jc w:val="left"/>
      </w:pPr>
      <w:r>
        <w:rPr/>
        <w:t>（二）非募集资金投资情况</w:t>
      </w:r>
    </w:p>
    <w:p>
      <w:pPr>
        <w:pStyle w:val="BodyText"/>
        <w:spacing w:line="338" w:lineRule="auto" w:before="154"/>
        <w:ind w:left="160" w:right="172" w:firstLine="480"/>
        <w:jc w:val="both"/>
      </w:pPr>
      <w:r>
        <w:rPr>
          <w:rFonts w:ascii="Times New Roman" w:hAnsi="Times New Roman" w:cs="Times New Roman" w:eastAsia="Times New Roman" w:hint="default"/>
          <w:spacing w:val="-15"/>
        </w:rPr>
        <w:t>1</w:t>
      </w:r>
      <w:r>
        <w:rPr>
          <w:spacing w:val="-15"/>
        </w:rPr>
        <w:t>、</w:t>
      </w:r>
      <w:r>
        <w:rPr>
          <w:rFonts w:ascii="Times New Roman" w:hAnsi="Times New Roman" w:cs="Times New Roman" w:eastAsia="Times New Roman" w:hint="default"/>
          <w:spacing w:val="-15"/>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4"/>
        </w:rPr>
        <w:t>日，公司控股子公司—香港苏宁电器有限公司出资成立</w:t>
      </w:r>
      <w:r>
        <w:rPr>
          <w:spacing w:val="-59"/>
        </w:rPr>
        <w:t> </w:t>
      </w:r>
      <w:r>
        <w:rPr>
          <w:rFonts w:ascii="Times New Roman" w:hAnsi="Times New Roman" w:cs="Times New Roman" w:eastAsia="Times New Roman" w:hint="default"/>
        </w:rPr>
        <w:t>Great Elite Limited</w:t>
      </w:r>
      <w:r>
        <w:rPr/>
        <w:t>，注册资本</w:t>
      </w:r>
      <w:r>
        <w:rPr>
          <w:spacing w:val="-64"/>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4"/>
        </w:rPr>
        <w:t> </w:t>
      </w:r>
      <w:r>
        <w:rPr/>
        <w:t>美元，香港苏宁电器有限公司出资</w:t>
      </w:r>
      <w:r>
        <w:rPr>
          <w:spacing w:val="-64"/>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4"/>
        </w:rPr>
        <w:t> </w:t>
      </w:r>
      <w:r>
        <w:rPr/>
        <w:t>美元，占注册资本 比例为</w:t>
      </w:r>
      <w:r>
        <w:rPr>
          <w:spacing w:val="-60"/>
        </w:rPr>
        <w:t> </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-0.96 </w:t>
      </w:r>
      <w:r>
        <w:rPr/>
        <w:t>万元。</w:t>
      </w:r>
    </w:p>
    <w:p>
      <w:pPr>
        <w:pStyle w:val="BodyText"/>
        <w:spacing w:line="338" w:lineRule="auto" w:before="27"/>
        <w:ind w:left="160" w:right="173"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日，公司控股子公司—</w:t>
      </w:r>
      <w:r>
        <w:rPr>
          <w:rFonts w:ascii="Times New Roman" w:hAnsi="Times New Roman" w:cs="Times New Roman" w:eastAsia="Times New Roman" w:hint="default"/>
        </w:rPr>
        <w:t>Great</w:t>
      </w:r>
      <w:r>
        <w:rPr>
          <w:rFonts w:ascii="Times New Roman" w:hAnsi="Times New Roman" w:cs="Times New Roman" w:eastAsia="Times New Roman" w:hint="default"/>
          <w:spacing w:val="-1"/>
        </w:rPr>
        <w:t> </w:t>
      </w:r>
      <w:r>
        <w:rPr>
          <w:rFonts w:ascii="Times New Roman" w:hAnsi="Times New Roman" w:cs="Times New Roman" w:eastAsia="Times New Roman" w:hint="default"/>
        </w:rPr>
        <w:t>Elite</w:t>
      </w:r>
      <w:r>
        <w:rPr>
          <w:rFonts w:ascii="Times New Roman" w:hAnsi="Times New Roman" w:cs="Times New Roman" w:eastAsia="Times New Roman" w:hint="default"/>
          <w:spacing w:val="-1"/>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2"/>
        </w:rPr>
        <w:t> </w:t>
      </w:r>
      <w:r>
        <w:rPr/>
        <w:t>出资成立香港苏宁采 </w:t>
      </w:r>
      <w:r>
        <w:rPr>
          <w:spacing w:val="-4"/>
        </w:rPr>
        <w:t>购有限公司，注册资本</w:t>
      </w:r>
      <w:r>
        <w:rPr>
          <w:spacing w:val="-60"/>
        </w:rPr>
        <w:t> </w:t>
      </w:r>
      <w:r>
        <w:rPr>
          <w:rFonts w:ascii="Times New Roman" w:hAnsi="Times New Roman" w:cs="Times New Roman" w:eastAsia="Times New Roman" w:hint="default"/>
        </w:rPr>
        <w:t>1000 </w:t>
      </w:r>
      <w:r>
        <w:rPr>
          <w:spacing w:val="-4"/>
        </w:rPr>
        <w:t>万港币，</w:t>
      </w:r>
      <w:r>
        <w:rPr>
          <w:rFonts w:ascii="Times New Roman" w:hAnsi="Times New Roman" w:cs="Times New Roman" w:eastAsia="Times New Roman" w:hint="default"/>
          <w:spacing w:val="-4"/>
        </w:rPr>
        <w:t>Great</w:t>
      </w:r>
      <w:r>
        <w:rPr>
          <w:rFonts w:ascii="Times New Roman" w:hAnsi="Times New Roman" w:cs="Times New Roman" w:eastAsia="Times New Roman" w:hint="default"/>
        </w:rPr>
        <w:t> Elite Limited</w:t>
      </w:r>
      <w:r>
        <w:rPr>
          <w:rFonts w:ascii="Times New Roman" w:hAnsi="Times New Roman" w:cs="Times New Roman" w:eastAsia="Times New Roman" w:hint="default"/>
          <w:spacing w:val="-1"/>
        </w:rPr>
        <w:t> </w:t>
      </w:r>
      <w:r>
        <w:rPr/>
        <w:t>出资</w:t>
      </w:r>
      <w:r>
        <w:rPr>
          <w:spacing w:val="-60"/>
        </w:rPr>
        <w:t> </w:t>
      </w:r>
      <w:r>
        <w:rPr>
          <w:rFonts w:ascii="Times New Roman" w:hAnsi="Times New Roman" w:cs="Times New Roman" w:eastAsia="Times New Roman" w:hint="default"/>
        </w:rPr>
        <w:t>1000 </w:t>
      </w:r>
      <w:r>
        <w:rPr>
          <w:spacing w:val="-4"/>
        </w:rPr>
        <w:t>万港币，占注册资本</w:t>
      </w:r>
      <w:r>
        <w:rPr/>
        <w:t> 比例为</w:t>
      </w:r>
      <w:r>
        <w:rPr>
          <w:spacing w:val="-60"/>
        </w:rPr>
        <w:t> </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-70.60 </w:t>
      </w:r>
      <w:r>
        <w:rPr/>
        <w:t>万元。</w:t>
      </w:r>
    </w:p>
    <w:p>
      <w:pPr>
        <w:pStyle w:val="BodyText"/>
        <w:spacing w:line="338" w:lineRule="auto" w:before="27"/>
        <w:ind w:left="160" w:right="172" w:firstLine="48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日，公司控股子公司—</w:t>
      </w:r>
      <w:r>
        <w:rPr>
          <w:rFonts w:ascii="Times New Roman" w:hAnsi="Times New Roman" w:cs="Times New Roman" w:eastAsia="Times New Roman" w:hint="default"/>
        </w:rPr>
        <w:t>Great</w:t>
      </w:r>
      <w:r>
        <w:rPr>
          <w:rFonts w:ascii="Times New Roman" w:hAnsi="Times New Roman" w:cs="Times New Roman" w:eastAsia="Times New Roman" w:hint="default"/>
          <w:spacing w:val="-1"/>
        </w:rPr>
        <w:t> </w:t>
      </w:r>
      <w:r>
        <w:rPr>
          <w:rFonts w:ascii="Times New Roman" w:hAnsi="Times New Roman" w:cs="Times New Roman" w:eastAsia="Times New Roman" w:hint="default"/>
        </w:rPr>
        <w:t>Elite</w:t>
      </w:r>
      <w:r>
        <w:rPr>
          <w:rFonts w:ascii="Times New Roman" w:hAnsi="Times New Roman" w:cs="Times New Roman" w:eastAsia="Times New Roman" w:hint="default"/>
          <w:spacing w:val="-1"/>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2"/>
        </w:rPr>
        <w:t> </w:t>
      </w:r>
      <w:r>
        <w:rPr/>
        <w:t>出资成立香港苏宁镭 </w:t>
      </w:r>
      <w:r>
        <w:rPr>
          <w:spacing w:val="-3"/>
        </w:rPr>
        <w:t>射电器有限公司，注册资本</w:t>
      </w:r>
      <w:r>
        <w:rPr>
          <w:spacing w:val="-60"/>
        </w:rPr>
        <w:t> </w:t>
      </w:r>
      <w:r>
        <w:rPr>
          <w:rFonts w:ascii="Times New Roman" w:hAnsi="Times New Roman" w:cs="Times New Roman" w:eastAsia="Times New Roman" w:hint="default"/>
        </w:rPr>
        <w:t>1000 </w:t>
      </w:r>
      <w:r>
        <w:rPr>
          <w:spacing w:val="-4"/>
        </w:rPr>
        <w:t>万港币，</w:t>
      </w:r>
      <w:r>
        <w:rPr>
          <w:rFonts w:ascii="Times New Roman" w:hAnsi="Times New Roman" w:cs="Times New Roman" w:eastAsia="Times New Roman" w:hint="default"/>
          <w:spacing w:val="-4"/>
        </w:rPr>
        <w:t>Great</w:t>
      </w:r>
      <w:r>
        <w:rPr>
          <w:rFonts w:ascii="Times New Roman" w:hAnsi="Times New Roman" w:cs="Times New Roman" w:eastAsia="Times New Roman" w:hint="default"/>
        </w:rPr>
        <w:t> Elite Limited</w:t>
      </w:r>
      <w:r>
        <w:rPr>
          <w:rFonts w:ascii="Times New Roman" w:hAnsi="Times New Roman" w:cs="Times New Roman" w:eastAsia="Times New Roman" w:hint="default"/>
          <w:spacing w:val="-1"/>
        </w:rPr>
        <w:t> </w:t>
      </w:r>
      <w:r>
        <w:rPr/>
        <w:t>出资</w:t>
      </w:r>
      <w:r>
        <w:rPr>
          <w:spacing w:val="-59"/>
        </w:rPr>
        <w:t> </w:t>
      </w:r>
      <w:r>
        <w:rPr>
          <w:rFonts w:ascii="Times New Roman" w:hAnsi="Times New Roman" w:cs="Times New Roman" w:eastAsia="Times New Roman" w:hint="default"/>
        </w:rPr>
        <w:t>1000 </w:t>
      </w:r>
      <w:r>
        <w:rPr>
          <w:spacing w:val="-5"/>
        </w:rPr>
        <w:t>万港币，占注册</w:t>
      </w:r>
      <w:r>
        <w:rPr/>
        <w:t> 资本比例为</w:t>
      </w:r>
      <w:r>
        <w:rPr>
          <w:spacing w:val="-60"/>
        </w:rPr>
        <w:t> </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-5,262.17 </w:t>
      </w:r>
      <w:r>
        <w:rPr/>
        <w:t>万元。</w:t>
      </w:r>
    </w:p>
    <w:p>
      <w:pPr>
        <w:pStyle w:val="BodyText"/>
        <w:spacing w:line="240" w:lineRule="auto" w:before="27"/>
        <w:ind w:left="639" w:right="84"/>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22 </w:t>
      </w:r>
      <w:r>
        <w:rPr/>
        <w:t>日，公司控股子公司—北京苏宁电器有限公司出资成立北京苏</w:t>
      </w:r>
    </w:p>
    <w:p>
      <w:pPr>
        <w:pStyle w:val="BodyText"/>
        <w:spacing w:line="338" w:lineRule="auto" w:before="135"/>
        <w:ind w:left="160" w:right="172"/>
        <w:jc w:val="both"/>
      </w:pPr>
      <w:r>
        <w:rPr>
          <w:spacing w:val="-3"/>
        </w:rPr>
        <w:t>宁尚品电器有限公司，注册资本</w:t>
      </w:r>
      <w:r>
        <w:rPr>
          <w:spacing w:val="-65"/>
        </w:rPr>
        <w:t> </w:t>
      </w:r>
      <w:r>
        <w:rPr>
          <w:rFonts w:ascii="Times New Roman" w:hAnsi="Times New Roman" w:cs="Times New Roman" w:eastAsia="Times New Roman" w:hint="default"/>
        </w:rPr>
        <w:t>500</w:t>
      </w:r>
      <w:r>
        <w:rPr>
          <w:rFonts w:ascii="Times New Roman" w:hAnsi="Times New Roman" w:cs="Times New Roman" w:eastAsia="Times New Roman" w:hint="default"/>
          <w:spacing w:val="-5"/>
        </w:rPr>
        <w:t> </w:t>
      </w:r>
      <w:r>
        <w:rPr/>
        <w:t>万元，北京苏宁电器有限公司出资</w:t>
      </w:r>
      <w:r>
        <w:rPr>
          <w:spacing w:val="-65"/>
        </w:rPr>
        <w:t> </w:t>
      </w:r>
      <w:r>
        <w:rPr>
          <w:rFonts w:ascii="Times New Roman" w:hAnsi="Times New Roman" w:cs="Times New Roman" w:eastAsia="Times New Roman" w:hint="default"/>
        </w:rPr>
        <w:t>500</w:t>
      </w:r>
      <w:r>
        <w:rPr>
          <w:rFonts w:ascii="Times New Roman" w:hAnsi="Times New Roman" w:cs="Times New Roman" w:eastAsia="Times New Roman" w:hint="default"/>
          <w:spacing w:val="-5"/>
        </w:rPr>
        <w:t> </w:t>
      </w:r>
      <w:r>
        <w:rPr>
          <w:spacing w:val="-6"/>
        </w:rPr>
        <w:t>万元，占注</w:t>
      </w:r>
      <w:r>
        <w:rPr/>
        <w:t> 册资本比例为</w:t>
      </w:r>
      <w:r>
        <w:rPr>
          <w:spacing w:val="-60"/>
        </w:rPr>
        <w:t> </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-356.17 </w:t>
      </w:r>
      <w:r>
        <w:rPr/>
        <w:t>万元。</w:t>
      </w:r>
    </w:p>
    <w:p>
      <w:pPr>
        <w:pStyle w:val="BodyText"/>
        <w:spacing w:line="240" w:lineRule="auto" w:before="27"/>
        <w:ind w:left="639" w:right="84"/>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29 </w:t>
      </w:r>
      <w:r>
        <w:rPr/>
        <w:t>日，苏宁电器股份有限公司和公司控股子公司—江苏苏宁地铁</w:t>
      </w:r>
    </w:p>
    <w:p>
      <w:pPr>
        <w:spacing w:after="0" w:line="240" w:lineRule="auto"/>
        <w:jc w:val="left"/>
        <w:sectPr>
          <w:pgSz w:w="11910" w:h="16840"/>
          <w:pgMar w:header="748" w:footer="714" w:top="980" w:bottom="900" w:left="1280" w:right="1260"/>
        </w:sectPr>
      </w:pPr>
    </w:p>
    <w:p>
      <w:pPr>
        <w:spacing w:line="240" w:lineRule="auto" w:before="7"/>
        <w:rPr>
          <w:rFonts w:ascii="宋体" w:hAnsi="宋体" w:cs="宋体" w:eastAsia="宋体" w:hint="default"/>
          <w:sz w:val="29"/>
          <w:szCs w:val="29"/>
        </w:rPr>
      </w:pPr>
    </w:p>
    <w:p>
      <w:pPr>
        <w:pStyle w:val="BodyText"/>
        <w:spacing w:line="338" w:lineRule="auto" w:before="26"/>
        <w:ind w:right="153"/>
        <w:jc w:val="both"/>
      </w:pPr>
      <w:r>
        <w:rPr/>
        <w:t>商业管理有限公司共同出资组建六盘水苏宁电器有限公司，注册资本</w:t>
      </w:r>
      <w:r>
        <w:rPr>
          <w:spacing w:val="-81"/>
        </w:rPr>
        <w:t> </w:t>
      </w:r>
      <w:r>
        <w:rPr>
          <w:rFonts w:ascii="Times New Roman" w:hAnsi="Times New Roman" w:cs="Times New Roman" w:eastAsia="Times New Roman" w:hint="default"/>
        </w:rPr>
        <w:t>500</w:t>
      </w:r>
      <w:r>
        <w:rPr>
          <w:rFonts w:ascii="Times New Roman" w:hAnsi="Times New Roman" w:cs="Times New Roman" w:eastAsia="Times New Roman" w:hint="default"/>
          <w:spacing w:val="-21"/>
        </w:rPr>
        <w:t> </w:t>
      </w:r>
      <w:r>
        <w:rPr>
          <w:spacing w:val="-8"/>
        </w:rPr>
        <w:t>万元，其中苏</w:t>
      </w:r>
      <w:r>
        <w:rPr/>
        <w:t> 宁电器股份有限公司出资</w:t>
      </w:r>
      <w:r>
        <w:rPr>
          <w:spacing w:val="-55"/>
        </w:rPr>
        <w:t> </w:t>
      </w:r>
      <w:r>
        <w:rPr>
          <w:rFonts w:ascii="Times New Roman" w:hAnsi="Times New Roman" w:cs="Times New Roman" w:eastAsia="Times New Roman" w:hint="default"/>
        </w:rPr>
        <w:t>450</w:t>
      </w:r>
      <w:r>
        <w:rPr>
          <w:rFonts w:ascii="Times New Roman" w:hAnsi="Times New Roman" w:cs="Times New Roman" w:eastAsia="Times New Roman" w:hint="default"/>
          <w:spacing w:val="5"/>
        </w:rPr>
        <w:t> </w:t>
      </w:r>
      <w:r>
        <w:rPr>
          <w:spacing w:val="-7"/>
        </w:rPr>
        <w:t>万元，占注册资本的</w:t>
      </w:r>
      <w:r>
        <w:rPr>
          <w:spacing w:val="-55"/>
        </w:rPr>
        <w:t> </w:t>
      </w:r>
      <w:r>
        <w:rPr>
          <w:rFonts w:ascii="Times New Roman" w:hAnsi="Times New Roman" w:cs="Times New Roman" w:eastAsia="Times New Roman" w:hint="default"/>
          <w:spacing w:val="-4"/>
        </w:rPr>
        <w:t>90%</w:t>
      </w:r>
      <w:r>
        <w:rPr>
          <w:spacing w:val="-4"/>
        </w:rPr>
        <w:t>，江苏苏宁地铁商业管理有限公</w:t>
      </w:r>
      <w:r>
        <w:rPr/>
        <w:t> 司出资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59.58 </w:t>
      </w:r>
      <w:r>
        <w:rPr/>
        <w:t>万元。</w:t>
      </w:r>
    </w:p>
    <w:p>
      <w:pPr>
        <w:pStyle w:val="BodyText"/>
        <w:spacing w:line="338" w:lineRule="auto" w:before="27"/>
        <w:ind w:right="153" w:firstLine="480"/>
        <w:jc w:val="left"/>
      </w:pPr>
      <w:r>
        <w:rPr>
          <w:rFonts w:ascii="Times New Roman" w:hAnsi="Times New Roman" w:cs="Times New Roman" w:eastAsia="Times New Roman" w:hint="default"/>
          <w:spacing w:val="-4"/>
        </w:rPr>
        <w:t>6</w:t>
      </w:r>
      <w:r>
        <w:rPr>
          <w:spacing w:val="-4"/>
        </w:rPr>
        <w:t>、</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日，公司控股子公司—</w:t>
      </w:r>
      <w:r>
        <w:rPr>
          <w:rFonts w:ascii="Times New Roman" w:hAnsi="Times New Roman" w:cs="Times New Roman" w:eastAsia="Times New Roman" w:hint="default"/>
        </w:rPr>
        <w:t>Great</w:t>
      </w:r>
      <w:r>
        <w:rPr>
          <w:rFonts w:ascii="Times New Roman" w:hAnsi="Times New Roman" w:cs="Times New Roman" w:eastAsia="Times New Roman" w:hint="default"/>
          <w:spacing w:val="-3"/>
        </w:rPr>
        <w:t> </w:t>
      </w:r>
      <w:r>
        <w:rPr>
          <w:rFonts w:ascii="Times New Roman" w:hAnsi="Times New Roman" w:cs="Times New Roman" w:eastAsia="Times New Roman" w:hint="default"/>
        </w:rPr>
        <w:t>Elite</w:t>
      </w:r>
      <w:r>
        <w:rPr>
          <w:rFonts w:ascii="Times New Roman" w:hAnsi="Times New Roman" w:cs="Times New Roman" w:eastAsia="Times New Roman" w:hint="default"/>
          <w:spacing w:val="-3"/>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4"/>
        </w:rPr>
        <w:t> </w:t>
      </w:r>
      <w:r>
        <w:rPr/>
        <w:t>出资成立超霸发展有限 公司，注册资本</w:t>
      </w:r>
      <w:r>
        <w:rPr>
          <w:spacing w:val="-61"/>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万港币，</w:t>
      </w:r>
      <w:r>
        <w:rPr>
          <w:rFonts w:ascii="Times New Roman" w:hAnsi="Times New Roman" w:cs="Times New Roman" w:eastAsia="Times New Roman" w:hint="default"/>
        </w:rPr>
        <w:t>Great</w:t>
      </w:r>
      <w:r>
        <w:rPr>
          <w:rFonts w:ascii="Times New Roman" w:hAnsi="Times New Roman" w:cs="Times New Roman" w:eastAsia="Times New Roman" w:hint="default"/>
          <w:spacing w:val="-1"/>
        </w:rPr>
        <w:t> </w:t>
      </w:r>
      <w:r>
        <w:rPr>
          <w:rFonts w:ascii="Times New Roman" w:hAnsi="Times New Roman" w:cs="Times New Roman" w:eastAsia="Times New Roman" w:hint="default"/>
        </w:rPr>
        <w:t>Elite</w:t>
      </w:r>
      <w:r>
        <w:rPr>
          <w:rFonts w:ascii="Times New Roman" w:hAnsi="Times New Roman" w:cs="Times New Roman" w:eastAsia="Times New Roman" w:hint="default"/>
          <w:spacing w:val="-1"/>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2"/>
        </w:rPr>
        <w:t> </w:t>
      </w:r>
      <w:r>
        <w:rPr/>
        <w:t>出资</w:t>
      </w:r>
      <w:r>
        <w:rPr>
          <w:spacing w:val="-61"/>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万港币，占注册资本比例为 </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-18.25 </w:t>
      </w:r>
      <w:r>
        <w:rPr/>
        <w:t>万元。</w:t>
      </w:r>
    </w:p>
    <w:p>
      <w:pPr>
        <w:pStyle w:val="BodyText"/>
        <w:spacing w:line="338" w:lineRule="auto" w:before="27"/>
        <w:ind w:left="139" w:right="163" w:firstLine="480"/>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10 </w:t>
      </w:r>
      <w:r>
        <w:rPr/>
        <w:t>日，公司与宝应苏宁电器有限公司其他股东签订了《股权转让 </w:t>
      </w:r>
      <w:r>
        <w:rPr>
          <w:spacing w:val="-6"/>
        </w:rPr>
        <w:t>协议书》，受让其持有的宝应苏宁电器有限公司</w:t>
      </w:r>
      <w:r>
        <w:rPr>
          <w:spacing w:val="-55"/>
        </w:rPr>
        <w:t> </w:t>
      </w:r>
      <w:r>
        <w:rPr>
          <w:rFonts w:ascii="Times New Roman" w:hAnsi="Times New Roman" w:cs="Times New Roman" w:eastAsia="Times New Roman" w:hint="default"/>
        </w:rPr>
        <w:t>40%</w:t>
      </w:r>
      <w:r>
        <w:rPr/>
        <w:t>的股权。经本次转让后，公司持有 宝应苏宁电器</w:t>
      </w:r>
      <w:r>
        <w:rPr>
          <w:spacing w:val="-60"/>
        </w:rPr>
        <w:t> </w:t>
      </w:r>
      <w:r>
        <w:rPr>
          <w:rFonts w:ascii="Times New Roman" w:hAnsi="Times New Roman" w:cs="Times New Roman" w:eastAsia="Times New Roman" w:hint="default"/>
        </w:rPr>
        <w:t>100%</w:t>
      </w:r>
      <w:r>
        <w:rPr/>
        <w:t>的股权。该公司报告期内实现净利润</w:t>
      </w:r>
      <w:r>
        <w:rPr>
          <w:spacing w:val="-60"/>
        </w:rPr>
        <w:t> </w:t>
      </w:r>
      <w:r>
        <w:rPr>
          <w:rFonts w:ascii="Times New Roman" w:hAnsi="Times New Roman" w:cs="Times New Roman" w:eastAsia="Times New Roman" w:hint="default"/>
        </w:rPr>
        <w:t>88.76 </w:t>
      </w:r>
      <w:r>
        <w:rPr/>
        <w:t>万元。</w:t>
      </w:r>
    </w:p>
    <w:p>
      <w:pPr>
        <w:pStyle w:val="BodyText"/>
        <w:spacing w:line="240" w:lineRule="auto" w:before="27"/>
        <w:ind w:left="620" w:right="0"/>
        <w:jc w:val="left"/>
      </w:pPr>
      <w:r>
        <w:rPr>
          <w:rFonts w:ascii="Times New Roman" w:hAnsi="Times New Roman" w:cs="Times New Roman" w:eastAsia="Times New Roman" w:hint="default"/>
          <w:spacing w:val="-3"/>
        </w:rPr>
        <w:t>8</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日，苏宁电器股份有限公司和公司控股子公司—江苏苏宁地铁商</w:t>
      </w:r>
    </w:p>
    <w:p>
      <w:pPr>
        <w:pStyle w:val="BodyText"/>
        <w:spacing w:line="338" w:lineRule="auto" w:before="135"/>
        <w:ind w:right="153"/>
        <w:jc w:val="both"/>
      </w:pPr>
      <w:r>
        <w:rPr/>
        <w:t>业管理有限公司共同出资组建盐城盐宁苏宁电器有限公司，注册资本</w:t>
      </w:r>
      <w:r>
        <w:rPr>
          <w:spacing w:val="-81"/>
        </w:rPr>
        <w:t> </w:t>
      </w:r>
      <w:r>
        <w:rPr>
          <w:rFonts w:ascii="Times New Roman" w:hAnsi="Times New Roman" w:cs="Times New Roman" w:eastAsia="Times New Roman" w:hint="default"/>
        </w:rPr>
        <w:t>500</w:t>
      </w:r>
      <w:r>
        <w:rPr>
          <w:rFonts w:ascii="Times New Roman" w:hAnsi="Times New Roman" w:cs="Times New Roman" w:eastAsia="Times New Roman" w:hint="default"/>
          <w:spacing w:val="-21"/>
        </w:rPr>
        <w:t> </w:t>
      </w:r>
      <w:r>
        <w:rPr>
          <w:spacing w:val="-8"/>
        </w:rPr>
        <w:t>万元，其中苏</w:t>
      </w:r>
      <w:r>
        <w:rPr/>
        <w:t> 宁电器股份有限公司出资</w:t>
      </w:r>
      <w:r>
        <w:rPr>
          <w:spacing w:val="-55"/>
        </w:rPr>
        <w:t> </w:t>
      </w:r>
      <w:r>
        <w:rPr>
          <w:rFonts w:ascii="Times New Roman" w:hAnsi="Times New Roman" w:cs="Times New Roman" w:eastAsia="Times New Roman" w:hint="default"/>
        </w:rPr>
        <w:t>450</w:t>
      </w:r>
      <w:r>
        <w:rPr>
          <w:rFonts w:ascii="Times New Roman" w:hAnsi="Times New Roman" w:cs="Times New Roman" w:eastAsia="Times New Roman" w:hint="default"/>
          <w:spacing w:val="5"/>
        </w:rPr>
        <w:t> </w:t>
      </w:r>
      <w:r>
        <w:rPr>
          <w:spacing w:val="-7"/>
        </w:rPr>
        <w:t>万元，占注册资本的</w:t>
      </w:r>
      <w:r>
        <w:rPr>
          <w:spacing w:val="-55"/>
        </w:rPr>
        <w:t> </w:t>
      </w:r>
      <w:r>
        <w:rPr>
          <w:rFonts w:ascii="Times New Roman" w:hAnsi="Times New Roman" w:cs="Times New Roman" w:eastAsia="Times New Roman" w:hint="default"/>
          <w:spacing w:val="-4"/>
        </w:rPr>
        <w:t>90%</w:t>
      </w:r>
      <w:r>
        <w:rPr>
          <w:spacing w:val="-4"/>
        </w:rPr>
        <w:t>，江苏苏宁地铁商业管理有限公</w:t>
      </w:r>
      <w:r>
        <w:rPr/>
        <w:t> 司出资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430.26 </w:t>
      </w:r>
      <w:r>
        <w:rPr/>
        <w:t>万元。</w:t>
      </w:r>
    </w:p>
    <w:p>
      <w:pPr>
        <w:pStyle w:val="BodyText"/>
        <w:spacing w:line="240" w:lineRule="auto" w:before="27"/>
        <w:ind w:left="620" w:right="153"/>
        <w:jc w:val="left"/>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10 </w:t>
      </w:r>
      <w:r>
        <w:rPr/>
        <w:t>日，苏宁电器股份有限公司和公司控股子公司—江苏苏宁地铁</w:t>
      </w:r>
    </w:p>
    <w:p>
      <w:pPr>
        <w:pStyle w:val="BodyText"/>
        <w:spacing w:line="338" w:lineRule="auto" w:before="135"/>
        <w:ind w:right="153"/>
        <w:jc w:val="both"/>
      </w:pPr>
      <w:r>
        <w:rPr/>
        <w:t>商业管理有限公司共同出资组建张家口苏宁电器有限公司，注册资本</w:t>
      </w:r>
      <w:r>
        <w:rPr>
          <w:spacing w:val="-81"/>
        </w:rPr>
        <w:t> </w:t>
      </w:r>
      <w:r>
        <w:rPr>
          <w:rFonts w:ascii="Times New Roman" w:hAnsi="Times New Roman" w:cs="Times New Roman" w:eastAsia="Times New Roman" w:hint="default"/>
        </w:rPr>
        <w:t>500</w:t>
      </w:r>
      <w:r>
        <w:rPr>
          <w:rFonts w:ascii="Times New Roman" w:hAnsi="Times New Roman" w:cs="Times New Roman" w:eastAsia="Times New Roman" w:hint="default"/>
          <w:spacing w:val="-21"/>
        </w:rPr>
        <w:t> </w:t>
      </w:r>
      <w:r>
        <w:rPr>
          <w:spacing w:val="-8"/>
        </w:rPr>
        <w:t>万元，其中苏</w:t>
      </w:r>
      <w:r>
        <w:rPr/>
        <w:t> 宁电器股份有限公司出资</w:t>
      </w:r>
      <w:r>
        <w:rPr>
          <w:spacing w:val="-55"/>
        </w:rPr>
        <w:t> </w:t>
      </w:r>
      <w:r>
        <w:rPr>
          <w:rFonts w:ascii="Times New Roman" w:hAnsi="Times New Roman" w:cs="Times New Roman" w:eastAsia="Times New Roman" w:hint="default"/>
        </w:rPr>
        <w:t>450</w:t>
      </w:r>
      <w:r>
        <w:rPr>
          <w:rFonts w:ascii="Times New Roman" w:hAnsi="Times New Roman" w:cs="Times New Roman" w:eastAsia="Times New Roman" w:hint="default"/>
          <w:spacing w:val="5"/>
        </w:rPr>
        <w:t> </w:t>
      </w:r>
      <w:r>
        <w:rPr>
          <w:spacing w:val="-7"/>
        </w:rPr>
        <w:t>万元，占注册资本的</w:t>
      </w:r>
      <w:r>
        <w:rPr>
          <w:spacing w:val="-55"/>
        </w:rPr>
        <w:t> </w:t>
      </w:r>
      <w:r>
        <w:rPr>
          <w:rFonts w:ascii="Times New Roman" w:hAnsi="Times New Roman" w:cs="Times New Roman" w:eastAsia="Times New Roman" w:hint="default"/>
          <w:spacing w:val="-4"/>
        </w:rPr>
        <w:t>90%</w:t>
      </w:r>
      <w:r>
        <w:rPr>
          <w:spacing w:val="-4"/>
        </w:rPr>
        <w:t>，江苏苏宁地铁商业管理有限公</w:t>
      </w:r>
      <w:r>
        <w:rPr/>
        <w:t> 司出资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87.13 </w:t>
      </w:r>
      <w:r>
        <w:rPr/>
        <w:t>万元。</w:t>
      </w:r>
    </w:p>
    <w:p>
      <w:pPr>
        <w:pStyle w:val="BodyText"/>
        <w:spacing w:line="240" w:lineRule="auto" w:before="27"/>
        <w:ind w:left="620" w:right="0"/>
        <w:jc w:val="left"/>
      </w:pPr>
      <w:r>
        <w:rPr>
          <w:rFonts w:ascii="Times New Roman" w:hAnsi="Times New Roman" w:cs="Times New Roman" w:eastAsia="Times New Roman" w:hint="default"/>
          <w:spacing w:val="-3"/>
        </w:rPr>
        <w:t>10</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152"/>
        <w:jc w:val="both"/>
      </w:pPr>
      <w:r>
        <w:rPr/>
        <w:t>商业管理有限公司共同出资组建伊犁苏宁电器有限责任公司，注册资本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10"/>
        </w:rPr>
        <w:t>万元，其中</w:t>
      </w:r>
      <w:r>
        <w:rPr/>
        <w:t> 苏宁电器股份有限公司出资</w:t>
      </w:r>
      <w:r>
        <w:rPr>
          <w:spacing w:val="-56"/>
        </w:rPr>
        <w:t> </w:t>
      </w:r>
      <w:r>
        <w:rPr>
          <w:rFonts w:ascii="Times New Roman" w:hAnsi="Times New Roman" w:cs="Times New Roman" w:eastAsia="Times New Roman" w:hint="default"/>
        </w:rPr>
        <w:t>450</w:t>
      </w:r>
      <w:r>
        <w:rPr>
          <w:rFonts w:ascii="Times New Roman" w:hAnsi="Times New Roman" w:cs="Times New Roman" w:eastAsia="Times New Roman" w:hint="default"/>
          <w:spacing w:val="4"/>
        </w:rPr>
        <w:t> </w:t>
      </w:r>
      <w:r>
        <w:rPr>
          <w:spacing w:val="-7"/>
        </w:rPr>
        <w:t>万元，占注册资本的</w:t>
      </w:r>
      <w:r>
        <w:rPr>
          <w:spacing w:val="-56"/>
        </w:rPr>
        <w:t> </w:t>
      </w:r>
      <w:r>
        <w:rPr>
          <w:rFonts w:ascii="Times New Roman" w:hAnsi="Times New Roman" w:cs="Times New Roman" w:eastAsia="Times New Roman" w:hint="default"/>
          <w:spacing w:val="-4"/>
        </w:rPr>
        <w:t>90%</w:t>
      </w:r>
      <w:r>
        <w:rPr>
          <w:spacing w:val="-4"/>
        </w:rPr>
        <w:t>，江苏苏宁地铁商业管理有限</w:t>
      </w:r>
      <w:r>
        <w:rPr/>
        <w:t> 公司出资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23.40 </w:t>
      </w:r>
      <w:r>
        <w:rPr/>
        <w:t>万元。</w:t>
      </w:r>
    </w:p>
    <w:p>
      <w:pPr>
        <w:pStyle w:val="BodyText"/>
        <w:spacing w:line="240" w:lineRule="auto" w:before="27"/>
        <w:ind w:left="619" w:right="0"/>
        <w:jc w:val="left"/>
      </w:pPr>
      <w:r>
        <w:rPr>
          <w:rFonts w:ascii="Times New Roman" w:hAnsi="Times New Roman" w:cs="Times New Roman" w:eastAsia="Times New Roman" w:hint="default"/>
          <w:spacing w:val="-3"/>
        </w:rPr>
        <w:t>11</w:t>
      </w:r>
      <w:r>
        <w:rPr>
          <w:spacing w:val="-3"/>
        </w:rPr>
        <w:t>、</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日，苏宁电器股份有限公司和公司控股子公司—江苏苏宁地铁</w:t>
      </w:r>
    </w:p>
    <w:p>
      <w:pPr>
        <w:pStyle w:val="BodyText"/>
        <w:spacing w:line="338" w:lineRule="auto" w:before="135"/>
        <w:ind w:left="139" w:right="153"/>
        <w:jc w:val="both"/>
      </w:pPr>
      <w:r>
        <w:rPr/>
        <w:t>商业管理有限公司共同出资组建保山苏宁电器有限公司，注册资本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-51.97 </w:t>
      </w:r>
      <w:r>
        <w:rPr/>
        <w:t>万元。</w:t>
      </w:r>
    </w:p>
    <w:p>
      <w:pPr>
        <w:pStyle w:val="BodyText"/>
        <w:spacing w:line="240" w:lineRule="auto" w:before="27"/>
        <w:ind w:left="619" w:right="0"/>
        <w:jc w:val="left"/>
      </w:pPr>
      <w:r>
        <w:rPr>
          <w:rFonts w:ascii="Times New Roman" w:hAnsi="Times New Roman" w:cs="Times New Roman" w:eastAsia="Times New Roman" w:hint="default"/>
          <w:spacing w:val="-3"/>
        </w:rPr>
        <w:t>12</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153"/>
        <w:jc w:val="both"/>
      </w:pPr>
      <w:r>
        <w:rPr/>
        <w:t>商业管理有限公司共同出资组建安顺苏宁电器有限公司，注册资本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4"/>
        </w:rPr>
        <w:t> </w:t>
      </w:r>
      <w:r>
        <w:rPr>
          <w:rFonts w:ascii="Times New Roman" w:hAnsi="Times New Roman" w:cs="Times New Roman" w:eastAsia="Times New Roman" w:hint="default"/>
        </w:rPr>
        <w:t>50</w:t>
      </w:r>
      <w:r>
        <w:rPr>
          <w:rFonts w:ascii="Times New Roman" w:hAnsi="Times New Roman" w:cs="Times New Roman" w:eastAsia="Times New Roman" w:hint="default"/>
          <w:spacing w:val="-4"/>
        </w:rPr>
        <w:t> </w:t>
      </w:r>
      <w:r>
        <w:rPr/>
        <w:t>万元，占注册资本的</w:t>
      </w:r>
      <w:r>
        <w:rPr>
          <w:spacing w:val="-64"/>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-11.57</w:t>
      </w:r>
      <w:r>
        <w:rPr>
          <w:rFonts w:ascii="Times New Roman" w:hAnsi="Times New Roman" w:cs="Times New Roman" w:eastAsia="Times New Roman" w:hint="default"/>
          <w:spacing w:val="-5"/>
        </w:rPr>
        <w:t> </w:t>
      </w:r>
      <w:r>
        <w:rPr/>
        <w:t>万元。</w:t>
      </w:r>
    </w:p>
    <w:p>
      <w:pPr>
        <w:pStyle w:val="BodyText"/>
        <w:spacing w:line="240" w:lineRule="auto" w:before="27"/>
        <w:ind w:left="620" w:right="0"/>
        <w:jc w:val="left"/>
      </w:pPr>
      <w:r>
        <w:rPr>
          <w:rFonts w:ascii="Times New Roman" w:hAnsi="Times New Roman" w:cs="Times New Roman" w:eastAsia="Times New Roman" w:hint="default"/>
          <w:spacing w:val="-3"/>
        </w:rPr>
        <w:t>13</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240" w:lineRule="auto" w:before="135"/>
        <w:ind w:right="0"/>
        <w:jc w:val="both"/>
      </w:pPr>
      <w:r>
        <w:rPr/>
        <w:t>商业管理有限公司共同出资组建渭南苏宁电器有限公司，注册资本</w:t>
      </w:r>
      <w:r>
        <w:rPr>
          <w:spacing w:val="-82"/>
        </w:rPr>
        <w:t> </w:t>
      </w:r>
      <w:r>
        <w:rPr>
          <w:rFonts w:ascii="Times New Roman" w:hAnsi="Times New Roman" w:cs="Times New Roman" w:eastAsia="Times New Roman" w:hint="default"/>
        </w:rPr>
        <w:t>500</w:t>
      </w:r>
      <w:r>
        <w:rPr>
          <w:rFonts w:ascii="Times New Roman" w:hAnsi="Times New Roman" w:cs="Times New Roman" w:eastAsia="Times New Roman" w:hint="default"/>
          <w:spacing w:val="-22"/>
        </w:rPr>
        <w:t> </w:t>
      </w:r>
      <w:r>
        <w:rPr>
          <w:spacing w:val="-7"/>
        </w:rPr>
        <w:t>万元，其中苏宁</w:t>
      </w:r>
    </w:p>
    <w:p>
      <w:pPr>
        <w:spacing w:after="0" w:line="240" w:lineRule="auto"/>
        <w:jc w:val="both"/>
        <w:sectPr>
          <w:footerReference w:type="default" r:id="rId33"/>
          <w:pgSz w:w="11910" w:h="16840"/>
          <w:pgMar w:footer="714" w:header="748" w:top="980" w:bottom="900" w:left="1300" w:right="1280"/>
          <w:pgNumType w:start="67"/>
        </w:sectPr>
      </w:pPr>
    </w:p>
    <w:p>
      <w:pPr>
        <w:spacing w:line="240" w:lineRule="auto" w:before="7"/>
        <w:rPr>
          <w:rFonts w:ascii="宋体" w:hAnsi="宋体" w:cs="宋体" w:eastAsia="宋体" w:hint="default"/>
          <w:sz w:val="29"/>
          <w:szCs w:val="29"/>
        </w:rPr>
      </w:pPr>
    </w:p>
    <w:p>
      <w:pPr>
        <w:pStyle w:val="BodyText"/>
        <w:spacing w:line="338" w:lineRule="auto" w:before="26"/>
        <w:ind w:right="153"/>
        <w:jc w:val="both"/>
      </w:pPr>
      <w:r>
        <w:rPr/>
        <w:t>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235.15 </w:t>
      </w:r>
      <w:r>
        <w:rPr/>
        <w:t>万元。</w:t>
      </w:r>
    </w:p>
    <w:p>
      <w:pPr>
        <w:pStyle w:val="BodyText"/>
        <w:spacing w:line="240" w:lineRule="auto" w:before="27"/>
        <w:ind w:left="620" w:right="0"/>
        <w:jc w:val="left"/>
      </w:pPr>
      <w:r>
        <w:rPr>
          <w:rFonts w:ascii="Times New Roman" w:hAnsi="Times New Roman" w:cs="Times New Roman" w:eastAsia="Times New Roman" w:hint="default"/>
          <w:spacing w:val="-3"/>
        </w:rPr>
        <w:t>14</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152"/>
        <w:jc w:val="both"/>
      </w:pPr>
      <w:r>
        <w:rPr/>
        <w:t>商业管理有限公司共同出资组建宁波甬东苏宁电器有限公司，注册资本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10"/>
        </w:rPr>
        <w:t>万元，其中</w:t>
      </w:r>
      <w:r>
        <w:rPr/>
        <w:t> 苏宁电器股份有限公司出资</w:t>
      </w:r>
      <w:r>
        <w:rPr>
          <w:spacing w:val="-56"/>
        </w:rPr>
        <w:t> </w:t>
      </w:r>
      <w:r>
        <w:rPr>
          <w:rFonts w:ascii="Times New Roman" w:hAnsi="Times New Roman" w:cs="Times New Roman" w:eastAsia="Times New Roman" w:hint="default"/>
        </w:rPr>
        <w:t>450</w:t>
      </w:r>
      <w:r>
        <w:rPr>
          <w:rFonts w:ascii="Times New Roman" w:hAnsi="Times New Roman" w:cs="Times New Roman" w:eastAsia="Times New Roman" w:hint="default"/>
          <w:spacing w:val="4"/>
        </w:rPr>
        <w:t> </w:t>
      </w:r>
      <w:r>
        <w:rPr>
          <w:spacing w:val="-7"/>
        </w:rPr>
        <w:t>万元，占注册资本的</w:t>
      </w:r>
      <w:r>
        <w:rPr>
          <w:spacing w:val="-56"/>
        </w:rPr>
        <w:t> </w:t>
      </w:r>
      <w:r>
        <w:rPr>
          <w:rFonts w:ascii="Times New Roman" w:hAnsi="Times New Roman" w:cs="Times New Roman" w:eastAsia="Times New Roman" w:hint="default"/>
          <w:spacing w:val="-4"/>
        </w:rPr>
        <w:t>90%</w:t>
      </w:r>
      <w:r>
        <w:rPr>
          <w:spacing w:val="-4"/>
        </w:rPr>
        <w:t>，江苏苏宁地铁商业管理有限</w:t>
      </w:r>
      <w:r>
        <w:rPr/>
        <w:t> 公司出资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8.17 </w:t>
      </w:r>
      <w:r>
        <w:rPr/>
        <w:t>万元。</w:t>
      </w:r>
    </w:p>
    <w:p>
      <w:pPr>
        <w:pStyle w:val="BodyText"/>
        <w:spacing w:line="240" w:lineRule="auto" w:before="27"/>
        <w:ind w:left="619" w:right="0"/>
        <w:jc w:val="left"/>
      </w:pPr>
      <w:r>
        <w:rPr>
          <w:rFonts w:ascii="Times New Roman" w:hAnsi="Times New Roman" w:cs="Times New Roman" w:eastAsia="Times New Roman" w:hint="default"/>
          <w:spacing w:val="-3"/>
        </w:rPr>
        <w:t>15</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152"/>
        <w:jc w:val="both"/>
      </w:pPr>
      <w:r>
        <w:rPr/>
        <w:t>商业管理有限公司共同出资组建淄博鲁宁苏宁电器有限公司，注册资本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10"/>
        </w:rPr>
        <w:t>万元，其中</w:t>
      </w:r>
      <w:r>
        <w:rPr/>
        <w:t> 苏宁电器股份有限公司出资</w:t>
      </w:r>
      <w:r>
        <w:rPr>
          <w:spacing w:val="-56"/>
        </w:rPr>
        <w:t> </w:t>
      </w:r>
      <w:r>
        <w:rPr>
          <w:rFonts w:ascii="Times New Roman" w:hAnsi="Times New Roman" w:cs="Times New Roman" w:eastAsia="Times New Roman" w:hint="default"/>
        </w:rPr>
        <w:t>450</w:t>
      </w:r>
      <w:r>
        <w:rPr>
          <w:rFonts w:ascii="Times New Roman" w:hAnsi="Times New Roman" w:cs="Times New Roman" w:eastAsia="Times New Roman" w:hint="default"/>
          <w:spacing w:val="4"/>
        </w:rPr>
        <w:t> </w:t>
      </w:r>
      <w:r>
        <w:rPr>
          <w:spacing w:val="-7"/>
        </w:rPr>
        <w:t>万元，占注册资本的</w:t>
      </w:r>
      <w:r>
        <w:rPr>
          <w:spacing w:val="-56"/>
        </w:rPr>
        <w:t> </w:t>
      </w:r>
      <w:r>
        <w:rPr>
          <w:rFonts w:ascii="Times New Roman" w:hAnsi="Times New Roman" w:cs="Times New Roman" w:eastAsia="Times New Roman" w:hint="default"/>
          <w:spacing w:val="-4"/>
        </w:rPr>
        <w:t>90%</w:t>
      </w:r>
      <w:r>
        <w:rPr>
          <w:spacing w:val="-4"/>
        </w:rPr>
        <w:t>，江苏苏宁地铁商业管理有限</w:t>
      </w:r>
      <w:r>
        <w:rPr/>
        <w:t> 公司出资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56.21 </w:t>
      </w:r>
      <w:r>
        <w:rPr/>
        <w:t>万元。</w:t>
      </w:r>
    </w:p>
    <w:p>
      <w:pPr>
        <w:pStyle w:val="BodyText"/>
        <w:spacing w:line="240" w:lineRule="auto" w:before="27"/>
        <w:ind w:left="619" w:right="0"/>
        <w:jc w:val="left"/>
      </w:pPr>
      <w:r>
        <w:rPr>
          <w:rFonts w:ascii="Times New Roman" w:hAnsi="Times New Roman" w:cs="Times New Roman" w:eastAsia="Times New Roman" w:hint="default"/>
          <w:spacing w:val="-3"/>
        </w:rPr>
        <w:t>16</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153"/>
        <w:jc w:val="both"/>
      </w:pPr>
      <w:r>
        <w:rPr/>
        <w:t>商业管理有限公司共同出资组建四平苏宁电器有限公司，注册资本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-0.63 </w:t>
      </w:r>
      <w:r>
        <w:rPr/>
        <w:t>万元。</w:t>
      </w:r>
    </w:p>
    <w:p>
      <w:pPr>
        <w:pStyle w:val="BodyText"/>
        <w:spacing w:line="240" w:lineRule="auto" w:before="27"/>
        <w:ind w:left="619" w:right="0"/>
        <w:jc w:val="left"/>
      </w:pPr>
      <w:r>
        <w:rPr>
          <w:rFonts w:ascii="Times New Roman" w:hAnsi="Times New Roman" w:cs="Times New Roman" w:eastAsia="Times New Roman" w:hint="default"/>
          <w:spacing w:val="-3"/>
        </w:rPr>
        <w:t>17</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153"/>
        <w:jc w:val="both"/>
      </w:pPr>
      <w:r>
        <w:rPr/>
        <w:t>商业管理有限公司共同出资组建安阳苏宁电器有限公司，注册资本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-46.97 </w:t>
      </w:r>
      <w:r>
        <w:rPr/>
        <w:t>万元。</w:t>
      </w:r>
    </w:p>
    <w:p>
      <w:pPr>
        <w:pStyle w:val="BodyText"/>
        <w:spacing w:line="240" w:lineRule="auto" w:before="27"/>
        <w:ind w:left="619" w:right="0"/>
        <w:jc w:val="left"/>
      </w:pPr>
      <w:r>
        <w:rPr>
          <w:rFonts w:ascii="Times New Roman" w:hAnsi="Times New Roman" w:cs="Times New Roman" w:eastAsia="Times New Roman" w:hint="default"/>
          <w:spacing w:val="-3"/>
        </w:rPr>
        <w:t>18</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163"/>
        <w:jc w:val="both"/>
      </w:pPr>
      <w:r>
        <w:rPr/>
        <w:t>商业管理有限公司共同出资组建湖北苏宁电器有限公司，注册资本</w:t>
      </w:r>
      <w:r>
        <w:rPr>
          <w:spacing w:val="-60"/>
        </w:rPr>
        <w:t> </w:t>
      </w:r>
      <w:r>
        <w:rPr>
          <w:rFonts w:ascii="Times New Roman" w:hAnsi="Times New Roman" w:cs="Times New Roman" w:eastAsia="Times New Roman" w:hint="default"/>
        </w:rPr>
        <w:t>2000 </w:t>
      </w:r>
      <w:r>
        <w:rPr/>
        <w:t>万元，其中苏 宁电器股份有限公司出资</w:t>
      </w:r>
      <w:r>
        <w:rPr>
          <w:spacing w:val="-60"/>
        </w:rPr>
        <w:t> </w:t>
      </w:r>
      <w:r>
        <w:rPr>
          <w:rFonts w:ascii="Times New Roman" w:hAnsi="Times New Roman" w:cs="Times New Roman" w:eastAsia="Times New Roman" w:hint="default"/>
        </w:rPr>
        <w:t>1800 </w:t>
      </w:r>
      <w:r>
        <w:rPr/>
        <w:t>万元，占注册资本的</w:t>
      </w:r>
      <w:r>
        <w:rPr>
          <w:spacing w:val="-60"/>
        </w:rPr>
        <w:t> </w:t>
      </w:r>
      <w:r>
        <w:rPr>
          <w:rFonts w:ascii="Times New Roman" w:hAnsi="Times New Roman" w:cs="Times New Roman" w:eastAsia="Times New Roman" w:hint="default"/>
        </w:rPr>
        <w:t>90%</w:t>
      </w:r>
      <w:r>
        <w:rPr/>
        <w:t>，江苏苏宁地铁商业管理有限 公司出资</w:t>
      </w:r>
      <w:r>
        <w:rPr>
          <w:spacing w:val="-60"/>
        </w:rPr>
        <w:t> </w:t>
      </w:r>
      <w:r>
        <w:rPr>
          <w:rFonts w:ascii="Times New Roman" w:hAnsi="Times New Roman" w:cs="Times New Roman" w:eastAsia="Times New Roman" w:hint="default"/>
        </w:rPr>
        <w:t>200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5.47 </w:t>
      </w:r>
      <w:r>
        <w:rPr/>
        <w:t>万元。</w:t>
      </w:r>
    </w:p>
    <w:p>
      <w:pPr>
        <w:pStyle w:val="BodyText"/>
        <w:spacing w:line="240" w:lineRule="auto" w:before="27"/>
        <w:ind w:left="619" w:right="0"/>
        <w:jc w:val="left"/>
      </w:pPr>
      <w:r>
        <w:rPr>
          <w:rFonts w:ascii="Times New Roman" w:hAnsi="Times New Roman" w:cs="Times New Roman" w:eastAsia="Times New Roman" w:hint="default"/>
          <w:spacing w:val="-3"/>
        </w:rPr>
        <w:t>19</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145"/>
        <w:jc w:val="left"/>
      </w:pPr>
      <w:r>
        <w:rPr/>
        <w:t>商业管理有限公司共同出资组建哈尔滨苏宁电器采购中心有限公司，注册资本</w:t>
      </w:r>
      <w:r>
        <w:rPr>
          <w:spacing w:val="-60"/>
        </w:rPr>
        <w:t> </w:t>
      </w:r>
      <w:r>
        <w:rPr>
          <w:rFonts w:ascii="Times New Roman" w:hAnsi="Times New Roman" w:cs="Times New Roman" w:eastAsia="Times New Roman" w:hint="default"/>
        </w:rPr>
        <w:t>2000 </w:t>
      </w:r>
      <w:r>
        <w:rPr/>
        <w:t>万 元，其中苏宁电器股份有限公司出资</w:t>
      </w:r>
      <w:r>
        <w:rPr>
          <w:spacing w:val="-60"/>
        </w:rPr>
        <w:t> </w:t>
      </w:r>
      <w:r>
        <w:rPr>
          <w:rFonts w:ascii="Times New Roman" w:hAnsi="Times New Roman" w:cs="Times New Roman" w:eastAsia="Times New Roman" w:hint="default"/>
        </w:rPr>
        <w:t>1800 </w:t>
      </w:r>
      <w:r>
        <w:rPr/>
        <w:t>万元，占注册资本的</w:t>
      </w:r>
      <w:r>
        <w:rPr>
          <w:spacing w:val="-60"/>
        </w:rPr>
        <w:t> </w:t>
      </w:r>
      <w:r>
        <w:rPr>
          <w:rFonts w:ascii="Times New Roman" w:hAnsi="Times New Roman" w:cs="Times New Roman" w:eastAsia="Times New Roman" w:hint="default"/>
        </w:rPr>
        <w:t>90%</w:t>
      </w:r>
      <w:r>
        <w:rPr/>
        <w:t>，江苏苏宁地铁商 业管理有限公司出资</w:t>
      </w:r>
      <w:r>
        <w:rPr>
          <w:spacing w:val="-60"/>
        </w:rPr>
        <w:t> </w:t>
      </w:r>
      <w:r>
        <w:rPr>
          <w:rFonts w:ascii="Times New Roman" w:hAnsi="Times New Roman" w:cs="Times New Roman" w:eastAsia="Times New Roman" w:hint="default"/>
        </w:rPr>
        <w:t>200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0.35 </w:t>
      </w:r>
      <w:r>
        <w:rPr/>
        <w:t>万元。</w:t>
      </w:r>
    </w:p>
    <w:p>
      <w:pPr>
        <w:pStyle w:val="BodyText"/>
        <w:spacing w:line="345" w:lineRule="auto" w:before="55"/>
        <w:ind w:left="139" w:right="153" w:firstLine="480"/>
        <w:jc w:val="both"/>
      </w:pPr>
      <w:r>
        <w:rPr>
          <w:rFonts w:ascii="Times New Roman" w:hAnsi="Times New Roman" w:cs="Times New Roman" w:eastAsia="Times New Roman" w:hint="default"/>
          <w:spacing w:val="-3"/>
        </w:rPr>
        <w:t>20</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日，公司子公司——淮安苏宁电器有限责任公司股东会审议并 </w:t>
      </w:r>
      <w:r>
        <w:rPr>
          <w:spacing w:val="-3"/>
        </w:rPr>
        <w:t>一致通过由苏宁电器股份有限公司单方面增资淮安苏宁电器有限责任公司，增资后，苏</w:t>
      </w:r>
      <w:r>
        <w:rPr>
          <w:spacing w:val="-98"/>
        </w:rPr>
        <w:t> </w:t>
      </w:r>
      <w:r>
        <w:rPr>
          <w:spacing w:val="-98"/>
        </w:rPr>
      </w:r>
      <w:r>
        <w:rPr/>
        <w:t>宁电器股份有限公司持有淮安苏宁电器有限责任公司</w:t>
      </w:r>
      <w:r>
        <w:rPr>
          <w:spacing w:val="-47"/>
        </w:rPr>
        <w:t> </w:t>
      </w:r>
      <w:r>
        <w:rPr>
          <w:rFonts w:ascii="Times New Roman" w:hAnsi="Times New Roman" w:cs="Times New Roman" w:eastAsia="Times New Roman" w:hint="default"/>
          <w:spacing w:val="-4"/>
        </w:rPr>
        <w:t>97.8%</w:t>
      </w:r>
      <w:r>
        <w:rPr>
          <w:spacing w:val="-4"/>
        </w:rPr>
        <w:t>的股权。该公司本报告期内</w:t>
      </w:r>
      <w:r>
        <w:rPr>
          <w:spacing w:val="-118"/>
        </w:rPr>
        <w:t> </w:t>
      </w:r>
      <w:r>
        <w:rPr>
          <w:spacing w:val="-118"/>
        </w:rPr>
      </w:r>
      <w:r>
        <w:rPr/>
        <w:t>实现净利润</w:t>
      </w:r>
      <w:r>
        <w:rPr>
          <w:spacing w:val="-57"/>
        </w:rPr>
        <w:t> </w:t>
      </w:r>
      <w:r>
        <w:rPr>
          <w:rFonts w:ascii="Times New Roman" w:hAnsi="Times New Roman" w:cs="Times New Roman" w:eastAsia="Times New Roman" w:hint="default"/>
          <w:spacing w:val="-3"/>
        </w:rPr>
        <w:t>2,111.32</w:t>
      </w:r>
      <w:r>
        <w:rPr>
          <w:rFonts w:ascii="Times New Roman" w:hAnsi="Times New Roman" w:cs="Times New Roman" w:eastAsia="Times New Roman" w:hint="default"/>
        </w:rPr>
        <w:t> </w:t>
      </w:r>
      <w:r>
        <w:rPr/>
        <w:t>万元。</w:t>
      </w:r>
    </w:p>
    <w:p>
      <w:pPr>
        <w:spacing w:after="0" w:line="345" w:lineRule="auto"/>
        <w:jc w:val="both"/>
        <w:sectPr>
          <w:footerReference w:type="default" r:id="rId34"/>
          <w:pgSz w:w="11910" w:h="16840"/>
          <w:pgMar w:footer="714" w:header="748" w:top="980" w:bottom="900" w:left="1300" w:right="1280"/>
          <w:pgNumType w:start="68"/>
        </w:sectPr>
      </w:pPr>
    </w:p>
    <w:p>
      <w:pPr>
        <w:spacing w:line="240" w:lineRule="auto" w:before="7"/>
        <w:rPr>
          <w:rFonts w:ascii="宋体" w:hAnsi="宋体" w:cs="宋体" w:eastAsia="宋体" w:hint="default"/>
          <w:sz w:val="29"/>
          <w:szCs w:val="29"/>
        </w:rPr>
      </w:pPr>
    </w:p>
    <w:p>
      <w:pPr>
        <w:pStyle w:val="BodyText"/>
        <w:spacing w:line="240" w:lineRule="auto" w:before="26"/>
        <w:ind w:left="620" w:right="0"/>
        <w:jc w:val="left"/>
      </w:pPr>
      <w:r>
        <w:rPr>
          <w:rFonts w:ascii="Times New Roman" w:hAnsi="Times New Roman" w:cs="Times New Roman" w:eastAsia="Times New Roman" w:hint="default"/>
          <w:spacing w:val="-3"/>
        </w:rPr>
        <w:t>21</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right="153"/>
        <w:jc w:val="both"/>
      </w:pPr>
      <w:r>
        <w:rPr/>
        <w:t>商业管理有限公司共同出资组建枣庄苏宁电器有限公司，注册资本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27.17 </w:t>
      </w:r>
      <w:r>
        <w:rPr/>
        <w:t>万元。</w:t>
      </w:r>
    </w:p>
    <w:p>
      <w:pPr>
        <w:pStyle w:val="BodyText"/>
        <w:spacing w:line="240" w:lineRule="auto" w:before="27"/>
        <w:ind w:left="620" w:right="0"/>
        <w:jc w:val="left"/>
      </w:pPr>
      <w:r>
        <w:rPr>
          <w:rFonts w:ascii="Times New Roman" w:hAnsi="Times New Roman" w:cs="Times New Roman" w:eastAsia="Times New Roman" w:hint="default"/>
          <w:spacing w:val="-3"/>
        </w:rPr>
        <w:t>22</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right="153"/>
        <w:jc w:val="both"/>
      </w:pPr>
      <w:r>
        <w:rPr/>
        <w:t>商业管理有限公司共同出资组建大庆苏宁电器有限公司，注册资本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-216.77 </w:t>
      </w:r>
      <w:r>
        <w:rPr/>
        <w:t>万元。</w:t>
      </w:r>
    </w:p>
    <w:p>
      <w:pPr>
        <w:pStyle w:val="BodyText"/>
        <w:spacing w:line="240" w:lineRule="auto" w:before="27"/>
        <w:ind w:left="619" w:right="153"/>
        <w:jc w:val="left"/>
      </w:pPr>
      <w:r>
        <w:rPr>
          <w:rFonts w:ascii="Times New Roman" w:hAnsi="Times New Roman" w:cs="Times New Roman" w:eastAsia="Times New Roman" w:hint="default"/>
        </w:rPr>
        <w:t>23</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6 </w:t>
      </w:r>
      <w:r>
        <w:rPr/>
        <w:t>日，苏宁电器股份有限公司和公司控股子公司—江苏苏宁地铁</w:t>
      </w:r>
    </w:p>
    <w:p>
      <w:pPr>
        <w:pStyle w:val="BodyText"/>
        <w:spacing w:line="338" w:lineRule="auto" w:before="135"/>
        <w:ind w:left="139" w:right="153"/>
        <w:jc w:val="both"/>
      </w:pPr>
      <w:r>
        <w:rPr/>
        <w:t>商业管理有限公司共同出资组建运城苏宁电器有限公司，注册资本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-68.58 </w:t>
      </w:r>
      <w:r>
        <w:rPr/>
        <w:t>万元。</w:t>
      </w:r>
    </w:p>
    <w:p>
      <w:pPr>
        <w:pStyle w:val="BodyText"/>
        <w:spacing w:line="240" w:lineRule="auto" w:before="27"/>
        <w:ind w:left="619" w:right="153"/>
        <w:jc w:val="left"/>
      </w:pPr>
      <w:r>
        <w:rPr>
          <w:rFonts w:ascii="Times New Roman" w:hAnsi="Times New Roman" w:cs="Times New Roman" w:eastAsia="Times New Roman" w:hint="default"/>
        </w:rPr>
        <w:t>24</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6 </w:t>
      </w:r>
      <w:r>
        <w:rPr/>
        <w:t>日，苏宁电器股份有限公司和公司控股子公司—江苏苏宁地铁</w:t>
      </w:r>
    </w:p>
    <w:p>
      <w:pPr>
        <w:pStyle w:val="BodyText"/>
        <w:spacing w:line="338" w:lineRule="auto" w:before="135"/>
        <w:ind w:left="139" w:right="153"/>
        <w:jc w:val="both"/>
      </w:pPr>
      <w:r>
        <w:rPr/>
        <w:t>商业管理有限公司共同出资组建深圳市苏宁精品电器有限公司，注册资本</w:t>
      </w:r>
      <w:r>
        <w:rPr>
          <w:spacing w:val="-81"/>
        </w:rPr>
        <w:t> </w:t>
      </w:r>
      <w:r>
        <w:rPr>
          <w:rFonts w:ascii="Times New Roman" w:hAnsi="Times New Roman" w:cs="Times New Roman" w:eastAsia="Times New Roman" w:hint="default"/>
        </w:rPr>
        <w:t>500</w:t>
      </w:r>
      <w:r>
        <w:rPr>
          <w:rFonts w:ascii="Times New Roman" w:hAnsi="Times New Roman" w:cs="Times New Roman" w:eastAsia="Times New Roman" w:hint="default"/>
          <w:spacing w:val="-21"/>
        </w:rPr>
        <w:t> </w:t>
      </w:r>
      <w:r>
        <w:rPr>
          <w:spacing w:val="-12"/>
        </w:rPr>
        <w:t>万元，其</w:t>
      </w:r>
      <w:r>
        <w:rPr/>
        <w:t> 中苏宁电器股份有限公司出资</w:t>
      </w:r>
      <w:r>
        <w:rPr>
          <w:spacing w:val="-56"/>
        </w:rPr>
        <w:t> </w:t>
      </w:r>
      <w:r>
        <w:rPr>
          <w:rFonts w:ascii="Times New Roman" w:hAnsi="Times New Roman" w:cs="Times New Roman" w:eastAsia="Times New Roman" w:hint="default"/>
        </w:rPr>
        <w:t>450</w:t>
      </w:r>
      <w:r>
        <w:rPr>
          <w:rFonts w:ascii="Times New Roman" w:hAnsi="Times New Roman" w:cs="Times New Roman" w:eastAsia="Times New Roman" w:hint="default"/>
          <w:spacing w:val="4"/>
        </w:rPr>
        <w:t> </w:t>
      </w:r>
      <w:r>
        <w:rPr>
          <w:spacing w:val="-7"/>
        </w:rPr>
        <w:t>万元，占注册资本的</w:t>
      </w:r>
      <w:r>
        <w:rPr>
          <w:spacing w:val="-56"/>
        </w:rPr>
        <w:t> </w:t>
      </w:r>
      <w:r>
        <w:rPr>
          <w:rFonts w:ascii="Times New Roman" w:hAnsi="Times New Roman" w:cs="Times New Roman" w:eastAsia="Times New Roman" w:hint="default"/>
          <w:spacing w:val="-5"/>
        </w:rPr>
        <w:t>90%</w:t>
      </w:r>
      <w:r>
        <w:rPr>
          <w:spacing w:val="-5"/>
        </w:rPr>
        <w:t>，江苏苏宁地铁商业管理有</w:t>
      </w:r>
      <w:r>
        <w:rPr>
          <w:spacing w:val="-1"/>
        </w:rPr>
        <w:t> </w:t>
      </w:r>
      <w:r>
        <w:rPr/>
        <w:t>限公司出资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-501.77 </w:t>
      </w:r>
      <w:r>
        <w:rPr/>
        <w:t>万元。</w:t>
      </w:r>
    </w:p>
    <w:p>
      <w:pPr>
        <w:pStyle w:val="BodyText"/>
        <w:spacing w:line="240" w:lineRule="auto" w:before="27"/>
        <w:ind w:left="619" w:right="0"/>
        <w:jc w:val="left"/>
      </w:pPr>
      <w:r>
        <w:rPr>
          <w:rFonts w:ascii="Times New Roman" w:hAnsi="Times New Roman" w:cs="Times New Roman" w:eastAsia="Times New Roman" w:hint="default"/>
          <w:spacing w:val="-3"/>
        </w:rPr>
        <w:t>25</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right="153"/>
        <w:jc w:val="both"/>
      </w:pPr>
      <w:r>
        <w:rPr/>
        <w:t>商业管理有限公司共同出资组建聊城苏宁电器有限公司，注册资本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spacing w:val="-3"/>
        </w:rPr>
        <w:t>0.11</w:t>
      </w:r>
      <w:r>
        <w:rPr>
          <w:rFonts w:ascii="Times New Roman" w:hAnsi="Times New Roman" w:cs="Times New Roman" w:eastAsia="Times New Roman" w:hint="default"/>
        </w:rPr>
        <w:t> </w:t>
      </w:r>
      <w:r>
        <w:rPr/>
        <w:t>万元。</w:t>
      </w:r>
    </w:p>
    <w:p>
      <w:pPr>
        <w:pStyle w:val="BodyText"/>
        <w:spacing w:line="240" w:lineRule="auto" w:before="27"/>
        <w:ind w:left="619" w:right="0"/>
        <w:jc w:val="left"/>
      </w:pPr>
      <w:r>
        <w:rPr>
          <w:rFonts w:ascii="Times New Roman" w:hAnsi="Times New Roman" w:cs="Times New Roman" w:eastAsia="Times New Roman" w:hint="default"/>
          <w:spacing w:val="-3"/>
        </w:rPr>
        <w:t>26</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153"/>
        <w:jc w:val="both"/>
      </w:pPr>
      <w:r>
        <w:rPr/>
        <w:t>商业管理有限公司共同出资组建开封苏宁电器有限公司，注册资本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-72.45 </w:t>
      </w:r>
      <w:r>
        <w:rPr/>
        <w:t>万元。</w:t>
      </w:r>
    </w:p>
    <w:p>
      <w:pPr>
        <w:pStyle w:val="BodyText"/>
        <w:spacing w:line="240" w:lineRule="auto" w:before="27"/>
        <w:ind w:left="619" w:right="0"/>
        <w:jc w:val="left"/>
      </w:pPr>
      <w:r>
        <w:rPr>
          <w:rFonts w:ascii="Times New Roman" w:hAnsi="Times New Roman" w:cs="Times New Roman" w:eastAsia="Times New Roman" w:hint="default"/>
          <w:spacing w:val="-3"/>
        </w:rPr>
        <w:t>27</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153"/>
        <w:jc w:val="both"/>
      </w:pPr>
      <w:r>
        <w:rPr/>
        <w:t>商业管理有限公司共同出资组建临沂苏宁电器有限公司，注册资本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77.45 </w:t>
      </w:r>
      <w:r>
        <w:rPr/>
        <w:t>万元。</w:t>
      </w:r>
    </w:p>
    <w:p>
      <w:pPr>
        <w:pStyle w:val="BodyText"/>
        <w:spacing w:line="240" w:lineRule="auto" w:before="27"/>
        <w:ind w:left="620" w:right="0"/>
        <w:jc w:val="left"/>
      </w:pPr>
      <w:r>
        <w:rPr>
          <w:rFonts w:ascii="Times New Roman" w:hAnsi="Times New Roman" w:cs="Times New Roman" w:eastAsia="Times New Roman" w:hint="default"/>
          <w:spacing w:val="-3"/>
        </w:rPr>
        <w:t>28</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right="153"/>
        <w:jc w:val="both"/>
      </w:pPr>
      <w:r>
        <w:rPr/>
        <w:t>商业管理有限公司共同出资组建汕尾市苏宁电器有限公司，注册资本</w:t>
      </w:r>
      <w:r>
        <w:rPr>
          <w:spacing w:val="-81"/>
        </w:rPr>
        <w:t> </w:t>
      </w:r>
      <w:r>
        <w:rPr>
          <w:rFonts w:ascii="Times New Roman" w:hAnsi="Times New Roman" w:cs="Times New Roman" w:eastAsia="Times New Roman" w:hint="default"/>
        </w:rPr>
        <w:t>500</w:t>
      </w:r>
      <w:r>
        <w:rPr>
          <w:rFonts w:ascii="Times New Roman" w:hAnsi="Times New Roman" w:cs="Times New Roman" w:eastAsia="Times New Roman" w:hint="default"/>
          <w:spacing w:val="-21"/>
        </w:rPr>
        <w:t> </w:t>
      </w:r>
      <w:r>
        <w:rPr>
          <w:spacing w:val="-8"/>
        </w:rPr>
        <w:t>万元，其中苏</w:t>
      </w:r>
      <w:r>
        <w:rPr/>
        <w:t> 宁电器股份有限公司出资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w:t>
      </w:r>
    </w:p>
    <w:p>
      <w:pPr>
        <w:spacing w:after="0" w:line="338" w:lineRule="auto"/>
        <w:jc w:val="both"/>
        <w:sectPr>
          <w:footerReference w:type="default" r:id="rId35"/>
          <w:pgSz w:w="11910" w:h="16840"/>
          <w:pgMar w:footer="714" w:header="748" w:top="980" w:bottom="900" w:left="1300" w:right="1280"/>
          <w:pgNumType w:start="69"/>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司出资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-24.07 </w:t>
      </w:r>
      <w:r>
        <w:rPr/>
        <w:t>万元。</w:t>
      </w:r>
    </w:p>
    <w:p>
      <w:pPr>
        <w:pStyle w:val="BodyText"/>
        <w:spacing w:line="338" w:lineRule="auto" w:before="135"/>
        <w:ind w:left="139" w:right="233" w:firstLine="480"/>
        <w:jc w:val="both"/>
      </w:pPr>
      <w:r>
        <w:rPr>
          <w:rFonts w:ascii="Times New Roman" w:hAnsi="Times New Roman" w:cs="Times New Roman" w:eastAsia="Times New Roman" w:hint="default"/>
          <w:spacing w:val="-3"/>
        </w:rPr>
        <w:t>29</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日，公司控股子公司—</w:t>
      </w:r>
      <w:r>
        <w:rPr>
          <w:rFonts w:ascii="Times New Roman" w:hAnsi="Times New Roman" w:cs="Times New Roman" w:eastAsia="Times New Roman" w:hint="default"/>
        </w:rPr>
        <w:t>Great</w:t>
      </w:r>
      <w:r>
        <w:rPr>
          <w:rFonts w:ascii="Times New Roman" w:hAnsi="Times New Roman" w:cs="Times New Roman" w:eastAsia="Times New Roman" w:hint="default"/>
          <w:spacing w:val="-4"/>
        </w:rPr>
        <w:t> </w:t>
      </w:r>
      <w:r>
        <w:rPr>
          <w:rFonts w:ascii="Times New Roman" w:hAnsi="Times New Roman" w:cs="Times New Roman" w:eastAsia="Times New Roman" w:hint="default"/>
        </w:rPr>
        <w:t>Elite</w:t>
      </w:r>
      <w:r>
        <w:rPr>
          <w:rFonts w:ascii="Times New Roman" w:hAnsi="Times New Roman" w:cs="Times New Roman" w:eastAsia="Times New Roman" w:hint="default"/>
          <w:spacing w:val="-4"/>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4"/>
        </w:rPr>
        <w:t> </w:t>
      </w:r>
      <w:r>
        <w:rPr/>
        <w:t>出资成立香港港宁广 </w:t>
      </w:r>
      <w:r>
        <w:rPr>
          <w:spacing w:val="-4"/>
        </w:rPr>
        <w:t>告有限公司，注册资本</w:t>
      </w:r>
      <w:r>
        <w:rPr>
          <w:spacing w:val="-59"/>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spacing w:val="-4"/>
        </w:rPr>
        <w:t>万港币，</w:t>
      </w:r>
      <w:r>
        <w:rPr>
          <w:rFonts w:ascii="Times New Roman" w:hAnsi="Times New Roman" w:cs="Times New Roman" w:eastAsia="Times New Roman" w:hint="default"/>
          <w:spacing w:val="-4"/>
        </w:rPr>
        <w:t>Great</w:t>
      </w:r>
      <w:r>
        <w:rPr>
          <w:rFonts w:ascii="Times New Roman" w:hAnsi="Times New Roman" w:cs="Times New Roman" w:eastAsia="Times New Roman" w:hint="default"/>
        </w:rPr>
        <w:t> Elite Limited </w:t>
      </w:r>
      <w:r>
        <w:rPr/>
        <w:t>出资</w:t>
      </w:r>
      <w:r>
        <w:rPr>
          <w:spacing w:val="-59"/>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spacing w:val="-3"/>
        </w:rPr>
        <w:t>万港币，占注册资本比例</w:t>
      </w:r>
      <w:r>
        <w:rPr/>
        <w:t> 为</w:t>
      </w:r>
      <w:r>
        <w:rPr>
          <w:spacing w:val="-60"/>
        </w:rPr>
        <w:t> </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-80.83 </w:t>
      </w:r>
      <w:r>
        <w:rPr/>
        <w:t>万元。</w:t>
      </w:r>
    </w:p>
    <w:p>
      <w:pPr>
        <w:pStyle w:val="BodyText"/>
        <w:spacing w:line="240" w:lineRule="auto" w:before="27"/>
        <w:ind w:left="619" w:right="97"/>
        <w:jc w:val="left"/>
      </w:pPr>
      <w:r>
        <w:rPr>
          <w:rFonts w:ascii="Times New Roman" w:hAnsi="Times New Roman" w:cs="Times New Roman" w:eastAsia="Times New Roman" w:hint="default"/>
          <w:spacing w:val="-3"/>
        </w:rPr>
        <w:t>30</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233"/>
        <w:jc w:val="both"/>
      </w:pPr>
      <w:r>
        <w:rPr/>
        <w:t>商业管理有限公司共同出资组建南充苏宁电器有限公司，注册资本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74.42 </w:t>
      </w:r>
      <w:r>
        <w:rPr/>
        <w:t>万元。</w:t>
      </w:r>
    </w:p>
    <w:p>
      <w:pPr>
        <w:pStyle w:val="BodyText"/>
        <w:spacing w:line="240" w:lineRule="auto" w:before="27"/>
        <w:ind w:left="619" w:right="97"/>
        <w:jc w:val="left"/>
      </w:pPr>
      <w:r>
        <w:rPr>
          <w:rFonts w:ascii="Times New Roman" w:hAnsi="Times New Roman" w:cs="Times New Roman" w:eastAsia="Times New Roman" w:hint="default"/>
          <w:spacing w:val="-3"/>
        </w:rPr>
        <w:t>31</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日，公司控股子公司—石家庄苏宁电器有限公司出资成立衡水</w:t>
      </w:r>
    </w:p>
    <w:p>
      <w:pPr>
        <w:pStyle w:val="BodyText"/>
        <w:spacing w:line="338" w:lineRule="auto" w:before="135"/>
        <w:ind w:left="139" w:right="232"/>
        <w:jc w:val="both"/>
      </w:pPr>
      <w:r>
        <w:rPr>
          <w:spacing w:val="-3"/>
        </w:rPr>
        <w:t>苏宁电器有限公司，注册资本</w:t>
      </w:r>
      <w:r>
        <w:rPr>
          <w:spacing w:val="-66"/>
        </w:rPr>
        <w:t> </w:t>
      </w:r>
      <w:r>
        <w:rPr>
          <w:rFonts w:ascii="Times New Roman" w:hAnsi="Times New Roman" w:cs="Times New Roman" w:eastAsia="Times New Roman" w:hint="default"/>
        </w:rPr>
        <w:t>500</w:t>
      </w:r>
      <w:r>
        <w:rPr>
          <w:rFonts w:ascii="Times New Roman" w:hAnsi="Times New Roman" w:cs="Times New Roman" w:eastAsia="Times New Roman" w:hint="default"/>
          <w:spacing w:val="-6"/>
        </w:rPr>
        <w:t> </w:t>
      </w:r>
      <w:r>
        <w:rPr/>
        <w:t>万元，石家庄苏宁电器有限公司出资</w:t>
      </w:r>
      <w:r>
        <w:rPr>
          <w:spacing w:val="-66"/>
        </w:rPr>
        <w:t> </w:t>
      </w:r>
      <w:r>
        <w:rPr>
          <w:rFonts w:ascii="Times New Roman" w:hAnsi="Times New Roman" w:cs="Times New Roman" w:eastAsia="Times New Roman" w:hint="default"/>
        </w:rPr>
        <w:t>500</w:t>
      </w:r>
      <w:r>
        <w:rPr>
          <w:rFonts w:ascii="Times New Roman" w:hAnsi="Times New Roman" w:cs="Times New Roman" w:eastAsia="Times New Roman" w:hint="default"/>
          <w:spacing w:val="-6"/>
        </w:rPr>
        <w:t> </w:t>
      </w:r>
      <w:r>
        <w:rPr>
          <w:spacing w:val="-6"/>
        </w:rPr>
        <w:t>万元，占注</w:t>
      </w:r>
      <w:r>
        <w:rPr/>
        <w:t> 册资本比例为</w:t>
      </w:r>
      <w:r>
        <w:rPr>
          <w:spacing w:val="-60"/>
        </w:rPr>
        <w:t> </w:t>
      </w:r>
      <w:r>
        <w:rPr>
          <w:rFonts w:ascii="Times New Roman" w:hAnsi="Times New Roman" w:cs="Times New Roman" w:eastAsia="Times New Roman" w:hint="default"/>
        </w:rPr>
        <w:t>100%</w:t>
      </w:r>
      <w:r>
        <w:rPr/>
        <w:t>。该公司本报告期实现净利润</w:t>
      </w:r>
      <w:r>
        <w:rPr>
          <w:rFonts w:ascii="Times New Roman" w:hAnsi="Times New Roman" w:cs="Times New Roman" w:eastAsia="Times New Roman" w:hint="default"/>
        </w:rPr>
        <w:t>-4.60 </w:t>
      </w:r>
      <w:r>
        <w:rPr/>
        <w:t>万元。</w:t>
      </w:r>
    </w:p>
    <w:p>
      <w:pPr>
        <w:pStyle w:val="BodyText"/>
        <w:spacing w:line="240" w:lineRule="auto" w:before="27"/>
        <w:ind w:left="619" w:right="217"/>
        <w:jc w:val="left"/>
      </w:pPr>
      <w:r>
        <w:rPr>
          <w:rFonts w:ascii="Times New Roman" w:hAnsi="Times New Roman" w:cs="Times New Roman" w:eastAsia="Times New Roman" w:hint="default"/>
        </w:rPr>
        <w:t>32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72"/>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72"/>
        </w:rPr>
        <w:t> </w:t>
      </w:r>
      <w:r>
        <w:rPr>
          <w:rFonts w:ascii="Times New Roman" w:hAnsi="Times New Roman" w:cs="Times New Roman" w:eastAsia="Times New Roman" w:hint="default"/>
        </w:rPr>
        <w:t>14</w:t>
      </w:r>
      <w:r>
        <w:rPr>
          <w:rFonts w:ascii="Times New Roman" w:hAnsi="Times New Roman" w:cs="Times New Roman" w:eastAsia="Times New Roman" w:hint="default"/>
          <w:spacing w:val="-12"/>
        </w:rPr>
        <w:t> </w:t>
      </w:r>
      <w:r>
        <w:rPr/>
        <w:t>日，苏宁电器股份有限公司出资成立苏宁（天津）电器采购有</w:t>
      </w:r>
    </w:p>
    <w:p>
      <w:pPr>
        <w:pStyle w:val="BodyText"/>
        <w:spacing w:line="240" w:lineRule="auto" w:before="135"/>
        <w:ind w:left="139" w:right="0"/>
        <w:jc w:val="both"/>
      </w:pPr>
      <w:r>
        <w:rPr/>
        <w:t>限公司</w:t>
      </w:r>
      <w:r>
        <w:rPr>
          <w:spacing w:val="-117"/>
        </w:rPr>
        <w:t>，</w:t>
      </w:r>
      <w:r>
        <w:rPr>
          <w:spacing w:val="-1"/>
        </w:rPr>
        <w:t>注册资</w:t>
      </w:r>
      <w:r>
        <w:rPr/>
        <w:t>本</w:t>
      </w:r>
      <w:r>
        <w:rPr>
          <w:spacing w:val="-61"/>
        </w:rPr>
        <w:t> </w:t>
      </w:r>
      <w:r>
        <w:rPr>
          <w:rFonts w:ascii="Times New Roman" w:hAnsi="Times New Roman" w:cs="Times New Roman" w:eastAsia="Times New Roman" w:hint="default"/>
        </w:rPr>
        <w:t>1 </w:t>
      </w:r>
      <w:r>
        <w:rPr/>
        <w:t>亿元</w:t>
      </w:r>
      <w:r>
        <w:rPr>
          <w:spacing w:val="-117"/>
        </w:rPr>
        <w:t>，</w:t>
      </w:r>
      <w:r>
        <w:rPr>
          <w:spacing w:val="-1"/>
        </w:rPr>
        <w:t>苏宁电器股份有限公司出</w:t>
      </w:r>
      <w:r>
        <w:rPr/>
        <w:t>资</w:t>
      </w:r>
      <w:r>
        <w:rPr>
          <w:spacing w:val="-61"/>
        </w:rPr>
        <w:t> </w:t>
      </w:r>
      <w:r>
        <w:rPr>
          <w:rFonts w:ascii="Times New Roman" w:hAnsi="Times New Roman" w:cs="Times New Roman" w:eastAsia="Times New Roman" w:hint="default"/>
        </w:rPr>
        <w:t>1 </w:t>
      </w:r>
      <w:r>
        <w:rPr/>
        <w:t>亿元</w:t>
      </w:r>
      <w:r>
        <w:rPr>
          <w:spacing w:val="-117"/>
        </w:rPr>
        <w:t>，</w:t>
      </w:r>
      <w:r>
        <w:rPr>
          <w:spacing w:val="-1"/>
        </w:rPr>
        <w:t>占注册资本比例</w:t>
      </w:r>
      <w:r>
        <w:rPr/>
        <w:t>为</w:t>
      </w:r>
      <w:r>
        <w:rPr>
          <w:spacing w:val="-61"/>
        </w:rPr>
        <w:t> </w:t>
      </w:r>
      <w:r>
        <w:rPr>
          <w:rFonts w:ascii="Times New Roman" w:hAnsi="Times New Roman" w:cs="Times New Roman" w:eastAsia="Times New Roman" w:hint="default"/>
        </w:rPr>
        <w:t>100%</w:t>
      </w:r>
      <w:r>
        <w:rPr/>
        <w:t>。</w:t>
      </w:r>
    </w:p>
    <w:p>
      <w:pPr>
        <w:pStyle w:val="BodyText"/>
        <w:spacing w:line="240" w:lineRule="auto" w:before="135"/>
        <w:ind w:left="139" w:right="0"/>
        <w:jc w:val="both"/>
      </w:pPr>
      <w:r>
        <w:rPr/>
        <w:t>该公司本报告期实现净利润</w:t>
      </w:r>
      <w:r>
        <w:rPr>
          <w:spacing w:val="-60"/>
        </w:rPr>
        <w:t> </w:t>
      </w:r>
      <w:r>
        <w:rPr>
          <w:rFonts w:ascii="Times New Roman" w:hAnsi="Times New Roman" w:cs="Times New Roman" w:eastAsia="Times New Roman" w:hint="default"/>
        </w:rPr>
        <w:t>39.16 </w:t>
      </w:r>
      <w:r>
        <w:rPr/>
        <w:t>万元。</w:t>
      </w:r>
    </w:p>
    <w:p>
      <w:pPr>
        <w:pStyle w:val="BodyText"/>
        <w:spacing w:line="240" w:lineRule="auto" w:before="135"/>
        <w:ind w:left="619" w:right="97"/>
        <w:jc w:val="left"/>
      </w:pPr>
      <w:r>
        <w:rPr>
          <w:rFonts w:ascii="Times New Roman" w:hAnsi="Times New Roman" w:cs="Times New Roman" w:eastAsia="Times New Roman" w:hint="default"/>
          <w:spacing w:val="-3"/>
        </w:rPr>
        <w:t>33</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日，苏宁电器股份有限公司和公司控股子公司—湖州苏宁电器</w:t>
      </w:r>
    </w:p>
    <w:p>
      <w:pPr>
        <w:pStyle w:val="BodyText"/>
        <w:spacing w:line="240" w:lineRule="auto" w:before="135"/>
        <w:ind w:right="0"/>
        <w:jc w:val="both"/>
      </w:pPr>
      <w:r>
        <w:rPr/>
        <w:t>有限公司共同出资组建湖州苕溪苏宁电器有限公司，注册资本</w:t>
      </w:r>
      <w:r>
        <w:rPr>
          <w:spacing w:val="-60"/>
        </w:rPr>
        <w:t> </w:t>
      </w:r>
      <w:r>
        <w:rPr>
          <w:rFonts w:ascii="Times New Roman" w:hAnsi="Times New Roman" w:cs="Times New Roman" w:eastAsia="Times New Roman" w:hint="default"/>
        </w:rPr>
        <w:t>2000 </w:t>
      </w:r>
      <w:r>
        <w:rPr/>
        <w:t>万元，其中湖州苏</w:t>
      </w:r>
    </w:p>
    <w:p>
      <w:pPr>
        <w:pStyle w:val="BodyText"/>
        <w:spacing w:line="240" w:lineRule="auto" w:before="135"/>
        <w:ind w:right="0"/>
        <w:jc w:val="both"/>
        <w:rPr>
          <w:rFonts w:ascii="Times New Roman" w:hAnsi="Times New Roman" w:cs="Times New Roman" w:eastAsia="Times New Roman" w:hint="default"/>
        </w:rPr>
      </w:pPr>
      <w:r>
        <w:rPr/>
        <w:t>宁电器有限公司出资</w:t>
      </w:r>
      <w:r>
        <w:rPr>
          <w:spacing w:val="-60"/>
        </w:rPr>
        <w:t> </w:t>
      </w:r>
      <w:r>
        <w:rPr>
          <w:rFonts w:ascii="Times New Roman" w:hAnsi="Times New Roman" w:cs="Times New Roman" w:eastAsia="Times New Roman" w:hint="default"/>
        </w:rPr>
        <w:t>1800 </w:t>
      </w:r>
      <w:r>
        <w:rPr/>
        <w:t>万元，占注册资本的</w:t>
      </w:r>
      <w:r>
        <w:rPr>
          <w:spacing w:val="-60"/>
        </w:rPr>
        <w:t> </w:t>
      </w:r>
      <w:r>
        <w:rPr>
          <w:rFonts w:ascii="Times New Roman" w:hAnsi="Times New Roman" w:cs="Times New Roman" w:eastAsia="Times New Roman" w:hint="default"/>
        </w:rPr>
        <w:t>90%</w:t>
      </w:r>
      <w:r>
        <w:rPr/>
        <w:t>，苏宁电器股份有限公司出资</w:t>
      </w:r>
      <w:r>
        <w:rPr>
          <w:spacing w:val="-60"/>
        </w:rPr>
        <w:t> </w:t>
      </w:r>
      <w:r>
        <w:rPr>
          <w:rFonts w:ascii="Times New Roman" w:hAnsi="Times New Roman" w:cs="Times New Roman" w:eastAsia="Times New Roman" w:hint="default"/>
        </w:rPr>
        <w:t>200</w:t>
      </w:r>
    </w:p>
    <w:p>
      <w:pPr>
        <w:pStyle w:val="BodyText"/>
        <w:spacing w:line="240" w:lineRule="auto" w:before="135"/>
        <w:ind w:right="0"/>
        <w:jc w:val="both"/>
      </w:pPr>
      <w:r>
        <w:rPr/>
        <w:t>万元，占注册资本的</w:t>
      </w:r>
      <w:r>
        <w:rPr>
          <w:spacing w:val="-60"/>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-135.06 </w:t>
      </w:r>
      <w:r>
        <w:rPr/>
        <w:t>万元。</w:t>
      </w:r>
    </w:p>
    <w:p>
      <w:pPr>
        <w:pStyle w:val="BodyText"/>
        <w:spacing w:line="240" w:lineRule="auto" w:before="135"/>
        <w:ind w:left="619" w:right="97"/>
        <w:jc w:val="left"/>
      </w:pPr>
      <w:r>
        <w:rPr>
          <w:rFonts w:ascii="Times New Roman" w:hAnsi="Times New Roman" w:cs="Times New Roman" w:eastAsia="Times New Roman" w:hint="default"/>
          <w:spacing w:val="-3"/>
        </w:rPr>
        <w:t>34</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233"/>
        <w:jc w:val="both"/>
      </w:pPr>
      <w:r>
        <w:rPr/>
        <w:t>商业管理有限公司共同出资组建自贡苏宁电器有限公司，注册资本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220.52 </w:t>
      </w:r>
      <w:r>
        <w:rPr/>
        <w:t>万元。</w:t>
      </w:r>
    </w:p>
    <w:p>
      <w:pPr>
        <w:pStyle w:val="BodyText"/>
        <w:spacing w:line="240" w:lineRule="auto" w:before="27"/>
        <w:ind w:left="620" w:right="217"/>
        <w:jc w:val="left"/>
      </w:pPr>
      <w:r>
        <w:rPr>
          <w:rFonts w:ascii="Times New Roman" w:hAnsi="Times New Roman" w:cs="Times New Roman" w:eastAsia="Times New Roman" w:hint="default"/>
        </w:rPr>
        <w:t>35</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72"/>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72"/>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日，苏宁电器股份有限公司和先锋电子（中国）投资有限公司</w:t>
      </w:r>
    </w:p>
    <w:p>
      <w:pPr>
        <w:pStyle w:val="BodyText"/>
        <w:spacing w:line="240" w:lineRule="auto" w:before="135"/>
        <w:ind w:left="139" w:right="0"/>
        <w:jc w:val="both"/>
      </w:pPr>
      <w:r>
        <w:rPr/>
        <w:t>共同出资组建湖南苏宁先锋电子有限公司，注册资本</w:t>
      </w:r>
      <w:r>
        <w:rPr>
          <w:spacing w:val="-60"/>
        </w:rPr>
        <w:t> </w:t>
      </w:r>
      <w:r>
        <w:rPr>
          <w:rFonts w:ascii="Times New Roman" w:hAnsi="Times New Roman" w:cs="Times New Roman" w:eastAsia="Times New Roman" w:hint="default"/>
        </w:rPr>
        <w:t>3000 </w:t>
      </w:r>
      <w:r>
        <w:rPr/>
        <w:t>万元，其中苏宁电器股份有</w:t>
      </w:r>
    </w:p>
    <w:p>
      <w:pPr>
        <w:pStyle w:val="BodyText"/>
        <w:spacing w:line="240" w:lineRule="auto" w:before="135"/>
        <w:ind w:right="0"/>
        <w:jc w:val="both"/>
        <w:rPr>
          <w:rFonts w:ascii="Times New Roman" w:hAnsi="Times New Roman" w:cs="Times New Roman" w:eastAsia="Times New Roman" w:hint="default"/>
        </w:rPr>
      </w:pPr>
      <w:r>
        <w:rPr/>
        <w:t>限公司出资</w:t>
      </w:r>
      <w:r>
        <w:rPr>
          <w:spacing w:val="-60"/>
        </w:rPr>
        <w:t> </w:t>
      </w:r>
      <w:r>
        <w:rPr>
          <w:rFonts w:ascii="Times New Roman" w:hAnsi="Times New Roman" w:cs="Times New Roman" w:eastAsia="Times New Roman" w:hint="default"/>
        </w:rPr>
        <w:t>2700 </w:t>
      </w:r>
      <w:r>
        <w:rPr/>
        <w:t>万元，占注册资本的</w:t>
      </w:r>
      <w:r>
        <w:rPr>
          <w:spacing w:val="-60"/>
        </w:rPr>
        <w:t> </w:t>
      </w:r>
      <w:r>
        <w:rPr>
          <w:rFonts w:ascii="Times New Roman" w:hAnsi="Times New Roman" w:cs="Times New Roman" w:eastAsia="Times New Roman" w:hint="default"/>
        </w:rPr>
        <w:t>90%</w:t>
      </w:r>
      <w:r>
        <w:rPr/>
        <w:t>，先锋电子（中国）投资有限公司出资</w:t>
      </w:r>
      <w:r>
        <w:rPr>
          <w:spacing w:val="-60"/>
        </w:rPr>
        <w:t> </w:t>
      </w:r>
      <w:r>
        <w:rPr>
          <w:rFonts w:ascii="Times New Roman" w:hAnsi="Times New Roman" w:cs="Times New Roman" w:eastAsia="Times New Roman" w:hint="default"/>
        </w:rPr>
        <w:t>300</w:t>
      </w:r>
    </w:p>
    <w:p>
      <w:pPr>
        <w:pStyle w:val="BodyText"/>
        <w:spacing w:line="240" w:lineRule="auto" w:before="135"/>
        <w:ind w:right="0"/>
        <w:jc w:val="both"/>
      </w:pP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1,533.92 </w:t>
      </w:r>
      <w:r>
        <w:rPr/>
        <w:t>万元。</w:t>
      </w:r>
    </w:p>
    <w:p>
      <w:pPr>
        <w:pStyle w:val="BodyText"/>
        <w:spacing w:line="240" w:lineRule="auto" w:before="135"/>
        <w:ind w:left="620" w:right="217"/>
        <w:jc w:val="left"/>
      </w:pPr>
      <w:r>
        <w:rPr>
          <w:rFonts w:ascii="Times New Roman" w:hAnsi="Times New Roman" w:cs="Times New Roman" w:eastAsia="Times New Roman" w:hint="default"/>
        </w:rPr>
        <w:t>36</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 </w:t>
      </w:r>
      <w:r>
        <w:rPr/>
        <w:t>日，苏宁电器股份有限公司和公司控股子公司—江苏苏宁地铁</w:t>
      </w:r>
    </w:p>
    <w:p>
      <w:pPr>
        <w:pStyle w:val="BodyText"/>
        <w:spacing w:line="338" w:lineRule="auto" w:before="135"/>
        <w:ind w:right="233"/>
        <w:jc w:val="both"/>
      </w:pPr>
      <w:r>
        <w:rPr/>
        <w:t>商业管理有限公司共同出资组建吉安苏宁电器有限公司，注册资本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27.69 </w:t>
      </w:r>
      <w:r>
        <w:rPr/>
        <w:t>万元。</w:t>
      </w:r>
    </w:p>
    <w:p>
      <w:pPr>
        <w:spacing w:after="0" w:line="338" w:lineRule="auto"/>
        <w:jc w:val="both"/>
        <w:sectPr>
          <w:footerReference w:type="default" r:id="rId36"/>
          <w:pgSz w:w="11910" w:h="16840"/>
          <w:pgMar w:footer="1125" w:header="748" w:top="980" w:bottom="1320" w:left="1300" w:right="1200"/>
          <w:pgNumType w:start="70"/>
        </w:sectPr>
      </w:pPr>
    </w:p>
    <w:p>
      <w:pPr>
        <w:spacing w:line="240" w:lineRule="auto" w:before="7"/>
        <w:rPr>
          <w:rFonts w:ascii="宋体" w:hAnsi="宋体" w:cs="宋体" w:eastAsia="宋体" w:hint="default"/>
          <w:sz w:val="29"/>
          <w:szCs w:val="29"/>
        </w:rPr>
      </w:pPr>
    </w:p>
    <w:p>
      <w:pPr>
        <w:pStyle w:val="BodyText"/>
        <w:spacing w:line="338" w:lineRule="auto" w:before="26"/>
        <w:ind w:right="213"/>
        <w:jc w:val="both"/>
      </w:pPr>
      <w:r>
        <w:rPr/>
        <w:t>商业管理有限公司共同出资组建菏泽苏宁电器有限公司，注册资本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26.92 </w:t>
      </w:r>
      <w:r>
        <w:rPr/>
        <w:t>万元。</w:t>
      </w:r>
    </w:p>
    <w:p>
      <w:pPr>
        <w:pStyle w:val="BodyText"/>
        <w:spacing w:line="240" w:lineRule="auto" w:before="27"/>
        <w:ind w:left="620" w:right="0"/>
        <w:jc w:val="left"/>
      </w:pPr>
      <w:r>
        <w:rPr>
          <w:rFonts w:ascii="Times New Roman" w:hAnsi="Times New Roman" w:cs="Times New Roman" w:eastAsia="Times New Roman" w:hint="default"/>
        </w:rPr>
        <w:t>38</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4 </w:t>
      </w:r>
      <w:r>
        <w:rPr/>
        <w:t>日，苏宁电器股份有限公司和公司控股子公司—江苏苏宁地铁</w:t>
      </w:r>
    </w:p>
    <w:p>
      <w:pPr>
        <w:pStyle w:val="BodyText"/>
        <w:spacing w:line="338" w:lineRule="auto" w:before="135"/>
        <w:ind w:right="103"/>
        <w:jc w:val="both"/>
      </w:pPr>
      <w:r>
        <w:rPr/>
        <w:t>商业管理有限公司共同出资组建南京白下苏宁电器有限公司，注册资本</w:t>
      </w:r>
      <w:r>
        <w:rPr>
          <w:spacing w:val="-60"/>
        </w:rPr>
        <w:t> </w:t>
      </w:r>
      <w:r>
        <w:rPr>
          <w:rFonts w:ascii="Times New Roman" w:hAnsi="Times New Roman" w:cs="Times New Roman" w:eastAsia="Times New Roman" w:hint="default"/>
        </w:rPr>
        <w:t>1000 </w:t>
      </w:r>
      <w:r>
        <w:rPr/>
        <w:t>万元，其 中苏宁电器股份有限公司出资</w:t>
      </w:r>
      <w:r>
        <w:rPr>
          <w:spacing w:val="-58"/>
        </w:rPr>
        <w:t> </w:t>
      </w:r>
      <w:r>
        <w:rPr>
          <w:rFonts w:ascii="Times New Roman" w:hAnsi="Times New Roman" w:cs="Times New Roman" w:eastAsia="Times New Roman" w:hint="default"/>
        </w:rPr>
        <w:t>900</w:t>
      </w:r>
      <w:r>
        <w:rPr>
          <w:rFonts w:ascii="Times New Roman" w:hAnsi="Times New Roman" w:cs="Times New Roman" w:eastAsia="Times New Roman" w:hint="default"/>
          <w:spacing w:val="2"/>
        </w:rPr>
        <w:t> </w:t>
      </w:r>
      <w:r>
        <w:rPr>
          <w:spacing w:val="-7"/>
        </w:rPr>
        <w:t>万元，占注册资本的</w:t>
      </w:r>
      <w:r>
        <w:rPr>
          <w:spacing w:val="-58"/>
        </w:rPr>
        <w:t> </w:t>
      </w:r>
      <w:r>
        <w:rPr>
          <w:rFonts w:ascii="Times New Roman" w:hAnsi="Times New Roman" w:cs="Times New Roman" w:eastAsia="Times New Roman" w:hint="default"/>
          <w:spacing w:val="-5"/>
        </w:rPr>
        <w:t>90%</w:t>
      </w:r>
      <w:r>
        <w:rPr>
          <w:spacing w:val="-5"/>
        </w:rPr>
        <w:t>，江苏苏宁地铁商业管理有</w:t>
      </w:r>
      <w:r>
        <w:rPr>
          <w:spacing w:val="-114"/>
        </w:rPr>
        <w:t> </w:t>
      </w:r>
      <w:r>
        <w:rPr>
          <w:spacing w:val="-114"/>
        </w:rPr>
      </w:r>
      <w:r>
        <w:rPr/>
        <w:t>限公司出资</w:t>
      </w:r>
      <w:r>
        <w:rPr>
          <w:spacing w:val="-60"/>
        </w:rPr>
        <w:t> </w:t>
      </w:r>
      <w:r>
        <w:rPr>
          <w:rFonts w:ascii="Times New Roman" w:hAnsi="Times New Roman" w:cs="Times New Roman" w:eastAsia="Times New Roman" w:hint="default"/>
        </w:rPr>
        <w:t>100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1,107.05 </w:t>
      </w:r>
      <w:r>
        <w:rPr/>
        <w:t>万元。</w:t>
      </w:r>
    </w:p>
    <w:p>
      <w:pPr>
        <w:pStyle w:val="BodyText"/>
        <w:spacing w:line="240" w:lineRule="auto" w:before="27"/>
        <w:ind w:left="620" w:right="0"/>
        <w:jc w:val="left"/>
      </w:pPr>
      <w:r>
        <w:rPr>
          <w:rFonts w:ascii="Times New Roman" w:hAnsi="Times New Roman" w:cs="Times New Roman" w:eastAsia="Times New Roman" w:hint="default"/>
        </w:rPr>
        <w:t>39</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7 </w:t>
      </w:r>
      <w:r>
        <w:rPr/>
        <w:t>日，公司控股子公司—沈阳苏宁电器有限公司出资成立辽阳苏</w:t>
      </w:r>
    </w:p>
    <w:p>
      <w:pPr>
        <w:pStyle w:val="BodyText"/>
        <w:spacing w:line="338" w:lineRule="auto" w:before="135"/>
        <w:ind w:right="212"/>
        <w:jc w:val="both"/>
      </w:pPr>
      <w:r>
        <w:rPr>
          <w:spacing w:val="-3"/>
        </w:rPr>
        <w:t>宁电器有限公司，注册资本</w:t>
      </w:r>
      <w:r>
        <w:rPr>
          <w:spacing w:val="-65"/>
        </w:rPr>
        <w:t> </w:t>
      </w:r>
      <w:r>
        <w:rPr>
          <w:rFonts w:ascii="Times New Roman" w:hAnsi="Times New Roman" w:cs="Times New Roman" w:eastAsia="Times New Roman" w:hint="default"/>
        </w:rPr>
        <w:t>500</w:t>
      </w:r>
      <w:r>
        <w:rPr>
          <w:rFonts w:ascii="Times New Roman" w:hAnsi="Times New Roman" w:cs="Times New Roman" w:eastAsia="Times New Roman" w:hint="default"/>
          <w:spacing w:val="-5"/>
        </w:rPr>
        <w:t> </w:t>
      </w:r>
      <w:r>
        <w:rPr/>
        <w:t>万元，沈阳苏宁电器有限公司出资</w:t>
      </w:r>
      <w:r>
        <w:rPr>
          <w:spacing w:val="-65"/>
        </w:rPr>
        <w:t> </w:t>
      </w:r>
      <w:r>
        <w:rPr>
          <w:rFonts w:ascii="Times New Roman" w:hAnsi="Times New Roman" w:cs="Times New Roman" w:eastAsia="Times New Roman" w:hint="default"/>
        </w:rPr>
        <w:t>500</w:t>
      </w:r>
      <w:r>
        <w:rPr>
          <w:rFonts w:ascii="Times New Roman" w:hAnsi="Times New Roman" w:cs="Times New Roman" w:eastAsia="Times New Roman" w:hint="default"/>
          <w:spacing w:val="-5"/>
        </w:rPr>
        <w:t> </w:t>
      </w:r>
      <w:r>
        <w:rPr>
          <w:spacing w:val="-5"/>
        </w:rPr>
        <w:t>万元，占注册资</w:t>
      </w:r>
      <w:r>
        <w:rPr/>
        <w:t> 本比例为</w:t>
      </w:r>
      <w:r>
        <w:rPr>
          <w:spacing w:val="-60"/>
        </w:rPr>
        <w:t> </w:t>
      </w:r>
      <w:r>
        <w:rPr>
          <w:rFonts w:ascii="Times New Roman" w:hAnsi="Times New Roman" w:cs="Times New Roman" w:eastAsia="Times New Roman" w:hint="default"/>
        </w:rPr>
        <w:t>100%</w:t>
      </w:r>
      <w:r>
        <w:rPr/>
        <w:t>。该公司本报告期实现净利润</w:t>
      </w:r>
      <w:r>
        <w:rPr>
          <w:spacing w:val="-60"/>
        </w:rPr>
        <w:t> </w:t>
      </w:r>
      <w:r>
        <w:rPr>
          <w:rFonts w:ascii="Times New Roman" w:hAnsi="Times New Roman" w:cs="Times New Roman" w:eastAsia="Times New Roman" w:hint="default"/>
        </w:rPr>
        <w:t>178.56 </w:t>
      </w:r>
      <w:r>
        <w:rPr/>
        <w:t>万元。</w:t>
      </w:r>
    </w:p>
    <w:p>
      <w:pPr>
        <w:pStyle w:val="BodyText"/>
        <w:spacing w:line="240" w:lineRule="auto" w:before="27"/>
        <w:ind w:left="620" w:right="0"/>
        <w:jc w:val="left"/>
      </w:pPr>
      <w:r>
        <w:rPr>
          <w:rFonts w:ascii="Times New Roman" w:hAnsi="Times New Roman" w:cs="Times New Roman" w:eastAsia="Times New Roman" w:hint="default"/>
        </w:rPr>
        <w:t>40</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8 </w:t>
      </w:r>
      <w:r>
        <w:rPr/>
        <w:t>日，苏宁电器股份有限公司和公司控股子公司—江苏苏宁地铁</w:t>
      </w:r>
    </w:p>
    <w:p>
      <w:pPr>
        <w:pStyle w:val="BodyText"/>
        <w:spacing w:line="338" w:lineRule="auto" w:before="135"/>
        <w:ind w:right="213"/>
        <w:jc w:val="both"/>
      </w:pPr>
      <w:r>
        <w:rPr/>
        <w:t>商业管理有限公司共同出资组建丽水苏宁电器有限公司，注册资本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6.92 </w:t>
      </w:r>
      <w:r>
        <w:rPr/>
        <w:t>万元。</w:t>
      </w:r>
    </w:p>
    <w:p>
      <w:pPr>
        <w:pStyle w:val="BodyText"/>
        <w:spacing w:line="240" w:lineRule="auto" w:before="27"/>
        <w:ind w:left="620" w:right="0"/>
        <w:jc w:val="left"/>
      </w:pPr>
      <w:r>
        <w:rPr>
          <w:rFonts w:ascii="Times New Roman" w:hAnsi="Times New Roman" w:cs="Times New Roman" w:eastAsia="Times New Roman" w:hint="default"/>
          <w:spacing w:val="-3"/>
        </w:rPr>
        <w:t>41</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212"/>
        <w:jc w:val="both"/>
      </w:pPr>
      <w:r>
        <w:rPr/>
        <w:t>商业管理有限公司共同出资组建新乡豫宁苏宁电器有限公司，注册资本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10"/>
        </w:rPr>
        <w:t>万元，其中</w:t>
      </w:r>
      <w:r>
        <w:rPr/>
        <w:t> 苏宁电器股份有限公司出资</w:t>
      </w:r>
      <w:r>
        <w:rPr>
          <w:spacing w:val="-56"/>
        </w:rPr>
        <w:t> </w:t>
      </w:r>
      <w:r>
        <w:rPr>
          <w:rFonts w:ascii="Times New Roman" w:hAnsi="Times New Roman" w:cs="Times New Roman" w:eastAsia="Times New Roman" w:hint="default"/>
        </w:rPr>
        <w:t>450</w:t>
      </w:r>
      <w:r>
        <w:rPr>
          <w:rFonts w:ascii="Times New Roman" w:hAnsi="Times New Roman" w:cs="Times New Roman" w:eastAsia="Times New Roman" w:hint="default"/>
          <w:spacing w:val="4"/>
        </w:rPr>
        <w:t> </w:t>
      </w:r>
      <w:r>
        <w:rPr>
          <w:spacing w:val="-7"/>
        </w:rPr>
        <w:t>万元，占注册资本的</w:t>
      </w:r>
      <w:r>
        <w:rPr>
          <w:spacing w:val="-56"/>
        </w:rPr>
        <w:t> </w:t>
      </w:r>
      <w:r>
        <w:rPr>
          <w:rFonts w:ascii="Times New Roman" w:hAnsi="Times New Roman" w:cs="Times New Roman" w:eastAsia="Times New Roman" w:hint="default"/>
          <w:spacing w:val="-4"/>
        </w:rPr>
        <w:t>90%</w:t>
      </w:r>
      <w:r>
        <w:rPr>
          <w:spacing w:val="-4"/>
        </w:rPr>
        <w:t>，江苏苏宁地铁商业管理有限</w:t>
      </w:r>
      <w:r>
        <w:rPr/>
        <w:t> 公司出资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-21.51 </w:t>
      </w:r>
      <w:r>
        <w:rPr/>
        <w:t>万元。</w:t>
      </w:r>
    </w:p>
    <w:p>
      <w:pPr>
        <w:pStyle w:val="BodyText"/>
        <w:spacing w:line="240" w:lineRule="auto" w:before="27"/>
        <w:ind w:left="619" w:right="0"/>
        <w:jc w:val="left"/>
      </w:pPr>
      <w:r>
        <w:rPr>
          <w:rFonts w:ascii="Times New Roman" w:hAnsi="Times New Roman" w:cs="Times New Roman" w:eastAsia="Times New Roman" w:hint="default"/>
          <w:spacing w:val="-3"/>
        </w:rPr>
        <w:t>42</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213"/>
        <w:jc w:val="both"/>
      </w:pPr>
      <w:r>
        <w:rPr/>
        <w:t>商业管理有限公司共同出资组建汉中苏宁电器有限公司，注册资本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21.99 </w:t>
      </w:r>
      <w:r>
        <w:rPr/>
        <w:t>万元。</w:t>
      </w:r>
    </w:p>
    <w:p>
      <w:pPr>
        <w:pStyle w:val="BodyText"/>
        <w:spacing w:line="240" w:lineRule="auto" w:before="27"/>
        <w:ind w:left="620" w:right="0"/>
        <w:jc w:val="left"/>
      </w:pPr>
      <w:r>
        <w:rPr>
          <w:rFonts w:ascii="Times New Roman" w:hAnsi="Times New Roman" w:cs="Times New Roman" w:eastAsia="Times New Roman" w:hint="default"/>
          <w:spacing w:val="-3"/>
        </w:rPr>
        <w:t>43</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right="213"/>
        <w:jc w:val="both"/>
      </w:pPr>
      <w:r>
        <w:rPr/>
        <w:t>商业管理有限公司共同出资组建资阳苏宁电器有限公司，注册资本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19.90 </w:t>
      </w:r>
      <w:r>
        <w:rPr/>
        <w:t>万元。</w:t>
      </w:r>
    </w:p>
    <w:p>
      <w:pPr>
        <w:pStyle w:val="BodyText"/>
        <w:spacing w:line="240" w:lineRule="auto" w:before="27"/>
        <w:ind w:left="620" w:right="0"/>
        <w:jc w:val="left"/>
      </w:pPr>
      <w:r>
        <w:rPr>
          <w:rFonts w:ascii="Times New Roman" w:hAnsi="Times New Roman" w:cs="Times New Roman" w:eastAsia="Times New Roman" w:hint="default"/>
        </w:rPr>
        <w:t>44</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 </w:t>
      </w:r>
      <w:r>
        <w:rPr/>
        <w:t>日，苏宁电器股份有限公司和公司控股子公司—江苏苏宁地铁</w:t>
      </w:r>
    </w:p>
    <w:p>
      <w:pPr>
        <w:pStyle w:val="BodyText"/>
        <w:spacing w:line="338" w:lineRule="auto" w:before="135"/>
        <w:ind w:right="223"/>
        <w:jc w:val="both"/>
      </w:pPr>
      <w:r>
        <w:rPr/>
        <w:t>商业管理有限公司共同出资组建徐州苏宁电器采购有限公司，注册资本</w:t>
      </w:r>
      <w:r>
        <w:rPr>
          <w:spacing w:val="-60"/>
        </w:rPr>
        <w:t> </w:t>
      </w:r>
      <w:r>
        <w:rPr>
          <w:rFonts w:ascii="Times New Roman" w:hAnsi="Times New Roman" w:cs="Times New Roman" w:eastAsia="Times New Roman" w:hint="default"/>
        </w:rPr>
        <w:t>2000 </w:t>
      </w:r>
      <w:r>
        <w:rPr/>
        <w:t>万元，其 中苏宁电器股份有限公司出资</w:t>
      </w:r>
      <w:r>
        <w:rPr>
          <w:spacing w:val="-60"/>
        </w:rPr>
        <w:t> </w:t>
      </w:r>
      <w:r>
        <w:rPr>
          <w:rFonts w:ascii="Times New Roman" w:hAnsi="Times New Roman" w:cs="Times New Roman" w:eastAsia="Times New Roman" w:hint="default"/>
        </w:rPr>
        <w:t>1800 </w:t>
      </w:r>
      <w:r>
        <w:rPr/>
        <w:t>万元，占注册资本的</w:t>
      </w:r>
      <w:r>
        <w:rPr>
          <w:spacing w:val="-60"/>
        </w:rPr>
        <w:t> </w:t>
      </w:r>
      <w:r>
        <w:rPr>
          <w:rFonts w:ascii="Times New Roman" w:hAnsi="Times New Roman" w:cs="Times New Roman" w:eastAsia="Times New Roman" w:hint="default"/>
        </w:rPr>
        <w:t>90%</w:t>
      </w:r>
      <w:r>
        <w:rPr/>
        <w:t>，江苏苏宁地铁商业管理 有限公司出资</w:t>
      </w:r>
      <w:r>
        <w:rPr>
          <w:spacing w:val="-60"/>
        </w:rPr>
        <w:t> </w:t>
      </w:r>
      <w:r>
        <w:rPr>
          <w:rFonts w:ascii="Times New Roman" w:hAnsi="Times New Roman" w:cs="Times New Roman" w:eastAsia="Times New Roman" w:hint="default"/>
        </w:rPr>
        <w:t>200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1.60 </w:t>
      </w:r>
      <w:r>
        <w:rPr/>
        <w:t>万元。</w:t>
      </w:r>
    </w:p>
    <w:p>
      <w:pPr>
        <w:spacing w:after="0" w:line="338" w:lineRule="auto"/>
        <w:jc w:val="both"/>
        <w:sectPr>
          <w:footerReference w:type="default" r:id="rId37"/>
          <w:pgSz w:w="11910" w:h="16840"/>
          <w:pgMar w:footer="1125" w:header="748" w:top="980" w:bottom="1320" w:left="1300" w:right="1220"/>
        </w:sectPr>
      </w:pPr>
    </w:p>
    <w:p>
      <w:pPr>
        <w:spacing w:line="240" w:lineRule="auto" w:before="7"/>
        <w:rPr>
          <w:rFonts w:ascii="宋体" w:hAnsi="宋体" w:cs="宋体" w:eastAsia="宋体" w:hint="default"/>
          <w:sz w:val="29"/>
          <w:szCs w:val="29"/>
        </w:rPr>
      </w:pPr>
    </w:p>
    <w:p>
      <w:pPr>
        <w:pStyle w:val="BodyText"/>
        <w:spacing w:line="338" w:lineRule="auto" w:before="26"/>
        <w:ind w:right="233"/>
        <w:jc w:val="both"/>
      </w:pPr>
      <w:r>
        <w:rPr/>
        <w:t>商业管理有限公司共同出资组建遂宁苏宁电器有限公司，注册资本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2"/>
        </w:rPr>
        <w:t> </w:t>
      </w:r>
      <w:r>
        <w:rPr>
          <w:rFonts w:ascii="Times New Roman" w:hAnsi="Times New Roman" w:cs="Times New Roman" w:eastAsia="Times New Roman" w:hint="default"/>
        </w:rPr>
        <w:t>50</w:t>
      </w:r>
      <w:r>
        <w:rPr>
          <w:rFonts w:ascii="Times New Roman" w:hAnsi="Times New Roman" w:cs="Times New Roman" w:eastAsia="Times New Roman" w:hint="default"/>
          <w:spacing w:val="-2"/>
        </w:rPr>
        <w:t> </w:t>
      </w:r>
      <w:r>
        <w:rPr/>
        <w:t>万元，占注册资本的</w:t>
      </w:r>
      <w:r>
        <w:rPr>
          <w:spacing w:val="-62"/>
        </w:rPr>
        <w:t> </w:t>
      </w:r>
      <w:r>
        <w:rPr>
          <w:rFonts w:ascii="Times New Roman" w:hAnsi="Times New Roman" w:cs="Times New Roman" w:eastAsia="Times New Roman" w:hint="default"/>
        </w:rPr>
        <w:t>10%</w:t>
      </w:r>
      <w:r>
        <w:rPr/>
        <w:t>。该公司本报告期实现净利润</w:t>
      </w:r>
      <w:r>
        <w:rPr>
          <w:spacing w:val="-62"/>
        </w:rPr>
        <w:t> </w:t>
      </w:r>
      <w:r>
        <w:rPr>
          <w:rFonts w:ascii="Times New Roman" w:hAnsi="Times New Roman" w:cs="Times New Roman" w:eastAsia="Times New Roman" w:hint="default"/>
        </w:rPr>
        <w:t>35.11</w:t>
      </w:r>
      <w:r>
        <w:rPr>
          <w:rFonts w:ascii="Times New Roman" w:hAnsi="Times New Roman" w:cs="Times New Roman" w:eastAsia="Times New Roman" w:hint="default"/>
          <w:spacing w:val="-2"/>
        </w:rPr>
        <w:t> </w:t>
      </w:r>
      <w:r>
        <w:rPr/>
        <w:t>万元。</w:t>
      </w:r>
    </w:p>
    <w:p>
      <w:pPr>
        <w:pStyle w:val="BodyText"/>
        <w:spacing w:line="240" w:lineRule="auto" w:before="27"/>
        <w:ind w:left="619" w:right="97"/>
        <w:jc w:val="left"/>
      </w:pPr>
      <w:r>
        <w:rPr>
          <w:rFonts w:ascii="Times New Roman" w:hAnsi="Times New Roman" w:cs="Times New Roman" w:eastAsia="Times New Roman" w:hint="default"/>
          <w:spacing w:val="-3"/>
        </w:rPr>
        <w:t>46</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日，公司控股子公司—广东苏宁电器有限公司出资成立云浮苏</w:t>
      </w:r>
    </w:p>
    <w:p>
      <w:pPr>
        <w:pStyle w:val="BodyText"/>
        <w:spacing w:line="338" w:lineRule="auto" w:before="135"/>
        <w:ind w:left="139" w:right="232"/>
        <w:jc w:val="both"/>
      </w:pPr>
      <w:r>
        <w:rPr>
          <w:spacing w:val="-3"/>
        </w:rPr>
        <w:t>宁电器有限公司，注册资本</w:t>
      </w:r>
      <w:r>
        <w:rPr>
          <w:spacing w:val="-65"/>
        </w:rPr>
        <w:t> </w:t>
      </w:r>
      <w:r>
        <w:rPr>
          <w:rFonts w:ascii="Times New Roman" w:hAnsi="Times New Roman" w:cs="Times New Roman" w:eastAsia="Times New Roman" w:hint="default"/>
        </w:rPr>
        <w:t>500</w:t>
      </w:r>
      <w:r>
        <w:rPr>
          <w:rFonts w:ascii="Times New Roman" w:hAnsi="Times New Roman" w:cs="Times New Roman" w:eastAsia="Times New Roman" w:hint="default"/>
          <w:spacing w:val="-5"/>
        </w:rPr>
        <w:t> </w:t>
      </w:r>
      <w:r>
        <w:rPr/>
        <w:t>万元，广东苏宁电器有限公司出资</w:t>
      </w:r>
      <w:r>
        <w:rPr>
          <w:spacing w:val="-65"/>
        </w:rPr>
        <w:t> </w:t>
      </w:r>
      <w:r>
        <w:rPr>
          <w:rFonts w:ascii="Times New Roman" w:hAnsi="Times New Roman" w:cs="Times New Roman" w:eastAsia="Times New Roman" w:hint="default"/>
        </w:rPr>
        <w:t>500</w:t>
      </w:r>
      <w:r>
        <w:rPr>
          <w:rFonts w:ascii="Times New Roman" w:hAnsi="Times New Roman" w:cs="Times New Roman" w:eastAsia="Times New Roman" w:hint="default"/>
          <w:spacing w:val="-5"/>
        </w:rPr>
        <w:t> </w:t>
      </w:r>
      <w:r>
        <w:rPr>
          <w:spacing w:val="-5"/>
        </w:rPr>
        <w:t>万元，占注册资</w:t>
      </w:r>
      <w:r>
        <w:rPr/>
        <w:t> 本比例为</w:t>
      </w:r>
      <w:r>
        <w:rPr>
          <w:spacing w:val="-60"/>
        </w:rPr>
        <w:t> </w:t>
      </w:r>
      <w:r>
        <w:rPr>
          <w:rFonts w:ascii="Times New Roman" w:hAnsi="Times New Roman" w:cs="Times New Roman" w:eastAsia="Times New Roman" w:hint="default"/>
        </w:rPr>
        <w:t>100%</w:t>
      </w:r>
      <w:r>
        <w:rPr/>
        <w:t>。该公司本报告期实现净利润</w:t>
      </w:r>
      <w:r>
        <w:rPr>
          <w:spacing w:val="-60"/>
        </w:rPr>
        <w:t> </w:t>
      </w:r>
      <w:r>
        <w:rPr>
          <w:rFonts w:ascii="Times New Roman" w:hAnsi="Times New Roman" w:cs="Times New Roman" w:eastAsia="Times New Roman" w:hint="default"/>
        </w:rPr>
        <w:t>35.39 </w:t>
      </w:r>
      <w:r>
        <w:rPr/>
        <w:t>万元。</w:t>
      </w:r>
    </w:p>
    <w:p>
      <w:pPr>
        <w:pStyle w:val="BodyText"/>
        <w:spacing w:line="240" w:lineRule="auto" w:before="27"/>
        <w:ind w:left="620" w:right="97"/>
        <w:jc w:val="left"/>
      </w:pPr>
      <w:r>
        <w:rPr>
          <w:rFonts w:ascii="Times New Roman" w:hAnsi="Times New Roman" w:cs="Times New Roman" w:eastAsia="Times New Roman" w:hint="default"/>
          <w:spacing w:val="-3"/>
        </w:rPr>
        <w:t>47</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right="233"/>
        <w:jc w:val="both"/>
      </w:pPr>
      <w:r>
        <w:rPr/>
        <w:t>商业管理有限公司共同出资组建上饶苏宁电器有限公司，注册资本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7.78 </w:t>
      </w:r>
      <w:r>
        <w:rPr/>
        <w:t>万元。</w:t>
      </w:r>
    </w:p>
    <w:p>
      <w:pPr>
        <w:pStyle w:val="BodyText"/>
        <w:spacing w:line="240" w:lineRule="auto" w:before="27"/>
        <w:ind w:left="620" w:right="97"/>
        <w:jc w:val="left"/>
      </w:pPr>
      <w:r>
        <w:rPr>
          <w:rFonts w:ascii="Times New Roman" w:hAnsi="Times New Roman" w:cs="Times New Roman" w:eastAsia="Times New Roman" w:hint="default"/>
          <w:spacing w:val="-3"/>
        </w:rPr>
        <w:t>48</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right="233"/>
        <w:jc w:val="both"/>
      </w:pPr>
      <w:r>
        <w:rPr/>
        <w:t>商业管理有限公司共同出资组建红河苏宁电器有限公司，注册资本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-4.69 </w:t>
      </w:r>
      <w:r>
        <w:rPr/>
        <w:t>万元。</w:t>
      </w:r>
    </w:p>
    <w:p>
      <w:pPr>
        <w:pStyle w:val="BodyText"/>
        <w:spacing w:line="240" w:lineRule="auto" w:before="27"/>
        <w:ind w:left="619" w:right="97"/>
        <w:jc w:val="left"/>
      </w:pPr>
      <w:r>
        <w:rPr>
          <w:rFonts w:ascii="Times New Roman" w:hAnsi="Times New Roman" w:cs="Times New Roman" w:eastAsia="Times New Roman" w:hint="default"/>
          <w:spacing w:val="-3"/>
        </w:rPr>
        <w:t>49</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233"/>
        <w:jc w:val="both"/>
      </w:pPr>
      <w:r>
        <w:rPr/>
        <w:t>商业管理有限公司共同出资组建铜川苏宁电器有限公司，注册资本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0.30 </w:t>
      </w:r>
      <w:r>
        <w:rPr/>
        <w:t>万元。</w:t>
      </w:r>
    </w:p>
    <w:p>
      <w:pPr>
        <w:pStyle w:val="BodyText"/>
        <w:spacing w:line="240" w:lineRule="auto" w:before="27"/>
        <w:ind w:left="620" w:right="97"/>
        <w:jc w:val="left"/>
      </w:pPr>
      <w:r>
        <w:rPr>
          <w:rFonts w:ascii="Times New Roman" w:hAnsi="Times New Roman" w:cs="Times New Roman" w:eastAsia="Times New Roman" w:hint="default"/>
          <w:spacing w:val="-3"/>
        </w:rPr>
        <w:t>50</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right="233"/>
        <w:jc w:val="both"/>
      </w:pPr>
      <w:r>
        <w:rPr/>
        <w:t>商业管理有限公司共同出资组建广元苏宁电器有限公司，注册资本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25.32 </w:t>
      </w:r>
      <w:r>
        <w:rPr/>
        <w:t>万元。</w:t>
      </w:r>
    </w:p>
    <w:p>
      <w:pPr>
        <w:pStyle w:val="BodyText"/>
        <w:spacing w:line="240" w:lineRule="auto" w:before="27"/>
        <w:ind w:left="620" w:right="217"/>
        <w:jc w:val="left"/>
      </w:pPr>
      <w:r>
        <w:rPr>
          <w:rFonts w:ascii="Times New Roman" w:hAnsi="Times New Roman" w:cs="Times New Roman" w:eastAsia="Times New Roman" w:hint="default"/>
        </w:rPr>
        <w:t>51</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6 </w:t>
      </w:r>
      <w:r>
        <w:rPr/>
        <w:t>日，苏宁电器股份有限公司和公司控股子公司—江苏苏宁地铁</w:t>
      </w:r>
    </w:p>
    <w:p>
      <w:pPr>
        <w:pStyle w:val="BodyText"/>
        <w:spacing w:line="338" w:lineRule="auto" w:before="135"/>
        <w:ind w:left="139" w:right="232"/>
        <w:jc w:val="both"/>
      </w:pPr>
      <w:r>
        <w:rPr/>
        <w:t>商业管理有限公司共同出资组建莆田涵江苏宁电器有限公司，注册资本</w:t>
      </w:r>
      <w:r>
        <w:rPr>
          <w:spacing w:val="-80"/>
        </w:rPr>
        <w:t> </w:t>
      </w:r>
      <w:r>
        <w:rPr>
          <w:rFonts w:ascii="Times New Roman" w:hAnsi="Times New Roman" w:cs="Times New Roman" w:eastAsia="Times New Roman" w:hint="default"/>
        </w:rPr>
        <w:t>700</w:t>
      </w:r>
      <w:r>
        <w:rPr>
          <w:rFonts w:ascii="Times New Roman" w:hAnsi="Times New Roman" w:cs="Times New Roman" w:eastAsia="Times New Roman" w:hint="default"/>
          <w:spacing w:val="-20"/>
        </w:rPr>
        <w:t> </w:t>
      </w:r>
      <w:r>
        <w:rPr>
          <w:spacing w:val="-10"/>
        </w:rPr>
        <w:t>万元，其中</w:t>
      </w:r>
      <w:r>
        <w:rPr/>
        <w:t> 苏宁电器股份有限公司出资</w:t>
      </w:r>
      <w:r>
        <w:rPr>
          <w:spacing w:val="-56"/>
        </w:rPr>
        <w:t> </w:t>
      </w:r>
      <w:r>
        <w:rPr>
          <w:rFonts w:ascii="Times New Roman" w:hAnsi="Times New Roman" w:cs="Times New Roman" w:eastAsia="Times New Roman" w:hint="default"/>
        </w:rPr>
        <w:t>630</w:t>
      </w:r>
      <w:r>
        <w:rPr>
          <w:rFonts w:ascii="Times New Roman" w:hAnsi="Times New Roman" w:cs="Times New Roman" w:eastAsia="Times New Roman" w:hint="default"/>
          <w:spacing w:val="4"/>
        </w:rPr>
        <w:t> </w:t>
      </w:r>
      <w:r>
        <w:rPr>
          <w:spacing w:val="-7"/>
        </w:rPr>
        <w:t>万元，占注册资本的</w:t>
      </w:r>
      <w:r>
        <w:rPr>
          <w:spacing w:val="-56"/>
        </w:rPr>
        <w:t> </w:t>
      </w:r>
      <w:r>
        <w:rPr>
          <w:rFonts w:ascii="Times New Roman" w:hAnsi="Times New Roman" w:cs="Times New Roman" w:eastAsia="Times New Roman" w:hint="default"/>
          <w:spacing w:val="-4"/>
        </w:rPr>
        <w:t>90%</w:t>
      </w:r>
      <w:r>
        <w:rPr>
          <w:spacing w:val="-4"/>
        </w:rPr>
        <w:t>，江苏苏宁地铁商业管理有限</w:t>
      </w:r>
      <w:r>
        <w:rPr/>
        <w:t> 公司出资</w:t>
      </w:r>
      <w:r>
        <w:rPr>
          <w:spacing w:val="-60"/>
        </w:rPr>
        <w:t> </w:t>
      </w:r>
      <w:r>
        <w:rPr>
          <w:rFonts w:ascii="Times New Roman" w:hAnsi="Times New Roman" w:cs="Times New Roman" w:eastAsia="Times New Roman" w:hint="default"/>
        </w:rPr>
        <w:t>70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15.35 </w:t>
      </w:r>
      <w:r>
        <w:rPr/>
        <w:t>万元。</w:t>
      </w:r>
    </w:p>
    <w:p>
      <w:pPr>
        <w:pStyle w:val="BodyText"/>
        <w:spacing w:line="240" w:lineRule="auto" w:before="27"/>
        <w:ind w:left="619" w:right="0"/>
        <w:jc w:val="left"/>
      </w:pPr>
      <w:r>
        <w:rPr>
          <w:rFonts w:ascii="Times New Roman" w:hAnsi="Times New Roman" w:cs="Times New Roman" w:eastAsia="Times New Roman" w:hint="default"/>
          <w:spacing w:val="-11"/>
        </w:rPr>
        <w:t>52</w:t>
      </w:r>
      <w:r>
        <w:rPr>
          <w:spacing w:val="-11"/>
        </w:rPr>
        <w:t>、</w:t>
      </w:r>
      <w:r>
        <w:rPr>
          <w:rFonts w:ascii="Times New Roman" w:hAnsi="Times New Roman" w:cs="Times New Roman" w:eastAsia="Times New Roman" w:hint="default"/>
          <w:spacing w:val="-11"/>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spacing w:val="-3"/>
        </w:rPr>
        <w:t>日，苏宁电器股份有限公司出资成立江苏法迪欧电器有限公司，</w:t>
      </w:r>
    </w:p>
    <w:p>
      <w:pPr>
        <w:pStyle w:val="BodyText"/>
        <w:spacing w:line="240" w:lineRule="auto" w:before="135"/>
        <w:ind w:left="139" w:right="0"/>
        <w:jc w:val="both"/>
      </w:pPr>
      <w:r>
        <w:rPr/>
        <w:t>注册资本</w:t>
      </w:r>
      <w:r>
        <w:rPr>
          <w:spacing w:val="-60"/>
        </w:rPr>
        <w:t> </w:t>
      </w:r>
      <w:r>
        <w:rPr>
          <w:rFonts w:ascii="Times New Roman" w:hAnsi="Times New Roman" w:cs="Times New Roman" w:eastAsia="Times New Roman" w:hint="default"/>
        </w:rPr>
        <w:t>3000 </w:t>
      </w:r>
      <w:r>
        <w:rPr/>
        <w:t>万元，苏宁电器股份有限公司出资</w:t>
      </w:r>
      <w:r>
        <w:rPr>
          <w:spacing w:val="-60"/>
        </w:rPr>
        <w:t> </w:t>
      </w:r>
      <w:r>
        <w:rPr>
          <w:rFonts w:ascii="Times New Roman" w:hAnsi="Times New Roman" w:cs="Times New Roman" w:eastAsia="Times New Roman" w:hint="default"/>
        </w:rPr>
        <w:t>3000 </w:t>
      </w:r>
      <w:r>
        <w:rPr/>
        <w:t>万元，占注册资本的</w:t>
      </w:r>
      <w:r>
        <w:rPr>
          <w:spacing w:val="-60"/>
        </w:rPr>
        <w:t> </w:t>
      </w:r>
      <w:r>
        <w:rPr>
          <w:rFonts w:ascii="Times New Roman" w:hAnsi="Times New Roman" w:cs="Times New Roman" w:eastAsia="Times New Roman" w:hint="default"/>
        </w:rPr>
        <w:t>100%</w:t>
      </w:r>
      <w:r>
        <w:rPr/>
        <w:t>。该</w:t>
      </w:r>
    </w:p>
    <w:p>
      <w:pPr>
        <w:pStyle w:val="BodyText"/>
        <w:spacing w:line="240" w:lineRule="auto" w:before="135"/>
        <w:ind w:left="139" w:right="0"/>
        <w:jc w:val="both"/>
      </w:pPr>
      <w:r>
        <w:rPr/>
        <w:t>公司本报告期实现净利润</w:t>
      </w:r>
      <w:r>
        <w:rPr>
          <w:spacing w:val="-60"/>
        </w:rPr>
        <w:t> </w:t>
      </w:r>
      <w:r>
        <w:rPr>
          <w:rFonts w:ascii="Times New Roman" w:hAnsi="Times New Roman" w:cs="Times New Roman" w:eastAsia="Times New Roman" w:hint="default"/>
        </w:rPr>
        <w:t>4.82 </w:t>
      </w:r>
      <w:r>
        <w:rPr/>
        <w:t>万元。</w:t>
      </w:r>
    </w:p>
    <w:p>
      <w:pPr>
        <w:pStyle w:val="BodyText"/>
        <w:spacing w:line="240" w:lineRule="auto" w:before="135"/>
        <w:ind w:left="619" w:right="97"/>
        <w:jc w:val="left"/>
      </w:pPr>
      <w:r>
        <w:rPr>
          <w:rFonts w:ascii="Times New Roman" w:hAnsi="Times New Roman" w:cs="Times New Roman" w:eastAsia="Times New Roman" w:hint="default"/>
          <w:spacing w:val="-3"/>
        </w:rPr>
        <w:t>53</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240" w:lineRule="auto" w:before="135"/>
        <w:ind w:left="139" w:right="0"/>
        <w:jc w:val="both"/>
      </w:pPr>
      <w:r>
        <w:rPr/>
        <w:t>商业管理有限公司共同出资组建阜阳苏宁电器有限公司，注册资本</w:t>
      </w:r>
      <w:r>
        <w:rPr>
          <w:spacing w:val="-82"/>
        </w:rPr>
        <w:t> </w:t>
      </w:r>
      <w:r>
        <w:rPr>
          <w:rFonts w:ascii="Times New Roman" w:hAnsi="Times New Roman" w:cs="Times New Roman" w:eastAsia="Times New Roman" w:hint="default"/>
        </w:rPr>
        <w:t>500</w:t>
      </w:r>
      <w:r>
        <w:rPr>
          <w:rFonts w:ascii="Times New Roman" w:hAnsi="Times New Roman" w:cs="Times New Roman" w:eastAsia="Times New Roman" w:hint="default"/>
          <w:spacing w:val="-22"/>
        </w:rPr>
        <w:t> </w:t>
      </w:r>
      <w:r>
        <w:rPr>
          <w:spacing w:val="-7"/>
        </w:rPr>
        <w:t>万元，其中苏宁</w:t>
      </w:r>
    </w:p>
    <w:p>
      <w:pPr>
        <w:spacing w:after="0" w:line="240" w:lineRule="auto"/>
        <w:jc w:val="both"/>
        <w:sectPr>
          <w:footerReference w:type="default" r:id="rId38"/>
          <w:pgSz w:w="11910" w:h="16840"/>
          <w:pgMar w:footer="714" w:header="748" w:top="980" w:bottom="900" w:left="1300" w:right="1200"/>
          <w:pgNumType w:start="72"/>
        </w:sectPr>
      </w:pPr>
    </w:p>
    <w:p>
      <w:pPr>
        <w:spacing w:line="240" w:lineRule="auto" w:before="7"/>
        <w:rPr>
          <w:rFonts w:ascii="宋体" w:hAnsi="宋体" w:cs="宋体" w:eastAsia="宋体" w:hint="default"/>
          <w:sz w:val="29"/>
          <w:szCs w:val="29"/>
        </w:rPr>
      </w:pPr>
    </w:p>
    <w:p>
      <w:pPr>
        <w:pStyle w:val="BodyText"/>
        <w:spacing w:line="338" w:lineRule="auto" w:before="26"/>
        <w:ind w:right="153"/>
        <w:jc w:val="both"/>
      </w:pPr>
      <w:r>
        <w:rPr/>
        <w:t>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59.20 </w:t>
      </w:r>
      <w:r>
        <w:rPr/>
        <w:t>万元。</w:t>
      </w:r>
    </w:p>
    <w:p>
      <w:pPr>
        <w:pStyle w:val="BodyText"/>
        <w:spacing w:line="240" w:lineRule="auto" w:before="27"/>
        <w:ind w:left="620" w:right="0"/>
        <w:jc w:val="left"/>
      </w:pPr>
      <w:r>
        <w:rPr>
          <w:rFonts w:ascii="Times New Roman" w:hAnsi="Times New Roman" w:cs="Times New Roman" w:eastAsia="Times New Roman" w:hint="default"/>
          <w:spacing w:val="-3"/>
        </w:rPr>
        <w:t>54</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right="153"/>
        <w:jc w:val="both"/>
      </w:pPr>
      <w:r>
        <w:rPr/>
        <w:t>商业管理有限公司共同出资组建广州市苏宁精品电器有限公司，注册资本</w:t>
      </w:r>
      <w:r>
        <w:rPr>
          <w:spacing w:val="-60"/>
        </w:rPr>
        <w:t> </w:t>
      </w:r>
      <w:r>
        <w:rPr>
          <w:rFonts w:ascii="Times New Roman" w:hAnsi="Times New Roman" w:cs="Times New Roman" w:eastAsia="Times New Roman" w:hint="default"/>
        </w:rPr>
        <w:t>1000 </w:t>
      </w:r>
      <w:r>
        <w:rPr/>
        <w:t>万元， 其中苏宁电器股份有限公司出资</w:t>
      </w:r>
      <w:r>
        <w:rPr>
          <w:spacing w:val="-55"/>
        </w:rPr>
        <w:t> </w:t>
      </w:r>
      <w:r>
        <w:rPr>
          <w:rFonts w:ascii="Times New Roman" w:hAnsi="Times New Roman" w:cs="Times New Roman" w:eastAsia="Times New Roman" w:hint="default"/>
        </w:rPr>
        <w:t>900</w:t>
      </w:r>
      <w:r>
        <w:rPr>
          <w:rFonts w:ascii="Times New Roman" w:hAnsi="Times New Roman" w:cs="Times New Roman" w:eastAsia="Times New Roman" w:hint="default"/>
          <w:spacing w:val="5"/>
        </w:rPr>
        <w:t> </w:t>
      </w:r>
      <w:r>
        <w:rPr>
          <w:spacing w:val="-7"/>
        </w:rPr>
        <w:t>万元，占注册资本的</w:t>
      </w:r>
      <w:r>
        <w:rPr>
          <w:spacing w:val="-55"/>
        </w:rPr>
        <w:t> </w:t>
      </w:r>
      <w:r>
        <w:rPr>
          <w:rFonts w:ascii="Times New Roman" w:hAnsi="Times New Roman" w:cs="Times New Roman" w:eastAsia="Times New Roman" w:hint="default"/>
          <w:spacing w:val="-5"/>
        </w:rPr>
        <w:t>90%</w:t>
      </w:r>
      <w:r>
        <w:rPr>
          <w:spacing w:val="-5"/>
        </w:rPr>
        <w:t>，江苏苏宁地铁商业管理</w:t>
      </w:r>
      <w:r>
        <w:rPr/>
        <w:t> 有限公司出资</w:t>
      </w:r>
      <w:r>
        <w:rPr>
          <w:spacing w:val="-60"/>
        </w:rPr>
        <w:t> </w:t>
      </w:r>
      <w:r>
        <w:rPr>
          <w:rFonts w:ascii="Times New Roman" w:hAnsi="Times New Roman" w:cs="Times New Roman" w:eastAsia="Times New Roman" w:hint="default"/>
        </w:rPr>
        <w:t>100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1.06 </w:t>
      </w:r>
      <w:r>
        <w:rPr/>
        <w:t>万元。</w:t>
      </w:r>
    </w:p>
    <w:p>
      <w:pPr>
        <w:pStyle w:val="BodyText"/>
        <w:spacing w:line="240" w:lineRule="auto" w:before="27"/>
        <w:ind w:left="620" w:right="0"/>
        <w:jc w:val="left"/>
      </w:pPr>
      <w:r>
        <w:rPr>
          <w:rFonts w:ascii="Times New Roman" w:hAnsi="Times New Roman" w:cs="Times New Roman" w:eastAsia="Times New Roman" w:hint="default"/>
          <w:spacing w:val="-3"/>
        </w:rPr>
        <w:t>55</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152"/>
        <w:jc w:val="both"/>
      </w:pPr>
      <w:r>
        <w:rPr/>
        <w:t>商业管理有限公司共同出资组建上海苏宁精品电器有限公司，注册资本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10"/>
        </w:rPr>
        <w:t>万元，其中</w:t>
      </w:r>
      <w:r>
        <w:rPr/>
        <w:t> 苏宁电器股份有限公司出资</w:t>
      </w:r>
      <w:r>
        <w:rPr>
          <w:spacing w:val="-56"/>
        </w:rPr>
        <w:t> </w:t>
      </w:r>
      <w:r>
        <w:rPr>
          <w:rFonts w:ascii="Times New Roman" w:hAnsi="Times New Roman" w:cs="Times New Roman" w:eastAsia="Times New Roman" w:hint="default"/>
        </w:rPr>
        <w:t>450</w:t>
      </w:r>
      <w:r>
        <w:rPr>
          <w:rFonts w:ascii="Times New Roman" w:hAnsi="Times New Roman" w:cs="Times New Roman" w:eastAsia="Times New Roman" w:hint="default"/>
          <w:spacing w:val="4"/>
        </w:rPr>
        <w:t> </w:t>
      </w:r>
      <w:r>
        <w:rPr>
          <w:spacing w:val="-7"/>
        </w:rPr>
        <w:t>万元，占注册资本的</w:t>
      </w:r>
      <w:r>
        <w:rPr>
          <w:spacing w:val="-56"/>
        </w:rPr>
        <w:t> </w:t>
      </w:r>
      <w:r>
        <w:rPr>
          <w:rFonts w:ascii="Times New Roman" w:hAnsi="Times New Roman" w:cs="Times New Roman" w:eastAsia="Times New Roman" w:hint="default"/>
          <w:spacing w:val="-4"/>
        </w:rPr>
        <w:t>90%</w:t>
      </w:r>
      <w:r>
        <w:rPr>
          <w:spacing w:val="-4"/>
        </w:rPr>
        <w:t>，江苏苏宁地铁商业管理有限</w:t>
      </w:r>
      <w:r>
        <w:rPr/>
        <w:t> 公司出资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13.71 </w:t>
      </w:r>
      <w:r>
        <w:rPr/>
        <w:t>万元。</w:t>
      </w:r>
    </w:p>
    <w:p>
      <w:pPr>
        <w:pStyle w:val="BodyText"/>
        <w:spacing w:line="240" w:lineRule="auto" w:before="27"/>
        <w:ind w:left="619" w:right="0"/>
        <w:jc w:val="left"/>
      </w:pPr>
      <w:r>
        <w:rPr>
          <w:rFonts w:ascii="Times New Roman" w:hAnsi="Times New Roman" w:cs="Times New Roman" w:eastAsia="Times New Roman" w:hint="default"/>
          <w:spacing w:val="-3"/>
        </w:rPr>
        <w:t>56</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153"/>
        <w:jc w:val="both"/>
      </w:pPr>
      <w:r>
        <w:rPr/>
        <w:t>商业管理有限公司共同出资组建百色苏宁电器有限公司，注册资本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3.00 </w:t>
      </w:r>
      <w:r>
        <w:rPr/>
        <w:t>万元。</w:t>
      </w:r>
    </w:p>
    <w:p>
      <w:pPr>
        <w:pStyle w:val="BodyText"/>
        <w:spacing w:line="240" w:lineRule="auto" w:before="27"/>
        <w:ind w:left="620" w:right="0"/>
        <w:jc w:val="left"/>
      </w:pPr>
      <w:r>
        <w:rPr>
          <w:rFonts w:ascii="Times New Roman" w:hAnsi="Times New Roman" w:cs="Times New Roman" w:eastAsia="Times New Roman" w:hint="default"/>
          <w:spacing w:val="-3"/>
        </w:rPr>
        <w:t>57</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right="153"/>
        <w:jc w:val="both"/>
      </w:pPr>
      <w:r>
        <w:rPr/>
        <w:t>商业管理有限公司共同出资组建长治市苏宁电器有限公司，注册资本</w:t>
      </w:r>
      <w:r>
        <w:rPr>
          <w:spacing w:val="-81"/>
        </w:rPr>
        <w:t> </w:t>
      </w:r>
      <w:r>
        <w:rPr>
          <w:rFonts w:ascii="Times New Roman" w:hAnsi="Times New Roman" w:cs="Times New Roman" w:eastAsia="Times New Roman" w:hint="default"/>
        </w:rPr>
        <w:t>500</w:t>
      </w:r>
      <w:r>
        <w:rPr>
          <w:rFonts w:ascii="Times New Roman" w:hAnsi="Times New Roman" w:cs="Times New Roman" w:eastAsia="Times New Roman" w:hint="default"/>
          <w:spacing w:val="-21"/>
        </w:rPr>
        <w:t> </w:t>
      </w:r>
      <w:r>
        <w:rPr>
          <w:spacing w:val="-8"/>
        </w:rPr>
        <w:t>万元，其中苏</w:t>
      </w:r>
      <w:r>
        <w:rPr/>
        <w:t> 宁电器股份有限公司出资</w:t>
      </w:r>
      <w:r>
        <w:rPr>
          <w:spacing w:val="-55"/>
        </w:rPr>
        <w:t> </w:t>
      </w:r>
      <w:r>
        <w:rPr>
          <w:rFonts w:ascii="Times New Roman" w:hAnsi="Times New Roman" w:cs="Times New Roman" w:eastAsia="Times New Roman" w:hint="default"/>
        </w:rPr>
        <w:t>450</w:t>
      </w:r>
      <w:r>
        <w:rPr>
          <w:rFonts w:ascii="Times New Roman" w:hAnsi="Times New Roman" w:cs="Times New Roman" w:eastAsia="Times New Roman" w:hint="default"/>
          <w:spacing w:val="5"/>
        </w:rPr>
        <w:t> </w:t>
      </w:r>
      <w:r>
        <w:rPr>
          <w:spacing w:val="-7"/>
        </w:rPr>
        <w:t>万元，占注册资本的</w:t>
      </w:r>
      <w:r>
        <w:rPr>
          <w:spacing w:val="-55"/>
        </w:rPr>
        <w:t> </w:t>
      </w:r>
      <w:r>
        <w:rPr>
          <w:rFonts w:ascii="Times New Roman" w:hAnsi="Times New Roman" w:cs="Times New Roman" w:eastAsia="Times New Roman" w:hint="default"/>
          <w:spacing w:val="-4"/>
        </w:rPr>
        <w:t>90%</w:t>
      </w:r>
      <w:r>
        <w:rPr>
          <w:spacing w:val="-4"/>
        </w:rPr>
        <w:t>，江苏苏宁地铁商业管理有限公</w:t>
      </w:r>
      <w:r>
        <w:rPr/>
        <w:t> 司出资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-41.05 </w:t>
      </w:r>
      <w:r>
        <w:rPr/>
        <w:t>万元。</w:t>
      </w:r>
    </w:p>
    <w:p>
      <w:pPr>
        <w:pStyle w:val="BodyText"/>
        <w:spacing w:line="240" w:lineRule="auto" w:before="27"/>
        <w:ind w:left="619" w:right="153"/>
        <w:jc w:val="left"/>
      </w:pPr>
      <w:r>
        <w:rPr>
          <w:rFonts w:ascii="Times New Roman" w:hAnsi="Times New Roman" w:cs="Times New Roman" w:eastAsia="Times New Roman" w:hint="default"/>
        </w:rPr>
        <w:t>58</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6 </w:t>
      </w:r>
      <w:r>
        <w:rPr/>
        <w:t>日，苏宁电器股份有限公司和公司控股子公司—江苏苏宁地铁</w:t>
      </w:r>
    </w:p>
    <w:p>
      <w:pPr>
        <w:pStyle w:val="BodyText"/>
        <w:spacing w:line="338" w:lineRule="auto" w:before="135"/>
        <w:ind w:left="139" w:right="153"/>
        <w:jc w:val="both"/>
      </w:pPr>
      <w:r>
        <w:rPr/>
        <w:t>商业管理有限公司共同出资组建潮州苏宁电器有限公司，注册资本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-2.26 </w:t>
      </w:r>
      <w:r>
        <w:rPr/>
        <w:t>万元。</w:t>
      </w:r>
    </w:p>
    <w:p>
      <w:pPr>
        <w:pStyle w:val="BodyText"/>
        <w:spacing w:line="240" w:lineRule="auto" w:before="27"/>
        <w:ind w:left="619" w:right="0"/>
        <w:jc w:val="left"/>
      </w:pPr>
      <w:r>
        <w:rPr>
          <w:rFonts w:ascii="Times New Roman" w:hAnsi="Times New Roman" w:cs="Times New Roman" w:eastAsia="Times New Roman" w:hint="default"/>
          <w:spacing w:val="-3"/>
        </w:rPr>
        <w:t>59</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103"/>
        <w:jc w:val="both"/>
      </w:pPr>
      <w:r>
        <w:rPr/>
        <w:t>商业管理有限公司共同出资组建上海嘉定苏宁电器有限公司，注册资本</w:t>
      </w:r>
      <w:r>
        <w:rPr>
          <w:spacing w:val="-75"/>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5"/>
        </w:rPr>
        <w:t> </w:t>
      </w:r>
      <w:r>
        <w:rPr>
          <w:spacing w:val="-12"/>
        </w:rPr>
        <w:t>万元，其</w:t>
      </w:r>
      <w:r>
        <w:rPr/>
        <w:t> 中苏宁电器股份有限公司出资</w:t>
      </w:r>
      <w:r>
        <w:rPr>
          <w:spacing w:val="-60"/>
        </w:rPr>
        <w:t> </w:t>
      </w:r>
      <w:r>
        <w:rPr>
          <w:rFonts w:ascii="Times New Roman" w:hAnsi="Times New Roman" w:cs="Times New Roman" w:eastAsia="Times New Roman" w:hint="default"/>
        </w:rPr>
        <w:t>9000 </w:t>
      </w:r>
      <w:r>
        <w:rPr/>
        <w:t>万元，占注册资本的</w:t>
      </w:r>
      <w:r>
        <w:rPr>
          <w:spacing w:val="-60"/>
        </w:rPr>
        <w:t> </w:t>
      </w:r>
      <w:r>
        <w:rPr>
          <w:rFonts w:ascii="Times New Roman" w:hAnsi="Times New Roman" w:cs="Times New Roman" w:eastAsia="Times New Roman" w:hint="default"/>
        </w:rPr>
        <w:t>90%</w:t>
      </w:r>
      <w:r>
        <w:rPr/>
        <w:t>，江苏苏宁地铁商业管理 有限公司出资</w:t>
      </w:r>
      <w:r>
        <w:rPr>
          <w:spacing w:val="-60"/>
        </w:rPr>
        <w:t> </w:t>
      </w:r>
      <w:r>
        <w:rPr>
          <w:rFonts w:ascii="Times New Roman" w:hAnsi="Times New Roman" w:cs="Times New Roman" w:eastAsia="Times New Roman" w:hint="default"/>
        </w:rPr>
        <w:t>1000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7.73 </w:t>
      </w:r>
      <w:r>
        <w:rPr/>
        <w:t>万元。</w:t>
      </w:r>
    </w:p>
    <w:p>
      <w:pPr>
        <w:pStyle w:val="BodyText"/>
        <w:spacing w:line="240" w:lineRule="auto" w:before="27"/>
        <w:ind w:left="619" w:right="0"/>
        <w:jc w:val="left"/>
      </w:pPr>
      <w:r>
        <w:rPr>
          <w:rFonts w:ascii="Times New Roman" w:hAnsi="Times New Roman" w:cs="Times New Roman" w:eastAsia="Times New Roman" w:hint="default"/>
          <w:spacing w:val="-3"/>
        </w:rPr>
        <w:t>60</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153"/>
        <w:jc w:val="both"/>
      </w:pPr>
      <w:r>
        <w:rPr/>
        <w:t>商业管理有限公司共同出资组建中卫苏宁电器有限公司，注册资本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-9.56 </w:t>
      </w:r>
      <w:r>
        <w:rPr/>
        <w:t>万元。</w:t>
      </w:r>
    </w:p>
    <w:p>
      <w:pPr>
        <w:pStyle w:val="BodyText"/>
        <w:spacing w:line="240" w:lineRule="auto" w:before="27"/>
        <w:ind w:left="619" w:right="0"/>
        <w:jc w:val="left"/>
      </w:pPr>
      <w:r>
        <w:rPr>
          <w:rFonts w:ascii="Times New Roman" w:hAnsi="Times New Roman" w:cs="Times New Roman" w:eastAsia="Times New Roman" w:hint="default"/>
          <w:spacing w:val="-3"/>
        </w:rPr>
        <w:t>61</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日，苏宁电器股份有限公司和公司控股子公司—江苏苏宁地铁</w:t>
      </w:r>
    </w:p>
    <w:p>
      <w:pPr>
        <w:spacing w:after="0" w:line="240" w:lineRule="auto"/>
        <w:jc w:val="left"/>
        <w:sectPr>
          <w:footerReference w:type="default" r:id="rId39"/>
          <w:pgSz w:w="11910" w:h="16840"/>
          <w:pgMar w:footer="714" w:header="748" w:top="980" w:bottom="900" w:left="1300" w:right="1280"/>
          <w:pgNumType w:start="73"/>
        </w:sectPr>
      </w:pPr>
    </w:p>
    <w:p>
      <w:pPr>
        <w:spacing w:line="240" w:lineRule="auto" w:before="7"/>
        <w:rPr>
          <w:rFonts w:ascii="宋体" w:hAnsi="宋体" w:cs="宋体" w:eastAsia="宋体" w:hint="default"/>
          <w:sz w:val="29"/>
          <w:szCs w:val="29"/>
        </w:rPr>
      </w:pPr>
    </w:p>
    <w:p>
      <w:pPr>
        <w:pStyle w:val="BodyText"/>
        <w:spacing w:line="338" w:lineRule="auto" w:before="26"/>
        <w:ind w:right="153"/>
        <w:jc w:val="both"/>
      </w:pPr>
      <w:r>
        <w:rPr/>
        <w:t>商业管理有限公司共同出资组建抚州苏宁电器有限公司，注册资本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-4.95 </w:t>
      </w:r>
      <w:r>
        <w:rPr/>
        <w:t>万元。</w:t>
      </w:r>
    </w:p>
    <w:p>
      <w:pPr>
        <w:pStyle w:val="BodyText"/>
        <w:spacing w:line="240" w:lineRule="auto" w:before="27"/>
        <w:ind w:left="619" w:right="0"/>
        <w:jc w:val="left"/>
      </w:pPr>
      <w:r>
        <w:rPr>
          <w:rFonts w:ascii="Times New Roman" w:hAnsi="Times New Roman" w:cs="Times New Roman" w:eastAsia="Times New Roman" w:hint="default"/>
          <w:spacing w:val="-3"/>
        </w:rPr>
        <w:t>62</w:t>
      </w:r>
      <w:r>
        <w:rPr>
          <w:spacing w:val="-3"/>
        </w:rPr>
        <w:t>、</w:t>
      </w:r>
      <w:r>
        <w:rPr>
          <w:rFonts w:ascii="Times New Roman" w:hAnsi="Times New Roman" w:cs="Times New Roman" w:eastAsia="Times New Roman" w:hint="default"/>
          <w:spacing w:val="-3"/>
        </w:rPr>
        <w:t>2010 </w:t>
      </w:r>
      <w:r>
        <w:rPr/>
        <w:t>年</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日，苏宁电器股份有限公司和公司控股子公司—江苏苏宁地铁</w:t>
      </w:r>
    </w:p>
    <w:p>
      <w:pPr>
        <w:pStyle w:val="BodyText"/>
        <w:spacing w:line="338" w:lineRule="auto" w:before="135"/>
        <w:ind w:left="139" w:right="153"/>
        <w:jc w:val="both"/>
      </w:pPr>
      <w:r>
        <w:rPr/>
        <w:t>商业管理有限公司共同出资组建济源苏宁电器有限公司，注册资本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-6.59 </w:t>
      </w:r>
      <w:r>
        <w:rPr/>
        <w:t>万元。</w:t>
      </w:r>
    </w:p>
    <w:p>
      <w:pPr>
        <w:pStyle w:val="BodyText"/>
        <w:spacing w:line="240" w:lineRule="auto" w:before="27"/>
        <w:ind w:left="619" w:right="153"/>
        <w:jc w:val="left"/>
      </w:pPr>
      <w:r>
        <w:rPr>
          <w:rFonts w:ascii="Times New Roman" w:hAnsi="Times New Roman" w:cs="Times New Roman" w:eastAsia="Times New Roman" w:hint="default"/>
        </w:rPr>
        <w:t>63</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25 </w:t>
      </w:r>
      <w:r>
        <w:rPr/>
        <w:t>日，苏宁电器股份有限公司和公司控股子公司—江苏苏宁地</w:t>
      </w:r>
    </w:p>
    <w:p>
      <w:pPr>
        <w:pStyle w:val="BodyText"/>
        <w:spacing w:line="338" w:lineRule="auto" w:before="135"/>
        <w:ind w:left="139" w:right="153"/>
        <w:jc w:val="both"/>
      </w:pPr>
      <w:r>
        <w:rPr/>
        <w:t>铁商业管理有限公司共同出资组建安康苏宁电器有限公司，注册资本</w:t>
      </w:r>
      <w:r>
        <w:rPr>
          <w:spacing w:val="-81"/>
        </w:rPr>
        <w:t> </w:t>
      </w:r>
      <w:r>
        <w:rPr>
          <w:rFonts w:ascii="Times New Roman" w:hAnsi="Times New Roman" w:cs="Times New Roman" w:eastAsia="Times New Roman" w:hint="default"/>
        </w:rPr>
        <w:t>500</w:t>
      </w:r>
      <w:r>
        <w:rPr>
          <w:rFonts w:ascii="Times New Roman" w:hAnsi="Times New Roman" w:cs="Times New Roman" w:eastAsia="Times New Roman" w:hint="default"/>
          <w:spacing w:val="-21"/>
        </w:rPr>
        <w:t> </w:t>
      </w:r>
      <w:r>
        <w:rPr>
          <w:spacing w:val="-8"/>
        </w:rPr>
        <w:t>万元，其中苏</w:t>
      </w:r>
      <w:r>
        <w:rPr/>
        <w:t> 宁电器股份有限公司出资</w:t>
      </w:r>
      <w:r>
        <w:rPr>
          <w:spacing w:val="-55"/>
        </w:rPr>
        <w:t> </w:t>
      </w:r>
      <w:r>
        <w:rPr>
          <w:rFonts w:ascii="Times New Roman" w:hAnsi="Times New Roman" w:cs="Times New Roman" w:eastAsia="Times New Roman" w:hint="default"/>
        </w:rPr>
        <w:t>450</w:t>
      </w:r>
      <w:r>
        <w:rPr>
          <w:rFonts w:ascii="Times New Roman" w:hAnsi="Times New Roman" w:cs="Times New Roman" w:eastAsia="Times New Roman" w:hint="default"/>
          <w:spacing w:val="5"/>
        </w:rPr>
        <w:t> </w:t>
      </w:r>
      <w:r>
        <w:rPr>
          <w:spacing w:val="-7"/>
        </w:rPr>
        <w:t>万元，占注册资本的</w:t>
      </w:r>
      <w:r>
        <w:rPr>
          <w:spacing w:val="-55"/>
        </w:rPr>
        <w:t> </w:t>
      </w:r>
      <w:r>
        <w:rPr>
          <w:rFonts w:ascii="Times New Roman" w:hAnsi="Times New Roman" w:cs="Times New Roman" w:eastAsia="Times New Roman" w:hint="default"/>
          <w:spacing w:val="-4"/>
        </w:rPr>
        <w:t>90%</w:t>
      </w:r>
      <w:r>
        <w:rPr>
          <w:spacing w:val="-4"/>
        </w:rPr>
        <w:t>，江苏苏宁地铁商业管理有限公</w:t>
      </w:r>
      <w:r>
        <w:rPr/>
        <w:t> 司出资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26.55 </w:t>
      </w:r>
      <w:r>
        <w:rPr/>
        <w:t>万元。</w:t>
      </w:r>
    </w:p>
    <w:p>
      <w:pPr>
        <w:pStyle w:val="BodyText"/>
        <w:spacing w:line="240" w:lineRule="auto" w:before="27"/>
        <w:ind w:left="619" w:right="0"/>
        <w:jc w:val="left"/>
      </w:pPr>
      <w:r>
        <w:rPr>
          <w:rFonts w:ascii="Times New Roman" w:hAnsi="Times New Roman" w:cs="Times New Roman" w:eastAsia="Times New Roman" w:hint="default"/>
        </w:rPr>
        <w:t>64</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spacing w:val="-5"/>
        </w:rPr>
        <w:t>11 </w:t>
      </w:r>
      <w:r>
        <w:rPr/>
        <w:t>月</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日，苏宁电器股份有限公司和公司控股子公司—江苏苏宁地铁</w:t>
      </w:r>
    </w:p>
    <w:p>
      <w:pPr>
        <w:pStyle w:val="BodyText"/>
        <w:spacing w:line="338" w:lineRule="auto" w:before="135"/>
        <w:ind w:left="139" w:right="153"/>
        <w:jc w:val="both"/>
      </w:pPr>
      <w:r>
        <w:rPr/>
        <w:t>商业管理有限公司共同出资组建衢州苏宁电器有限公司，注册资本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7"/>
        </w:rPr>
        <w:t>万元，其中苏宁</w:t>
      </w:r>
      <w:r>
        <w:rPr/>
        <w:t> 电器股份有限公司出资</w:t>
      </w:r>
      <w:r>
        <w:rPr>
          <w:spacing w:val="-54"/>
        </w:rPr>
        <w:t> </w:t>
      </w:r>
      <w:r>
        <w:rPr>
          <w:rFonts w:ascii="Times New Roman" w:hAnsi="Times New Roman" w:cs="Times New Roman" w:eastAsia="Times New Roman" w:hint="default"/>
        </w:rPr>
        <w:t>450</w:t>
      </w:r>
      <w:r>
        <w:rPr>
          <w:rFonts w:ascii="Times New Roman" w:hAnsi="Times New Roman" w:cs="Times New Roman" w:eastAsia="Times New Roman" w:hint="default"/>
          <w:spacing w:val="6"/>
        </w:rPr>
        <w:t> </w:t>
      </w:r>
      <w:r>
        <w:rPr>
          <w:spacing w:val="-7"/>
        </w:rPr>
        <w:t>万元，占注册资本的</w:t>
      </w:r>
      <w:r>
        <w:rPr>
          <w:spacing w:val="-54"/>
        </w:rPr>
        <w:t> </w:t>
      </w:r>
      <w:r>
        <w:rPr>
          <w:rFonts w:ascii="Times New Roman" w:hAnsi="Times New Roman" w:cs="Times New Roman" w:eastAsia="Times New Roman" w:hint="default"/>
          <w:spacing w:val="-4"/>
        </w:rPr>
        <w:t>90%</w:t>
      </w:r>
      <w:r>
        <w:rPr>
          <w:spacing w:val="-4"/>
        </w:rPr>
        <w:t>，江苏苏宁地铁商业管理有限公司</w:t>
      </w:r>
      <w:r>
        <w:rPr/>
        <w:t> 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-3.91 </w:t>
      </w:r>
      <w:r>
        <w:rPr/>
        <w:t>万元。</w:t>
      </w:r>
    </w:p>
    <w:p>
      <w:pPr>
        <w:pStyle w:val="BodyText"/>
        <w:spacing w:line="240" w:lineRule="auto" w:before="27"/>
        <w:ind w:left="619" w:right="153"/>
        <w:jc w:val="left"/>
      </w:pPr>
      <w:r>
        <w:rPr>
          <w:rFonts w:ascii="Times New Roman" w:hAnsi="Times New Roman" w:cs="Times New Roman" w:eastAsia="Times New Roman" w:hint="default"/>
        </w:rPr>
        <w:t>65</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19 </w:t>
      </w:r>
      <w:r>
        <w:rPr/>
        <w:t>日，苏宁电器股份有限公司和公司控股子公司—江苏苏宁地</w:t>
      </w:r>
    </w:p>
    <w:p>
      <w:pPr>
        <w:pStyle w:val="BodyText"/>
        <w:spacing w:line="338" w:lineRule="auto" w:before="135"/>
        <w:ind w:left="139" w:right="153"/>
        <w:jc w:val="both"/>
      </w:pPr>
      <w:r>
        <w:rPr/>
        <w:t>铁商业管理有限公司共同出资组建淮北苏宁电器有限公司，注册资本</w:t>
      </w:r>
      <w:r>
        <w:rPr>
          <w:spacing w:val="-81"/>
        </w:rPr>
        <w:t> </w:t>
      </w:r>
      <w:r>
        <w:rPr>
          <w:rFonts w:ascii="Times New Roman" w:hAnsi="Times New Roman" w:cs="Times New Roman" w:eastAsia="Times New Roman" w:hint="default"/>
        </w:rPr>
        <w:t>500</w:t>
      </w:r>
      <w:r>
        <w:rPr>
          <w:rFonts w:ascii="Times New Roman" w:hAnsi="Times New Roman" w:cs="Times New Roman" w:eastAsia="Times New Roman" w:hint="default"/>
          <w:spacing w:val="-21"/>
        </w:rPr>
        <w:t> </w:t>
      </w:r>
      <w:r>
        <w:rPr>
          <w:spacing w:val="-8"/>
        </w:rPr>
        <w:t>万元，其中苏</w:t>
      </w:r>
      <w:r>
        <w:rPr/>
        <w:t> 宁电器股份有限公司出资</w:t>
      </w:r>
      <w:r>
        <w:rPr>
          <w:spacing w:val="-55"/>
        </w:rPr>
        <w:t> </w:t>
      </w:r>
      <w:r>
        <w:rPr>
          <w:rFonts w:ascii="Times New Roman" w:hAnsi="Times New Roman" w:cs="Times New Roman" w:eastAsia="Times New Roman" w:hint="default"/>
        </w:rPr>
        <w:t>450</w:t>
      </w:r>
      <w:r>
        <w:rPr>
          <w:rFonts w:ascii="Times New Roman" w:hAnsi="Times New Roman" w:cs="Times New Roman" w:eastAsia="Times New Roman" w:hint="default"/>
          <w:spacing w:val="5"/>
        </w:rPr>
        <w:t> </w:t>
      </w:r>
      <w:r>
        <w:rPr>
          <w:spacing w:val="-7"/>
        </w:rPr>
        <w:t>万元，占注册资本的</w:t>
      </w:r>
      <w:r>
        <w:rPr>
          <w:spacing w:val="-55"/>
        </w:rPr>
        <w:t> </w:t>
      </w:r>
      <w:r>
        <w:rPr>
          <w:rFonts w:ascii="Times New Roman" w:hAnsi="Times New Roman" w:cs="Times New Roman" w:eastAsia="Times New Roman" w:hint="default"/>
          <w:spacing w:val="-4"/>
        </w:rPr>
        <w:t>90%</w:t>
      </w:r>
      <w:r>
        <w:rPr>
          <w:spacing w:val="-4"/>
        </w:rPr>
        <w:t>，江苏苏宁地铁商业管理有限公</w:t>
      </w:r>
      <w:r>
        <w:rPr/>
        <w:t> 司出资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2.92 </w:t>
      </w:r>
      <w:r>
        <w:rPr/>
        <w:t>万元。</w:t>
      </w:r>
    </w:p>
    <w:p>
      <w:pPr>
        <w:pStyle w:val="BodyText"/>
        <w:spacing w:line="240" w:lineRule="auto" w:before="27"/>
        <w:ind w:left="620" w:right="153"/>
        <w:jc w:val="left"/>
      </w:pPr>
      <w:r>
        <w:rPr>
          <w:rFonts w:ascii="Times New Roman" w:hAnsi="Times New Roman" w:cs="Times New Roman" w:eastAsia="Times New Roman" w:hint="default"/>
        </w:rPr>
        <w:t>66</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22 </w:t>
      </w:r>
      <w:r>
        <w:rPr/>
        <w:t>日，苏宁电器股份有限公司和公司控股子公司—江苏苏宁地</w:t>
      </w:r>
    </w:p>
    <w:p>
      <w:pPr>
        <w:pStyle w:val="BodyText"/>
        <w:spacing w:line="338" w:lineRule="auto" w:before="135"/>
        <w:ind w:right="152"/>
        <w:jc w:val="both"/>
      </w:pPr>
      <w:r>
        <w:rPr/>
        <w:t>铁商业管理有限公司共同出资组建石嘴山苏宁电器有限公司，注册资本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10"/>
        </w:rPr>
        <w:t>万元，其中</w:t>
      </w:r>
      <w:r>
        <w:rPr/>
        <w:t> 苏宁电器股份有限公司出资</w:t>
      </w:r>
      <w:r>
        <w:rPr>
          <w:spacing w:val="-56"/>
        </w:rPr>
        <w:t> </w:t>
      </w:r>
      <w:r>
        <w:rPr>
          <w:rFonts w:ascii="Times New Roman" w:hAnsi="Times New Roman" w:cs="Times New Roman" w:eastAsia="Times New Roman" w:hint="default"/>
        </w:rPr>
        <w:t>450</w:t>
      </w:r>
      <w:r>
        <w:rPr>
          <w:rFonts w:ascii="Times New Roman" w:hAnsi="Times New Roman" w:cs="Times New Roman" w:eastAsia="Times New Roman" w:hint="default"/>
          <w:spacing w:val="4"/>
        </w:rPr>
        <w:t> </w:t>
      </w:r>
      <w:r>
        <w:rPr>
          <w:spacing w:val="-7"/>
        </w:rPr>
        <w:t>万元，占注册资本的</w:t>
      </w:r>
      <w:r>
        <w:rPr>
          <w:spacing w:val="-56"/>
        </w:rPr>
        <w:t> </w:t>
      </w:r>
      <w:r>
        <w:rPr>
          <w:rFonts w:ascii="Times New Roman" w:hAnsi="Times New Roman" w:cs="Times New Roman" w:eastAsia="Times New Roman" w:hint="default"/>
          <w:spacing w:val="-4"/>
        </w:rPr>
        <w:t>90%</w:t>
      </w:r>
      <w:r>
        <w:rPr>
          <w:spacing w:val="-4"/>
        </w:rPr>
        <w:t>，江苏苏宁地铁商业管理有限</w:t>
      </w:r>
      <w:r>
        <w:rPr/>
        <w:t> 公司出资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5.07 </w:t>
      </w:r>
      <w:r>
        <w:rPr/>
        <w:t>万元。</w:t>
      </w:r>
    </w:p>
    <w:p>
      <w:pPr>
        <w:pStyle w:val="BodyText"/>
        <w:spacing w:line="240" w:lineRule="auto" w:before="27"/>
        <w:ind w:left="620" w:right="153"/>
        <w:jc w:val="left"/>
      </w:pPr>
      <w:r>
        <w:rPr>
          <w:rFonts w:ascii="Times New Roman" w:hAnsi="Times New Roman" w:cs="Times New Roman" w:eastAsia="Times New Roman" w:hint="default"/>
        </w:rPr>
        <w:t>67</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25 </w:t>
      </w:r>
      <w:r>
        <w:rPr/>
        <w:t>日，苏宁电器股份有限公司和公司控股子公司—江苏苏宁地</w:t>
      </w:r>
    </w:p>
    <w:p>
      <w:pPr>
        <w:pStyle w:val="BodyText"/>
        <w:spacing w:line="338" w:lineRule="auto" w:before="135"/>
        <w:ind w:right="153"/>
        <w:jc w:val="both"/>
      </w:pPr>
      <w:r>
        <w:rPr/>
        <w:t>铁商业管理有限公司共同出资组建吴忠苏宁电器有限公司，注册资本</w:t>
      </w:r>
      <w:r>
        <w:rPr>
          <w:spacing w:val="-81"/>
        </w:rPr>
        <w:t> </w:t>
      </w:r>
      <w:r>
        <w:rPr>
          <w:rFonts w:ascii="Times New Roman" w:hAnsi="Times New Roman" w:cs="Times New Roman" w:eastAsia="Times New Roman" w:hint="default"/>
        </w:rPr>
        <w:t>500</w:t>
      </w:r>
      <w:r>
        <w:rPr>
          <w:rFonts w:ascii="Times New Roman" w:hAnsi="Times New Roman" w:cs="Times New Roman" w:eastAsia="Times New Roman" w:hint="default"/>
          <w:spacing w:val="-21"/>
        </w:rPr>
        <w:t> </w:t>
      </w:r>
      <w:r>
        <w:rPr>
          <w:spacing w:val="-8"/>
        </w:rPr>
        <w:t>万元，其中苏</w:t>
      </w:r>
      <w:r>
        <w:rPr/>
        <w:t> 宁电器股份有限公司出资</w:t>
      </w:r>
      <w:r>
        <w:rPr>
          <w:spacing w:val="-55"/>
        </w:rPr>
        <w:t> </w:t>
      </w:r>
      <w:r>
        <w:rPr>
          <w:rFonts w:ascii="Times New Roman" w:hAnsi="Times New Roman" w:cs="Times New Roman" w:eastAsia="Times New Roman" w:hint="default"/>
        </w:rPr>
        <w:t>450</w:t>
      </w:r>
      <w:r>
        <w:rPr>
          <w:rFonts w:ascii="Times New Roman" w:hAnsi="Times New Roman" w:cs="Times New Roman" w:eastAsia="Times New Roman" w:hint="default"/>
          <w:spacing w:val="5"/>
        </w:rPr>
        <w:t> </w:t>
      </w:r>
      <w:r>
        <w:rPr>
          <w:spacing w:val="-7"/>
        </w:rPr>
        <w:t>万元，占注册资本的</w:t>
      </w:r>
      <w:r>
        <w:rPr>
          <w:spacing w:val="-55"/>
        </w:rPr>
        <w:t> </w:t>
      </w:r>
      <w:r>
        <w:rPr>
          <w:rFonts w:ascii="Times New Roman" w:hAnsi="Times New Roman" w:cs="Times New Roman" w:eastAsia="Times New Roman" w:hint="default"/>
          <w:spacing w:val="-4"/>
        </w:rPr>
        <w:t>90%</w:t>
      </w:r>
      <w:r>
        <w:rPr>
          <w:spacing w:val="-4"/>
        </w:rPr>
        <w:t>，江苏苏宁地铁商业管理有限公</w:t>
      </w:r>
      <w:r>
        <w:rPr/>
        <w:t> 司出资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rFonts w:ascii="Times New Roman" w:hAnsi="Times New Roman" w:cs="Times New Roman" w:eastAsia="Times New Roman" w:hint="default"/>
        </w:rPr>
        <w:t>-14.47 </w:t>
      </w:r>
      <w:r>
        <w:rPr/>
        <w:t>万元。</w:t>
      </w:r>
    </w:p>
    <w:p>
      <w:pPr>
        <w:pStyle w:val="BodyText"/>
        <w:spacing w:line="240" w:lineRule="auto" w:before="27"/>
        <w:ind w:left="620" w:right="153"/>
        <w:jc w:val="left"/>
      </w:pPr>
      <w:r>
        <w:rPr>
          <w:rFonts w:ascii="Times New Roman" w:hAnsi="Times New Roman" w:cs="Times New Roman" w:eastAsia="Times New Roman" w:hint="default"/>
        </w:rPr>
        <w:t>68</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25 </w:t>
      </w:r>
      <w:r>
        <w:rPr/>
        <w:t>日，苏宁电器股份有限公司控股子公司—北京苏宁电器有限</w:t>
      </w:r>
    </w:p>
    <w:p>
      <w:pPr>
        <w:pStyle w:val="BodyText"/>
        <w:spacing w:line="338" w:lineRule="auto" w:before="135"/>
        <w:ind w:right="242"/>
        <w:jc w:val="both"/>
      </w:pPr>
      <w:r>
        <w:rPr/>
        <w:t>公司与通用地产有限公司签署上海市产权交易合同示范文本，出资</w:t>
      </w:r>
      <w:r>
        <w:rPr>
          <w:spacing w:val="-60"/>
        </w:rPr>
        <w:t> </w:t>
      </w:r>
      <w:r>
        <w:rPr>
          <w:rFonts w:ascii="Times New Roman" w:hAnsi="Times New Roman" w:cs="Times New Roman" w:eastAsia="Times New Roman" w:hint="default"/>
        </w:rPr>
        <w:t>18,470 </w:t>
      </w:r>
      <w:r>
        <w:rPr/>
        <w:t>万元，受让 其持有的北京北创融达信息咨询有限公司</w:t>
      </w:r>
      <w:r>
        <w:rPr>
          <w:spacing w:val="-60"/>
        </w:rPr>
        <w:t> </w:t>
      </w:r>
      <w:r>
        <w:rPr>
          <w:rFonts w:ascii="Times New Roman" w:hAnsi="Times New Roman" w:cs="Times New Roman" w:eastAsia="Times New Roman" w:hint="default"/>
        </w:rPr>
        <w:t>70%</w:t>
      </w:r>
      <w:r>
        <w:rPr/>
        <w:t>的股份。该公司本报告期实现净利润</w:t>
      </w:r>
    </w:p>
    <w:p>
      <w:pPr>
        <w:pStyle w:val="BodyText"/>
        <w:spacing w:line="240" w:lineRule="auto" w:before="27"/>
        <w:ind w:left="139" w:right="0"/>
        <w:jc w:val="both"/>
      </w:pPr>
      <w:r>
        <w:rPr>
          <w:rFonts w:ascii="Times New Roman" w:hAnsi="Times New Roman" w:cs="Times New Roman" w:eastAsia="Times New Roman" w:hint="default"/>
        </w:rPr>
        <w:t>-58.10 </w:t>
      </w:r>
      <w:r>
        <w:rPr/>
        <w:t>万元。</w:t>
      </w:r>
    </w:p>
    <w:p>
      <w:pPr>
        <w:spacing w:after="0" w:line="240" w:lineRule="auto"/>
        <w:jc w:val="both"/>
        <w:sectPr>
          <w:pgSz w:w="11910" w:h="16840"/>
          <w:pgMar w:header="748" w:footer="714" w:top="980" w:bottom="900" w:left="1300" w:right="1280"/>
        </w:sectPr>
      </w:pPr>
    </w:p>
    <w:p>
      <w:pPr>
        <w:spacing w:line="240" w:lineRule="auto" w:before="7"/>
        <w:rPr>
          <w:rFonts w:ascii="宋体" w:hAnsi="宋体" w:cs="宋体" w:eastAsia="宋体" w:hint="default"/>
          <w:sz w:val="29"/>
          <w:szCs w:val="29"/>
        </w:rPr>
      </w:pPr>
    </w:p>
    <w:p>
      <w:pPr>
        <w:pStyle w:val="BodyText"/>
        <w:spacing w:line="240" w:lineRule="auto" w:before="26"/>
        <w:ind w:left="620" w:right="217"/>
        <w:jc w:val="left"/>
      </w:pPr>
      <w:r>
        <w:rPr>
          <w:rFonts w:ascii="Times New Roman" w:hAnsi="Times New Roman" w:cs="Times New Roman" w:eastAsia="Times New Roman" w:hint="default"/>
        </w:rPr>
        <w:t>69</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26 </w:t>
      </w:r>
      <w:r>
        <w:rPr/>
        <w:t>日，苏宁电器股份有限公司和公司控股子公司—江苏苏宁地</w:t>
      </w:r>
    </w:p>
    <w:p>
      <w:pPr>
        <w:pStyle w:val="BodyText"/>
        <w:spacing w:line="338" w:lineRule="auto" w:before="135"/>
        <w:ind w:right="233"/>
        <w:jc w:val="both"/>
      </w:pPr>
      <w:r>
        <w:rPr/>
        <w:t>铁商业管理有限公司共同出资组建东营苏宁电器有限公司，注册资本</w:t>
      </w:r>
      <w:r>
        <w:rPr>
          <w:spacing w:val="-81"/>
        </w:rPr>
        <w:t> </w:t>
      </w:r>
      <w:r>
        <w:rPr>
          <w:rFonts w:ascii="Times New Roman" w:hAnsi="Times New Roman" w:cs="Times New Roman" w:eastAsia="Times New Roman" w:hint="default"/>
        </w:rPr>
        <w:t>500</w:t>
      </w:r>
      <w:r>
        <w:rPr>
          <w:rFonts w:ascii="Times New Roman" w:hAnsi="Times New Roman" w:cs="Times New Roman" w:eastAsia="Times New Roman" w:hint="default"/>
          <w:spacing w:val="-21"/>
        </w:rPr>
        <w:t> </w:t>
      </w:r>
      <w:r>
        <w:rPr>
          <w:spacing w:val="-8"/>
        </w:rPr>
        <w:t>万元，其中苏</w:t>
      </w:r>
      <w:r>
        <w:rPr/>
        <w:t> 宁电器股份有限公司出资</w:t>
      </w:r>
      <w:r>
        <w:rPr>
          <w:spacing w:val="-55"/>
        </w:rPr>
        <w:t> </w:t>
      </w:r>
      <w:r>
        <w:rPr>
          <w:rFonts w:ascii="Times New Roman" w:hAnsi="Times New Roman" w:cs="Times New Roman" w:eastAsia="Times New Roman" w:hint="default"/>
        </w:rPr>
        <w:t>450</w:t>
      </w:r>
      <w:r>
        <w:rPr>
          <w:rFonts w:ascii="Times New Roman" w:hAnsi="Times New Roman" w:cs="Times New Roman" w:eastAsia="Times New Roman" w:hint="default"/>
          <w:spacing w:val="5"/>
        </w:rPr>
        <w:t> </w:t>
      </w:r>
      <w:r>
        <w:rPr>
          <w:spacing w:val="-7"/>
        </w:rPr>
        <w:t>万元，占注册资本的</w:t>
      </w:r>
      <w:r>
        <w:rPr>
          <w:spacing w:val="-55"/>
        </w:rPr>
        <w:t> </w:t>
      </w:r>
      <w:r>
        <w:rPr>
          <w:rFonts w:ascii="Times New Roman" w:hAnsi="Times New Roman" w:cs="Times New Roman" w:eastAsia="Times New Roman" w:hint="default"/>
          <w:spacing w:val="-4"/>
        </w:rPr>
        <w:t>90%</w:t>
      </w:r>
      <w:r>
        <w:rPr>
          <w:spacing w:val="-4"/>
        </w:rPr>
        <w:t>，江苏苏宁地铁商业管理有限公</w:t>
      </w:r>
      <w:r>
        <w:rPr/>
        <w:t> 司出资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18.00 </w:t>
      </w:r>
      <w:r>
        <w:rPr/>
        <w:t>万元。</w:t>
      </w:r>
    </w:p>
    <w:p>
      <w:pPr>
        <w:pStyle w:val="BodyText"/>
        <w:spacing w:line="240" w:lineRule="auto" w:before="27"/>
        <w:ind w:left="620" w:right="217"/>
        <w:jc w:val="left"/>
      </w:pPr>
      <w:r>
        <w:rPr>
          <w:rFonts w:ascii="Times New Roman" w:hAnsi="Times New Roman" w:cs="Times New Roman" w:eastAsia="Times New Roman" w:hint="default"/>
        </w:rPr>
        <w:t>70</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15 </w:t>
      </w:r>
      <w:r>
        <w:rPr/>
        <w:t>日，苏宁电器股份有限公司和公司控股子公司—江苏苏宁地</w:t>
      </w:r>
    </w:p>
    <w:p>
      <w:pPr>
        <w:pStyle w:val="BodyText"/>
        <w:spacing w:line="338" w:lineRule="auto" w:before="135"/>
        <w:ind w:right="232"/>
        <w:jc w:val="both"/>
      </w:pPr>
      <w:r>
        <w:rPr/>
        <w:t>铁商业管理有限公司共同出资组建江阴市苏宁电器有限公司，注册资本</w:t>
      </w:r>
      <w:r>
        <w:rPr>
          <w:spacing w:val="-80"/>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10"/>
        </w:rPr>
        <w:t>万元，其中</w:t>
      </w:r>
      <w:r>
        <w:rPr/>
        <w:t> 苏宁电器股份有限公司出资</w:t>
      </w:r>
      <w:r>
        <w:rPr>
          <w:spacing w:val="-56"/>
        </w:rPr>
        <w:t> </w:t>
      </w:r>
      <w:r>
        <w:rPr>
          <w:rFonts w:ascii="Times New Roman" w:hAnsi="Times New Roman" w:cs="Times New Roman" w:eastAsia="Times New Roman" w:hint="default"/>
        </w:rPr>
        <w:t>450</w:t>
      </w:r>
      <w:r>
        <w:rPr>
          <w:rFonts w:ascii="Times New Roman" w:hAnsi="Times New Roman" w:cs="Times New Roman" w:eastAsia="Times New Roman" w:hint="default"/>
          <w:spacing w:val="4"/>
        </w:rPr>
        <w:t> </w:t>
      </w:r>
      <w:r>
        <w:rPr>
          <w:spacing w:val="-7"/>
        </w:rPr>
        <w:t>万元，占注册资本的</w:t>
      </w:r>
      <w:r>
        <w:rPr>
          <w:spacing w:val="-56"/>
        </w:rPr>
        <w:t> </w:t>
      </w:r>
      <w:r>
        <w:rPr>
          <w:rFonts w:ascii="Times New Roman" w:hAnsi="Times New Roman" w:cs="Times New Roman" w:eastAsia="Times New Roman" w:hint="default"/>
          <w:spacing w:val="-4"/>
        </w:rPr>
        <w:t>90%</w:t>
      </w:r>
      <w:r>
        <w:rPr>
          <w:spacing w:val="-4"/>
        </w:rPr>
        <w:t>，江苏苏宁地铁商业管理有限</w:t>
      </w:r>
      <w:r>
        <w:rPr/>
        <w:t> 公司出资</w:t>
      </w:r>
      <w:r>
        <w:rPr>
          <w:spacing w:val="-60"/>
        </w:rPr>
        <w:t> </w:t>
      </w:r>
      <w:r>
        <w:rPr>
          <w:rFonts w:ascii="Times New Roman" w:hAnsi="Times New Roman" w:cs="Times New Roman" w:eastAsia="Times New Roman" w:hint="default"/>
        </w:rPr>
        <w:t>50 </w:t>
      </w:r>
      <w:r>
        <w:rPr/>
        <w:t>万元，占注册资本的</w:t>
      </w:r>
      <w:r>
        <w:rPr>
          <w:spacing w:val="-60"/>
        </w:rPr>
        <w:t> </w:t>
      </w:r>
      <w:r>
        <w:rPr>
          <w:rFonts w:ascii="Times New Roman" w:hAnsi="Times New Roman" w:cs="Times New Roman" w:eastAsia="Times New Roman" w:hint="default"/>
        </w:rPr>
        <w:t>10%</w:t>
      </w:r>
      <w:r>
        <w:rPr/>
        <w:t>。该公司本报告期实现净利润</w:t>
      </w:r>
      <w:r>
        <w:rPr>
          <w:spacing w:val="-60"/>
        </w:rPr>
        <w:t> </w:t>
      </w:r>
      <w:r>
        <w:rPr>
          <w:rFonts w:ascii="Times New Roman" w:hAnsi="Times New Roman" w:cs="Times New Roman" w:eastAsia="Times New Roman" w:hint="default"/>
        </w:rPr>
        <w:t>88.18 </w:t>
      </w:r>
      <w:r>
        <w:rPr/>
        <w:t>万元。</w:t>
      </w:r>
    </w:p>
    <w:p>
      <w:pPr>
        <w:pStyle w:val="BodyText"/>
        <w:spacing w:line="343" w:lineRule="auto" w:before="27"/>
        <w:ind w:left="139" w:right="262" w:firstLine="480"/>
        <w:jc w:val="both"/>
      </w:pPr>
      <w:r>
        <w:rPr>
          <w:rFonts w:ascii="Times New Roman" w:hAnsi="Times New Roman" w:cs="Times New Roman" w:eastAsia="Times New Roman" w:hint="default"/>
        </w:rPr>
        <w:t>71</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22 </w:t>
      </w:r>
      <w:r>
        <w:rPr/>
        <w:t>日，苏宁电器股份有限公司控股子公司—武汉苏宁电器有限 公司和武汉苏宁电器有限公司控股子公司—鄂州苏宁电器有限公司共同出资组建咸宁 苏宁电器有限公司，注册资本</w:t>
      </w:r>
      <w:r>
        <w:rPr>
          <w:spacing w:val="-60"/>
        </w:rPr>
        <w:t> </w:t>
      </w:r>
      <w:r>
        <w:rPr>
          <w:rFonts w:ascii="Times New Roman" w:hAnsi="Times New Roman" w:cs="Times New Roman" w:eastAsia="Times New Roman" w:hint="default"/>
        </w:rPr>
        <w:t>1000 </w:t>
      </w:r>
      <w:r>
        <w:rPr/>
        <w:t>万元，其中武汉电器股份有限公司出资</w:t>
      </w:r>
      <w:r>
        <w:rPr>
          <w:spacing w:val="-60"/>
        </w:rPr>
        <w:t> </w:t>
      </w:r>
      <w:r>
        <w:rPr>
          <w:rFonts w:ascii="Times New Roman" w:hAnsi="Times New Roman" w:cs="Times New Roman" w:eastAsia="Times New Roman" w:hint="default"/>
        </w:rPr>
        <w:t>900 </w:t>
      </w:r>
      <w:r>
        <w:rPr/>
        <w:t>万元， 占注册资本的</w:t>
      </w:r>
      <w:r>
        <w:rPr>
          <w:spacing w:val="-60"/>
        </w:rPr>
        <w:t> </w:t>
      </w:r>
      <w:r>
        <w:rPr>
          <w:rFonts w:ascii="Times New Roman" w:hAnsi="Times New Roman" w:cs="Times New Roman" w:eastAsia="Times New Roman" w:hint="default"/>
        </w:rPr>
        <w:t>90%</w:t>
      </w:r>
      <w:r>
        <w:rPr/>
        <w:t>，鄂州苏宁电器有限公司出资</w:t>
      </w:r>
      <w:r>
        <w:rPr>
          <w:spacing w:val="-60"/>
        </w:rPr>
        <w:t> </w:t>
      </w:r>
      <w:r>
        <w:rPr>
          <w:rFonts w:ascii="Times New Roman" w:hAnsi="Times New Roman" w:cs="Times New Roman" w:eastAsia="Times New Roman" w:hint="default"/>
        </w:rPr>
        <w:t>100 </w:t>
      </w:r>
      <w:r>
        <w:rPr/>
        <w:t>万元，占注册资本的</w:t>
      </w:r>
      <w:r>
        <w:rPr>
          <w:spacing w:val="-60"/>
        </w:rPr>
        <w:t> </w:t>
      </w:r>
      <w:r>
        <w:rPr>
          <w:rFonts w:ascii="Times New Roman" w:hAnsi="Times New Roman" w:cs="Times New Roman" w:eastAsia="Times New Roman" w:hint="default"/>
        </w:rPr>
        <w:t>10%</w:t>
      </w:r>
      <w:r>
        <w:rPr/>
        <w:t>。该公 司本报告期实现净利润</w:t>
      </w:r>
      <w:r>
        <w:rPr>
          <w:rFonts w:ascii="Times New Roman" w:hAnsi="Times New Roman" w:cs="Times New Roman" w:eastAsia="Times New Roman" w:hint="default"/>
        </w:rPr>
        <w:t>-0.59 </w:t>
      </w:r>
      <w:r>
        <w:rPr/>
        <w:t>万元。</w:t>
      </w:r>
    </w:p>
    <w:p>
      <w:pPr>
        <w:pStyle w:val="BodyText"/>
        <w:spacing w:line="240" w:lineRule="auto" w:before="21"/>
        <w:ind w:left="619" w:right="0"/>
        <w:jc w:val="left"/>
      </w:pPr>
      <w:r>
        <w:rPr>
          <w:rFonts w:ascii="Times New Roman" w:hAnsi="Times New Roman" w:cs="Times New Roman" w:eastAsia="Times New Roman" w:hint="default"/>
        </w:rPr>
        <w:t>72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23</w:t>
      </w:r>
      <w:r>
        <w:rPr>
          <w:rFonts w:ascii="Times New Roman" w:hAnsi="Times New Roman" w:cs="Times New Roman" w:eastAsia="Times New Roman" w:hint="default"/>
          <w:spacing w:val="-7"/>
        </w:rPr>
        <w:t> </w:t>
      </w:r>
      <w:r>
        <w:rPr/>
        <w:t>日，苏宁电器股份有限公司和南京易购投资中心（有限合伙）</w:t>
      </w:r>
    </w:p>
    <w:p>
      <w:pPr>
        <w:pStyle w:val="BodyText"/>
        <w:spacing w:line="240" w:lineRule="auto" w:before="135"/>
        <w:ind w:left="139" w:right="0"/>
        <w:jc w:val="both"/>
      </w:pPr>
      <w:r>
        <w:rPr/>
        <w:t>共同出资组建江苏苏宁易购电子商务有限公司，注册资本</w:t>
      </w:r>
      <w:r>
        <w:rPr>
          <w:spacing w:val="-60"/>
        </w:rPr>
        <w:t> </w:t>
      </w:r>
      <w:r>
        <w:rPr>
          <w:rFonts w:ascii="Times New Roman" w:hAnsi="Times New Roman" w:cs="Times New Roman" w:eastAsia="Times New Roman" w:hint="default"/>
        </w:rPr>
        <w:t>5000 </w:t>
      </w:r>
      <w:r>
        <w:rPr/>
        <w:t>万元，其中苏宁电器股</w:t>
      </w:r>
    </w:p>
    <w:p>
      <w:pPr>
        <w:pStyle w:val="BodyText"/>
        <w:spacing w:line="338" w:lineRule="auto" w:before="135"/>
        <w:ind w:right="233"/>
        <w:jc w:val="both"/>
      </w:pPr>
      <w:r>
        <w:rPr/>
        <w:t>份有限公司出资</w:t>
      </w:r>
      <w:r>
        <w:rPr>
          <w:spacing w:val="-58"/>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spacing w:val="-5"/>
        </w:rPr>
        <w:t>万元，占注册资本的</w:t>
      </w:r>
      <w:r>
        <w:rPr>
          <w:spacing w:val="-58"/>
        </w:rPr>
        <w:t> </w:t>
      </w:r>
      <w:r>
        <w:rPr>
          <w:rFonts w:ascii="Times New Roman" w:hAnsi="Times New Roman" w:cs="Times New Roman" w:eastAsia="Times New Roman" w:hint="default"/>
          <w:spacing w:val="-3"/>
        </w:rPr>
        <w:t>60%</w:t>
      </w:r>
      <w:r>
        <w:rPr>
          <w:spacing w:val="-3"/>
        </w:rPr>
        <w:t>，南京易购投资中心出资</w:t>
      </w:r>
      <w:r>
        <w:rPr>
          <w:spacing w:val="-58"/>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spacing w:val="-10"/>
        </w:rPr>
        <w:t>万元，占</w:t>
      </w:r>
      <w:r>
        <w:rPr/>
        <w:t> 注册资本的</w:t>
      </w:r>
      <w:r>
        <w:rPr>
          <w:spacing w:val="-60"/>
        </w:rPr>
        <w:t> </w:t>
      </w:r>
      <w:r>
        <w:rPr>
          <w:rFonts w:ascii="Times New Roman" w:hAnsi="Times New Roman" w:cs="Times New Roman" w:eastAsia="Times New Roman" w:hint="default"/>
        </w:rPr>
        <w:t>40%</w:t>
      </w:r>
      <w:r>
        <w:rPr/>
        <w:t>。该公司本报告期实现净利润</w:t>
      </w:r>
      <w:r>
        <w:rPr>
          <w:rFonts w:ascii="Times New Roman" w:hAnsi="Times New Roman" w:cs="Times New Roman" w:eastAsia="Times New Roman" w:hint="default"/>
        </w:rPr>
        <w:t>-1.58 </w:t>
      </w:r>
      <w:r>
        <w:rPr/>
        <w:t>万元。</w:t>
      </w:r>
    </w:p>
    <w:p>
      <w:pPr>
        <w:pStyle w:val="BodyText"/>
        <w:spacing w:line="240" w:lineRule="auto" w:before="27"/>
        <w:ind w:left="619" w:right="217"/>
        <w:jc w:val="left"/>
      </w:pPr>
      <w:r>
        <w:rPr/>
        <w:t>五、董事会日常工作情况：</w:t>
      </w:r>
    </w:p>
    <w:p>
      <w:pPr>
        <w:pStyle w:val="BodyText"/>
        <w:spacing w:line="345" w:lineRule="auto" w:before="154"/>
        <w:ind w:left="139" w:right="97" w:firstLine="480"/>
        <w:jc w:val="left"/>
      </w:pPr>
      <w:r>
        <w:rPr>
          <w:rFonts w:ascii="Times New Roman" w:hAnsi="Times New Roman" w:cs="Times New Roman" w:eastAsia="Times New Roman" w:hint="default"/>
        </w:rPr>
        <w:t>1</w:t>
      </w:r>
      <w:r>
        <w:rPr/>
        <w:t>、报告期内董事会认真履行工作职责，审慎行使公司《章程》和股东大会赋予的 职权，结合公司经营需要，共召开 </w:t>
      </w:r>
      <w:r>
        <w:rPr>
          <w:rFonts w:ascii="Times New Roman" w:hAnsi="Times New Roman" w:cs="Times New Roman" w:eastAsia="Times New Roman" w:hint="default"/>
        </w:rPr>
        <w:t>12</w:t>
      </w:r>
      <w:r>
        <w:rPr>
          <w:rFonts w:ascii="Times New Roman" w:hAnsi="Times New Roman" w:cs="Times New Roman" w:eastAsia="Times New Roman" w:hint="default"/>
          <w:spacing w:val="-32"/>
        </w:rPr>
        <w:t> </w:t>
      </w:r>
      <w:r>
        <w:rPr/>
        <w:t>次董事会会议，会议的通知、召开、表决程序符 </w:t>
      </w:r>
      <w:r>
        <w:rPr>
          <w:spacing w:val="-12"/>
        </w:rPr>
        <w:t>合《公司法》、公司《章程》、《董事会议事规则》等各项法律、法规及监管部门的要求，</w:t>
      </w:r>
      <w:r>
        <w:rPr>
          <w:spacing w:val="-90"/>
        </w:rPr>
        <w:t> </w:t>
      </w:r>
      <w:r>
        <w:rPr>
          <w:spacing w:val="-90"/>
        </w:rPr>
      </w:r>
      <w:r>
        <w:rPr/>
        <w:t>会议情况及决议内容如下：</w:t>
      </w:r>
    </w:p>
    <w:p>
      <w:pPr>
        <w:pStyle w:val="BodyText"/>
        <w:spacing w:line="343" w:lineRule="auto" w:before="48"/>
        <w:ind w:left="139" w:right="232" w:firstLine="480"/>
        <w:jc w:val="both"/>
      </w:pPr>
      <w:r>
        <w:rPr>
          <w:spacing w:val="-5"/>
        </w:rPr>
        <w:t>（</w:t>
      </w:r>
      <w:r>
        <w:rPr>
          <w:rFonts w:ascii="Times New Roman" w:hAnsi="Times New Roman" w:cs="Times New Roman" w:eastAsia="Times New Roman" w:hint="default"/>
          <w:spacing w:val="-5"/>
        </w:rPr>
        <w:t>1</w:t>
      </w:r>
      <w:r>
        <w:rPr>
          <w:spacing w:val="-5"/>
        </w:rPr>
        <w:t>）公司于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日召开第三届董事会第三十三次会议，审议通过了《关</w:t>
      </w:r>
      <w:r>
        <w:rPr/>
        <w:t> </w:t>
      </w:r>
      <w:r>
        <w:rPr>
          <w:spacing w:val="-5"/>
        </w:rPr>
        <w:t>于修改公司</w:t>
      </w:r>
      <w:r>
        <w:rPr>
          <w:rFonts w:ascii="Times New Roman" w:hAnsi="Times New Roman" w:cs="Times New Roman" w:eastAsia="Times New Roman" w:hint="default"/>
          <w:spacing w:val="-5"/>
        </w:rPr>
        <w:t>&lt;</w:t>
      </w:r>
      <w:r>
        <w:rPr>
          <w:spacing w:val="-5"/>
        </w:rPr>
        <w:t>章程</w:t>
      </w:r>
      <w:r>
        <w:rPr>
          <w:rFonts w:ascii="Times New Roman" w:hAnsi="Times New Roman" w:cs="Times New Roman" w:eastAsia="Times New Roman" w:hint="default"/>
          <w:spacing w:val="-5"/>
        </w:rPr>
        <w:t>&gt;</w:t>
      </w:r>
      <w:r>
        <w:rPr>
          <w:spacing w:val="-5"/>
        </w:rPr>
        <w:t>的议案》、《关于修改</w:t>
      </w:r>
      <w:r>
        <w:rPr>
          <w:rFonts w:ascii="Times New Roman" w:hAnsi="Times New Roman" w:cs="Times New Roman" w:eastAsia="Times New Roman" w:hint="default"/>
          <w:spacing w:val="-5"/>
        </w:rPr>
        <w:t>&lt;</w:t>
      </w:r>
      <w:r>
        <w:rPr>
          <w:spacing w:val="-5"/>
        </w:rPr>
        <w:t>苏宁电器股份有限公司信息披露管理制度</w:t>
      </w:r>
      <w:r>
        <w:rPr>
          <w:rFonts w:ascii="Times New Roman" w:hAnsi="Times New Roman" w:cs="Times New Roman" w:eastAsia="Times New Roman" w:hint="default"/>
          <w:spacing w:val="-5"/>
        </w:rPr>
        <w:t>&gt;</w:t>
      </w:r>
      <w:r>
        <w:rPr>
          <w:spacing w:val="-5"/>
        </w:rPr>
        <w:t>的</w:t>
      </w:r>
      <w:r>
        <w:rPr>
          <w:spacing w:val="-83"/>
        </w:rPr>
        <w:t> </w:t>
      </w:r>
      <w:r>
        <w:rPr>
          <w:spacing w:val="-10"/>
        </w:rPr>
        <w:t>议案》、《苏宁电器股份有限公司年报信息披露重大差错责任追究制度》，本次董事会决</w:t>
      </w:r>
      <w:r>
        <w:rPr>
          <w:spacing w:val="-86"/>
        </w:rPr>
        <w:t> </w:t>
      </w:r>
      <w:r>
        <w:rPr>
          <w:spacing w:val="-86"/>
        </w:rPr>
      </w:r>
      <w:r>
        <w:rPr/>
        <w:t>议公告刊登在</w:t>
      </w:r>
      <w:r>
        <w:rPr>
          <w:spacing w:val="-7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73"/>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r>
        <w:rPr>
          <w:spacing w:val="-74"/>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spacing w:val="-22"/>
        </w:rPr>
        <w:t>日的巨潮资讯网、《证券时报》、《中国证券报》、《上海证券</w:t>
      </w:r>
      <w:r>
        <w:rPr/>
        <w:t> </w:t>
      </w:r>
      <w:r>
        <w:rPr>
          <w:spacing w:val="-22"/>
        </w:rPr>
        <w:t>报》、《证券日报》上；</w:t>
      </w:r>
    </w:p>
    <w:p>
      <w:pPr>
        <w:pStyle w:val="BodyText"/>
        <w:spacing w:line="338" w:lineRule="auto" w:before="50"/>
        <w:ind w:right="233" w:firstLine="480"/>
        <w:jc w:val="both"/>
      </w:pPr>
      <w:r>
        <w:rPr/>
        <w:t>（</w:t>
      </w:r>
      <w:r>
        <w:rPr>
          <w:rFonts w:ascii="Times New Roman" w:hAnsi="Times New Roman" w:cs="Times New Roman" w:eastAsia="Times New Roman" w:hint="default"/>
        </w:rPr>
        <w:t>2</w:t>
      </w:r>
      <w:r>
        <w:rPr>
          <w:spacing w:val="-120"/>
        </w:rPr>
        <w:t>）</w:t>
      </w:r>
      <w:r>
        <w:rPr/>
        <w:t>公司于</w:t>
      </w:r>
      <w:r>
        <w:rPr>
          <w:spacing w:val="-7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w:t>
      </w:r>
      <w:r>
        <w:rPr>
          <w:spacing w:val="-75"/>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月</w:t>
      </w:r>
      <w:r>
        <w:rPr>
          <w:spacing w:val="-76"/>
        </w:rPr>
        <w:t> </w:t>
      </w:r>
      <w:r>
        <w:rPr>
          <w:rFonts w:ascii="Times New Roman" w:hAnsi="Times New Roman" w:cs="Times New Roman" w:eastAsia="Times New Roman" w:hint="default"/>
        </w:rPr>
        <w:t>14</w:t>
      </w:r>
      <w:r>
        <w:rPr>
          <w:rFonts w:ascii="Times New Roman" w:hAnsi="Times New Roman" w:cs="Times New Roman" w:eastAsia="Times New Roman" w:hint="default"/>
          <w:spacing w:val="-16"/>
        </w:rPr>
        <w:t> </w:t>
      </w:r>
      <w:r>
        <w:rPr/>
        <w:t>日召开第三届董事会第三十四次会议</w:t>
      </w:r>
      <w:r>
        <w:rPr>
          <w:spacing w:val="-120"/>
        </w:rPr>
        <w:t>，</w:t>
      </w:r>
      <w:r>
        <w:rPr/>
        <w:t>审议通过</w:t>
      </w:r>
      <w:r>
        <w:rPr>
          <w:spacing w:val="-120"/>
        </w:rPr>
        <w:t>了</w:t>
      </w:r>
      <w:r>
        <w:rPr/>
        <w:t>《</w:t>
      </w:r>
      <w:r>
        <w:rPr>
          <w:rFonts w:ascii="Times New Roman" w:hAnsi="Times New Roman" w:cs="Times New Roman" w:eastAsia="Times New Roman" w:hint="default"/>
        </w:rPr>
        <w:t>2009 </w:t>
      </w:r>
      <w:r>
        <w:rPr/>
        <w:t>年度总裁工作报告</w:t>
      </w:r>
      <w:r>
        <w:rPr>
          <w:spacing w:val="-120"/>
        </w:rPr>
        <w:t>》、</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年度董事会工作报告</w:t>
      </w:r>
      <w:r>
        <w:rPr>
          <w:spacing w:val="-120"/>
        </w:rPr>
        <w:t>》、</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年度财务决算报告</w:t>
      </w:r>
      <w:r>
        <w:rPr>
          <w:spacing w:val="-120"/>
        </w:rPr>
        <w:t>》、</w:t>
      </w:r>
      <w:r>
        <w:rPr/>
        <w:t>《</w:t>
      </w:r>
      <w:r>
        <w:rPr>
          <w:rFonts w:ascii="Times New Roman" w:hAnsi="Times New Roman" w:cs="Times New Roman" w:eastAsia="Times New Roman" w:hint="default"/>
        </w:rPr>
        <w:t>2009 </w:t>
      </w:r>
      <w:r>
        <w:rPr/>
        <w:t>年年度报告</w:t>
      </w:r>
      <w:r>
        <w:rPr>
          <w:spacing w:val="-16"/>
        </w:rPr>
        <w:t>》及</w:t>
      </w:r>
      <w:r>
        <w:rPr/>
        <w:t>《</w:t>
      </w:r>
      <w:r>
        <w:rPr>
          <w:rFonts w:ascii="Times New Roman" w:hAnsi="Times New Roman" w:cs="Times New Roman" w:eastAsia="Times New Roman" w:hint="default"/>
        </w:rPr>
        <w:t>2009 </w:t>
      </w:r>
      <w:r>
        <w:rPr/>
        <w:t>年年度报告摘要</w:t>
      </w:r>
      <w:r>
        <w:rPr>
          <w:spacing w:val="-120"/>
        </w:rPr>
        <w:t>》、</w:t>
      </w:r>
      <w:r>
        <w:rPr/>
        <w:t>《</w:t>
      </w:r>
      <w:r>
        <w:rPr>
          <w:rFonts w:ascii="Times New Roman" w:hAnsi="Times New Roman" w:cs="Times New Roman" w:eastAsia="Times New Roman" w:hint="default"/>
        </w:rPr>
        <w:t>2009 </w:t>
      </w:r>
      <w:r>
        <w:rPr/>
        <w:t>年度利润分配预案</w:t>
      </w:r>
      <w:r>
        <w:rPr>
          <w:spacing w:val="-120"/>
        </w:rPr>
        <w:t>》、</w:t>
      </w:r>
      <w:r>
        <w:rPr/>
        <w:t>《</w:t>
      </w:r>
      <w:r>
        <w:rPr>
          <w:rFonts w:ascii="Times New Roman" w:hAnsi="Times New Roman" w:cs="Times New Roman" w:eastAsia="Times New Roman" w:hint="default"/>
        </w:rPr>
        <w:t>2009 </w:t>
      </w:r>
      <w:r>
        <w:rPr/>
        <w:t>年度募集 资金年度使用情况的专项报告</w:t>
      </w:r>
      <w:r>
        <w:rPr>
          <w:spacing w:val="-120"/>
        </w:rPr>
        <w:t>》、</w:t>
      </w:r>
      <w:r>
        <w:rPr/>
        <w:t>《关于公司</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年度关联交易情况说明的议案</w:t>
      </w:r>
      <w:r>
        <w:rPr>
          <w:spacing w:val="-120"/>
        </w:rPr>
        <w:t>》、</w:t>
      </w:r>
      <w:r>
        <w:rPr/>
        <w:t>《关</w:t>
      </w:r>
    </w:p>
    <w:p>
      <w:pPr>
        <w:spacing w:after="0" w:line="338" w:lineRule="auto"/>
        <w:jc w:val="both"/>
        <w:sectPr>
          <w:footerReference w:type="default" r:id="rId40"/>
          <w:pgSz w:w="11910" w:h="16840"/>
          <w:pgMar w:footer="714" w:header="748" w:top="980" w:bottom="900" w:left="1300" w:right="1200"/>
          <w:pgNumType w:start="75"/>
        </w:sectPr>
      </w:pPr>
    </w:p>
    <w:p>
      <w:pPr>
        <w:spacing w:line="240" w:lineRule="auto" w:before="7"/>
        <w:rPr>
          <w:rFonts w:ascii="宋体" w:hAnsi="宋体" w:cs="宋体" w:eastAsia="宋体" w:hint="default"/>
          <w:sz w:val="29"/>
          <w:szCs w:val="29"/>
        </w:rPr>
      </w:pPr>
    </w:p>
    <w:p>
      <w:pPr>
        <w:pStyle w:val="BodyText"/>
        <w:spacing w:line="343" w:lineRule="auto" w:before="26"/>
        <w:ind w:right="232"/>
        <w:jc w:val="both"/>
      </w:pPr>
      <w:r>
        <w:rPr/>
        <w:t>于续聘会计师事务所的议案</w:t>
      </w:r>
      <w:r>
        <w:rPr>
          <w:spacing w:val="-120"/>
        </w:rPr>
        <w:t>》、</w:t>
      </w:r>
      <w:r>
        <w:rPr/>
        <w:t>《关于公司</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年度内部控制的自我评价报告</w:t>
      </w:r>
      <w:r>
        <w:rPr>
          <w:spacing w:val="-120"/>
        </w:rPr>
        <w:t>》、</w:t>
      </w:r>
      <w:r>
        <w:rPr/>
        <w:t>《</w:t>
      </w:r>
      <w:r>
        <w:rPr>
          <w:rFonts w:ascii="Times New Roman" w:hAnsi="Times New Roman" w:cs="Times New Roman" w:eastAsia="Times New Roman" w:hint="default"/>
        </w:rPr>
        <w:t>2009 </w:t>
      </w:r>
      <w:r>
        <w:rPr/>
        <w:t>年度企业社会责任报告</w:t>
      </w:r>
      <w:r>
        <w:rPr>
          <w:spacing w:val="-120"/>
        </w:rPr>
        <w:t>》、</w:t>
      </w:r>
      <w:r>
        <w:rPr/>
        <w:t>《关于调整公司董事</w:t>
      </w:r>
      <w:r>
        <w:rPr>
          <w:spacing w:val="-92"/>
        </w:rPr>
        <w:t>、</w:t>
      </w:r>
      <w:r>
        <w:rPr/>
        <w:t>高级管理人员薪酬及津贴的议案</w:t>
      </w:r>
      <w:r>
        <w:rPr>
          <w:spacing w:val="-120"/>
        </w:rPr>
        <w:t>》、</w:t>
      </w:r>
      <w:r>
        <w:rPr/>
        <w:t>《关</w:t>
      </w:r>
      <w:r>
        <w:rPr/>
        <w:t> 于增加公司经营范围的议案</w:t>
      </w:r>
      <w:r>
        <w:rPr>
          <w:spacing w:val="-120"/>
        </w:rPr>
        <w:t>》、</w:t>
      </w:r>
      <w:r>
        <w:rPr/>
        <w:t>《关于修改公司</w:t>
      </w:r>
      <w:r>
        <w:rPr>
          <w:rFonts w:ascii="Times New Roman" w:hAnsi="Times New Roman" w:cs="Times New Roman" w:eastAsia="Times New Roman" w:hint="default"/>
        </w:rPr>
        <w:t>&lt;</w:t>
      </w:r>
      <w:r>
        <w:rPr/>
        <w:t>章程</w:t>
      </w:r>
      <w:r>
        <w:rPr>
          <w:rFonts w:ascii="Times New Roman" w:hAnsi="Times New Roman" w:cs="Times New Roman" w:eastAsia="Times New Roman" w:hint="default"/>
        </w:rPr>
        <w:t>&gt;</w:t>
      </w:r>
      <w:r>
        <w:rPr/>
        <w:t>的议案</w:t>
      </w:r>
      <w:r>
        <w:rPr>
          <w:spacing w:val="-120"/>
        </w:rPr>
        <w:t>》</w:t>
      </w:r>
      <w:r>
        <w:rPr/>
        <w:t>、</w:t>
      </w:r>
      <w:r>
        <w:rPr>
          <w:spacing w:val="-3"/>
        </w:rPr>
        <w:t> </w:t>
      </w:r>
      <w:r>
        <w:rPr/>
        <w:t>《关于召开</w:t>
      </w:r>
      <w:r>
        <w:rPr>
          <w:spacing w:val="-60"/>
        </w:rPr>
        <w:t> </w:t>
      </w:r>
      <w:r>
        <w:rPr>
          <w:rFonts w:ascii="Times New Roman" w:hAnsi="Times New Roman" w:cs="Times New Roman" w:eastAsia="Times New Roman" w:hint="default"/>
        </w:rPr>
        <w:t>2009 </w:t>
      </w:r>
      <w:r>
        <w:rPr/>
        <w:t>年年 度股东大会的议案</w:t>
      </w:r>
      <w:r>
        <w:rPr>
          <w:spacing w:val="-120"/>
        </w:rPr>
        <w:t>》</w:t>
      </w:r>
      <w:r>
        <w:rPr>
          <w:spacing w:val="-92"/>
        </w:rPr>
        <w:t>，</w:t>
      </w:r>
      <w:r>
        <w:rPr/>
        <w:t>本次董事会决议公告刊登在</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16 </w:t>
      </w:r>
      <w:r>
        <w:rPr/>
        <w:t>日的巨潮资讯网</w:t>
      </w:r>
      <w:r>
        <w:rPr>
          <w:spacing w:val="-120"/>
        </w:rPr>
        <w:t>、</w:t>
      </w:r>
      <w:r>
        <w:rPr/>
        <w:t>《证</w:t>
      </w:r>
      <w:r>
        <w:rPr/>
        <w:t> 券时报</w:t>
      </w:r>
      <w:r>
        <w:rPr>
          <w:spacing w:val="-120"/>
        </w:rPr>
        <w:t>》、</w:t>
      </w:r>
      <w:r>
        <w:rPr/>
        <w:t>《中国证券报</w:t>
      </w:r>
      <w:r>
        <w:rPr>
          <w:spacing w:val="-120"/>
        </w:rPr>
        <w:t>》、</w:t>
      </w:r>
      <w:r>
        <w:rPr/>
        <w:t>《上海证券报</w:t>
      </w:r>
      <w:r>
        <w:rPr>
          <w:spacing w:val="-120"/>
        </w:rPr>
        <w:t>》、</w:t>
      </w:r>
      <w:r>
        <w:rPr/>
        <w:t>《证券日报》上；</w:t>
      </w:r>
    </w:p>
    <w:p>
      <w:pPr>
        <w:pStyle w:val="BodyText"/>
        <w:spacing w:line="240" w:lineRule="auto" w:before="50"/>
        <w:ind w:left="620" w:right="97"/>
        <w:jc w:val="left"/>
      </w:pPr>
      <w:r>
        <w:rPr>
          <w:spacing w:val="-12"/>
        </w:rPr>
        <w:t>（</w:t>
      </w:r>
      <w:r>
        <w:rPr>
          <w:rFonts w:ascii="Times New Roman" w:hAnsi="Times New Roman" w:cs="Times New Roman" w:eastAsia="Times New Roman" w:hint="default"/>
          <w:spacing w:val="-12"/>
        </w:rPr>
        <w:t>3</w:t>
      </w:r>
      <w:r>
        <w:rPr>
          <w:spacing w:val="-12"/>
        </w:rPr>
        <w:t>）公司于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28 </w:t>
      </w:r>
      <w:r>
        <w:rPr>
          <w:spacing w:val="-6"/>
        </w:rPr>
        <w:t>日召开第三届董事会第三十五次会议，审议通过了《关</w:t>
      </w:r>
    </w:p>
    <w:p>
      <w:pPr>
        <w:pStyle w:val="BodyText"/>
        <w:spacing w:line="240" w:lineRule="auto" w:before="135"/>
        <w:ind w:right="0"/>
        <w:jc w:val="both"/>
      </w:pPr>
      <w:r>
        <w:rPr/>
        <w:t>于修改公司</w:t>
      </w:r>
      <w:r>
        <w:rPr>
          <w:rFonts w:ascii="Times New Roman" w:hAnsi="Times New Roman" w:cs="Times New Roman" w:eastAsia="Times New Roman" w:hint="default"/>
        </w:rPr>
        <w:t>&lt;</w:t>
      </w:r>
      <w:r>
        <w:rPr/>
        <w:t>章程</w:t>
      </w:r>
      <w:r>
        <w:rPr>
          <w:rFonts w:ascii="Times New Roman" w:hAnsi="Times New Roman" w:cs="Times New Roman" w:eastAsia="Times New Roman" w:hint="default"/>
        </w:rPr>
        <w:t>&gt;</w:t>
      </w:r>
      <w:r>
        <w:rPr/>
        <w:t>的议案</w:t>
      </w:r>
      <w:r>
        <w:rPr>
          <w:spacing w:val="-120"/>
        </w:rPr>
        <w:t>》、</w:t>
      </w:r>
      <w:r>
        <w:rPr/>
        <w:t>《苏宁电器股份有限公司</w:t>
      </w:r>
      <w:r>
        <w:rPr>
          <w:spacing w:val="-2"/>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2"/>
        </w:rPr>
        <w:t> </w:t>
      </w:r>
      <w:r>
        <w:rPr/>
        <w:t>年第一季度报告</w:t>
      </w:r>
      <w:r>
        <w:rPr>
          <w:spacing w:val="-120"/>
        </w:rPr>
        <w:t>》</w:t>
      </w:r>
      <w:r>
        <w:rPr/>
        <w:t>，本次董</w:t>
      </w:r>
    </w:p>
    <w:p>
      <w:pPr>
        <w:pStyle w:val="BodyText"/>
        <w:spacing w:line="240" w:lineRule="auto" w:before="135"/>
        <w:ind w:right="0"/>
        <w:jc w:val="both"/>
      </w:pPr>
      <w:r>
        <w:rPr/>
        <w:t>事会决议公告刊登在</w:t>
      </w:r>
      <w:r>
        <w:rPr>
          <w:spacing w:val="-16"/>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16"/>
        </w:rPr>
        <w:t> </w:t>
      </w:r>
      <w:r>
        <w:rPr/>
        <w:t>年</w:t>
      </w:r>
      <w:r>
        <w:rPr>
          <w:spacing w:val="-16"/>
        </w:rPr>
        <w:t> </w:t>
      </w:r>
      <w:r>
        <w:rPr>
          <w:rFonts w:ascii="Times New Roman" w:hAnsi="Times New Roman" w:cs="Times New Roman" w:eastAsia="Times New Roman" w:hint="default"/>
        </w:rPr>
        <w:t>4 </w:t>
      </w:r>
      <w:r>
        <w:rPr>
          <w:rFonts w:ascii="Times New Roman" w:hAnsi="Times New Roman" w:cs="Times New Roman" w:eastAsia="Times New Roman" w:hint="default"/>
          <w:spacing w:val="-15"/>
        </w:rPr>
        <w:t> </w:t>
      </w:r>
      <w:r>
        <w:rPr/>
        <w:t>月</w:t>
      </w:r>
      <w:r>
        <w:rPr>
          <w:spacing w:val="-16"/>
        </w:rPr>
        <w:t> </w:t>
      </w:r>
      <w:r>
        <w:rPr>
          <w:rFonts w:ascii="Times New Roman" w:hAnsi="Times New Roman" w:cs="Times New Roman" w:eastAsia="Times New Roman" w:hint="default"/>
        </w:rPr>
        <w:t>29 </w:t>
      </w:r>
      <w:r>
        <w:rPr>
          <w:rFonts w:ascii="Times New Roman" w:hAnsi="Times New Roman" w:cs="Times New Roman" w:eastAsia="Times New Roman" w:hint="default"/>
          <w:spacing w:val="-16"/>
        </w:rPr>
        <w:t> </w:t>
      </w:r>
      <w:r>
        <w:rPr/>
        <w:t>日的巨潮资讯网</w:t>
      </w:r>
      <w:r>
        <w:rPr>
          <w:spacing w:val="-120"/>
        </w:rPr>
        <w:t>、</w:t>
      </w:r>
      <w:r>
        <w:rPr/>
        <w:t>《证券时报</w:t>
      </w:r>
      <w:r>
        <w:rPr>
          <w:spacing w:val="-120"/>
        </w:rPr>
        <w:t>》、</w:t>
      </w:r>
      <w:r>
        <w:rPr/>
        <w:t>《中国证券报</w:t>
      </w:r>
      <w:r>
        <w:rPr>
          <w:spacing w:val="-120"/>
        </w:rPr>
        <w:t>》</w:t>
      </w:r>
      <w:r>
        <w:rPr/>
        <w:t>、</w:t>
      </w:r>
    </w:p>
    <w:p>
      <w:pPr>
        <w:pStyle w:val="BodyText"/>
        <w:spacing w:line="240" w:lineRule="auto" w:before="135"/>
        <w:ind w:right="0"/>
        <w:jc w:val="both"/>
      </w:pPr>
      <w:r>
        <w:rPr/>
        <w:t>《上海证券报</w:t>
      </w:r>
      <w:r>
        <w:rPr>
          <w:spacing w:val="-120"/>
        </w:rPr>
        <w:t>》、</w:t>
      </w:r>
      <w:r>
        <w:rPr/>
        <w:t>《证券日报》上；</w:t>
      </w:r>
    </w:p>
    <w:p>
      <w:pPr>
        <w:pStyle w:val="BodyText"/>
        <w:spacing w:line="348" w:lineRule="auto" w:before="154"/>
        <w:ind w:right="113" w:firstLine="480"/>
        <w:jc w:val="both"/>
      </w:pPr>
      <w:r>
        <w:rPr>
          <w:spacing w:val="-12"/>
        </w:rPr>
        <w:t>（</w:t>
      </w:r>
      <w:r>
        <w:rPr>
          <w:rFonts w:ascii="Times New Roman" w:hAnsi="Times New Roman" w:cs="Times New Roman" w:eastAsia="Times New Roman" w:hint="default"/>
          <w:spacing w:val="-12"/>
        </w:rPr>
        <w:t>4</w:t>
      </w:r>
      <w:r>
        <w:rPr>
          <w:spacing w:val="-12"/>
        </w:rPr>
        <w:t>）公司于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14 </w:t>
      </w:r>
      <w:r>
        <w:rPr>
          <w:spacing w:val="-6"/>
        </w:rPr>
        <w:t>日召开第三届董事会第三十六次会议，审议通过了《关</w:t>
      </w:r>
      <w:r>
        <w:rPr/>
        <w:t> </w:t>
      </w:r>
      <w:r>
        <w:rPr>
          <w:spacing w:val="-4"/>
        </w:rPr>
        <w:t>于为福建、安徽、武汉、湖南、香港子公司提供担保的议案》，本次董事会决议公告刊</w:t>
      </w:r>
      <w:r>
        <w:rPr>
          <w:spacing w:val="-85"/>
        </w:rPr>
        <w:t> </w:t>
      </w:r>
      <w:r>
        <w:rPr>
          <w:spacing w:val="-85"/>
        </w:rPr>
      </w:r>
      <w:r>
        <w:rPr/>
        <w:t>登在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10"/>
        </w:rPr>
        <w:t> </w:t>
      </w:r>
      <w:r>
        <w:rPr>
          <w:spacing w:val="-24"/>
        </w:rPr>
        <w:t>日的巨潮资讯网、《证券时报》、《中国证券报》、《上海证券报》、</w:t>
      </w:r>
    </w:p>
    <w:p>
      <w:pPr>
        <w:pStyle w:val="BodyText"/>
        <w:spacing w:line="240" w:lineRule="auto" w:before="16"/>
        <w:ind w:right="0"/>
        <w:jc w:val="both"/>
      </w:pPr>
      <w:r>
        <w:rPr/>
        <w:t>《证券日报》上；</w:t>
      </w:r>
    </w:p>
    <w:p>
      <w:pPr>
        <w:pStyle w:val="BodyText"/>
        <w:spacing w:line="345" w:lineRule="auto" w:before="154"/>
        <w:ind w:right="231" w:firstLine="480"/>
        <w:jc w:val="both"/>
      </w:pPr>
      <w:r>
        <w:rPr>
          <w:spacing w:val="-5"/>
        </w:rPr>
        <w:t>（</w:t>
      </w:r>
      <w:r>
        <w:rPr>
          <w:rFonts w:ascii="Times New Roman" w:hAnsi="Times New Roman" w:cs="Times New Roman" w:eastAsia="Times New Roman" w:hint="default"/>
          <w:spacing w:val="-5"/>
        </w:rPr>
        <w:t>5</w:t>
      </w:r>
      <w:r>
        <w:rPr>
          <w:spacing w:val="-5"/>
        </w:rPr>
        <w:t>）公司于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召开第三届董事会第三十七次会议，审议通过了《关于</w:t>
      </w:r>
      <w:r>
        <w:rPr/>
        <w:t> </w:t>
      </w:r>
      <w:r>
        <w:rPr>
          <w:spacing w:val="-3"/>
        </w:rPr>
        <w:t>以募集资金置换预先已投入募投项目的自筹资金的议案》，本次董事会决议公告刊登在</w:t>
      </w:r>
      <w:r>
        <w:rPr>
          <w:spacing w:val="-114"/>
        </w:rPr>
        <w:t> </w:t>
      </w:r>
      <w:r>
        <w:rPr>
          <w:spacing w:val="-114"/>
        </w:rPr>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8 </w:t>
      </w:r>
      <w:r>
        <w:rPr>
          <w:spacing w:val="-25"/>
        </w:rPr>
        <w:t>日的巨潮资讯网、《证券时报》、《中国证券报》、《上海证券报》、《证券日</w:t>
      </w:r>
      <w:r>
        <w:rPr/>
        <w:t> 报》上；</w:t>
      </w:r>
    </w:p>
    <w:p>
      <w:pPr>
        <w:pStyle w:val="BodyText"/>
        <w:spacing w:line="338" w:lineRule="auto" w:before="48"/>
        <w:ind w:right="112" w:firstLine="480"/>
        <w:jc w:val="both"/>
      </w:pPr>
      <w:r>
        <w:rPr>
          <w:spacing w:val="-5"/>
        </w:rPr>
        <w:t>（</w:t>
      </w:r>
      <w:r>
        <w:rPr>
          <w:rFonts w:ascii="Times New Roman" w:hAnsi="Times New Roman" w:cs="Times New Roman" w:eastAsia="Times New Roman" w:hint="default"/>
          <w:spacing w:val="-5"/>
        </w:rPr>
        <w:t>6</w:t>
      </w:r>
      <w:r>
        <w:rPr>
          <w:spacing w:val="-5"/>
        </w:rPr>
        <w:t>）公司于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3"/>
        </w:rPr>
        <w:t>日召开第三届董事会第三十八次会议，审议通过了《关</w:t>
      </w:r>
      <w:r>
        <w:rPr/>
        <w:t> 于公司董事会换届选举的议案》、《关于设立公司第四届董事会专门委员会的议案》、</w:t>
      </w:r>
    </w:p>
    <w:p>
      <w:pPr>
        <w:pStyle w:val="BodyText"/>
        <w:spacing w:line="240" w:lineRule="auto" w:before="55"/>
        <w:ind w:right="0"/>
        <w:jc w:val="both"/>
      </w:pPr>
      <w:r>
        <w:rPr/>
        <w:t>《关于修改公司经营范围的议案</w:t>
      </w:r>
      <w:r>
        <w:rPr>
          <w:spacing w:val="-120"/>
        </w:rPr>
        <w:t>》、</w:t>
      </w:r>
      <w:r>
        <w:rPr/>
        <w:t>《关于修改公司</w:t>
      </w:r>
      <w:r>
        <w:rPr>
          <w:rFonts w:ascii="Times New Roman" w:hAnsi="Times New Roman" w:cs="Times New Roman" w:eastAsia="Times New Roman" w:hint="default"/>
        </w:rPr>
        <w:t>&lt;</w:t>
      </w:r>
      <w:r>
        <w:rPr/>
        <w:t>章程</w:t>
      </w:r>
      <w:r>
        <w:rPr>
          <w:rFonts w:ascii="Times New Roman" w:hAnsi="Times New Roman" w:cs="Times New Roman" w:eastAsia="Times New Roman" w:hint="default"/>
        </w:rPr>
        <w:t>&gt;</w:t>
      </w:r>
      <w:r>
        <w:rPr/>
        <w:t>的议案</w:t>
      </w:r>
      <w:r>
        <w:rPr>
          <w:spacing w:val="-120"/>
        </w:rPr>
        <w:t>》、</w:t>
      </w:r>
      <w:r>
        <w:rPr/>
        <w:t>《关于召开</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p>
    <w:p>
      <w:pPr>
        <w:pStyle w:val="BodyText"/>
        <w:spacing w:line="338" w:lineRule="auto" w:before="135"/>
        <w:ind w:right="216"/>
        <w:jc w:val="left"/>
      </w:pPr>
      <w:r>
        <w:rPr/>
        <w:t>第一次临时股东大会的议案</w:t>
      </w:r>
      <w:r>
        <w:rPr>
          <w:spacing w:val="-120"/>
        </w:rPr>
        <w:t>》</w:t>
      </w:r>
      <w:r>
        <w:rPr>
          <w:spacing w:val="-92"/>
        </w:rPr>
        <w:t>，</w:t>
      </w:r>
      <w:r>
        <w:rPr/>
        <w:t>本次董事会决议公告刊登在</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9 </w:t>
      </w:r>
      <w:r>
        <w:rPr/>
        <w:t>日的巨潮资讯 网</w:t>
      </w:r>
      <w:r>
        <w:rPr>
          <w:spacing w:val="-120"/>
        </w:rPr>
        <w:t>、</w:t>
      </w:r>
      <w:r>
        <w:rPr/>
        <w:t>《证券时报</w:t>
      </w:r>
      <w:r>
        <w:rPr>
          <w:spacing w:val="-120"/>
        </w:rPr>
        <w:t>》、</w:t>
      </w:r>
      <w:r>
        <w:rPr/>
        <w:t>《中国证券报</w:t>
      </w:r>
      <w:r>
        <w:rPr>
          <w:spacing w:val="-120"/>
        </w:rPr>
        <w:t>》、</w:t>
      </w:r>
      <w:r>
        <w:rPr/>
        <w:t>《上海证券报</w:t>
      </w:r>
      <w:r>
        <w:rPr>
          <w:spacing w:val="-120"/>
        </w:rPr>
        <w:t>》、</w:t>
      </w:r>
      <w:r>
        <w:rPr/>
        <w:t>《证券日报》上；</w:t>
      </w:r>
    </w:p>
    <w:p>
      <w:pPr>
        <w:pStyle w:val="BodyText"/>
        <w:spacing w:line="343" w:lineRule="auto" w:before="55"/>
        <w:ind w:right="113" w:firstLine="480"/>
        <w:jc w:val="both"/>
      </w:pPr>
      <w:r>
        <w:rPr/>
        <w:t>（</w:t>
      </w:r>
      <w:r>
        <w:rPr>
          <w:rFonts w:ascii="Times New Roman" w:hAnsi="Times New Roman" w:cs="Times New Roman" w:eastAsia="Times New Roman" w:hint="default"/>
        </w:rPr>
        <w:t>7</w:t>
      </w:r>
      <w:r>
        <w:rPr/>
        <w:t>）公司于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日召开第四届董事会第一次会议，审议通过了《关于 </w:t>
      </w:r>
      <w:r>
        <w:rPr>
          <w:spacing w:val="-7"/>
        </w:rPr>
        <w:t>选举公司董事长的议案》、《关于修改公司</w:t>
      </w:r>
      <w:r>
        <w:rPr>
          <w:rFonts w:ascii="Times New Roman" w:hAnsi="Times New Roman" w:cs="Times New Roman" w:eastAsia="Times New Roman" w:hint="default"/>
          <w:spacing w:val="-7"/>
        </w:rPr>
        <w:t>&lt;</w:t>
      </w:r>
      <w:r>
        <w:rPr>
          <w:spacing w:val="-7"/>
        </w:rPr>
        <w:t>章程</w:t>
      </w:r>
      <w:r>
        <w:rPr>
          <w:rFonts w:ascii="Times New Roman" w:hAnsi="Times New Roman" w:cs="Times New Roman" w:eastAsia="Times New Roman" w:hint="default"/>
          <w:spacing w:val="-7"/>
        </w:rPr>
        <w:t>&gt;</w:t>
      </w:r>
      <w:r>
        <w:rPr>
          <w:spacing w:val="-7"/>
        </w:rPr>
        <w:t>的议案》、《关于修改公司</w:t>
      </w:r>
      <w:r>
        <w:rPr>
          <w:rFonts w:ascii="Times New Roman" w:hAnsi="Times New Roman" w:cs="Times New Roman" w:eastAsia="Times New Roman" w:hint="default"/>
          <w:spacing w:val="-7"/>
        </w:rPr>
        <w:t>&lt;</w:t>
      </w:r>
      <w:r>
        <w:rPr>
          <w:spacing w:val="-7"/>
        </w:rPr>
        <w:t>股东大会</w:t>
      </w:r>
      <w:r>
        <w:rPr>
          <w:spacing w:val="-115"/>
        </w:rPr>
        <w:t> </w:t>
      </w:r>
      <w:r>
        <w:rPr>
          <w:spacing w:val="-18"/>
        </w:rPr>
        <w:t>议事规则</w:t>
      </w:r>
      <w:r>
        <w:rPr>
          <w:rFonts w:ascii="Times New Roman" w:hAnsi="Times New Roman" w:cs="Times New Roman" w:eastAsia="Times New Roman" w:hint="default"/>
          <w:spacing w:val="-18"/>
        </w:rPr>
        <w:t>&gt;</w:t>
      </w:r>
      <w:r>
        <w:rPr>
          <w:spacing w:val="-18"/>
        </w:rPr>
        <w:t>的议案》、《关于聘任公司总裁的议案》、《关于聘任公司副总裁的议案》、《关</w:t>
      </w:r>
      <w:r>
        <w:rPr>
          <w:spacing w:val="-100"/>
        </w:rPr>
        <w:t> </w:t>
      </w:r>
      <w:r>
        <w:rPr>
          <w:spacing w:val="-100"/>
        </w:rPr>
      </w:r>
      <w:r>
        <w:rPr>
          <w:spacing w:val="-10"/>
        </w:rPr>
        <w:t>于续聘公司财务负责人的议案》、《关于聘任公司内部审计部门负责人的议案》，本次董</w:t>
      </w:r>
      <w:r>
        <w:rPr>
          <w:spacing w:val="-91"/>
        </w:rPr>
        <w:t> </w:t>
      </w:r>
      <w:r>
        <w:rPr>
          <w:spacing w:val="-91"/>
        </w:rPr>
      </w:r>
      <w:r>
        <w:rPr/>
        <w:t>事会决议公告刊登在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28 </w:t>
      </w:r>
      <w:r>
        <w:rPr>
          <w:rFonts w:ascii="Times New Roman" w:hAnsi="Times New Roman" w:cs="Times New Roman" w:eastAsia="Times New Roman" w:hint="default"/>
          <w:spacing w:val="28"/>
        </w:rPr>
        <w:t> </w:t>
      </w:r>
      <w:r>
        <w:rPr>
          <w:spacing w:val="-21"/>
        </w:rPr>
        <w:t>日的巨潮资讯网、《证券时报》、《中国证券报》、</w:t>
      </w:r>
    </w:p>
    <w:p>
      <w:pPr>
        <w:pStyle w:val="BodyText"/>
        <w:spacing w:line="240" w:lineRule="auto" w:before="21"/>
        <w:ind w:right="0"/>
        <w:jc w:val="both"/>
      </w:pPr>
      <w:r>
        <w:rPr/>
        <w:t>《上海证券报</w:t>
      </w:r>
      <w:r>
        <w:rPr>
          <w:spacing w:val="-120"/>
        </w:rPr>
        <w:t>》、</w:t>
      </w:r>
      <w:r>
        <w:rPr/>
        <w:t>《证券日报》上；</w:t>
      </w:r>
    </w:p>
    <w:p>
      <w:pPr>
        <w:pStyle w:val="BodyText"/>
        <w:spacing w:line="240" w:lineRule="auto" w:before="154"/>
        <w:ind w:left="620" w:right="97"/>
        <w:jc w:val="left"/>
      </w:pPr>
      <w:r>
        <w:rPr/>
        <w:t>（</w:t>
      </w:r>
      <w:r>
        <w:rPr>
          <w:rFonts w:ascii="Times New Roman" w:hAnsi="Times New Roman" w:cs="Times New Roman" w:eastAsia="Times New Roman" w:hint="default"/>
        </w:rPr>
        <w:t>8</w:t>
      </w:r>
      <w:r>
        <w:rPr/>
        <w:t>）公司于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日召开第四届董事会第二次会议，审议通过了《苏宁</w:t>
      </w:r>
    </w:p>
    <w:p>
      <w:pPr>
        <w:pStyle w:val="BodyText"/>
        <w:spacing w:line="240" w:lineRule="auto" w:before="135"/>
        <w:ind w:right="0"/>
        <w:jc w:val="both"/>
      </w:pPr>
      <w:r>
        <w:rPr/>
        <w:t>电器股份有限公司</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年股票期权激励计划（草案</w:t>
      </w:r>
      <w:r>
        <w:rPr>
          <w:spacing w:val="-120"/>
        </w:rPr>
        <w:t>）</w:t>
      </w:r>
      <w:r>
        <w:rPr/>
        <w:t>》及其摘要</w:t>
      </w:r>
      <w:r>
        <w:rPr>
          <w:spacing w:val="-120"/>
        </w:rPr>
        <w:t>、</w:t>
      </w:r>
      <w:r>
        <w:rPr/>
        <w:t>《苏宁电器股份有限</w:t>
      </w:r>
    </w:p>
    <w:p>
      <w:pPr>
        <w:pStyle w:val="BodyText"/>
        <w:spacing w:line="240" w:lineRule="auto" w:before="135"/>
        <w:ind w:right="0"/>
        <w:jc w:val="both"/>
      </w:pPr>
      <w:r>
        <w:rPr/>
        <w:t>公司</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年股票期权激励计划实施考核办法</w:t>
      </w:r>
      <w:r>
        <w:rPr>
          <w:spacing w:val="-120"/>
        </w:rPr>
        <w:t>》、</w:t>
      </w:r>
      <w:r>
        <w:rPr/>
        <w:t>《关于授权董事会办理股票期权相关事</w:t>
      </w:r>
    </w:p>
    <w:p>
      <w:pPr>
        <w:spacing w:after="0" w:line="240" w:lineRule="auto"/>
        <w:jc w:val="both"/>
        <w:sectPr>
          <w:footerReference w:type="default" r:id="rId41"/>
          <w:pgSz w:w="11910" w:h="16840"/>
          <w:pgMar w:footer="714" w:header="748" w:top="980" w:bottom="900" w:left="1300" w:right="1200"/>
          <w:pgNumType w:start="76"/>
        </w:sectPr>
      </w:pPr>
    </w:p>
    <w:p>
      <w:pPr>
        <w:spacing w:line="240" w:lineRule="auto" w:before="7"/>
        <w:rPr>
          <w:rFonts w:ascii="宋体" w:hAnsi="宋体" w:cs="宋体" w:eastAsia="宋体" w:hint="default"/>
          <w:sz w:val="29"/>
          <w:szCs w:val="29"/>
        </w:rPr>
      </w:pPr>
    </w:p>
    <w:p>
      <w:pPr>
        <w:pStyle w:val="BodyText"/>
        <w:spacing w:line="240" w:lineRule="auto" w:before="26"/>
        <w:ind w:right="0"/>
        <w:jc w:val="both"/>
        <w:rPr>
          <w:rFonts w:ascii="Times New Roman" w:hAnsi="Times New Roman" w:cs="Times New Roman" w:eastAsia="Times New Roman" w:hint="default"/>
        </w:rPr>
      </w:pPr>
      <w:r>
        <w:rPr>
          <w:spacing w:val="3"/>
        </w:rPr>
        <w:t>宜的议案</w:t>
      </w:r>
      <w:r>
        <w:rPr>
          <w:spacing w:val="-115"/>
        </w:rPr>
        <w:t>》</w:t>
      </w:r>
      <w:r>
        <w:rPr>
          <w:spacing w:val="-116"/>
        </w:rPr>
        <w:t>、</w:t>
      </w:r>
      <w:r>
        <w:rPr>
          <w:spacing w:val="4"/>
        </w:rPr>
        <w:t>《关于为香港子公司提供担保的议案</w:t>
      </w:r>
      <w:r>
        <w:rPr>
          <w:spacing w:val="-117"/>
        </w:rPr>
        <w:t>》</w:t>
      </w:r>
      <w:r>
        <w:rPr>
          <w:spacing w:val="4"/>
        </w:rPr>
        <w:t>，本次董事会决议公告刊登</w:t>
      </w:r>
      <w:r>
        <w:rPr/>
        <w:t>在</w:t>
      </w:r>
      <w:r>
        <w:rPr>
          <w:spacing w:val="3"/>
        </w:rPr>
        <w:t> </w:t>
      </w:r>
      <w:r>
        <w:rPr>
          <w:rFonts w:ascii="Times New Roman" w:hAnsi="Times New Roman" w:cs="Times New Roman" w:eastAsia="Times New Roman" w:hint="default"/>
        </w:rPr>
        <w:t>2010</w:t>
      </w:r>
    </w:p>
    <w:p>
      <w:pPr>
        <w:pStyle w:val="BodyText"/>
        <w:spacing w:line="338" w:lineRule="auto" w:before="135"/>
        <w:ind w:right="127"/>
        <w:jc w:val="left"/>
      </w:pP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spacing w:val="-23"/>
        </w:rPr>
        <w:t>日的巨潮资讯网、《证券时报》、《中国证券报》、《上海证券报》、《证券日报》</w:t>
      </w:r>
      <w:r>
        <w:rPr/>
        <w:t> 上；</w:t>
      </w:r>
    </w:p>
    <w:p>
      <w:pPr>
        <w:pStyle w:val="BodyText"/>
        <w:spacing w:line="240" w:lineRule="auto" w:before="55"/>
        <w:ind w:left="620" w:right="97"/>
        <w:jc w:val="left"/>
      </w:pPr>
      <w:r>
        <w:rPr/>
        <w:t>（</w:t>
      </w:r>
      <w:r>
        <w:rPr>
          <w:rFonts w:ascii="Times New Roman" w:hAnsi="Times New Roman" w:cs="Times New Roman" w:eastAsia="Times New Roman" w:hint="default"/>
        </w:rPr>
        <w:t>9</w:t>
      </w:r>
      <w:r>
        <w:rPr/>
        <w:t>）公司于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日召开第四届董事会第三次会议，审议通过了《苏宁</w:t>
      </w:r>
    </w:p>
    <w:p>
      <w:pPr>
        <w:pStyle w:val="BodyText"/>
        <w:spacing w:line="338" w:lineRule="auto" w:before="135"/>
        <w:ind w:right="219"/>
        <w:jc w:val="left"/>
      </w:pPr>
      <w:r>
        <w:rPr/>
        <w:t>电器股份有限公司</w:t>
      </w:r>
      <w:r>
        <w:rPr>
          <w:spacing w:val="-60"/>
        </w:rPr>
        <w:t> </w:t>
      </w:r>
      <w:r>
        <w:rPr>
          <w:rFonts w:ascii="Times New Roman" w:hAnsi="Times New Roman" w:cs="Times New Roman" w:eastAsia="Times New Roman" w:hint="default"/>
        </w:rPr>
        <w:t>2010 </w:t>
      </w:r>
      <w:r>
        <w:rPr>
          <w:spacing w:val="-5"/>
        </w:rPr>
        <w:t>年半年度报告》及《苏宁电器股份有限公司</w:t>
      </w:r>
      <w:r>
        <w:rPr>
          <w:spacing w:val="-60"/>
        </w:rPr>
        <w:t> </w:t>
      </w:r>
      <w:r>
        <w:rPr>
          <w:rFonts w:ascii="Times New Roman" w:hAnsi="Times New Roman" w:cs="Times New Roman" w:eastAsia="Times New Roman" w:hint="default"/>
        </w:rPr>
        <w:t>2010 </w:t>
      </w:r>
      <w:r>
        <w:rPr/>
        <w:t>年半年度报告 </w:t>
      </w:r>
      <w:r>
        <w:rPr>
          <w:spacing w:val="-6"/>
        </w:rPr>
        <w:t>摘要》，本次董事会决议报送深圳证券交易所备案；</w:t>
      </w:r>
    </w:p>
    <w:p>
      <w:pPr>
        <w:pStyle w:val="BodyText"/>
        <w:spacing w:line="240" w:lineRule="auto" w:before="55"/>
        <w:ind w:left="620" w:right="97"/>
        <w:jc w:val="left"/>
      </w:pPr>
      <w:r>
        <w:rPr/>
        <w:t>（</w:t>
      </w:r>
      <w:r>
        <w:rPr>
          <w:rFonts w:ascii="Times New Roman" w:hAnsi="Times New Roman" w:cs="Times New Roman" w:eastAsia="Times New Roman" w:hint="default"/>
        </w:rPr>
        <w:t>10</w:t>
      </w:r>
      <w:r>
        <w:rPr/>
        <w:t>）公司于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日召开第四届董事会第四次会议，审议通过了《苏</w:t>
      </w:r>
    </w:p>
    <w:p>
      <w:pPr>
        <w:pStyle w:val="BodyText"/>
        <w:spacing w:line="338" w:lineRule="auto" w:before="135"/>
        <w:ind w:right="217"/>
        <w:jc w:val="left"/>
      </w:pPr>
      <w:r>
        <w:rPr/>
        <w:t>宁电器股份有限公司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8"/>
        </w:rPr>
        <w:t> </w:t>
      </w:r>
      <w:r>
        <w:rPr>
          <w:spacing w:val="-5"/>
        </w:rPr>
        <w:t>年第三季度报告》，本次董事会决议报送深圳证券交易所备</w:t>
      </w:r>
      <w:r>
        <w:rPr/>
        <w:t> 案；</w:t>
      </w:r>
    </w:p>
    <w:p>
      <w:pPr>
        <w:pStyle w:val="BodyText"/>
        <w:spacing w:line="240" w:lineRule="auto" w:before="55"/>
        <w:ind w:left="620" w:right="97"/>
        <w:jc w:val="left"/>
      </w:pPr>
      <w:r>
        <w:rPr>
          <w:spacing w:val="-5"/>
        </w:rPr>
        <w:t>（</w:t>
      </w:r>
      <w:r>
        <w:rPr>
          <w:rFonts w:ascii="Times New Roman" w:hAnsi="Times New Roman" w:cs="Times New Roman" w:eastAsia="Times New Roman" w:hint="default"/>
          <w:spacing w:val="-5"/>
        </w:rPr>
        <w:t>11</w:t>
      </w:r>
      <w:r>
        <w:rPr>
          <w:spacing w:val="-5"/>
        </w:rPr>
        <w:t>）公司于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3"/>
        </w:rPr>
        <w:t>日召开第四届董事会第五次会议，审议通过了《关于</w:t>
      </w:r>
    </w:p>
    <w:p>
      <w:pPr>
        <w:pStyle w:val="BodyText"/>
        <w:spacing w:line="240" w:lineRule="auto" w:before="135"/>
        <w:ind w:right="0"/>
        <w:jc w:val="both"/>
        <w:rPr>
          <w:rFonts w:ascii="Times New Roman" w:hAnsi="Times New Roman" w:cs="Times New Roman" w:eastAsia="Times New Roman" w:hint="default"/>
        </w:rPr>
      </w:pPr>
      <w:r>
        <w:rPr/>
        <w:t>召开</w:t>
      </w:r>
      <w:r>
        <w:rPr>
          <w:spacing w:val="-60"/>
        </w:rPr>
        <w:t> </w:t>
      </w:r>
      <w:r>
        <w:rPr>
          <w:rFonts w:ascii="Times New Roman" w:hAnsi="Times New Roman" w:cs="Times New Roman" w:eastAsia="Times New Roman" w:hint="default"/>
        </w:rPr>
        <w:t>2010 </w:t>
      </w:r>
      <w:r>
        <w:rPr/>
        <w:t>年第二次临时股东大会的议案</w:t>
      </w:r>
      <w:r>
        <w:rPr>
          <w:spacing w:val="-120"/>
        </w:rPr>
        <w:t>》</w:t>
      </w:r>
      <w:r>
        <w:rPr>
          <w:spacing w:val="-22"/>
        </w:rPr>
        <w:t>，</w:t>
      </w:r>
      <w:r>
        <w:rPr/>
        <w:t>本次董事会决议公告刊登在</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6</w:t>
      </w:r>
    </w:p>
    <w:p>
      <w:pPr>
        <w:pStyle w:val="BodyText"/>
        <w:spacing w:line="240" w:lineRule="auto" w:before="135"/>
        <w:ind w:right="0"/>
        <w:jc w:val="both"/>
      </w:pPr>
      <w:r>
        <w:rPr/>
        <w:t>日的巨潮资讯网</w:t>
      </w:r>
      <w:r>
        <w:rPr>
          <w:spacing w:val="-120"/>
        </w:rPr>
        <w:t>、</w:t>
      </w:r>
      <w:r>
        <w:rPr/>
        <w:t>《证券时报</w:t>
      </w:r>
      <w:r>
        <w:rPr>
          <w:spacing w:val="-120"/>
        </w:rPr>
        <w:t>》、</w:t>
      </w:r>
      <w:r>
        <w:rPr/>
        <w:t>《中国证券报</w:t>
      </w:r>
      <w:r>
        <w:rPr>
          <w:spacing w:val="-120"/>
        </w:rPr>
        <w:t>》、</w:t>
      </w:r>
      <w:r>
        <w:rPr/>
        <w:t>《上海证券报</w:t>
      </w:r>
      <w:r>
        <w:rPr>
          <w:spacing w:val="-120"/>
        </w:rPr>
        <w:t>》、</w:t>
      </w:r>
      <w:r>
        <w:rPr/>
        <w:t>《证券日报》上；</w:t>
      </w:r>
    </w:p>
    <w:p>
      <w:pPr>
        <w:pStyle w:val="BodyText"/>
        <w:spacing w:line="240" w:lineRule="auto" w:before="154"/>
        <w:ind w:left="620" w:right="97"/>
        <w:jc w:val="left"/>
      </w:pPr>
      <w:r>
        <w:rPr/>
        <w:t>（</w:t>
      </w:r>
      <w:r>
        <w:rPr>
          <w:rFonts w:ascii="Times New Roman" w:hAnsi="Times New Roman" w:cs="Times New Roman" w:eastAsia="Times New Roman" w:hint="default"/>
        </w:rPr>
        <w:t>12</w:t>
      </w:r>
      <w:r>
        <w:rPr/>
        <w:t>）公司于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t>日召开第四届董事会第六次会议，审议通过了《关</w:t>
      </w:r>
    </w:p>
    <w:p>
      <w:pPr>
        <w:pStyle w:val="BodyText"/>
        <w:spacing w:line="348" w:lineRule="auto" w:before="135"/>
        <w:ind w:right="112"/>
        <w:jc w:val="both"/>
      </w:pPr>
      <w:r>
        <w:rPr>
          <w:spacing w:val="4"/>
        </w:rPr>
        <w:t>于选举公司副董事长的议案</w:t>
      </w:r>
      <w:r>
        <w:rPr>
          <w:spacing w:val="-117"/>
        </w:rPr>
        <w:t>》</w:t>
      </w:r>
      <w:r>
        <w:rPr>
          <w:spacing w:val="-116"/>
        </w:rPr>
        <w:t>、</w:t>
      </w:r>
      <w:r>
        <w:rPr>
          <w:spacing w:val="3"/>
        </w:rPr>
        <w:t>《关于确定公</w:t>
      </w:r>
      <w:r>
        <w:rPr/>
        <w:t>司</w:t>
      </w:r>
      <w:r>
        <w:rPr>
          <w:spacing w:val="5"/>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4"/>
        </w:rPr>
        <w:t> </w:t>
      </w:r>
      <w:r>
        <w:rPr>
          <w:spacing w:val="4"/>
        </w:rPr>
        <w:t>年股票期权激励计划授权日的议 </w:t>
      </w:r>
      <w:r>
        <w:rPr>
          <w:spacing w:val="1"/>
        </w:rPr>
        <w:t>案</w:t>
      </w:r>
      <w:r>
        <w:rPr>
          <w:spacing w:val="-119"/>
        </w:rPr>
        <w:t>》、</w:t>
      </w:r>
      <w:r>
        <w:rPr/>
        <w:t>《关于连锁店发展项目中部分连锁店实施地点变更的议案</w:t>
      </w:r>
      <w:r>
        <w:rPr>
          <w:spacing w:val="-120"/>
        </w:rPr>
        <w:t>》</w:t>
      </w:r>
      <w:r>
        <w:rPr/>
        <w:t>，本次董事会决议公告</w:t>
      </w:r>
      <w:r>
        <w:rPr/>
        <w:t> 刊登在</w:t>
      </w:r>
      <w:r>
        <w:rPr>
          <w:spacing w:val="-7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74"/>
        </w:rPr>
        <w:t> </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w:t>
      </w:r>
      <w:r>
        <w:rPr>
          <w:spacing w:val="-74"/>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日的巨潮资讯网</w:t>
      </w:r>
      <w:r>
        <w:rPr>
          <w:spacing w:val="-120"/>
        </w:rPr>
        <w:t>、</w:t>
      </w:r>
      <w:r>
        <w:rPr/>
        <w:t>《证券时报</w:t>
      </w:r>
      <w:r>
        <w:rPr>
          <w:spacing w:val="-120"/>
        </w:rPr>
        <w:t>》、</w:t>
      </w:r>
      <w:r>
        <w:rPr/>
        <w:t>《中国证券报</w:t>
      </w:r>
      <w:r>
        <w:rPr>
          <w:spacing w:val="-120"/>
        </w:rPr>
        <w:t>》、</w:t>
      </w:r>
      <w:r>
        <w:rPr/>
        <w:t>《上海证券报</w:t>
      </w:r>
      <w:r>
        <w:rPr>
          <w:spacing w:val="-120"/>
        </w:rPr>
        <w:t>》</w:t>
      </w:r>
      <w:r>
        <w:rPr/>
        <w:t>、</w:t>
      </w:r>
    </w:p>
    <w:p>
      <w:pPr>
        <w:pStyle w:val="BodyText"/>
        <w:spacing w:line="240" w:lineRule="auto" w:before="16"/>
        <w:ind w:right="0"/>
        <w:jc w:val="both"/>
      </w:pPr>
      <w:r>
        <w:rPr/>
        <w:t>《证券日报》上。</w:t>
      </w:r>
    </w:p>
    <w:p>
      <w:pPr>
        <w:pStyle w:val="BodyText"/>
        <w:spacing w:line="240" w:lineRule="auto" w:before="154"/>
        <w:ind w:left="620" w:right="217"/>
        <w:jc w:val="left"/>
      </w:pPr>
      <w:r>
        <w:rPr>
          <w:rFonts w:ascii="Times New Roman" w:hAnsi="Times New Roman" w:cs="Times New Roman" w:eastAsia="Times New Roman" w:hint="default"/>
        </w:rPr>
        <w:t>2</w:t>
      </w:r>
      <w:r>
        <w:rPr/>
        <w:t>、董事会对股东大会决议的执行情况：</w:t>
      </w:r>
    </w:p>
    <w:p>
      <w:pPr>
        <w:pStyle w:val="BodyText"/>
        <w:spacing w:line="338" w:lineRule="auto" w:before="135"/>
        <w:ind w:right="216" w:firstLine="480"/>
        <w:jc w:val="left"/>
      </w:pPr>
      <w:r>
        <w:rPr/>
        <w:t>（</w:t>
      </w:r>
      <w:r>
        <w:rPr>
          <w:rFonts w:ascii="Times New Roman" w:hAnsi="Times New Roman" w:cs="Times New Roman" w:eastAsia="Times New Roman" w:hint="default"/>
        </w:rPr>
        <w:t>1</w:t>
      </w:r>
      <w:r>
        <w:rPr/>
        <w:t>）报告期内，公司董事会根据</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年年度股东大会决议，执行了</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年度分 红派息及资本公积金转增股本方案，具体为：</w:t>
      </w:r>
    </w:p>
    <w:p>
      <w:pPr>
        <w:pStyle w:val="BodyText"/>
        <w:spacing w:line="240" w:lineRule="auto" w:before="55"/>
        <w:ind w:left="620" w:right="97"/>
        <w:jc w:val="left"/>
      </w:pPr>
      <w:r>
        <w:rPr/>
        <w:t>以公司</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日总股本</w:t>
      </w:r>
      <w:r>
        <w:rPr>
          <w:spacing w:val="-52"/>
        </w:rPr>
        <w:t> </w:t>
      </w:r>
      <w:r>
        <w:rPr>
          <w:rFonts w:ascii="Times New Roman" w:hAnsi="Times New Roman" w:cs="Times New Roman" w:eastAsia="Times New Roman" w:hint="default"/>
        </w:rPr>
        <w:t>4,664,141,244</w:t>
      </w:r>
      <w:r>
        <w:rPr>
          <w:rFonts w:ascii="Times New Roman" w:hAnsi="Times New Roman" w:cs="Times New Roman" w:eastAsia="Times New Roman" w:hint="default"/>
          <w:spacing w:val="8"/>
        </w:rPr>
        <w:t> </w:t>
      </w:r>
      <w:r>
        <w:rPr/>
        <w:t>股为基数，向全体股东每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股派</w:t>
      </w:r>
    </w:p>
    <w:p>
      <w:pPr>
        <w:pStyle w:val="BodyText"/>
        <w:spacing w:line="240" w:lineRule="auto" w:before="135"/>
        <w:ind w:right="0"/>
        <w:jc w:val="both"/>
      </w:pPr>
      <w:r>
        <w:rPr/>
        <w:t>发现金红利</w:t>
      </w:r>
      <w:r>
        <w:rPr>
          <w:spacing w:val="-75"/>
        </w:rPr>
        <w:t> </w:t>
      </w:r>
      <w:r>
        <w:rPr>
          <w:rFonts w:ascii="Times New Roman" w:hAnsi="Times New Roman" w:cs="Times New Roman" w:eastAsia="Times New Roman" w:hint="default"/>
        </w:rPr>
        <w:t>0.5</w:t>
      </w:r>
      <w:r>
        <w:rPr>
          <w:rFonts w:ascii="Times New Roman" w:hAnsi="Times New Roman" w:cs="Times New Roman" w:eastAsia="Times New Roman" w:hint="default"/>
          <w:spacing w:val="-15"/>
        </w:rPr>
        <w:t> </w:t>
      </w:r>
      <w:r>
        <w:rPr/>
        <w:t>元人民币（含税，扣税后，个人股东、投资基金、合格境外机构投资者</w:t>
      </w:r>
    </w:p>
    <w:p>
      <w:pPr>
        <w:pStyle w:val="BodyText"/>
        <w:spacing w:line="240" w:lineRule="auto" w:before="135"/>
        <w:ind w:right="0"/>
        <w:jc w:val="both"/>
      </w:pPr>
      <w:r>
        <w:rPr/>
        <w:t>实际每</w:t>
      </w:r>
      <w:r>
        <w:rPr>
          <w:spacing w:val="-60"/>
        </w:rPr>
        <w:t> </w:t>
      </w:r>
      <w:r>
        <w:rPr>
          <w:rFonts w:ascii="Times New Roman" w:hAnsi="Times New Roman" w:cs="Times New Roman" w:eastAsia="Times New Roman" w:hint="default"/>
        </w:rPr>
        <w:t>10 </w:t>
      </w:r>
      <w:r>
        <w:rPr/>
        <w:t>股派现金红利</w:t>
      </w:r>
      <w:r>
        <w:rPr>
          <w:spacing w:val="-60"/>
        </w:rPr>
        <w:t> </w:t>
      </w:r>
      <w:r>
        <w:rPr>
          <w:rFonts w:ascii="Times New Roman" w:hAnsi="Times New Roman" w:cs="Times New Roman" w:eastAsia="Times New Roman" w:hint="default"/>
        </w:rPr>
        <w:t>0.45 </w:t>
      </w:r>
      <w:r>
        <w:rPr/>
        <w:t>元</w:t>
      </w:r>
      <w:r>
        <w:rPr>
          <w:spacing w:val="-120"/>
        </w:rPr>
        <w:t>）</w:t>
      </w:r>
      <w:r>
        <w:rPr>
          <w:spacing w:val="-16"/>
        </w:rPr>
        <w:t>。</w:t>
      </w:r>
      <w:r>
        <w:rPr/>
        <w:t>同时</w:t>
      </w:r>
      <w:r>
        <w:rPr>
          <w:spacing w:val="-16"/>
        </w:rPr>
        <w:t>，</w:t>
      </w:r>
      <w:r>
        <w:rPr/>
        <w:t>公司以资本</w:t>
      </w:r>
      <w:r>
        <w:rPr>
          <w:spacing w:val="-9"/>
        </w:rPr>
        <w:t>公</w:t>
      </w:r>
      <w:r>
        <w:rPr>
          <w:spacing w:val="-8"/>
        </w:rPr>
        <w:t>积</w:t>
      </w:r>
      <w:r>
        <w:rPr>
          <w:spacing w:val="-9"/>
        </w:rPr>
        <w:t>金转</w:t>
      </w:r>
      <w:r>
        <w:rPr>
          <w:spacing w:val="-8"/>
        </w:rPr>
        <w:t>增</w:t>
      </w:r>
      <w:r>
        <w:rPr>
          <w:spacing w:val="-9"/>
        </w:rPr>
        <w:t>股</w:t>
      </w:r>
      <w:r>
        <w:rPr>
          <w:spacing w:val="-8"/>
        </w:rPr>
        <w:t>本</w:t>
      </w:r>
      <w:r>
        <w:rPr>
          <w:spacing w:val="-9"/>
        </w:rPr>
        <w:t>的方</w:t>
      </w:r>
      <w:r>
        <w:rPr>
          <w:spacing w:val="-8"/>
        </w:rPr>
        <w:t>式</w:t>
      </w:r>
      <w:r>
        <w:rPr>
          <w:spacing w:val="-9"/>
        </w:rPr>
        <w:t>向</w:t>
      </w:r>
      <w:r>
        <w:rPr>
          <w:spacing w:val="-8"/>
        </w:rPr>
        <w:t>全</w:t>
      </w:r>
      <w:r>
        <w:rPr>
          <w:spacing w:val="-9"/>
        </w:rPr>
        <w:t>体股</w:t>
      </w:r>
      <w:r>
        <w:rPr/>
        <w:t>东</w:t>
      </w:r>
    </w:p>
    <w:p>
      <w:pPr>
        <w:pStyle w:val="BodyText"/>
        <w:spacing w:line="240" w:lineRule="auto" w:before="135"/>
        <w:ind w:right="0"/>
        <w:jc w:val="both"/>
      </w:pPr>
      <w:r>
        <w:rPr/>
        <w:t>每</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spacing w:val="-6"/>
        </w:rPr>
        <w:t>股转增</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股。上述分红派息以及资本公积金转增股本方案实施后，公司总股本由</w:t>
      </w:r>
    </w:p>
    <w:p>
      <w:pPr>
        <w:pStyle w:val="BodyText"/>
        <w:spacing w:line="240" w:lineRule="auto" w:before="135"/>
        <w:ind w:right="0"/>
        <w:jc w:val="both"/>
      </w:pPr>
      <w:r>
        <w:rPr>
          <w:rFonts w:ascii="Times New Roman" w:hAnsi="Times New Roman" w:cs="Times New Roman" w:eastAsia="Times New Roman" w:hint="default"/>
        </w:rPr>
        <w:t>4,664,141,244</w:t>
      </w:r>
      <w:r>
        <w:rPr>
          <w:rFonts w:ascii="Times New Roman" w:hAnsi="Times New Roman" w:cs="Times New Roman" w:eastAsia="Times New Roman" w:hint="default"/>
          <w:spacing w:val="-3"/>
        </w:rPr>
        <w:t> </w:t>
      </w:r>
      <w:r>
        <w:rPr/>
        <w:t>股增加至</w:t>
      </w:r>
      <w:r>
        <w:rPr>
          <w:spacing w:val="-63"/>
        </w:rPr>
        <w:t> </w:t>
      </w:r>
      <w:r>
        <w:rPr>
          <w:rFonts w:ascii="Times New Roman" w:hAnsi="Times New Roman" w:cs="Times New Roman" w:eastAsia="Times New Roman" w:hint="default"/>
        </w:rPr>
        <w:t>6,996,211,866</w:t>
      </w:r>
      <w:r>
        <w:rPr>
          <w:rFonts w:ascii="Times New Roman" w:hAnsi="Times New Roman" w:cs="Times New Roman" w:eastAsia="Times New Roman" w:hint="default"/>
          <w:spacing w:val="-3"/>
        </w:rPr>
        <w:t> </w:t>
      </w:r>
      <w:r>
        <w:rPr/>
        <w:t>股。</w:t>
      </w:r>
    </w:p>
    <w:p>
      <w:pPr>
        <w:pStyle w:val="BodyText"/>
        <w:spacing w:line="338" w:lineRule="auto" w:before="135"/>
        <w:ind w:right="232" w:firstLine="480"/>
        <w:jc w:val="both"/>
        <w:rPr>
          <w:rFonts w:ascii="Times New Roman" w:hAnsi="Times New Roman" w:cs="Times New Roman" w:eastAsia="Times New Roman" w:hint="default"/>
        </w:rPr>
      </w:pPr>
      <w:r>
        <w:rPr/>
        <w:t>公司于</w:t>
      </w:r>
      <w:r>
        <w:rPr>
          <w:spacing w:val="-4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w:t>
      </w:r>
      <w:r>
        <w:rPr>
          <w:spacing w:val="-40"/>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spacing w:val="-22"/>
        </w:rPr>
        <w:t>日在巨潮资讯网、《证券时报》、《中国证券报》、《上海证券</w:t>
      </w:r>
      <w:r>
        <w:rPr/>
        <w:t> </w:t>
      </w:r>
      <w:r>
        <w:rPr>
          <w:spacing w:val="-7"/>
        </w:rPr>
        <w:t>报》、《证券日报》上刊登此次公积金转增股本实施公告，股权登记日为：</w:t>
      </w:r>
      <w:r>
        <w:rPr>
          <w:rFonts w:ascii="Times New Roman" w:hAnsi="Times New Roman" w:cs="Times New Roman" w:eastAsia="Times New Roman" w:hint="default"/>
          <w:spacing w:val="-7"/>
        </w:rPr>
        <w:t>2010</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4"/>
        </w:rPr>
        <w:t>日，除权除息日为：</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spacing w:val="-3"/>
        </w:rPr>
        <w:t>日，新增无限售条件流通股份上市日：</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4</w:t>
      </w:r>
    </w:p>
    <w:p>
      <w:pPr>
        <w:pStyle w:val="BodyText"/>
        <w:spacing w:line="240" w:lineRule="auto" w:before="27"/>
        <w:ind w:right="0"/>
        <w:jc w:val="both"/>
      </w:pPr>
      <w:r>
        <w:rPr/>
        <w:t>月</w:t>
      </w:r>
      <w:r>
        <w:rPr>
          <w:spacing w:val="-60"/>
        </w:rPr>
        <w:t> </w:t>
      </w:r>
      <w:r>
        <w:rPr>
          <w:rFonts w:ascii="Times New Roman" w:hAnsi="Times New Roman" w:cs="Times New Roman" w:eastAsia="Times New Roman" w:hint="default"/>
        </w:rPr>
        <w:t>16 </w:t>
      </w:r>
      <w:r>
        <w:rPr/>
        <w:t>日，红利发放日：</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16 </w:t>
      </w:r>
      <w:r>
        <w:rPr/>
        <w:t>日。</w:t>
      </w:r>
    </w:p>
    <w:p>
      <w:pPr>
        <w:pStyle w:val="BodyText"/>
        <w:spacing w:line="338" w:lineRule="auto" w:before="135"/>
        <w:ind w:right="214" w:firstLine="480"/>
        <w:jc w:val="left"/>
      </w:pPr>
      <w:r>
        <w:rPr>
          <w:spacing w:val="-10"/>
        </w:rPr>
        <w:t>（</w:t>
      </w:r>
      <w:r>
        <w:rPr>
          <w:rFonts w:ascii="Times New Roman" w:hAnsi="Times New Roman" w:cs="Times New Roman" w:eastAsia="Times New Roman" w:hint="default"/>
          <w:spacing w:val="-10"/>
        </w:rPr>
        <w:t>2</w:t>
      </w:r>
      <w:r>
        <w:rPr>
          <w:spacing w:val="-10"/>
        </w:rPr>
        <w:t>）根据</w:t>
      </w:r>
      <w:r>
        <w:rPr>
          <w:spacing w:val="-8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年第二次临时股东大会《关于授权董事会办理股票期权相关事宜的 议案》的决议，公司董事会于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日向</w:t>
      </w:r>
      <w:r>
        <w:rPr>
          <w:spacing w:val="-51"/>
        </w:rPr>
        <w:t> </w:t>
      </w:r>
      <w:r>
        <w:rPr>
          <w:rFonts w:ascii="Times New Roman" w:hAnsi="Times New Roman" w:cs="Times New Roman" w:eastAsia="Times New Roman" w:hint="default"/>
        </w:rPr>
        <w:t>248</w:t>
      </w:r>
      <w:r>
        <w:rPr>
          <w:rFonts w:ascii="Times New Roman" w:hAnsi="Times New Roman" w:cs="Times New Roman" w:eastAsia="Times New Roman" w:hint="default"/>
          <w:spacing w:val="9"/>
        </w:rPr>
        <w:t> </w:t>
      </w:r>
      <w:r>
        <w:rPr/>
        <w:t>位激励对象授予</w:t>
      </w:r>
      <w:r>
        <w:rPr>
          <w:spacing w:val="-51"/>
        </w:rPr>
        <w:t> </w:t>
      </w:r>
      <w:r>
        <w:rPr>
          <w:rFonts w:ascii="Times New Roman" w:hAnsi="Times New Roman" w:cs="Times New Roman" w:eastAsia="Times New Roman" w:hint="default"/>
        </w:rPr>
        <w:t>8,469</w:t>
      </w:r>
      <w:r>
        <w:rPr>
          <w:rFonts w:ascii="Times New Roman" w:hAnsi="Times New Roman" w:cs="Times New Roman" w:eastAsia="Times New Roman" w:hint="default"/>
          <w:spacing w:val="9"/>
        </w:rPr>
        <w:t> </w:t>
      </w:r>
      <w:r>
        <w:rPr/>
        <w:t>万份股</w:t>
      </w:r>
    </w:p>
    <w:p>
      <w:pPr>
        <w:spacing w:after="0" w:line="338" w:lineRule="auto"/>
        <w:jc w:val="left"/>
        <w:sectPr>
          <w:footerReference w:type="default" r:id="rId42"/>
          <w:pgSz w:w="11910" w:h="16840"/>
          <w:pgMar w:footer="714" w:header="748" w:top="980" w:bottom="900" w:left="1300" w:right="1200"/>
          <w:pgNumType w:start="77"/>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票期权，公司</w:t>
      </w:r>
      <w:r>
        <w:rPr>
          <w:spacing w:val="-60"/>
        </w:rPr>
        <w:t> </w:t>
      </w:r>
      <w:r>
        <w:rPr>
          <w:rFonts w:ascii="Times New Roman" w:hAnsi="Times New Roman" w:cs="Times New Roman" w:eastAsia="Times New Roman" w:hint="default"/>
        </w:rPr>
        <w:t>2010 </w:t>
      </w:r>
      <w:r>
        <w:rPr/>
        <w:t>年期权激励计划进入实施阶段。</w:t>
      </w:r>
    </w:p>
    <w:p>
      <w:pPr>
        <w:pStyle w:val="BodyText"/>
        <w:spacing w:line="338" w:lineRule="auto" w:before="135"/>
        <w:ind w:right="217" w:firstLine="480"/>
        <w:jc w:val="left"/>
      </w:pPr>
      <w:r>
        <w:rPr/>
        <w:t>（</w:t>
      </w:r>
      <w:r>
        <w:rPr>
          <w:rFonts w:ascii="Times New Roman" w:hAnsi="Times New Roman" w:cs="Times New Roman" w:eastAsia="Times New Roman" w:hint="default"/>
        </w:rPr>
        <w:t>3</w:t>
      </w:r>
      <w:r>
        <w:rPr/>
        <w:t>）公司股东大会审议通过的修改公司《章程》及相关制度等议案，也均在报告 期内执行完毕。</w:t>
      </w:r>
    </w:p>
    <w:p>
      <w:pPr>
        <w:pStyle w:val="BodyText"/>
        <w:spacing w:line="338" w:lineRule="auto" w:before="55"/>
        <w:ind w:left="620" w:right="217"/>
        <w:jc w:val="left"/>
      </w:pPr>
      <w:r>
        <w:rPr>
          <w:rFonts w:ascii="Times New Roman" w:hAnsi="Times New Roman" w:cs="Times New Roman" w:eastAsia="Times New Roman" w:hint="default"/>
        </w:rPr>
        <w:t>3</w:t>
      </w:r>
      <w:r>
        <w:rPr/>
        <w:t>、董事会审计委员会的履职情况汇总报告： </w:t>
      </w:r>
      <w:r>
        <w:rPr>
          <w:spacing w:val="-10"/>
        </w:rPr>
        <w:t>公司已建立《审计委员会工作细则》、《审计委员会年报工作规则》，报告期内公司</w:t>
      </w:r>
    </w:p>
    <w:p>
      <w:pPr>
        <w:pStyle w:val="BodyText"/>
        <w:spacing w:line="357" w:lineRule="auto" w:before="55"/>
        <w:ind w:right="233"/>
        <w:jc w:val="both"/>
      </w:pPr>
      <w:r>
        <w:rPr>
          <w:spacing w:val="-3"/>
        </w:rPr>
        <w:t>董事会审计委员会本着勤勉尽责的原则，认真履行职责，对公司内部控制建立健全情况</w:t>
      </w:r>
      <w:r>
        <w:rPr>
          <w:spacing w:val="-98"/>
        </w:rPr>
        <w:t> </w:t>
      </w:r>
      <w:r>
        <w:rPr>
          <w:spacing w:val="-98"/>
        </w:rPr>
      </w:r>
      <w:r>
        <w:rPr/>
        <w:t>进行监督检查，对年度财务审计情况进行了审查。</w:t>
      </w:r>
    </w:p>
    <w:p>
      <w:pPr>
        <w:pStyle w:val="BodyText"/>
        <w:spacing w:line="240" w:lineRule="auto" w:before="36"/>
        <w:ind w:left="620" w:right="217"/>
        <w:jc w:val="left"/>
      </w:pPr>
      <w:r>
        <w:rPr/>
        <w:t>（</w:t>
      </w:r>
      <w:r>
        <w:rPr>
          <w:rFonts w:ascii="Times New Roman" w:hAnsi="Times New Roman" w:cs="Times New Roman" w:eastAsia="Times New Roman" w:hint="default"/>
        </w:rPr>
        <w:t>1</w:t>
      </w:r>
      <w:r>
        <w:rPr/>
        <w:t>）第四届董事会审计委员会提名内部审计机构负责人的情况：</w:t>
      </w:r>
    </w:p>
    <w:p>
      <w:pPr>
        <w:pStyle w:val="BodyText"/>
        <w:spacing w:line="338" w:lineRule="auto" w:before="135"/>
        <w:ind w:right="219"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27</w:t>
      </w:r>
      <w:r>
        <w:rPr>
          <w:rFonts w:ascii="Times New Roman" w:hAnsi="Times New Roman" w:cs="Times New Roman" w:eastAsia="Times New Roman" w:hint="default"/>
          <w:spacing w:val="-7"/>
        </w:rPr>
        <w:t> </w:t>
      </w:r>
      <w:r>
        <w:rPr/>
        <w:t>日，第四届董事会审计委员会提名戴志成先生担任公司内部审计机 构负责人。该提名经公司第四届董事会第一次会议审议通过。</w:t>
      </w:r>
    </w:p>
    <w:p>
      <w:pPr>
        <w:pStyle w:val="BodyText"/>
        <w:spacing w:line="338" w:lineRule="auto" w:before="55"/>
        <w:ind w:left="620" w:right="215"/>
        <w:jc w:val="left"/>
      </w:pPr>
      <w:r>
        <w:rPr/>
        <w:t>（</w:t>
      </w:r>
      <w:r>
        <w:rPr>
          <w:rFonts w:ascii="Times New Roman" w:hAnsi="Times New Roman" w:cs="Times New Roman" w:eastAsia="Times New Roman" w:hint="default"/>
        </w:rPr>
        <w:t>2</w:t>
      </w:r>
      <w:r>
        <w:rPr/>
        <w:t>）第三届、第四届董事会审计委员会报告期内的运作情况： </w:t>
      </w:r>
      <w:r>
        <w:rPr>
          <w:spacing w:val="-3"/>
        </w:rPr>
        <w:t>报告期内，第三届、第四届董事会审计委员会共召开了</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spacing w:val="-3"/>
        </w:rPr>
        <w:t>次会议，分别对公司每季</w:t>
      </w:r>
    </w:p>
    <w:p>
      <w:pPr>
        <w:pStyle w:val="BodyText"/>
        <w:spacing w:line="357" w:lineRule="auto" w:before="27"/>
        <w:ind w:right="232"/>
        <w:jc w:val="both"/>
      </w:pPr>
      <w:r>
        <w:rPr>
          <w:spacing w:val="-3"/>
        </w:rPr>
        <w:t>度财务报表，内部审计机构提交的审计工作总结等事项进行了审议，并对重要的对外投</w:t>
      </w:r>
      <w:r>
        <w:rPr>
          <w:spacing w:val="-98"/>
        </w:rPr>
        <w:t> </w:t>
      </w:r>
      <w:r>
        <w:rPr>
          <w:spacing w:val="-98"/>
        </w:rPr>
      </w:r>
      <w:r>
        <w:rPr>
          <w:spacing w:val="-3"/>
        </w:rPr>
        <w:t>资、对外担保、关联交易、募集资金使用及信息披露等事项核查，并向董事会汇报。审</w:t>
      </w:r>
      <w:r>
        <w:rPr>
          <w:spacing w:val="-96"/>
        </w:rPr>
        <w:t> </w:t>
      </w:r>
      <w:r>
        <w:rPr>
          <w:spacing w:val="-96"/>
        </w:rPr>
      </w:r>
      <w:r>
        <w:rPr>
          <w:spacing w:val="-3"/>
        </w:rPr>
        <w:t>计委员会还根据公司内部审计机构提交的审计报告，就公司内部控制制度的建立健全及</w:t>
      </w:r>
      <w:r>
        <w:rPr>
          <w:spacing w:val="-98"/>
        </w:rPr>
        <w:t> </w:t>
      </w:r>
      <w:r>
        <w:rPr>
          <w:spacing w:val="-98"/>
        </w:rPr>
      </w:r>
      <w:r>
        <w:rPr/>
        <w:t>执行情况给予指导和意见。</w:t>
      </w:r>
    </w:p>
    <w:p>
      <w:pPr>
        <w:pStyle w:val="BodyText"/>
        <w:spacing w:line="403" w:lineRule="auto" w:before="126"/>
        <w:ind w:left="620" w:right="224"/>
        <w:jc w:val="left"/>
      </w:pPr>
      <w:r>
        <w:rPr/>
        <w:t>（</w:t>
      </w:r>
      <w:r>
        <w:rPr>
          <w:rFonts w:ascii="Times New Roman" w:hAnsi="Times New Roman" w:cs="Times New Roman" w:eastAsia="Times New Roman" w:hint="default"/>
        </w:rPr>
        <w:t>3</w:t>
      </w:r>
      <w:r>
        <w:rPr/>
        <w:t>）第四届董事会审计委员会对年度财务报告的审议工作情况： </w:t>
      </w:r>
      <w:r>
        <w:rPr>
          <w:spacing w:val="4"/>
        </w:rPr>
        <w:t>第四届董事会审计委员会在公司年审注册会计师进场前审阅了公司编制的财务会</w:t>
      </w:r>
      <w:r>
        <w:rPr/>
      </w:r>
    </w:p>
    <w:p>
      <w:pPr>
        <w:pStyle w:val="BodyText"/>
        <w:spacing w:line="357" w:lineRule="auto"/>
        <w:ind w:right="232"/>
        <w:jc w:val="both"/>
      </w:pPr>
      <w:r>
        <w:rPr>
          <w:spacing w:val="-3"/>
        </w:rPr>
        <w:t>计报表，认为财务会计报表基本能够反映公司的财务状况和经营成果。年审注册会计师</w:t>
      </w:r>
      <w:r>
        <w:rPr>
          <w:spacing w:val="-98"/>
        </w:rPr>
        <w:t> </w:t>
      </w:r>
      <w:r>
        <w:rPr>
          <w:spacing w:val="-98"/>
        </w:rPr>
      </w:r>
      <w:r>
        <w:rPr>
          <w:spacing w:val="-3"/>
        </w:rPr>
        <w:t>进场前，审计委员会与会计师事务所共同协商确定了公司本年度财务报告审计工作的时</w:t>
      </w:r>
      <w:r>
        <w:rPr>
          <w:spacing w:val="-98"/>
        </w:rPr>
        <w:t> </w:t>
      </w:r>
      <w:r>
        <w:rPr>
          <w:spacing w:val="-98"/>
        </w:rPr>
      </w:r>
      <w:r>
        <w:rPr>
          <w:spacing w:val="-3"/>
        </w:rPr>
        <w:t>间安排，并不断加强与年审会计师的沟通，督促其在约定时限内提交审计报告。在年审</w:t>
      </w:r>
      <w:r>
        <w:rPr>
          <w:spacing w:val="-96"/>
        </w:rPr>
        <w:t> </w:t>
      </w:r>
      <w:r>
        <w:rPr>
          <w:spacing w:val="-96"/>
        </w:rPr>
      </w:r>
      <w:r>
        <w:rPr>
          <w:spacing w:val="-3"/>
        </w:rPr>
        <w:t>注册会计师出具初步审计意见后审计委员会又一次审阅了公司财务会计报表，认为公司</w:t>
      </w:r>
      <w:r>
        <w:rPr>
          <w:spacing w:val="-98"/>
        </w:rPr>
        <w:t> </w:t>
      </w:r>
      <w:r>
        <w:rPr>
          <w:spacing w:val="-98"/>
        </w:rPr>
      </w:r>
      <w:r>
        <w:rPr/>
        <w:t>财务会计报表真实、准确、完整的反映了公司的财务状况、现金流量和经营成果。</w:t>
      </w:r>
    </w:p>
    <w:p>
      <w:pPr>
        <w:pStyle w:val="BodyText"/>
        <w:spacing w:line="240" w:lineRule="auto" w:before="36"/>
        <w:ind w:left="620" w:right="217"/>
        <w:jc w:val="left"/>
      </w:pPr>
      <w:r>
        <w:rPr/>
        <w:t>（</w:t>
      </w:r>
      <w:r>
        <w:rPr>
          <w:rFonts w:ascii="Times New Roman" w:hAnsi="Times New Roman" w:cs="Times New Roman" w:eastAsia="Times New Roman" w:hint="default"/>
        </w:rPr>
        <w:t>4</w:t>
      </w:r>
      <w:r>
        <w:rPr/>
        <w:t>）审计委员会对会计师事务所审计工作的督促情况：</w:t>
      </w:r>
    </w:p>
    <w:p>
      <w:pPr>
        <w:pStyle w:val="BodyText"/>
        <w:spacing w:line="338" w:lineRule="auto" w:before="135"/>
        <w:ind w:right="97" w:firstLine="48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日，公司审计委员会向普华永道会计师事务所发出《关于督促普华永 </w:t>
      </w:r>
      <w:r>
        <w:rPr>
          <w:spacing w:val="-6"/>
        </w:rPr>
        <w:t>道中天会计师事务所按期提交</w:t>
      </w:r>
      <w:r>
        <w:rPr>
          <w:rFonts w:ascii="Times New Roman" w:hAnsi="Times New Roman" w:cs="Times New Roman" w:eastAsia="Times New Roman" w:hint="default"/>
          <w:spacing w:val="-6"/>
        </w:rPr>
        <w:t>2010</w:t>
      </w:r>
      <w:r>
        <w:rPr>
          <w:spacing w:val="-6"/>
        </w:rPr>
        <w:t>年审计报告的函》，督促其根据前期确定的审计计划，</w:t>
      </w:r>
      <w:r>
        <w:rPr>
          <w:spacing w:val="-86"/>
        </w:rPr>
        <w:t> </w:t>
      </w:r>
      <w:r>
        <w:rPr>
          <w:spacing w:val="-86"/>
        </w:rPr>
      </w:r>
      <w:r>
        <w:rPr/>
        <w:t>按期完成年报审计工作，以利于公司及时、高质量的完成</w:t>
      </w:r>
      <w:r>
        <w:rPr>
          <w:rFonts w:ascii="Times New Roman" w:hAnsi="Times New Roman" w:cs="Times New Roman" w:eastAsia="Times New Roman" w:hint="default"/>
        </w:rPr>
        <w:t>2010</w:t>
      </w:r>
      <w:r>
        <w:rPr/>
        <w:t>年年报审议及披露工作。</w:t>
      </w:r>
    </w:p>
    <w:p>
      <w:pPr>
        <w:pStyle w:val="BodyText"/>
        <w:spacing w:line="338" w:lineRule="auto" w:before="27"/>
        <w:ind w:right="217" w:firstLine="480"/>
        <w:jc w:val="left"/>
      </w:pP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w:t>
      </w:r>
      <w:r>
        <w:rPr>
          <w:spacing w:val="-3"/>
        </w:rPr>
        <w:t>日，公司审计委员会委员任峻先生代表审计委员会向普华永道会计师事</w:t>
      </w:r>
      <w:r>
        <w:rPr/>
        <w:t> 务所发出督促函，督促其按期、保质保量的完成</w:t>
      </w:r>
      <w:r>
        <w:rPr>
          <w:rFonts w:ascii="Times New Roman" w:hAnsi="Times New Roman" w:cs="Times New Roman" w:eastAsia="Times New Roman" w:hint="default"/>
        </w:rPr>
        <w:t>2010</w:t>
      </w:r>
      <w:r>
        <w:rPr/>
        <w:t>年年报审议及披露工作。</w:t>
      </w:r>
    </w:p>
    <w:p>
      <w:pPr>
        <w:pStyle w:val="BodyText"/>
        <w:spacing w:line="240" w:lineRule="auto" w:before="27"/>
        <w:ind w:left="560" w:right="97"/>
        <w:jc w:val="left"/>
      </w:pPr>
      <w:r>
        <w:rPr>
          <w:sz w:val="21"/>
          <w:szCs w:val="21"/>
        </w:rPr>
        <w:t>（</w:t>
      </w:r>
      <w:r>
        <w:rPr>
          <w:rFonts w:ascii="Times New Roman" w:hAnsi="Times New Roman" w:cs="Times New Roman" w:eastAsia="Times New Roman" w:hint="default"/>
          <w:sz w:val="21"/>
          <w:szCs w:val="21"/>
        </w:rPr>
        <w:t>5</w:t>
      </w:r>
      <w:r>
        <w:rPr>
          <w:sz w:val="21"/>
          <w:szCs w:val="21"/>
        </w:rPr>
        <w:t>）</w:t>
      </w:r>
      <w:r>
        <w:rPr/>
        <w:t>审计委员会向董事会提交的会计师事务所从事</w:t>
      </w:r>
      <w:r>
        <w:rPr>
          <w:spacing w:val="35"/>
        </w:rPr>
        <w:t> </w:t>
      </w:r>
      <w:r>
        <w:rPr>
          <w:rFonts w:ascii="Times New Roman" w:hAnsi="Times New Roman" w:cs="Times New Roman" w:eastAsia="Times New Roman" w:hint="default"/>
        </w:rPr>
        <w:t>2010</w:t>
      </w:r>
      <w:r>
        <w:rPr/>
        <w:t>年度公司审计工作的总结</w:t>
      </w:r>
    </w:p>
    <w:p>
      <w:pPr>
        <w:spacing w:after="0" w:line="240" w:lineRule="auto"/>
        <w:jc w:val="left"/>
        <w:sectPr>
          <w:pgSz w:w="11910" w:h="16840"/>
          <w:pgMar w:header="748" w:footer="714" w:top="980" w:bottom="900" w:left="1300" w:right="1200"/>
        </w:sectPr>
      </w:pPr>
    </w:p>
    <w:p>
      <w:pPr>
        <w:spacing w:line="240" w:lineRule="auto" w:before="7"/>
        <w:rPr>
          <w:rFonts w:ascii="宋体" w:hAnsi="宋体" w:cs="宋体" w:eastAsia="宋体" w:hint="default"/>
          <w:sz w:val="29"/>
          <w:szCs w:val="29"/>
        </w:rPr>
      </w:pPr>
    </w:p>
    <w:p>
      <w:pPr>
        <w:pStyle w:val="BodyText"/>
        <w:spacing w:line="338" w:lineRule="auto" w:before="26"/>
        <w:ind w:left="620" w:right="216" w:hanging="480"/>
        <w:jc w:val="left"/>
      </w:pPr>
      <w:r>
        <w:rPr/>
        <w:t>报告以及对</w:t>
      </w:r>
      <w:r>
        <w:rPr>
          <w:rFonts w:ascii="Times New Roman" w:hAnsi="Times New Roman" w:cs="Times New Roman" w:eastAsia="Times New Roman" w:hint="default"/>
        </w:rPr>
        <w:t>2011</w:t>
      </w:r>
      <w:r>
        <w:rPr/>
        <w:t>年度续聘或改聘会计师事务所的决议书： 普华永道中天会计师事务所有限公司对本公司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spacing w:val="-3"/>
        </w:rPr>
        <w:t>年度财务报表的审计工作，内</w:t>
      </w:r>
    </w:p>
    <w:p>
      <w:pPr>
        <w:pStyle w:val="BodyText"/>
        <w:spacing w:line="352" w:lineRule="auto" w:before="27"/>
        <w:ind w:left="139" w:right="97"/>
        <w:jc w:val="left"/>
      </w:pPr>
      <w:r>
        <w:rPr/>
        <w:t>容主要是对</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日的公司及合并资产负债表、</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年度的公司及合并利润 </w:t>
      </w:r>
      <w:r>
        <w:rPr>
          <w:spacing w:val="-3"/>
        </w:rPr>
        <w:t>表、公司及合并股东权益变动表和公司及合并现金流量表以及财务报表附注进行审计并</w:t>
      </w:r>
      <w:r>
        <w:rPr>
          <w:spacing w:val="-98"/>
        </w:rPr>
        <w:t> </w:t>
      </w:r>
      <w:r>
        <w:rPr>
          <w:spacing w:val="-98"/>
        </w:rPr>
      </w:r>
      <w:r>
        <w:rPr>
          <w:spacing w:val="-6"/>
        </w:rPr>
        <w:t>发表审计意见，以及对募集资金的使用情况进行鉴证并发表鉴证意见。年度审计结束后，</w:t>
      </w:r>
      <w:r>
        <w:rPr>
          <w:spacing w:val="-98"/>
        </w:rPr>
        <w:t> </w:t>
      </w:r>
      <w:r>
        <w:rPr>
          <w:spacing w:val="-98"/>
        </w:rPr>
      </w:r>
      <w:r>
        <w:rPr>
          <w:spacing w:val="-3"/>
        </w:rPr>
        <w:t>会计师事务所对公司的年度审计结论以书面方式出具了无保留意见的审计报告。审计委</w:t>
      </w:r>
      <w:r>
        <w:rPr>
          <w:spacing w:val="-98"/>
        </w:rPr>
        <w:t> </w:t>
      </w:r>
      <w:r>
        <w:rPr>
          <w:spacing w:val="-98"/>
        </w:rPr>
      </w:r>
      <w:r>
        <w:rPr/>
        <w:t>员会现将事务所本年度的审计情况作如下评价：</w:t>
      </w:r>
    </w:p>
    <w:p>
      <w:pPr>
        <w:pStyle w:val="BodyText"/>
        <w:spacing w:line="357" w:lineRule="auto" w:before="41"/>
        <w:ind w:left="619" w:right="217"/>
        <w:jc w:val="left"/>
      </w:pPr>
      <w:r>
        <w:rPr/>
        <w:t>① 基本情况： </w:t>
      </w:r>
      <w:r>
        <w:rPr>
          <w:spacing w:val="-3"/>
        </w:rPr>
        <w:t>普华永道中天会计师事务所有限公司与公司董事会、独立董事、监事会和高管层进</w:t>
      </w:r>
    </w:p>
    <w:p>
      <w:pPr>
        <w:pStyle w:val="BodyText"/>
        <w:spacing w:line="357" w:lineRule="auto" w:before="36"/>
        <w:ind w:left="139" w:right="233"/>
        <w:jc w:val="both"/>
      </w:pPr>
      <w:r>
        <w:rPr>
          <w:spacing w:val="-3"/>
        </w:rPr>
        <w:t>行了必要的沟通，通过对公司内部控制等情况的了解，会计师事务所已与公司签订了审</w:t>
      </w:r>
      <w:r>
        <w:rPr>
          <w:spacing w:val="-98"/>
        </w:rPr>
        <w:t> </w:t>
      </w:r>
      <w:r>
        <w:rPr>
          <w:spacing w:val="-98"/>
        </w:rPr>
      </w:r>
      <w:r>
        <w:rPr/>
        <w:t>计业务约定书。</w:t>
      </w:r>
    </w:p>
    <w:p>
      <w:pPr>
        <w:pStyle w:val="BodyText"/>
        <w:spacing w:line="240" w:lineRule="auto" w:before="36"/>
        <w:ind w:left="619" w:right="97"/>
        <w:jc w:val="left"/>
      </w:pPr>
      <w:r>
        <w:rPr/>
        <w:t>普华永道中天会计师事务所有限公司于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10 </w:t>
      </w:r>
      <w:r>
        <w:rPr>
          <w:spacing w:val="-3"/>
        </w:rPr>
        <w:t>日成立审计小组，由项目</w:t>
      </w:r>
    </w:p>
    <w:p>
      <w:pPr>
        <w:pStyle w:val="BodyText"/>
        <w:spacing w:line="338" w:lineRule="auto" w:before="135"/>
        <w:ind w:left="139" w:right="233"/>
        <w:jc w:val="both"/>
      </w:pPr>
      <w:r>
        <w:rPr>
          <w:spacing w:val="-3"/>
        </w:rPr>
        <w:t>负责人带队进入公司开始进行年度审计。经过</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spacing w:val="-3"/>
        </w:rPr>
        <w:t>个月的审计工作，审计小组完成了所有</w:t>
      </w:r>
      <w:r>
        <w:rPr/>
        <w:t> </w:t>
      </w:r>
      <w:r>
        <w:rPr>
          <w:spacing w:val="-3"/>
        </w:rPr>
        <w:t>审计程序，取得了充分适当的审计证据，并向审计委员会提交了无保留意见的审计报告</w:t>
      </w:r>
    </w:p>
    <w:p>
      <w:pPr>
        <w:pStyle w:val="BodyText"/>
        <w:spacing w:line="240" w:lineRule="auto" w:before="55"/>
        <w:ind w:left="139" w:right="0"/>
        <w:jc w:val="both"/>
      </w:pPr>
      <w:r>
        <w:rPr/>
        <w:t>（意见稿）。</w:t>
      </w:r>
    </w:p>
    <w:p>
      <w:pPr>
        <w:pStyle w:val="BodyText"/>
        <w:spacing w:line="357" w:lineRule="auto" w:before="154"/>
        <w:ind w:left="619" w:right="125"/>
        <w:jc w:val="left"/>
      </w:pPr>
      <w:r>
        <w:rPr/>
        <w:t>② 关于会计师事务所执行审计业务的工作评价： ⅰ、独立性评价：普华永道中天会计师事务所有限公司所有职员未在本公司任职，</w:t>
      </w:r>
    </w:p>
    <w:p>
      <w:pPr>
        <w:pStyle w:val="BodyText"/>
        <w:spacing w:line="357" w:lineRule="auto" w:before="36"/>
        <w:ind w:left="139" w:right="233"/>
        <w:jc w:val="both"/>
      </w:pPr>
      <w:r>
        <w:rPr>
          <w:spacing w:val="-3"/>
        </w:rPr>
        <w:t>并未获取除法定审计必要费用外的任何现金及其他任何形式经济利益；会计师事务所和</w:t>
      </w:r>
      <w:r>
        <w:rPr>
          <w:spacing w:val="-98"/>
        </w:rPr>
        <w:t> </w:t>
      </w:r>
      <w:r>
        <w:rPr>
          <w:spacing w:val="-98"/>
        </w:rPr>
      </w:r>
      <w:r>
        <w:rPr>
          <w:spacing w:val="-3"/>
        </w:rPr>
        <w:t>本公司之间不存在直接或者间接的相互投资情况，也不存在密切的经营关系；会计师事</w:t>
      </w:r>
      <w:r>
        <w:rPr>
          <w:spacing w:val="-98"/>
        </w:rPr>
        <w:t> </w:t>
      </w:r>
      <w:r>
        <w:rPr>
          <w:spacing w:val="-98"/>
        </w:rPr>
      </w:r>
      <w:r>
        <w:rPr>
          <w:spacing w:val="-3"/>
        </w:rPr>
        <w:t>务所对公司的审计业务不存在自我评价，审计小组成员和本公司决策层之间不存在关联</w:t>
      </w:r>
      <w:r>
        <w:rPr>
          <w:spacing w:val="-98"/>
        </w:rPr>
        <w:t> </w:t>
      </w:r>
      <w:r>
        <w:rPr>
          <w:spacing w:val="-98"/>
        </w:rPr>
      </w:r>
      <w:r>
        <w:rPr>
          <w:spacing w:val="-3"/>
        </w:rPr>
        <w:t>关系。在本次审计工作中普华永道中天会计师事务所有限公司及审计成员始终保持了形</w:t>
      </w:r>
      <w:r>
        <w:rPr>
          <w:spacing w:val="-98"/>
        </w:rPr>
        <w:t> </w:t>
      </w:r>
      <w:r>
        <w:rPr>
          <w:spacing w:val="-98"/>
        </w:rPr>
      </w:r>
      <w:r>
        <w:rPr/>
        <w:t>式上和实质上的双重独立性，遵守了职业道德基本原则中关于保持独立性的要求。</w:t>
      </w:r>
    </w:p>
    <w:p>
      <w:pPr>
        <w:pStyle w:val="BodyText"/>
        <w:spacing w:line="240" w:lineRule="auto" w:before="36"/>
        <w:ind w:left="619" w:right="97"/>
        <w:jc w:val="left"/>
      </w:pPr>
      <w:r>
        <w:rPr/>
        <w:t>ⅱ、专业胜任能力评价：审计小组共由</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7"/>
        </w:rPr>
        <w:t> </w:t>
      </w:r>
      <w:r>
        <w:rPr/>
        <w:t>人组成，其中核心小组成员</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人，其</w:t>
      </w:r>
    </w:p>
    <w:p>
      <w:pPr>
        <w:pStyle w:val="BodyText"/>
        <w:spacing w:line="348" w:lineRule="auto" w:before="135"/>
        <w:ind w:right="233"/>
        <w:jc w:val="both"/>
      </w:pPr>
      <w:r>
        <w:rPr/>
        <w:t>中具有注册会计师资格的核心小组成员</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5"/>
        </w:rPr>
        <w:t>名。核心小组主要人员对零售业务较熟悉，组</w:t>
      </w:r>
      <w:r>
        <w:rPr/>
        <w:t> </w:t>
      </w:r>
      <w:r>
        <w:rPr>
          <w:spacing w:val="-3"/>
        </w:rPr>
        <w:t>成人员具有承办本次审计业务所必需的专业知识和相关的职业证书，能够胜任本次审计</w:t>
      </w:r>
      <w:r>
        <w:rPr>
          <w:spacing w:val="-98"/>
        </w:rPr>
        <w:t> </w:t>
      </w:r>
      <w:r>
        <w:rPr>
          <w:spacing w:val="-98"/>
        </w:rPr>
      </w:r>
      <w:r>
        <w:rPr/>
        <w:t>工作。</w:t>
      </w:r>
    </w:p>
    <w:p>
      <w:pPr>
        <w:pStyle w:val="BodyText"/>
        <w:spacing w:line="357" w:lineRule="auto" w:before="46"/>
        <w:ind w:right="232" w:firstLine="480"/>
        <w:jc w:val="both"/>
      </w:pPr>
      <w:r>
        <w:rPr/>
        <w:t>③</w:t>
      </w:r>
      <w:r>
        <w:rPr>
          <w:spacing w:val="2"/>
        </w:rPr>
        <w:t> </w:t>
      </w:r>
      <w:r>
        <w:rPr/>
        <w:t>审计小组在本年度审计中按照中国注册会计师审计准则的要求执行了恰当的审</w:t>
      </w:r>
      <w:r>
        <w:rPr/>
        <w:t> </w:t>
      </w:r>
      <w:r>
        <w:rPr>
          <w:spacing w:val="-3"/>
        </w:rPr>
        <w:t>计程序，为发表审计意见获取了充分、适当的审计证据。事务所对财务报表发表的无保</w:t>
      </w:r>
      <w:r>
        <w:rPr>
          <w:spacing w:val="-96"/>
        </w:rPr>
        <w:t> </w:t>
      </w:r>
      <w:r>
        <w:rPr>
          <w:spacing w:val="-96"/>
        </w:rPr>
      </w:r>
      <w:r>
        <w:rPr/>
        <w:t>留审计意见是在获取充分、适当的审计证据的基础上做出的。</w:t>
      </w:r>
    </w:p>
    <w:p>
      <w:pPr>
        <w:pStyle w:val="BodyText"/>
        <w:spacing w:line="338" w:lineRule="auto" w:before="36"/>
        <w:ind w:right="231" w:firstLine="480"/>
        <w:jc w:val="both"/>
      </w:pPr>
      <w:r>
        <w:rPr/>
        <w:t>④ 关于对续聘会计师事务所的决议：第四届董事会审计委员会认为公司 </w:t>
      </w:r>
      <w:r>
        <w:rPr>
          <w:rFonts w:ascii="Times New Roman" w:hAnsi="Times New Roman" w:cs="Times New Roman" w:eastAsia="Times New Roman" w:hint="default"/>
        </w:rPr>
        <w:t>2010</w:t>
      </w:r>
      <w:r>
        <w:rPr>
          <w:rFonts w:ascii="Times New Roman" w:hAnsi="Times New Roman" w:cs="Times New Roman" w:eastAsia="Times New Roman" w:hint="default"/>
          <w:spacing w:val="26"/>
        </w:rPr>
        <w:t> </w:t>
      </w:r>
      <w:r>
        <w:rPr/>
        <w:t>年 </w:t>
      </w:r>
      <w:r>
        <w:rPr>
          <w:spacing w:val="3"/>
        </w:rPr>
        <w:t>聘请的普华永道中天会计师事务所有限公司在为公司提供审计服务的工作中，恪尽职</w:t>
      </w:r>
      <w:r>
        <w:rPr/>
      </w:r>
    </w:p>
    <w:p>
      <w:pPr>
        <w:spacing w:after="0" w:line="338" w:lineRule="auto"/>
        <w:jc w:val="both"/>
        <w:sectPr>
          <w:pgSz w:w="11910" w:h="16840"/>
          <w:pgMar w:header="748" w:footer="714" w:top="980" w:bottom="900" w:left="1300" w:right="1200"/>
        </w:sectPr>
      </w:pPr>
    </w:p>
    <w:p>
      <w:pPr>
        <w:spacing w:line="240" w:lineRule="auto" w:before="7"/>
        <w:rPr>
          <w:rFonts w:ascii="宋体" w:hAnsi="宋体" w:cs="宋体" w:eastAsia="宋体" w:hint="default"/>
          <w:sz w:val="29"/>
          <w:szCs w:val="29"/>
        </w:rPr>
      </w:pPr>
    </w:p>
    <w:p>
      <w:pPr>
        <w:pStyle w:val="BodyText"/>
        <w:spacing w:line="357" w:lineRule="auto" w:before="26"/>
        <w:ind w:left="240" w:right="119"/>
        <w:jc w:val="left"/>
      </w:pPr>
      <w:r>
        <w:rPr>
          <w:spacing w:val="-3"/>
        </w:rPr>
        <w:t>守，遵循独立、客观、公正的职业准则，较好的完成了公司委托的审计工作。因此，提</w:t>
      </w:r>
      <w:r>
        <w:rPr>
          <w:spacing w:val="-101"/>
        </w:rPr>
        <w:t> </w:t>
      </w:r>
      <w:r>
        <w:rPr>
          <w:spacing w:val="-101"/>
        </w:rPr>
      </w:r>
      <w:r>
        <w:rPr/>
        <w:t>请公司继续聘任普华永道中天会计师事务所有限公司作为公司</w:t>
      </w:r>
      <w:r>
        <w:rPr>
          <w:spacing w:val="-60"/>
        </w:rPr>
        <w:t> </w:t>
      </w:r>
      <w:r>
        <w:rPr>
          <w:rFonts w:ascii="Times New Roman" w:hAnsi="Times New Roman" w:cs="Times New Roman" w:eastAsia="Times New Roman" w:hint="default"/>
        </w:rPr>
        <w:t>2011 </w:t>
      </w:r>
      <w:r>
        <w:rPr/>
        <w:t>年的审计机构。</w:t>
      </w:r>
    </w:p>
    <w:p>
      <w:pPr>
        <w:pStyle w:val="BodyText"/>
        <w:spacing w:line="338" w:lineRule="auto" w:before="5"/>
        <w:ind w:left="720" w:right="239"/>
        <w:jc w:val="left"/>
      </w:pPr>
      <w:r>
        <w:rPr>
          <w:rFonts w:ascii="Times New Roman" w:hAnsi="Times New Roman" w:cs="Times New Roman" w:eastAsia="Times New Roman" w:hint="default"/>
        </w:rPr>
        <w:t>4</w:t>
      </w:r>
      <w:r>
        <w:rPr/>
        <w:t>、董事会薪酬与考核委员会履职情况： 第四届董事会薪酬与考核委员会认为公司《</w:t>
      </w:r>
      <w:r>
        <w:rPr>
          <w:rFonts w:ascii="Times New Roman" w:hAnsi="Times New Roman" w:cs="Times New Roman" w:eastAsia="Times New Roman" w:hint="default"/>
        </w:rPr>
        <w:t>2010 </w:t>
      </w:r>
      <w:r>
        <w:rPr>
          <w:rFonts w:ascii="Times New Roman" w:hAnsi="Times New Roman" w:cs="Times New Roman" w:eastAsia="Times New Roman" w:hint="default"/>
          <w:spacing w:val="25"/>
        </w:rPr>
        <w:t> </w:t>
      </w:r>
      <w:r>
        <w:rPr/>
        <w:t>年股票期权激励计划》确定的公</w:t>
      </w:r>
    </w:p>
    <w:p>
      <w:pPr>
        <w:pStyle w:val="BodyText"/>
        <w:spacing w:line="357" w:lineRule="auto" w:before="27"/>
        <w:ind w:left="239" w:right="115"/>
        <w:jc w:val="left"/>
      </w:pPr>
      <w:r>
        <w:rPr/>
        <w:t>司董</w:t>
      </w:r>
      <w:r>
        <w:rPr>
          <w:spacing w:val="-42"/>
        </w:rPr>
        <w:t>事</w:t>
      </w:r>
      <w:r>
        <w:rPr/>
        <w:t>（不包括独立董事</w:t>
      </w:r>
      <w:r>
        <w:rPr>
          <w:spacing w:val="-120"/>
        </w:rPr>
        <w:t>）</w:t>
      </w:r>
      <w:r>
        <w:rPr>
          <w:spacing w:val="-42"/>
        </w:rPr>
        <w:t>、</w:t>
      </w:r>
      <w:r>
        <w:rPr/>
        <w:t>其他高级管理人员及其他员工具</w:t>
      </w:r>
      <w:r>
        <w:rPr>
          <w:spacing w:val="-42"/>
        </w:rPr>
        <w:t>备</w:t>
      </w:r>
      <w:r>
        <w:rPr/>
        <w:t>《公司法</w:t>
      </w:r>
      <w:r>
        <w:rPr>
          <w:spacing w:val="-120"/>
        </w:rPr>
        <w:t>》</w:t>
      </w:r>
      <w:r>
        <w:rPr>
          <w:spacing w:val="-42"/>
        </w:rPr>
        <w:t>、</w:t>
      </w:r>
      <w:r>
        <w:rPr/>
        <w:t>公</w:t>
      </w:r>
      <w:r>
        <w:rPr>
          <w:spacing w:val="-42"/>
        </w:rPr>
        <w:t>司</w:t>
      </w:r>
      <w:r>
        <w:rPr/>
        <w:t>《章程》</w:t>
      </w:r>
      <w:r>
        <w:rPr/>
        <w:t> 等法律</w:t>
      </w:r>
      <w:r>
        <w:rPr>
          <w:spacing w:val="-113"/>
        </w:rPr>
        <w:t>、</w:t>
      </w:r>
      <w:r>
        <w:rPr/>
        <w:t>法规和规范性文件规定的任职资格</w:t>
      </w:r>
      <w:r>
        <w:rPr>
          <w:spacing w:val="-113"/>
        </w:rPr>
        <w:t>，</w:t>
      </w:r>
      <w:r>
        <w:rPr/>
        <w:t>符</w:t>
      </w:r>
      <w:r>
        <w:rPr>
          <w:spacing w:val="-113"/>
        </w:rPr>
        <w:t>合</w:t>
      </w:r>
      <w:r>
        <w:rPr/>
        <w:t>《上市公司股权激励管理办</w:t>
      </w:r>
      <w:r>
        <w:rPr>
          <w:spacing w:val="-113"/>
        </w:rPr>
        <w:t>法</w:t>
      </w:r>
      <w:r>
        <w:rPr/>
        <w:t>（试行</w:t>
      </w:r>
      <w:r>
        <w:rPr>
          <w:spacing w:val="-120"/>
        </w:rPr>
        <w:t>）》</w:t>
      </w:r>
      <w:r>
        <w:rPr/>
        <w:t>、</w:t>
      </w:r>
    </w:p>
    <w:p>
      <w:pPr>
        <w:pStyle w:val="BodyText"/>
        <w:spacing w:line="338" w:lineRule="auto" w:before="36"/>
        <w:ind w:left="239" w:right="238"/>
        <w:jc w:val="left"/>
      </w:pPr>
      <w:r>
        <w:rPr/>
        <w:t>《股权激励审核备忘录</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19"/>
        </w:rPr>
        <w:t>号》、《股权激励审核备忘录</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7"/>
        </w:rPr>
        <w:t>号》规定的激励对象条件，其作</w:t>
      </w:r>
      <w:r>
        <w:rPr/>
        <w:t> 为公司本次股票期权激励对象的主体资格合法、有效。</w:t>
      </w:r>
    </w:p>
    <w:p>
      <w:pPr>
        <w:pStyle w:val="BodyText"/>
        <w:spacing w:line="357" w:lineRule="auto" w:before="55"/>
        <w:ind w:left="239" w:right="253" w:firstLine="480"/>
        <w:jc w:val="both"/>
      </w:pPr>
      <w:r>
        <w:rPr>
          <w:spacing w:val="-3"/>
        </w:rPr>
        <w:t>第四届董事会薪酬与考核委员会对公司董事、监事和高级管理人员所披露薪酬发表</w:t>
      </w:r>
      <w:r>
        <w:rPr/>
        <w:t> 审核意见如下：</w:t>
      </w:r>
    </w:p>
    <w:p>
      <w:pPr>
        <w:pStyle w:val="BodyText"/>
        <w:spacing w:line="345" w:lineRule="auto" w:before="36"/>
        <w:ind w:left="239" w:right="251"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5"/>
        </w:rPr>
        <w:t> </w:t>
      </w:r>
      <w:r>
        <w:rPr/>
        <w:t>年，公司在董事会的领导下，各位董事、监事、高级管理人员密切配合，带 领全体员工共同努力，取得了良好的经营业绩，实现了公司的稳步发展。</w:t>
      </w:r>
      <w:r>
        <w:rPr>
          <w:rFonts w:ascii="Times New Roman" w:hAnsi="Times New Roman" w:cs="Times New Roman" w:eastAsia="Times New Roman" w:hint="default"/>
        </w:rPr>
        <w:t>2010</w:t>
      </w:r>
      <w:r>
        <w:rPr>
          <w:rFonts w:ascii="Times New Roman" w:hAnsi="Times New Roman" w:cs="Times New Roman" w:eastAsia="Times New Roman" w:hint="default"/>
          <w:spacing w:val="60"/>
        </w:rPr>
        <w:t> </w:t>
      </w:r>
      <w:r>
        <w:rPr>
          <w:spacing w:val="2"/>
        </w:rPr>
        <w:t>年所披 </w:t>
      </w:r>
      <w:r>
        <w:rPr>
          <w:spacing w:val="-3"/>
        </w:rPr>
        <w:t>露的董事和高管薪酬是经公司董事会、股东大会审议通过的，相关决策程序符合法律法</w:t>
      </w:r>
      <w:r>
        <w:rPr>
          <w:spacing w:val="-98"/>
        </w:rPr>
        <w:t> </w:t>
      </w:r>
      <w:r>
        <w:rPr>
          <w:spacing w:val="-98"/>
        </w:rPr>
      </w:r>
      <w:r>
        <w:rPr/>
        <w:t>规的规定，披露的薪酬信息是真实和合理的。</w:t>
      </w:r>
    </w:p>
    <w:p>
      <w:pPr>
        <w:pStyle w:val="BodyText"/>
        <w:spacing w:line="240" w:lineRule="auto" w:before="48"/>
        <w:ind w:left="719" w:right="2202"/>
        <w:jc w:val="left"/>
      </w:pPr>
      <w:r>
        <w:rPr/>
        <w:t>六、利润分配预案</w:t>
      </w:r>
    </w:p>
    <w:p>
      <w:pPr>
        <w:pStyle w:val="BodyText"/>
        <w:spacing w:line="338" w:lineRule="auto" w:before="154"/>
        <w:ind w:left="765" w:right="152"/>
        <w:jc w:val="left"/>
      </w:pPr>
      <w:r>
        <w:rPr>
          <w:rFonts w:ascii="Times New Roman" w:hAnsi="Times New Roman" w:cs="Times New Roman" w:eastAsia="Times New Roman" w:hint="default"/>
        </w:rPr>
        <w:t>1</w:t>
      </w:r>
      <w:r>
        <w:rPr/>
        <w:t>、本年度利润分配预案 经普华永道中天会计师事务所有限公司出具的普华永道中天审字</w:t>
      </w:r>
      <w:r>
        <w:rPr>
          <w:rFonts w:ascii="Times New Roman" w:hAnsi="Times New Roman" w:cs="Times New Roman" w:eastAsia="Times New Roman" w:hint="default"/>
        </w:rPr>
        <w:t>(2011)</w:t>
      </w:r>
      <w:r>
        <w:rPr/>
        <w:t>第 </w:t>
      </w:r>
      <w:r>
        <w:rPr>
          <w:rFonts w:ascii="Times New Roman" w:hAnsi="Times New Roman" w:cs="Times New Roman" w:eastAsia="Times New Roman" w:hint="default"/>
        </w:rPr>
        <w:t>10045</w:t>
      </w:r>
      <w:r>
        <w:rPr>
          <w:rFonts w:ascii="Times New Roman" w:hAnsi="Times New Roman" w:cs="Times New Roman" w:eastAsia="Times New Roman" w:hint="default"/>
          <w:spacing w:val="-33"/>
        </w:rPr>
        <w:t> </w:t>
      </w:r>
      <w:r>
        <w:rPr/>
        <w:t>号</w:t>
      </w:r>
    </w:p>
    <w:p>
      <w:pPr>
        <w:pStyle w:val="BodyText"/>
        <w:spacing w:line="240" w:lineRule="auto" w:before="27"/>
        <w:ind w:left="239" w:right="119"/>
        <w:jc w:val="left"/>
        <w:rPr>
          <w:rFonts w:ascii="Times New Roman" w:hAnsi="Times New Roman" w:cs="Times New Roman" w:eastAsia="Times New Roman" w:hint="default"/>
        </w:rPr>
      </w:pPr>
      <w:r>
        <w:rPr/>
        <w:t>《审计报告》确认，</w:t>
      </w:r>
      <w:r>
        <w:rPr>
          <w:rFonts w:ascii="Times New Roman" w:hAnsi="Times New Roman" w:cs="Times New Roman" w:eastAsia="Times New Roman" w:hint="default"/>
        </w:rPr>
        <w:t>2010 </w:t>
      </w:r>
      <w:r>
        <w:rPr/>
        <w:t>年公司母公司实现净利润 </w:t>
      </w:r>
      <w:r>
        <w:rPr>
          <w:rFonts w:ascii="Times New Roman" w:hAnsi="Times New Roman" w:cs="Times New Roman" w:eastAsia="Times New Roman" w:hint="default"/>
        </w:rPr>
        <w:t>2,290,641 </w:t>
      </w:r>
      <w:r>
        <w:rPr/>
        <w:t>千元，按公司净利润</w:t>
      </w:r>
      <w:r>
        <w:rPr>
          <w:spacing w:val="-88"/>
        </w:rPr>
        <w:t> </w:t>
      </w:r>
      <w:r>
        <w:rPr>
          <w:rFonts w:ascii="Times New Roman" w:hAnsi="Times New Roman" w:cs="Times New Roman" w:eastAsia="Times New Roman" w:hint="default"/>
        </w:rPr>
        <w:t>10%</w:t>
      </w:r>
    </w:p>
    <w:p>
      <w:pPr>
        <w:pStyle w:val="BodyText"/>
        <w:spacing w:line="240" w:lineRule="auto" w:before="135"/>
        <w:ind w:left="239" w:right="119"/>
        <w:jc w:val="left"/>
        <w:rPr>
          <w:rFonts w:ascii="Times New Roman" w:hAnsi="Times New Roman" w:cs="Times New Roman" w:eastAsia="Times New Roman" w:hint="default"/>
        </w:rPr>
      </w:pPr>
      <w:r>
        <w:rPr/>
        <w:t>提取法定盈余公积金</w:t>
      </w:r>
      <w:r>
        <w:rPr>
          <w:spacing w:val="-77"/>
        </w:rPr>
        <w:t> </w:t>
      </w:r>
      <w:r>
        <w:rPr>
          <w:rFonts w:ascii="Times New Roman" w:hAnsi="Times New Roman" w:cs="Times New Roman" w:eastAsia="Times New Roman" w:hint="default"/>
        </w:rPr>
        <w:t>229,064</w:t>
      </w:r>
      <w:r>
        <w:rPr>
          <w:rFonts w:ascii="Times New Roman" w:hAnsi="Times New Roman" w:cs="Times New Roman" w:eastAsia="Times New Roman" w:hint="default"/>
          <w:spacing w:val="-17"/>
        </w:rPr>
        <w:t> </w:t>
      </w:r>
      <w:r>
        <w:rPr/>
        <w:t>千元</w:t>
      </w:r>
      <w:r>
        <w:rPr>
          <w:spacing w:val="-120"/>
        </w:rPr>
        <w:t>，</w:t>
      </w:r>
      <w:r>
        <w:rPr/>
        <w:t>提取法定盈余公积金后剩余利润</w:t>
      </w:r>
      <w:r>
        <w:rPr>
          <w:spacing w:val="-77"/>
        </w:rPr>
        <w:t> </w:t>
      </w:r>
      <w:r>
        <w:rPr>
          <w:rFonts w:ascii="Times New Roman" w:hAnsi="Times New Roman" w:cs="Times New Roman" w:eastAsia="Times New Roman" w:hint="default"/>
        </w:rPr>
        <w:t>2,061,577</w:t>
      </w:r>
      <w:r>
        <w:rPr>
          <w:rFonts w:ascii="Times New Roman" w:hAnsi="Times New Roman" w:cs="Times New Roman" w:eastAsia="Times New Roman" w:hint="default"/>
          <w:spacing w:val="-17"/>
        </w:rPr>
        <w:t> </w:t>
      </w:r>
      <w:r>
        <w:rPr/>
        <w:t>千元</w:t>
      </w:r>
      <w:r>
        <w:rPr>
          <w:spacing w:val="-120"/>
        </w:rPr>
        <w:t>。</w:t>
      </w:r>
      <w:r>
        <w:rPr>
          <w:rFonts w:ascii="Times New Roman" w:hAnsi="Times New Roman" w:cs="Times New Roman" w:eastAsia="Times New Roman" w:hint="default"/>
        </w:rPr>
        <w:t>2010</w:t>
      </w:r>
    </w:p>
    <w:p>
      <w:pPr>
        <w:pStyle w:val="BodyText"/>
        <w:spacing w:line="240" w:lineRule="auto" w:before="135"/>
        <w:ind w:left="239" w:right="119"/>
        <w:jc w:val="left"/>
      </w:pPr>
      <w:r>
        <w:rPr/>
        <w:t>年内，公司支付普通股股利</w:t>
      </w:r>
      <w:r>
        <w:rPr>
          <w:spacing w:val="-70"/>
        </w:rPr>
        <w:t> </w:t>
      </w:r>
      <w:r>
        <w:rPr>
          <w:rFonts w:ascii="Times New Roman" w:hAnsi="Times New Roman" w:cs="Times New Roman" w:eastAsia="Times New Roman" w:hint="default"/>
        </w:rPr>
        <w:t>233,207</w:t>
      </w:r>
      <w:r>
        <w:rPr>
          <w:rFonts w:ascii="Times New Roman" w:hAnsi="Times New Roman" w:cs="Times New Roman" w:eastAsia="Times New Roman" w:hint="default"/>
          <w:spacing w:val="-10"/>
        </w:rPr>
        <w:t> </w:t>
      </w:r>
      <w:r>
        <w:rPr/>
        <w:t>千元，加年初未分配利润</w:t>
      </w:r>
      <w:r>
        <w:rPr>
          <w:spacing w:val="-70"/>
        </w:rPr>
        <w:t> </w:t>
      </w:r>
      <w:r>
        <w:rPr>
          <w:rFonts w:ascii="Times New Roman" w:hAnsi="Times New Roman" w:cs="Times New Roman" w:eastAsia="Times New Roman" w:hint="default"/>
        </w:rPr>
        <w:t>3,064,358</w:t>
      </w:r>
      <w:r>
        <w:rPr>
          <w:rFonts w:ascii="Times New Roman" w:hAnsi="Times New Roman" w:cs="Times New Roman" w:eastAsia="Times New Roman" w:hint="default"/>
          <w:spacing w:val="-10"/>
        </w:rPr>
        <w:t> </w:t>
      </w:r>
      <w:r>
        <w:rPr>
          <w:spacing w:val="-4"/>
        </w:rPr>
        <w:t>千元，报告期末</w:t>
      </w:r>
    </w:p>
    <w:p>
      <w:pPr>
        <w:pStyle w:val="BodyText"/>
        <w:spacing w:line="240" w:lineRule="auto" w:before="135"/>
        <w:ind w:left="239" w:right="2202"/>
        <w:jc w:val="left"/>
      </w:pPr>
      <w:r>
        <w:rPr/>
        <w:t>公司未分配利润为</w:t>
      </w:r>
      <w:r>
        <w:rPr>
          <w:spacing w:val="-60"/>
        </w:rPr>
        <w:t> </w:t>
      </w:r>
      <w:r>
        <w:rPr>
          <w:rFonts w:ascii="Times New Roman" w:hAnsi="Times New Roman" w:cs="Times New Roman" w:eastAsia="Times New Roman" w:hint="default"/>
        </w:rPr>
        <w:t>4,892,728 </w:t>
      </w:r>
      <w:r>
        <w:rPr/>
        <w:t>千元。</w:t>
      </w:r>
    </w:p>
    <w:p>
      <w:pPr>
        <w:pStyle w:val="BodyText"/>
        <w:spacing w:line="240" w:lineRule="auto" w:before="135"/>
        <w:ind w:left="711" w:right="119"/>
        <w:jc w:val="left"/>
      </w:pPr>
      <w:r>
        <w:rPr>
          <w:spacing w:val="-5"/>
        </w:rPr>
        <w:t>公司第四届董事会第九次会议审议通过</w:t>
      </w:r>
      <w:r>
        <w:rPr>
          <w:spacing w:val="-47"/>
        </w:rPr>
        <w:t> </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16"/>
        </w:rPr>
        <w:t> </w:t>
      </w:r>
      <w:r>
        <w:rPr>
          <w:spacing w:val="-4"/>
        </w:rPr>
        <w:t>年度利润分配方案：以</w:t>
      </w:r>
      <w:r>
        <w:rPr>
          <w:spacing w:val="-48"/>
        </w:rPr>
        <w:t> </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15"/>
        </w:rPr>
        <w:t> </w:t>
      </w:r>
      <w:r>
        <w:rPr>
          <w:spacing w:val="-4"/>
        </w:rPr>
        <w:t>年末公司</w:t>
      </w:r>
      <w:r>
        <w:rPr/>
      </w:r>
    </w:p>
    <w:p>
      <w:pPr>
        <w:pStyle w:val="BodyText"/>
        <w:spacing w:line="240" w:lineRule="auto" w:before="135"/>
        <w:ind w:left="239" w:right="119"/>
        <w:jc w:val="left"/>
      </w:pPr>
      <w:r>
        <w:rPr>
          <w:spacing w:val="-5"/>
        </w:rPr>
        <w:t>总股</w:t>
      </w:r>
      <w:r>
        <w:rPr/>
        <w:t>本</w:t>
      </w:r>
      <w:r>
        <w:rPr>
          <w:spacing w:val="-64"/>
        </w:rPr>
        <w:t> </w:t>
      </w:r>
      <w:r>
        <w:rPr>
          <w:rFonts w:ascii="Times New Roman" w:hAnsi="Times New Roman" w:cs="Times New Roman" w:eastAsia="Times New Roman" w:hint="default"/>
          <w:spacing w:val="-2"/>
        </w:rPr>
        <w:t>6,996,2</w:t>
      </w:r>
      <w:r>
        <w:rPr>
          <w:rFonts w:ascii="Times New Roman" w:hAnsi="Times New Roman" w:cs="Times New Roman" w:eastAsia="Times New Roman" w:hint="default"/>
          <w:spacing w:val="-11"/>
        </w:rPr>
        <w:t>1</w:t>
      </w:r>
      <w:r>
        <w:rPr>
          <w:rFonts w:ascii="Times New Roman" w:hAnsi="Times New Roman" w:cs="Times New Roman" w:eastAsia="Times New Roman" w:hint="default"/>
          <w:spacing w:val="-2"/>
        </w:rPr>
        <w:t>1,86</w:t>
      </w:r>
      <w:r>
        <w:rPr>
          <w:rFonts w:ascii="Times New Roman" w:hAnsi="Times New Roman" w:cs="Times New Roman" w:eastAsia="Times New Roman" w:hint="default"/>
        </w:rPr>
        <w:t>6 </w:t>
      </w:r>
      <w:r>
        <w:rPr>
          <w:spacing w:val="-5"/>
        </w:rPr>
        <w:t>股为基数，向全体股东</w:t>
      </w:r>
      <w:r>
        <w:rPr/>
        <w:t>每</w:t>
      </w:r>
      <w:r>
        <w:rPr>
          <w:spacing w:val="-6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4"/>
        </w:rPr>
        <w:t>股派发现</w:t>
      </w:r>
      <w:r>
        <w:rPr/>
        <w:t>金</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5"/>
        </w:rPr>
        <w:t>元（含税</w:t>
      </w:r>
      <w:r>
        <w:rPr>
          <w:spacing w:val="-122"/>
        </w:rPr>
        <w:t>）</w:t>
      </w:r>
      <w:r>
        <w:rPr>
          <w:spacing w:val="-5"/>
        </w:rPr>
        <w:t>，本次利润分</w:t>
      </w:r>
      <w:r>
        <w:rPr/>
      </w:r>
    </w:p>
    <w:p>
      <w:pPr>
        <w:pStyle w:val="BodyText"/>
        <w:spacing w:line="240" w:lineRule="auto" w:before="135"/>
        <w:ind w:left="239" w:right="119"/>
        <w:jc w:val="left"/>
      </w:pPr>
      <w:r>
        <w:rPr/>
        <w:t>配</w:t>
      </w:r>
      <w:r>
        <w:rPr>
          <w:spacing w:val="-66"/>
        </w:rPr>
        <w:t> </w:t>
      </w:r>
      <w:r>
        <w:rPr>
          <w:rFonts w:ascii="Times New Roman" w:hAnsi="Times New Roman" w:cs="Times New Roman" w:eastAsia="Times New Roman" w:hint="default"/>
          <w:spacing w:val="-3"/>
        </w:rPr>
        <w:t>699,621</w:t>
      </w:r>
      <w:r>
        <w:rPr>
          <w:rFonts w:ascii="Times New Roman" w:hAnsi="Times New Roman" w:cs="Times New Roman" w:eastAsia="Times New Roman" w:hint="default"/>
          <w:spacing w:val="-2"/>
        </w:rPr>
        <w:t> </w:t>
      </w:r>
      <w:r>
        <w:rPr>
          <w:spacing w:val="-5"/>
        </w:rPr>
        <w:t>千元，利润分配后，剩余未分配利润</w:t>
      </w:r>
      <w:r>
        <w:rPr>
          <w:spacing w:val="-67"/>
        </w:rPr>
        <w:t> </w:t>
      </w:r>
      <w:r>
        <w:rPr>
          <w:rFonts w:ascii="Times New Roman" w:hAnsi="Times New Roman" w:cs="Times New Roman" w:eastAsia="Times New Roman" w:hint="default"/>
        </w:rPr>
        <w:t>4,193,107</w:t>
      </w:r>
      <w:r>
        <w:rPr>
          <w:rFonts w:ascii="Times New Roman" w:hAnsi="Times New Roman" w:cs="Times New Roman" w:eastAsia="Times New Roman" w:hint="default"/>
          <w:spacing w:val="-4"/>
        </w:rPr>
        <w:t> </w:t>
      </w:r>
      <w:r>
        <w:rPr>
          <w:spacing w:val="-4"/>
        </w:rPr>
        <w:t>千元转入下一年度。本次利润</w:t>
      </w:r>
    </w:p>
    <w:p>
      <w:pPr>
        <w:pStyle w:val="BodyText"/>
        <w:spacing w:line="240" w:lineRule="auto" w:before="135"/>
        <w:ind w:left="239" w:right="2202"/>
        <w:jc w:val="left"/>
      </w:pPr>
      <w:r>
        <w:rPr/>
        <w:t>分配预案须经</w:t>
      </w:r>
      <w:r>
        <w:rPr>
          <w:spacing w:val="-60"/>
        </w:rPr>
        <w:t> </w:t>
      </w:r>
      <w:r>
        <w:rPr>
          <w:rFonts w:ascii="Times New Roman" w:hAnsi="Times New Roman" w:cs="Times New Roman" w:eastAsia="Times New Roman" w:hint="default"/>
        </w:rPr>
        <w:t>2010 </w:t>
      </w:r>
      <w:r>
        <w:rPr/>
        <w:t>年年度股东大会审议批准后实施。</w:t>
      </w:r>
    </w:p>
    <w:p>
      <w:pPr>
        <w:pStyle w:val="BodyText"/>
        <w:spacing w:line="240" w:lineRule="auto" w:before="135"/>
        <w:ind w:left="719" w:right="2202"/>
        <w:jc w:val="left"/>
      </w:pPr>
      <w:r>
        <w:rPr>
          <w:rFonts w:ascii="Times New Roman" w:hAnsi="Times New Roman" w:cs="Times New Roman" w:eastAsia="Times New Roman" w:hint="default"/>
        </w:rPr>
        <w:t>2</w:t>
      </w:r>
      <w:r>
        <w:rPr/>
        <w:t>、公司前三年现金分红情况</w:t>
      </w:r>
    </w:p>
    <w:p>
      <w:pPr>
        <w:spacing w:line="240" w:lineRule="auto" w:before="5"/>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3616"/>
        <w:gridCol w:w="2456"/>
        <w:gridCol w:w="1446"/>
        <w:gridCol w:w="1727"/>
      </w:tblGrid>
      <w:tr>
        <w:trPr>
          <w:trHeight w:val="328" w:hRule="exact"/>
        </w:trPr>
        <w:tc>
          <w:tcPr>
            <w:tcW w:w="3616" w:type="dxa"/>
            <w:tcBorders>
              <w:top w:val="single" w:sz="17" w:space="0" w:color="000000"/>
              <w:left w:val="single" w:sz="17" w:space="0" w:color="000000"/>
              <w:bottom w:val="single" w:sz="4" w:space="0" w:color="000000"/>
              <w:right w:val="single" w:sz="4" w:space="0" w:color="000000"/>
            </w:tcBorders>
          </w:tcPr>
          <w:p>
            <w:pPr>
              <w:pStyle w:val="TableParagraph"/>
              <w:spacing w:line="251" w:lineRule="exact"/>
              <w:ind w:right="17"/>
              <w:jc w:val="center"/>
              <w:rPr>
                <w:rFonts w:ascii="宋体" w:hAnsi="宋体" w:cs="宋体" w:eastAsia="宋体" w:hint="default"/>
                <w:sz w:val="20"/>
                <w:szCs w:val="20"/>
              </w:rPr>
            </w:pPr>
            <w:r>
              <w:rPr>
                <w:rFonts w:ascii="宋体" w:hAnsi="宋体" w:cs="宋体" w:eastAsia="宋体" w:hint="default"/>
                <w:sz w:val="20"/>
                <w:szCs w:val="20"/>
              </w:rPr>
              <w:t>项目</w:t>
            </w:r>
          </w:p>
        </w:tc>
        <w:tc>
          <w:tcPr>
            <w:tcW w:w="2456" w:type="dxa"/>
            <w:tcBorders>
              <w:top w:val="single" w:sz="17"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p>
        </w:tc>
        <w:tc>
          <w:tcPr>
            <w:tcW w:w="1446" w:type="dxa"/>
            <w:tcBorders>
              <w:top w:val="single" w:sz="17" w:space="0" w:color="000000"/>
              <w:left w:val="single" w:sz="4" w:space="0" w:color="000000"/>
              <w:bottom w:val="single" w:sz="4" w:space="0" w:color="000000"/>
              <w:right w:val="single" w:sz="4" w:space="0" w:color="000000"/>
            </w:tcBorders>
          </w:tcPr>
          <w:p>
            <w:pPr>
              <w:pStyle w:val="TableParagraph"/>
              <w:spacing w:line="266" w:lineRule="exact"/>
              <w:ind w:left="39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w:t>
            </w:r>
          </w:p>
        </w:tc>
        <w:tc>
          <w:tcPr>
            <w:tcW w:w="1727" w:type="dxa"/>
            <w:tcBorders>
              <w:top w:val="single" w:sz="17" w:space="0" w:color="000000"/>
              <w:left w:val="single" w:sz="4" w:space="0" w:color="000000"/>
              <w:bottom w:val="single" w:sz="4" w:space="0" w:color="000000"/>
              <w:right w:val="single" w:sz="17" w:space="0" w:color="000000"/>
            </w:tcBorders>
          </w:tcPr>
          <w:p>
            <w:pPr>
              <w:pStyle w:val="TableParagraph"/>
              <w:spacing w:line="266" w:lineRule="exact"/>
              <w:ind w:left="53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w:t>
            </w:r>
          </w:p>
        </w:tc>
      </w:tr>
      <w:tr>
        <w:trPr>
          <w:trHeight w:val="295" w:hRule="exact"/>
        </w:trPr>
        <w:tc>
          <w:tcPr>
            <w:tcW w:w="3616" w:type="dxa"/>
            <w:tcBorders>
              <w:top w:val="single" w:sz="4" w:space="0" w:color="000000"/>
              <w:left w:val="single" w:sz="17"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现金分红金额（千元）</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233,207.06</w:t>
            </w:r>
            <w:r>
              <w:rPr>
                <w:rFonts w:ascii="Times New Roman"/>
                <w:sz w:val="20"/>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spacing w:val="-1"/>
                <w:sz w:val="20"/>
              </w:rPr>
              <w:t>239,280.64</w:t>
            </w:r>
            <w:r>
              <w:rPr>
                <w:rFonts w:ascii="Times New Roman"/>
                <w:sz w:val="20"/>
              </w:rPr>
            </w:r>
          </w:p>
        </w:tc>
        <w:tc>
          <w:tcPr>
            <w:tcW w:w="172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6"/>
              <w:jc w:val="right"/>
              <w:rPr>
                <w:rFonts w:ascii="Times New Roman" w:hAnsi="Times New Roman" w:cs="Times New Roman" w:eastAsia="Times New Roman" w:hint="default"/>
                <w:sz w:val="20"/>
                <w:szCs w:val="20"/>
              </w:rPr>
            </w:pPr>
            <w:r>
              <w:rPr>
                <w:rFonts w:ascii="Times New Roman"/>
                <w:spacing w:val="-1"/>
                <w:sz w:val="20"/>
              </w:rPr>
              <w:t>288,300.80</w:t>
            </w:r>
            <w:r>
              <w:rPr>
                <w:rFonts w:ascii="Times New Roman"/>
                <w:sz w:val="20"/>
              </w:rPr>
            </w:r>
          </w:p>
        </w:tc>
      </w:tr>
      <w:tr>
        <w:trPr>
          <w:trHeight w:val="295" w:hRule="exact"/>
        </w:trPr>
        <w:tc>
          <w:tcPr>
            <w:tcW w:w="3616" w:type="dxa"/>
            <w:tcBorders>
              <w:top w:val="single" w:sz="4" w:space="0" w:color="000000"/>
              <w:left w:val="single" w:sz="17"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归属于上市公司股东的净利润（千元）</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spacing w:val="-1"/>
                <w:sz w:val="20"/>
              </w:rPr>
              <w:t>2,889,956</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spacing w:val="-1"/>
                <w:sz w:val="20"/>
              </w:rPr>
              <w:t>2,170,189</w:t>
            </w:r>
          </w:p>
        </w:tc>
        <w:tc>
          <w:tcPr>
            <w:tcW w:w="172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Times New Roman" w:hAnsi="Times New Roman" w:cs="Times New Roman" w:eastAsia="Times New Roman" w:hint="default"/>
                <w:sz w:val="20"/>
                <w:szCs w:val="20"/>
              </w:rPr>
            </w:pPr>
            <w:r>
              <w:rPr>
                <w:rFonts w:ascii="Times New Roman"/>
                <w:spacing w:val="-1"/>
                <w:sz w:val="20"/>
              </w:rPr>
              <w:t>1,465,426</w:t>
            </w:r>
          </w:p>
        </w:tc>
      </w:tr>
      <w:tr>
        <w:trPr>
          <w:trHeight w:val="295" w:hRule="exact"/>
        </w:trPr>
        <w:tc>
          <w:tcPr>
            <w:tcW w:w="3616" w:type="dxa"/>
            <w:tcBorders>
              <w:top w:val="single" w:sz="4" w:space="0" w:color="000000"/>
              <w:left w:val="single" w:sz="17"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前三年年平均净利润（千元）</w:t>
            </w:r>
          </w:p>
        </w:tc>
        <w:tc>
          <w:tcPr>
            <w:tcW w:w="5629" w:type="dxa"/>
            <w:gridSpan w:val="3"/>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Times New Roman" w:hAnsi="Times New Roman" w:cs="Times New Roman" w:eastAsia="Times New Roman" w:hint="default"/>
                <w:sz w:val="20"/>
                <w:szCs w:val="20"/>
              </w:rPr>
            </w:pPr>
            <w:r>
              <w:rPr>
                <w:rFonts w:ascii="Times New Roman"/>
                <w:spacing w:val="-1"/>
                <w:sz w:val="20"/>
              </w:rPr>
              <w:t>2,175,190</w:t>
            </w:r>
          </w:p>
        </w:tc>
      </w:tr>
      <w:tr>
        <w:trPr>
          <w:trHeight w:val="329" w:hRule="exact"/>
        </w:trPr>
        <w:tc>
          <w:tcPr>
            <w:tcW w:w="3616" w:type="dxa"/>
            <w:tcBorders>
              <w:top w:val="single" w:sz="4" w:space="0" w:color="000000"/>
              <w:left w:val="single" w:sz="17" w:space="0" w:color="000000"/>
              <w:bottom w:val="single" w:sz="17" w:space="0" w:color="000000"/>
              <w:right w:val="single" w:sz="4" w:space="0" w:color="000000"/>
            </w:tcBorders>
          </w:tcPr>
          <w:p>
            <w:pPr>
              <w:pStyle w:val="TableParagraph"/>
              <w:spacing w:line="264" w:lineRule="exact"/>
              <w:ind w:left="86" w:right="0"/>
              <w:jc w:val="left"/>
              <w:rPr>
                <w:rFonts w:ascii="宋体" w:hAnsi="宋体" w:cs="宋体" w:eastAsia="宋体" w:hint="default"/>
                <w:sz w:val="20"/>
                <w:szCs w:val="20"/>
              </w:rPr>
            </w:pPr>
            <w:r>
              <w:rPr>
                <w:rFonts w:ascii="宋体" w:hAnsi="宋体" w:cs="宋体" w:eastAsia="宋体" w:hint="default"/>
                <w:sz w:val="20"/>
                <w:szCs w:val="20"/>
              </w:rPr>
              <w:t>现金分红与平均净利润的比率（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4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0"/>
                <w:szCs w:val="20"/>
              </w:rPr>
            </w:pPr>
            <w:r>
              <w:rPr>
                <w:rFonts w:ascii="Times New Roman"/>
                <w:spacing w:val="-1"/>
                <w:sz w:val="20"/>
              </w:rPr>
              <w:t>10.72%</w:t>
            </w:r>
          </w:p>
        </w:tc>
        <w:tc>
          <w:tcPr>
            <w:tcW w:w="144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0"/>
                <w:szCs w:val="20"/>
              </w:rPr>
            </w:pPr>
            <w:r>
              <w:rPr>
                <w:rFonts w:ascii="Times New Roman"/>
                <w:spacing w:val="-2"/>
                <w:sz w:val="20"/>
              </w:rPr>
              <w:t>11.00%</w:t>
            </w:r>
          </w:p>
        </w:tc>
        <w:tc>
          <w:tcPr>
            <w:tcW w:w="1727"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31"/>
              <w:ind w:right="83"/>
              <w:jc w:val="right"/>
              <w:rPr>
                <w:rFonts w:ascii="Times New Roman" w:hAnsi="Times New Roman" w:cs="Times New Roman" w:eastAsia="Times New Roman" w:hint="default"/>
                <w:sz w:val="20"/>
                <w:szCs w:val="20"/>
              </w:rPr>
            </w:pPr>
            <w:r>
              <w:rPr>
                <w:rFonts w:ascii="Times New Roman"/>
                <w:spacing w:val="-1"/>
                <w:sz w:val="20"/>
              </w:rPr>
              <w:t>13.25%</w:t>
            </w:r>
          </w:p>
        </w:tc>
      </w:tr>
    </w:tbl>
    <w:p>
      <w:pPr>
        <w:pStyle w:val="BodyText"/>
        <w:spacing w:line="240" w:lineRule="auto" w:before="81"/>
        <w:ind w:left="722" w:right="119"/>
        <w:jc w:val="left"/>
      </w:pPr>
      <w:r>
        <w:rPr/>
        <w:t>七</w:t>
      </w:r>
      <w:r>
        <w:rPr>
          <w:spacing w:val="-32"/>
        </w:rPr>
        <w:t>、</w:t>
      </w:r>
      <w:r>
        <w:rPr/>
        <w:t>报告期内</w:t>
      </w:r>
      <w:r>
        <w:rPr>
          <w:spacing w:val="-32"/>
        </w:rPr>
        <w:t>，</w:t>
      </w:r>
      <w:r>
        <w:rPr/>
        <w:t>公司选定的信息披露报纸</w:t>
      </w:r>
      <w:r>
        <w:rPr>
          <w:spacing w:val="-32"/>
        </w:rPr>
        <w:t>为</w:t>
      </w:r>
      <w:r>
        <w:rPr/>
        <w:t>《证券时报</w:t>
      </w:r>
      <w:r>
        <w:rPr>
          <w:spacing w:val="-120"/>
        </w:rPr>
        <w:t>》、</w:t>
      </w:r>
      <w:r>
        <w:rPr/>
        <w:t>《中国证券报</w:t>
      </w:r>
      <w:r>
        <w:rPr>
          <w:spacing w:val="-120"/>
        </w:rPr>
        <w:t>》、</w:t>
      </w:r>
      <w:r>
        <w:rPr/>
        <w:t>《上海证</w:t>
      </w:r>
    </w:p>
    <w:p>
      <w:pPr>
        <w:spacing w:after="0" w:line="240" w:lineRule="auto"/>
        <w:jc w:val="left"/>
        <w:sectPr>
          <w:footerReference w:type="default" r:id="rId43"/>
          <w:pgSz w:w="11910" w:h="16840"/>
          <w:pgMar w:footer="714" w:header="748" w:top="980" w:bottom="900" w:left="1200" w:right="1180"/>
          <w:pgNumType w:start="80"/>
        </w:sectPr>
      </w:pPr>
    </w:p>
    <w:p>
      <w:pPr>
        <w:spacing w:line="240" w:lineRule="auto" w:before="7"/>
        <w:rPr>
          <w:rFonts w:ascii="宋体" w:hAnsi="宋体" w:cs="宋体" w:eastAsia="宋体" w:hint="default"/>
          <w:sz w:val="29"/>
          <w:szCs w:val="29"/>
        </w:rPr>
      </w:pPr>
    </w:p>
    <w:p>
      <w:pPr>
        <w:pStyle w:val="BodyText"/>
        <w:spacing w:line="240" w:lineRule="auto" w:before="26"/>
        <w:ind w:right="217"/>
        <w:jc w:val="left"/>
      </w:pPr>
      <w:r>
        <w:rPr/>
        <w:t>券报</w:t>
      </w:r>
      <w:r>
        <w:rPr>
          <w:spacing w:val="-120"/>
        </w:rPr>
        <w:t>》、</w:t>
      </w:r>
      <w:r>
        <w:rPr/>
        <w:t>《证券日报》，没有发生变更。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pStyle w:val="BodyText"/>
        <w:spacing w:line="357" w:lineRule="auto"/>
        <w:ind w:left="622" w:right="97" w:hanging="3"/>
        <w:jc w:val="left"/>
      </w:pPr>
      <w:r>
        <w:rPr/>
        <w:t>八、开展投资者关系管理的具体情况 </w:t>
      </w:r>
      <w:r>
        <w:rPr>
          <w:spacing w:val="-7"/>
        </w:rPr>
        <w:t>报告期内，公司严格按照《投资者关系管理制度》、《信息披露管理制度》的要求，</w:t>
      </w:r>
      <w:r>
        <w:rPr/>
      </w:r>
    </w:p>
    <w:p>
      <w:pPr>
        <w:pStyle w:val="BodyText"/>
        <w:spacing w:line="240" w:lineRule="auto" w:before="36"/>
        <w:ind w:right="217"/>
        <w:jc w:val="left"/>
      </w:pPr>
      <w:r>
        <w:rPr/>
        <w:t>认真做好投资者关系管理工作：</w:t>
      </w:r>
    </w:p>
    <w:p>
      <w:pPr>
        <w:pStyle w:val="BodyText"/>
        <w:spacing w:line="240" w:lineRule="auto" w:before="154"/>
        <w:ind w:left="622" w:right="217"/>
        <w:jc w:val="left"/>
      </w:pPr>
      <w:r>
        <w:rPr>
          <w:rFonts w:ascii="Times New Roman" w:hAnsi="Times New Roman" w:cs="Times New Roman" w:eastAsia="Times New Roman" w:hint="default"/>
        </w:rPr>
        <w:t>1</w:t>
      </w:r>
      <w:r>
        <w:rPr/>
        <w:t>、日常工作</w:t>
      </w:r>
    </w:p>
    <w:p>
      <w:pPr>
        <w:pStyle w:val="BodyText"/>
        <w:spacing w:line="338" w:lineRule="auto" w:before="135"/>
        <w:ind w:right="142" w:firstLine="482"/>
        <w:jc w:val="both"/>
      </w:pPr>
      <w:r>
        <w:rPr/>
        <w:t>（</w:t>
      </w:r>
      <w:r>
        <w:rPr>
          <w:rFonts w:ascii="Times New Roman" w:hAnsi="Times New Roman" w:cs="Times New Roman" w:eastAsia="Times New Roman" w:hint="default"/>
        </w:rPr>
        <w:t>1</w:t>
      </w:r>
      <w:r>
        <w:rPr/>
        <w:t>）指定董事会秘书作为投资者关系管理负责人，安排专人做好投资者来访接待 工作，并做好各次接待的资料存档工作。报告期内，公司共接待投资者来访</w:t>
      </w:r>
      <w:r>
        <w:rPr>
          <w:spacing w:val="-60"/>
        </w:rPr>
        <w:t> </w:t>
      </w:r>
      <w:r>
        <w:rPr>
          <w:rFonts w:ascii="Times New Roman" w:hAnsi="Times New Roman" w:cs="Times New Roman" w:eastAsia="Times New Roman" w:hint="default"/>
        </w:rPr>
        <w:t>377 </w:t>
      </w:r>
      <w:r>
        <w:rPr/>
        <w:t>人次；</w:t>
      </w:r>
    </w:p>
    <w:p>
      <w:pPr>
        <w:pStyle w:val="BodyText"/>
        <w:spacing w:line="338" w:lineRule="auto" w:before="27"/>
        <w:ind w:right="234" w:firstLine="482"/>
        <w:jc w:val="both"/>
      </w:pPr>
      <w:r>
        <w:rPr/>
        <w:t>（</w:t>
      </w:r>
      <w:r>
        <w:rPr>
          <w:rFonts w:ascii="Times New Roman" w:hAnsi="Times New Roman" w:cs="Times New Roman" w:eastAsia="Times New Roman" w:hint="default"/>
        </w:rPr>
        <w:t>2</w:t>
      </w:r>
      <w:r>
        <w:rPr/>
        <w:t>）通过公司网站、投资者关系管理电话、电子信箱、传真、中小企业板互动平 台等多种渠道与投资者加强沟通，尽可能解答投资者的疑问。</w:t>
      </w:r>
    </w:p>
    <w:p>
      <w:pPr>
        <w:pStyle w:val="BodyText"/>
        <w:spacing w:line="240" w:lineRule="auto" w:before="55"/>
        <w:ind w:left="622" w:right="217"/>
        <w:jc w:val="left"/>
      </w:pPr>
      <w:r>
        <w:rPr>
          <w:rFonts w:ascii="Times New Roman" w:hAnsi="Times New Roman" w:cs="Times New Roman" w:eastAsia="Times New Roman" w:hint="default"/>
        </w:rPr>
        <w:t>2</w:t>
      </w:r>
      <w:r>
        <w:rPr/>
        <w:t>、互动交流</w:t>
      </w:r>
    </w:p>
    <w:p>
      <w:pPr>
        <w:pStyle w:val="BodyText"/>
        <w:spacing w:line="352" w:lineRule="auto" w:before="135"/>
        <w:ind w:right="232" w:firstLine="480"/>
        <w:jc w:val="both"/>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26</w:t>
      </w:r>
      <w:r>
        <w:rPr>
          <w:spacing w:val="-3"/>
        </w:rPr>
        <w:t>日，公司通过全景网投资者关系互动平台举行了</w:t>
      </w:r>
      <w:r>
        <w:rPr>
          <w:rFonts w:ascii="Times New Roman" w:hAnsi="Times New Roman" w:cs="Times New Roman" w:eastAsia="Times New Roman" w:hint="default"/>
          <w:spacing w:val="-3"/>
        </w:rPr>
        <w:t>2009</w:t>
      </w:r>
      <w:r>
        <w:rPr>
          <w:spacing w:val="-3"/>
        </w:rPr>
        <w:t>年年度业绩</w:t>
      </w:r>
      <w:r>
        <w:rPr/>
        <w:t> </w:t>
      </w:r>
      <w:r>
        <w:rPr>
          <w:spacing w:val="-3"/>
        </w:rPr>
        <w:t>网上说明会，公司总裁孙为民先生、独立董事戴新民先生、董事会秘书任峻先生、财务</w:t>
      </w:r>
      <w:r>
        <w:rPr>
          <w:spacing w:val="-98"/>
        </w:rPr>
        <w:t> </w:t>
      </w:r>
      <w:r>
        <w:rPr>
          <w:spacing w:val="-98"/>
        </w:rPr>
      </w:r>
      <w:r>
        <w:rPr>
          <w:spacing w:val="-3"/>
        </w:rPr>
        <w:t>负责人朱华女士以及保荐机构代表人陈淑绵女士、吴红日先生参加了本次网上业绩说明</w:t>
      </w:r>
      <w:r>
        <w:rPr>
          <w:spacing w:val="-98"/>
        </w:rPr>
        <w:t> </w:t>
      </w:r>
      <w:r>
        <w:rPr>
          <w:spacing w:val="-98"/>
        </w:rPr>
      </w:r>
      <w:r>
        <w:rPr>
          <w:spacing w:val="-3"/>
        </w:rPr>
        <w:t>会，并在线回答了投资者的咨询，与广大投资者进行坦诚的沟通和交流，使广大投资者</w:t>
      </w:r>
      <w:r>
        <w:rPr>
          <w:spacing w:val="-96"/>
        </w:rPr>
        <w:t> </w:t>
      </w:r>
      <w:r>
        <w:rPr>
          <w:spacing w:val="-96"/>
        </w:rPr>
      </w:r>
      <w:r>
        <w:rPr/>
        <w:t>更深入的了解公司各项情况；</w:t>
      </w:r>
    </w:p>
    <w:p>
      <w:pPr>
        <w:pStyle w:val="BodyText"/>
        <w:spacing w:line="338" w:lineRule="auto" w:before="41"/>
        <w:ind w:right="262" w:firstLine="48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日，公司在深圳举行了</w:t>
      </w:r>
      <w:r>
        <w:rPr>
          <w:rFonts w:ascii="Times New Roman" w:hAnsi="Times New Roman" w:cs="Times New Roman" w:eastAsia="Times New Roman" w:hint="default"/>
        </w:rPr>
        <w:t>2009</w:t>
      </w:r>
      <w:r>
        <w:rPr/>
        <w:t>年度业绩交流会，就公司经营业绩、 发展动态与投资者进行了交流，加强了与投资者的沟通；</w:t>
      </w:r>
    </w:p>
    <w:p>
      <w:pPr>
        <w:pStyle w:val="BodyText"/>
        <w:spacing w:line="338" w:lineRule="auto" w:before="55"/>
        <w:ind w:right="234" w:firstLine="48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日，公司在南京举行了</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年半年度业绩交流会，使关注和 支持公司的广大投资者及时了解公司上半年经营情况以及下半年的发展规划；</w:t>
      </w:r>
    </w:p>
    <w:p>
      <w:pPr>
        <w:pStyle w:val="BodyText"/>
        <w:spacing w:line="348" w:lineRule="auto" w:before="55"/>
        <w:ind w:right="233" w:firstLine="480"/>
        <w:jc w:val="both"/>
      </w:pPr>
      <w:r>
        <w:rPr/>
        <w:t>（</w:t>
      </w:r>
      <w:r>
        <w:rPr>
          <w:rFonts w:ascii="Times New Roman" w:hAnsi="Times New Roman" w:cs="Times New Roman" w:eastAsia="Times New Roman" w:hint="default"/>
        </w:rPr>
        <w:t>4</w:t>
      </w:r>
      <w:r>
        <w:rPr/>
        <w:t>）除努力做好日常事务外，公司还积极主动的联系、走访投资者。报告期内， </w:t>
      </w:r>
      <w:r>
        <w:rPr>
          <w:spacing w:val="-3"/>
        </w:rPr>
        <w:t>公司董事会秘书先后参加了多次由不同投资机构组织的大型交流会，与众多优秀的上市</w:t>
      </w:r>
      <w:r>
        <w:rPr>
          <w:spacing w:val="-98"/>
        </w:rPr>
        <w:t> </w:t>
      </w:r>
      <w:r>
        <w:rPr>
          <w:spacing w:val="-98"/>
        </w:rPr>
      </w:r>
      <w:r>
        <w:rPr/>
        <w:t>公司以及投资者共同探讨了公司未来的发展和市场状况；</w:t>
      </w:r>
    </w:p>
    <w:p>
      <w:pPr>
        <w:pStyle w:val="BodyText"/>
        <w:spacing w:line="348" w:lineRule="auto" w:before="46"/>
        <w:ind w:right="233" w:firstLine="480"/>
        <w:jc w:val="both"/>
      </w:pPr>
      <w:r>
        <w:rPr/>
        <w:t>（</w:t>
      </w:r>
      <w:r>
        <w:rPr>
          <w:rFonts w:ascii="Times New Roman" w:hAnsi="Times New Roman" w:cs="Times New Roman" w:eastAsia="Times New Roman" w:hint="default"/>
        </w:rPr>
        <w:t>5</w:t>
      </w:r>
      <w:r>
        <w:rPr/>
        <w:t>）报告期内，公司共召开了三次股东大会。会上，公司董事、监事、高级管理 </w:t>
      </w:r>
      <w:r>
        <w:rPr>
          <w:spacing w:val="-3"/>
        </w:rPr>
        <w:t>人员认真听取了投资者的建议和意见，并就公司经营、未来发展等问题与参会的股东进</w:t>
      </w:r>
      <w:r>
        <w:rPr>
          <w:spacing w:val="-98"/>
        </w:rPr>
        <w:t> </w:t>
      </w:r>
      <w:r>
        <w:rPr>
          <w:spacing w:val="-98"/>
        </w:rPr>
      </w:r>
      <w:r>
        <w:rPr/>
        <w:t>行了面对面的会谈。</w:t>
      </w:r>
    </w:p>
    <w:p>
      <w:pPr>
        <w:pStyle w:val="BodyText"/>
        <w:spacing w:line="240" w:lineRule="auto" w:before="46"/>
        <w:ind w:left="620" w:right="217"/>
        <w:jc w:val="left"/>
      </w:pPr>
      <w:r>
        <w:rPr>
          <w:rFonts w:ascii="Times New Roman" w:hAnsi="Times New Roman" w:cs="Times New Roman" w:eastAsia="Times New Roman" w:hint="default"/>
        </w:rPr>
        <w:t>3</w:t>
      </w:r>
      <w:r>
        <w:rPr/>
        <w:t>、信息披露</w:t>
      </w:r>
    </w:p>
    <w:p>
      <w:pPr>
        <w:pStyle w:val="BodyText"/>
        <w:spacing w:line="338" w:lineRule="auto" w:before="135"/>
        <w:ind w:right="97" w:firstLine="480"/>
        <w:jc w:val="left"/>
        <w:rPr>
          <w:rFonts w:ascii="Times New Roman" w:hAnsi="Times New Roman" w:cs="Times New Roman" w:eastAsia="Times New Roman" w:hint="default"/>
        </w:rPr>
      </w:pPr>
      <w:r>
        <w:rPr>
          <w:spacing w:val="-3"/>
        </w:rPr>
        <w:t>（</w:t>
      </w:r>
      <w:r>
        <w:rPr>
          <w:rFonts w:ascii="Times New Roman" w:hAnsi="Times New Roman" w:cs="Times New Roman" w:eastAsia="Times New Roman" w:hint="default"/>
          <w:spacing w:val="-3"/>
        </w:rPr>
        <w:t>1</w:t>
      </w:r>
      <w:r>
        <w:rPr>
          <w:spacing w:val="-3"/>
        </w:rPr>
        <w:t>）公司严格按照《信息披露管理制度》等规定，履行相关信息披露文件的编制、</w:t>
      </w:r>
      <w:r>
        <w:rPr/>
        <w:t> </w:t>
      </w:r>
      <w:r>
        <w:rPr>
          <w:spacing w:val="-3"/>
        </w:rPr>
        <w:t>传递、审核、披露程序，保证信息披露的真实、准确、完整、及时、公平。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8</w:t>
      </w:r>
    </w:p>
    <w:p>
      <w:pPr>
        <w:spacing w:after="0" w:line="338" w:lineRule="auto"/>
        <w:jc w:val="left"/>
        <w:rPr>
          <w:rFonts w:ascii="Times New Roman" w:hAnsi="Times New Roman" w:cs="Times New Roman" w:eastAsia="Times New Roman" w:hint="default"/>
        </w:rPr>
        <w:sectPr>
          <w:footerReference w:type="default" r:id="rId44"/>
          <w:pgSz w:w="11910" w:h="16840"/>
          <w:pgMar w:footer="714" w:header="748" w:top="980" w:bottom="900" w:left="1300" w:right="1200"/>
          <w:pgNumType w:start="81"/>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2"/>
        <w:ind w:right="0"/>
        <w:jc w:val="both"/>
      </w:pPr>
      <w:r>
        <w:rPr/>
        <w:t>日，经深圳证券交易所考核，公司</w:t>
      </w:r>
      <w:r>
        <w:rPr>
          <w:rFonts w:ascii="Times New Roman" w:hAnsi="Times New Roman" w:cs="Times New Roman" w:eastAsia="Times New Roman" w:hint="default"/>
        </w:rPr>
        <w:t>2009</w:t>
      </w:r>
      <w:r>
        <w:rPr/>
        <w:t>年度信息披露工作获得“优秀”评级。</w:t>
      </w:r>
    </w:p>
    <w:p>
      <w:pPr>
        <w:pStyle w:val="BodyText"/>
        <w:spacing w:line="348" w:lineRule="auto" w:before="135"/>
        <w:ind w:right="153" w:firstLine="480"/>
        <w:jc w:val="both"/>
      </w:pPr>
      <w:r>
        <w:rPr/>
        <w:t>（</w:t>
      </w:r>
      <w:r>
        <w:rPr>
          <w:rFonts w:ascii="Times New Roman" w:hAnsi="Times New Roman" w:cs="Times New Roman" w:eastAsia="Times New Roman" w:hint="default"/>
        </w:rPr>
        <w:t>2</w:t>
      </w:r>
      <w:r>
        <w:rPr/>
        <w:t>）通过对相关法律法规的深入学习、理解，以及与深圳证券交易所经常性联系 </w:t>
      </w:r>
      <w:r>
        <w:rPr>
          <w:spacing w:val="-3"/>
        </w:rPr>
        <w:t>和沟通的进一步加强，公司将不断适应新的信息披露要求，进一步提高公司透明度以及</w:t>
      </w:r>
      <w:r>
        <w:rPr>
          <w:spacing w:val="-98"/>
        </w:rPr>
        <w:t> </w:t>
      </w:r>
      <w:r>
        <w:rPr>
          <w:spacing w:val="-98"/>
        </w:rPr>
      </w:r>
      <w:r>
        <w:rPr/>
        <w:t>信息披露质量。</w:t>
      </w:r>
    </w:p>
    <w:p>
      <w:pPr>
        <w:pStyle w:val="BodyText"/>
        <w:spacing w:line="240" w:lineRule="auto" w:before="46"/>
        <w:ind w:left="620" w:right="153"/>
        <w:jc w:val="left"/>
      </w:pPr>
      <w:r>
        <w:rPr/>
        <w:t>九、其他报告事项</w:t>
      </w:r>
    </w:p>
    <w:p>
      <w:pPr>
        <w:pStyle w:val="BodyText"/>
        <w:spacing w:line="357" w:lineRule="auto" w:before="154"/>
        <w:ind w:left="620" w:right="0"/>
        <w:jc w:val="left"/>
      </w:pPr>
      <w:r>
        <w:rPr/>
        <w:t>（一）注册会计师对公司控股股东及其他关联方占用资金情况的说明： </w:t>
      </w:r>
      <w:r>
        <w:rPr>
          <w:spacing w:val="2"/>
        </w:rPr>
        <w:t>普华永道中天会计师事务所有限公司出具了普华永道中天特审字</w:t>
      </w:r>
      <w:r>
        <w:rPr>
          <w:rFonts w:ascii="Times New Roman" w:hAnsi="Times New Roman" w:cs="Times New Roman" w:eastAsia="Times New Roman" w:hint="default"/>
          <w:spacing w:val="2"/>
        </w:rPr>
        <w:t>(2011)</w:t>
      </w:r>
      <w:r>
        <w:rPr>
          <w:spacing w:val="2"/>
        </w:rPr>
        <w:t>第 </w:t>
      </w:r>
      <w:r>
        <w:rPr>
          <w:rFonts w:ascii="Times New Roman" w:hAnsi="Times New Roman" w:cs="Times New Roman" w:eastAsia="Times New Roman" w:hint="default"/>
        </w:rPr>
        <w:t>291 </w:t>
      </w:r>
      <w:r>
        <w:rPr>
          <w:rFonts w:ascii="Times New Roman" w:hAnsi="Times New Roman" w:cs="Times New Roman" w:eastAsia="Times New Roman" w:hint="default"/>
          <w:spacing w:val="14"/>
        </w:rPr>
        <w:t> </w:t>
      </w:r>
      <w:r>
        <w:rPr/>
        <w:t>号</w:t>
      </w:r>
    </w:p>
    <w:p>
      <w:pPr>
        <w:pStyle w:val="BodyText"/>
        <w:spacing w:line="240" w:lineRule="auto" w:before="5"/>
        <w:ind w:right="0"/>
        <w:jc w:val="both"/>
      </w:pPr>
      <w:r>
        <w:rPr/>
        <w:t>《关于苏宁电器股份有限公司控股股东及其他关联方占用资金情况的专项说明</w:t>
      </w:r>
      <w:r>
        <w:rPr>
          <w:spacing w:val="-120"/>
        </w:rPr>
        <w:t>》</w:t>
      </w:r>
      <w:r>
        <w:rPr/>
        <w:t>。</w:t>
      </w:r>
    </w:p>
    <w:p>
      <w:pPr>
        <w:pStyle w:val="BodyText"/>
        <w:spacing w:line="357" w:lineRule="auto" w:before="154"/>
        <w:ind w:left="620" w:right="147"/>
        <w:jc w:val="left"/>
      </w:pPr>
      <w:r>
        <w:rPr/>
        <w:t>（二）公司独立董事对公司与关联方资金往来及对外担保情况的专项说明： 根据中国证监会证监发〔</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56 </w:t>
      </w:r>
      <w:r>
        <w:rPr>
          <w:rFonts w:ascii="Times New Roman" w:hAnsi="Times New Roman" w:cs="Times New Roman" w:eastAsia="Times New Roman" w:hint="default"/>
          <w:spacing w:val="17"/>
        </w:rPr>
        <w:t> </w:t>
      </w:r>
      <w:r>
        <w:rPr/>
        <w:t>号《关于规范上市公司与关联方资金往来及上</w:t>
      </w:r>
    </w:p>
    <w:p>
      <w:pPr>
        <w:pStyle w:val="BodyText"/>
        <w:spacing w:line="350" w:lineRule="auto" w:before="5"/>
        <w:ind w:right="151"/>
        <w:jc w:val="both"/>
      </w:pPr>
      <w:r>
        <w:rPr>
          <w:spacing w:val="-4"/>
        </w:rPr>
        <w:t>市公司对外担保若干问题的通知》、深圳证券交易所《股票上市规则》和中国证监会江</w:t>
      </w:r>
      <w:r>
        <w:rPr>
          <w:spacing w:val="-88"/>
        </w:rPr>
        <w:t> </w:t>
      </w:r>
      <w:r>
        <w:rPr>
          <w:spacing w:val="-88"/>
        </w:rPr>
      </w:r>
      <w:r>
        <w:rPr/>
        <w:t>苏监管局苏证监公司字〔</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8</w:t>
      </w:r>
      <w:r>
        <w:rPr>
          <w:rFonts w:ascii="Times New Roman" w:hAnsi="Times New Roman" w:cs="Times New Roman" w:eastAsia="Times New Roman" w:hint="default"/>
          <w:spacing w:val="-27"/>
        </w:rPr>
        <w:t> </w:t>
      </w:r>
      <w:r>
        <w:rPr/>
        <w:t>号《关于规范独立董事对于担保事项专项说明和独立 </w:t>
      </w:r>
      <w:r>
        <w:rPr>
          <w:spacing w:val="-3"/>
        </w:rPr>
        <w:t>意见的通知》的要求，公司独立董事本着对公司、全体股东及投资者负责的态度，对公</w:t>
      </w:r>
      <w:r>
        <w:rPr>
          <w:spacing w:val="-98"/>
        </w:rPr>
        <w:t> </w:t>
      </w:r>
      <w:r>
        <w:rPr>
          <w:spacing w:val="-98"/>
        </w:rPr>
      </w:r>
      <w:r>
        <w:rPr/>
        <w:t>司与关联方的资金往来和对外担保情况进行了仔细的核查，并发表以下独立意见：</w:t>
      </w:r>
    </w:p>
    <w:p>
      <w:pPr>
        <w:pStyle w:val="BodyText"/>
        <w:spacing w:line="348" w:lineRule="auto" w:before="43"/>
        <w:ind w:right="152" w:firstLine="482"/>
        <w:jc w:val="both"/>
      </w:pPr>
      <w:r>
        <w:rPr>
          <w:rFonts w:ascii="Times New Roman" w:hAnsi="Times New Roman" w:cs="Times New Roman" w:eastAsia="Times New Roman" w:hint="default"/>
        </w:rPr>
        <w:t>1</w:t>
      </w:r>
      <w:r>
        <w:rPr/>
        <w:t>、公司与控股股东及其他关联方发生的资金往来均属于经营性资金往来，均根据 </w:t>
      </w:r>
      <w:r>
        <w:rPr>
          <w:spacing w:val="-9"/>
        </w:rPr>
        <w:t>公司《章程》、《关联交易决策制度》等制度规定履行了相关审批程序，且信息披露符合</w:t>
      </w:r>
      <w:r>
        <w:rPr>
          <w:spacing w:val="-99"/>
        </w:rPr>
        <w:t> </w:t>
      </w:r>
      <w:r>
        <w:rPr>
          <w:spacing w:val="-99"/>
        </w:rPr>
      </w:r>
      <w:r>
        <w:rPr/>
        <w:t>规范性要求，不存在应披露而未披露的资金往来、资金占用事项。</w:t>
      </w:r>
    </w:p>
    <w:p>
      <w:pPr>
        <w:pStyle w:val="BodyText"/>
        <w:spacing w:line="338" w:lineRule="auto" w:before="46"/>
        <w:ind w:right="154" w:firstLine="482"/>
        <w:jc w:val="both"/>
      </w:pPr>
      <w:r>
        <w:rPr>
          <w:rFonts w:ascii="Times New Roman" w:hAnsi="Times New Roman" w:cs="Times New Roman" w:eastAsia="Times New Roman" w:hint="default"/>
        </w:rPr>
        <w:t>2</w:t>
      </w:r>
      <w:r>
        <w:rPr/>
        <w:t>、公司与控股股东及其他关联方不存在非经营性资金往来的情况，亦不存在控股 股东及其他关联方以其他方式变相资金占用的情形。</w:t>
      </w:r>
    </w:p>
    <w:p>
      <w:pPr>
        <w:pStyle w:val="BodyText"/>
        <w:spacing w:line="348" w:lineRule="auto" w:before="55"/>
        <w:ind w:right="153" w:firstLine="482"/>
        <w:jc w:val="both"/>
      </w:pPr>
      <w:r>
        <w:rPr>
          <w:rFonts w:ascii="Times New Roman" w:hAnsi="Times New Roman" w:cs="Times New Roman" w:eastAsia="Times New Roman" w:hint="default"/>
        </w:rPr>
        <w:t>3</w:t>
      </w:r>
      <w:r>
        <w:rPr/>
        <w:t>、公司已建立了较为健全的防范大股东及其他关联方资金占用的内部控制制度， </w:t>
      </w:r>
      <w:r>
        <w:rPr>
          <w:spacing w:val="-3"/>
        </w:rPr>
        <w:t>并且建立了“占用即冻结”机制，能够有效防止大股东及其他关联方占用公司资金、侵</w:t>
      </w:r>
      <w:r>
        <w:rPr>
          <w:spacing w:val="-98"/>
        </w:rPr>
        <w:t> </w:t>
      </w:r>
      <w:r>
        <w:rPr>
          <w:spacing w:val="-98"/>
        </w:rPr>
      </w:r>
      <w:r>
        <w:rPr/>
        <w:t>害公司利益，维护中小股东利益。</w:t>
      </w:r>
    </w:p>
    <w:p>
      <w:pPr>
        <w:pStyle w:val="BodyText"/>
        <w:spacing w:line="338" w:lineRule="auto" w:before="46"/>
        <w:ind w:right="154" w:firstLine="482"/>
        <w:jc w:val="both"/>
      </w:pPr>
      <w:r>
        <w:rPr>
          <w:rFonts w:ascii="Times New Roman" w:hAnsi="Times New Roman" w:cs="Times New Roman" w:eastAsia="Times New Roman" w:hint="default"/>
        </w:rPr>
        <w:t>4</w:t>
      </w:r>
      <w:r>
        <w:rPr/>
        <w:t>、公司不存在为控股股东及其关联方提供担保的情况，也不存在直接或间接为资 产负债率超过</w:t>
      </w:r>
      <w:r>
        <w:rPr>
          <w:spacing w:val="-60"/>
        </w:rPr>
        <w:t> </w:t>
      </w:r>
      <w:r>
        <w:rPr>
          <w:rFonts w:ascii="Times New Roman" w:hAnsi="Times New Roman" w:cs="Times New Roman" w:eastAsia="Times New Roman" w:hint="default"/>
        </w:rPr>
        <w:t>70%</w:t>
      </w:r>
      <w:r>
        <w:rPr/>
        <w:t>的被担保对象提供担保的情况。</w:t>
      </w:r>
    </w:p>
    <w:p>
      <w:pPr>
        <w:pStyle w:val="BodyText"/>
        <w:spacing w:line="240" w:lineRule="auto" w:before="27"/>
        <w:ind w:left="622" w:right="0"/>
        <w:jc w:val="left"/>
      </w:pPr>
      <w:r>
        <w:rPr/>
        <w:t>截至</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日，公司实际为控股子公司提供的尚未履行完毕的担保总额</w:t>
      </w:r>
    </w:p>
    <w:p>
      <w:pPr>
        <w:pStyle w:val="BodyText"/>
        <w:spacing w:line="338" w:lineRule="auto" w:before="135"/>
        <w:ind w:right="152"/>
        <w:jc w:val="both"/>
      </w:pPr>
      <w:r>
        <w:rPr/>
        <w:t>为</w:t>
      </w:r>
      <w:r>
        <w:rPr>
          <w:spacing w:val="-60"/>
        </w:rPr>
        <w:t> </w:t>
      </w:r>
      <w:r>
        <w:rPr>
          <w:rFonts w:ascii="Times New Roman" w:hAnsi="Times New Roman" w:cs="Times New Roman" w:eastAsia="Times New Roman" w:hint="default"/>
        </w:rPr>
        <w:t>89,500 </w:t>
      </w:r>
      <w:r>
        <w:rPr/>
        <w:t>万元，占公司</w:t>
      </w:r>
      <w:r>
        <w:rPr>
          <w:spacing w:val="-60"/>
        </w:rPr>
        <w:t> </w:t>
      </w:r>
      <w:r>
        <w:rPr>
          <w:rFonts w:ascii="Times New Roman" w:hAnsi="Times New Roman" w:cs="Times New Roman" w:eastAsia="Times New Roman" w:hint="default"/>
        </w:rPr>
        <w:t>2010 </w:t>
      </w:r>
      <w:r>
        <w:rPr/>
        <w:t>年</w:t>
      </w:r>
      <w:r>
        <w:rPr>
          <w:spacing w:val="-61"/>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日经审计净资产的</w:t>
      </w:r>
      <w:r>
        <w:rPr>
          <w:spacing w:val="-60"/>
        </w:rPr>
        <w:t> </w:t>
      </w:r>
      <w:r>
        <w:rPr>
          <w:rFonts w:ascii="Times New Roman" w:hAnsi="Times New Roman" w:cs="Times New Roman" w:eastAsia="Times New Roman" w:hint="default"/>
        </w:rPr>
        <w:t>4.88%</w:t>
      </w:r>
      <w:r>
        <w:rPr/>
        <w:t>。不存在对外担保总 额超过净资产</w:t>
      </w:r>
      <w:r>
        <w:rPr>
          <w:spacing w:val="-43"/>
        </w:rPr>
        <w:t> </w:t>
      </w:r>
      <w:r>
        <w:rPr>
          <w:rFonts w:ascii="Times New Roman" w:hAnsi="Times New Roman" w:cs="Times New Roman" w:eastAsia="Times New Roman" w:hint="default"/>
          <w:spacing w:val="-4"/>
        </w:rPr>
        <w:t>50%</w:t>
      </w:r>
      <w:r>
        <w:rPr>
          <w:spacing w:val="-4"/>
        </w:rPr>
        <w:t>的情况，且所有担保均为对控股子公司的担保，被担保方经营状况良</w:t>
      </w:r>
      <w:r>
        <w:rPr>
          <w:spacing w:val="-118"/>
        </w:rPr>
        <w:t> </w:t>
      </w:r>
      <w:r>
        <w:rPr>
          <w:spacing w:val="-118"/>
        </w:rPr>
      </w:r>
      <w:r>
        <w:rPr/>
        <w:t>好。</w:t>
      </w:r>
    </w:p>
    <w:p>
      <w:pPr>
        <w:pStyle w:val="BodyText"/>
        <w:spacing w:line="357" w:lineRule="auto" w:before="55"/>
        <w:ind w:right="152" w:firstLine="482"/>
        <w:jc w:val="both"/>
      </w:pPr>
      <w:r>
        <w:rPr>
          <w:spacing w:val="-10"/>
        </w:rPr>
        <w:t>公司在实施上述担保时均已严格按照《公司法》、《上市规则》、公司《章程》的有</w:t>
      </w:r>
      <w:r>
        <w:rPr/>
        <w:t> </w:t>
      </w:r>
      <w:r>
        <w:rPr>
          <w:spacing w:val="-3"/>
        </w:rPr>
        <w:t>关规定，执行对外担保的有关决策程序，履行对外担保情况的信息披露义务，如实提供</w:t>
      </w:r>
      <w:r>
        <w:rPr>
          <w:spacing w:val="-96"/>
        </w:rPr>
        <w:t> </w:t>
      </w:r>
      <w:r>
        <w:rPr>
          <w:spacing w:val="-96"/>
        </w:rPr>
      </w:r>
      <w:r>
        <w:rPr>
          <w:spacing w:val="-3"/>
        </w:rPr>
        <w:t>了公司全部对外担保事项，信息披露准确、完整，担保风险已充分揭示。公司不存在违</w:t>
      </w:r>
    </w:p>
    <w:p>
      <w:pPr>
        <w:spacing w:after="0" w:line="357" w:lineRule="auto"/>
        <w:jc w:val="both"/>
        <w:sectPr>
          <w:pgSz w:w="11910" w:h="16840"/>
          <w:pgMar w:header="748" w:footer="714" w:top="980" w:bottom="900" w:left="1300" w:right="1280"/>
        </w:sectPr>
      </w:pPr>
    </w:p>
    <w:p>
      <w:pPr>
        <w:spacing w:line="240" w:lineRule="auto" w:before="7"/>
        <w:rPr>
          <w:rFonts w:ascii="宋体" w:hAnsi="宋体" w:cs="宋体" w:eastAsia="宋体" w:hint="default"/>
          <w:sz w:val="29"/>
          <w:szCs w:val="29"/>
        </w:rPr>
      </w:pPr>
    </w:p>
    <w:p>
      <w:pPr>
        <w:pStyle w:val="BodyText"/>
        <w:spacing w:line="348" w:lineRule="auto" w:before="26"/>
        <w:ind w:right="97"/>
        <w:jc w:val="left"/>
      </w:pPr>
      <w:r>
        <w:rPr>
          <w:spacing w:val="-3"/>
        </w:rPr>
        <w:t>规对外担保事项，能够严格控制对外担保的风险，没有明显迹象表明公司可能因对外担</w:t>
      </w:r>
      <w:r>
        <w:rPr>
          <w:spacing w:val="-98"/>
        </w:rPr>
        <w:t> </w:t>
      </w:r>
      <w:r>
        <w:rPr>
          <w:spacing w:val="-98"/>
        </w:rPr>
      </w:r>
      <w:r>
        <w:rPr>
          <w:spacing w:val="-4"/>
        </w:rPr>
        <w:t>保承担连带清偿责任，不存在与“证监发〔</w:t>
      </w:r>
      <w:r>
        <w:rPr>
          <w:rFonts w:ascii="Times New Roman" w:hAnsi="Times New Roman" w:cs="Times New Roman" w:eastAsia="Times New Roman" w:hint="default"/>
          <w:spacing w:val="-4"/>
        </w:rPr>
        <w:t>2003</w:t>
      </w:r>
      <w:r>
        <w:rPr>
          <w:spacing w:val="-4"/>
        </w:rPr>
        <w:t>〕</w:t>
      </w:r>
      <w:r>
        <w:rPr>
          <w:rFonts w:ascii="Times New Roman" w:hAnsi="Times New Roman" w:cs="Times New Roman" w:eastAsia="Times New Roman" w:hint="default"/>
          <w:spacing w:val="-4"/>
        </w:rPr>
        <w:t>56</w:t>
      </w:r>
      <w:r>
        <w:rPr>
          <w:rFonts w:ascii="Times New Roman" w:hAnsi="Times New Roman" w:cs="Times New Roman" w:eastAsia="Times New Roman" w:hint="default"/>
        </w:rPr>
        <w:t> </w:t>
      </w:r>
      <w:r>
        <w:rPr>
          <w:spacing w:val="-11"/>
        </w:rPr>
        <w:t>号”文、“证监发〔</w:t>
      </w:r>
      <w:r>
        <w:rPr>
          <w:rFonts w:ascii="Times New Roman" w:hAnsi="Times New Roman" w:cs="Times New Roman" w:eastAsia="Times New Roman" w:hint="default"/>
          <w:spacing w:val="-11"/>
        </w:rPr>
        <w:t>2005</w:t>
      </w:r>
      <w:r>
        <w:rPr>
          <w:spacing w:val="-11"/>
        </w:rPr>
        <w:t>〕</w:t>
      </w:r>
      <w:r>
        <w:rPr>
          <w:rFonts w:ascii="Times New Roman" w:hAnsi="Times New Roman" w:cs="Times New Roman" w:eastAsia="Times New Roman" w:hint="default"/>
          <w:spacing w:val="-11"/>
        </w:rPr>
        <w:t>120</w:t>
      </w:r>
      <w:r>
        <w:rPr>
          <w:rFonts w:ascii="Times New Roman" w:hAnsi="Times New Roman" w:cs="Times New Roman" w:eastAsia="Times New Roman" w:hint="default"/>
          <w:spacing w:val="16"/>
        </w:rPr>
        <w:t> </w:t>
      </w:r>
      <w:r>
        <w:rPr/>
        <w:t>号” </w:t>
      </w:r>
      <w:r>
        <w:rPr>
          <w:spacing w:val="-7"/>
        </w:rPr>
        <w:t>文、《股票上市规则》规定相违背的情形。</w:t>
      </w:r>
    </w:p>
    <w:p>
      <w:pPr>
        <w:spacing w:after="0" w:line="348" w:lineRule="auto"/>
        <w:jc w:val="left"/>
        <w:sectPr>
          <w:pgSz w:w="11910" w:h="16840"/>
          <w:pgMar w:header="748" w:footer="714" w:top="980" w:bottom="900" w:left="1300" w:right="1200"/>
        </w:sectPr>
      </w:pPr>
    </w:p>
    <w:p>
      <w:pPr>
        <w:spacing w:line="240" w:lineRule="auto" w:before="0"/>
        <w:rPr>
          <w:rFonts w:ascii="宋体" w:hAnsi="宋体" w:cs="宋体" w:eastAsia="宋体" w:hint="default"/>
          <w:sz w:val="20"/>
          <w:szCs w:val="20"/>
        </w:rPr>
      </w:pPr>
    </w:p>
    <w:p>
      <w:pPr>
        <w:pStyle w:val="Heading1"/>
        <w:tabs>
          <w:tab w:pos="1823" w:val="left" w:leader="none"/>
        </w:tabs>
        <w:spacing w:line="240" w:lineRule="auto"/>
        <w:ind w:left="542" w:right="0"/>
        <w:jc w:val="center"/>
        <w:rPr>
          <w:b w:val="0"/>
          <w:bCs w:val="0"/>
        </w:rPr>
      </w:pPr>
      <w:bookmarkStart w:name="_TOC_250003" w:id="8"/>
      <w:r>
        <w:rPr>
          <w:w w:val="95"/>
        </w:rPr>
        <w:t>第八节</w:t>
        <w:tab/>
      </w:r>
      <w:r>
        <w:rPr/>
        <w:t>监事会报告</w:t>
      </w:r>
      <w:bookmarkEnd w:id="8"/>
      <w:r>
        <w:rPr>
          <w:b w:val="0"/>
          <w:bCs w:val="0"/>
        </w:rPr>
      </w:r>
    </w:p>
    <w:p>
      <w:pPr>
        <w:pStyle w:val="BodyText"/>
        <w:spacing w:line="240" w:lineRule="auto" w:before="217"/>
        <w:ind w:left="620" w:right="217"/>
        <w:jc w:val="left"/>
      </w:pPr>
      <w:r>
        <w:rPr/>
        <w:t>一、监事会会议情况</w:t>
      </w:r>
    </w:p>
    <w:p>
      <w:pPr>
        <w:pStyle w:val="BodyText"/>
        <w:spacing w:line="324" w:lineRule="auto" w:before="91"/>
        <w:ind w:right="232" w:firstLine="480"/>
        <w:jc w:val="both"/>
      </w:pPr>
      <w:r>
        <w:rPr>
          <w:rFonts w:ascii="Times New Roman" w:hAnsi="Times New Roman" w:cs="Times New Roman" w:eastAsia="Times New Roman" w:hint="default"/>
          <w:spacing w:val="-3"/>
        </w:rPr>
        <w:t>2010</w:t>
      </w:r>
      <w:r>
        <w:rPr>
          <w:spacing w:val="-3"/>
        </w:rPr>
        <w:t>年，公司监事会认真履行了《公司法》、公司《章程》及其他各项法律、法规</w:t>
      </w:r>
      <w:r>
        <w:rPr/>
        <w:t> </w:t>
      </w:r>
      <w:r>
        <w:rPr>
          <w:spacing w:val="-3"/>
        </w:rPr>
        <w:t>的要求，依法独立行使职权，以保证公司经营的正常进行，维护投资者特别是中小投资</w:t>
      </w:r>
      <w:r>
        <w:rPr>
          <w:spacing w:val="-96"/>
        </w:rPr>
        <w:t> </w:t>
      </w:r>
      <w:r>
        <w:rPr>
          <w:spacing w:val="-96"/>
        </w:rPr>
      </w:r>
      <w:r>
        <w:rPr/>
        <w:t>者的利益。报告期内，公司共召开九次监事会，具体内容如下：</w:t>
      </w:r>
    </w:p>
    <w:p>
      <w:pPr>
        <w:pStyle w:val="BodyText"/>
        <w:spacing w:line="314" w:lineRule="auto" w:before="38"/>
        <w:ind w:right="222" w:firstLine="480"/>
        <w:jc w:val="both"/>
      </w:pPr>
      <w:r>
        <w:rPr>
          <w:rFonts w:ascii="Times New Roman" w:hAnsi="Times New Roman" w:cs="Times New Roman" w:eastAsia="Times New Roman" w:hint="default"/>
          <w:spacing w:val="-3"/>
        </w:rPr>
        <w:t>1</w:t>
      </w:r>
      <w:r>
        <w:rPr>
          <w:spacing w:val="-3"/>
        </w:rPr>
        <w:t>、公司于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14</w:t>
      </w:r>
      <w:r>
        <w:rPr>
          <w:spacing w:val="-3"/>
        </w:rPr>
        <w:t>日召开第三届监事会第十五次会议，会议审议通过了《</w:t>
      </w:r>
      <w:r>
        <w:rPr>
          <w:rFonts w:ascii="Times New Roman" w:hAnsi="Times New Roman" w:cs="Times New Roman" w:eastAsia="Times New Roman" w:hint="default"/>
          <w:spacing w:val="-3"/>
        </w:rPr>
        <w:t>2009</w:t>
      </w:r>
      <w:r>
        <w:rPr>
          <w:rFonts w:ascii="Times New Roman" w:hAnsi="Times New Roman" w:cs="Times New Roman" w:eastAsia="Times New Roman" w:hint="default"/>
        </w:rPr>
        <w:t> </w:t>
      </w:r>
      <w:r>
        <w:rPr>
          <w:spacing w:val="-13"/>
        </w:rPr>
        <w:t>年度监事会工作报告》、《</w:t>
      </w:r>
      <w:r>
        <w:rPr>
          <w:rFonts w:ascii="Times New Roman" w:hAnsi="Times New Roman" w:cs="Times New Roman" w:eastAsia="Times New Roman" w:hint="default"/>
          <w:spacing w:val="-13"/>
        </w:rPr>
        <w:t>2009</w:t>
      </w:r>
      <w:r>
        <w:rPr>
          <w:spacing w:val="-13"/>
        </w:rPr>
        <w:t>年度财务决算报告》、《</w:t>
      </w:r>
      <w:r>
        <w:rPr>
          <w:rFonts w:ascii="Times New Roman" w:hAnsi="Times New Roman" w:cs="Times New Roman" w:eastAsia="Times New Roman" w:hint="default"/>
          <w:spacing w:val="-13"/>
        </w:rPr>
        <w:t>2009</w:t>
      </w:r>
      <w:r>
        <w:rPr>
          <w:spacing w:val="-13"/>
        </w:rPr>
        <w:t>年年度报告》及《</w:t>
      </w:r>
      <w:r>
        <w:rPr>
          <w:rFonts w:ascii="Times New Roman" w:hAnsi="Times New Roman" w:cs="Times New Roman" w:eastAsia="Times New Roman" w:hint="default"/>
          <w:spacing w:val="-13"/>
        </w:rPr>
        <w:t>2009</w:t>
      </w:r>
      <w:r>
        <w:rPr>
          <w:spacing w:val="-13"/>
        </w:rPr>
        <w:t>年年度</w:t>
      </w:r>
      <w:r>
        <w:rPr>
          <w:spacing w:val="-94"/>
        </w:rPr>
        <w:t> </w:t>
      </w:r>
      <w:r>
        <w:rPr>
          <w:spacing w:val="-8"/>
        </w:rPr>
        <w:t>报告摘要》、《</w:t>
      </w:r>
      <w:r>
        <w:rPr>
          <w:rFonts w:ascii="Times New Roman" w:hAnsi="Times New Roman" w:cs="Times New Roman" w:eastAsia="Times New Roman" w:hint="default"/>
          <w:spacing w:val="-8"/>
        </w:rPr>
        <w:t>2009</w:t>
      </w:r>
      <w:r>
        <w:rPr>
          <w:spacing w:val="-8"/>
        </w:rPr>
        <w:t>年度利润分配预案》、《关于</w:t>
      </w:r>
      <w:r>
        <w:rPr>
          <w:rFonts w:ascii="Times New Roman" w:hAnsi="Times New Roman" w:cs="Times New Roman" w:eastAsia="Times New Roman" w:hint="default"/>
          <w:spacing w:val="-8"/>
        </w:rPr>
        <w:t>2009</w:t>
      </w:r>
      <w:r>
        <w:rPr>
          <w:spacing w:val="-8"/>
        </w:rPr>
        <w:t>年募集资金年度使用情况的专项报</w:t>
      </w:r>
      <w:r>
        <w:rPr>
          <w:spacing w:val="-115"/>
        </w:rPr>
        <w:t> </w:t>
      </w:r>
      <w:r>
        <w:rPr>
          <w:spacing w:val="-3"/>
        </w:rPr>
        <w:t>告》、《关于公司</w:t>
      </w:r>
      <w:r>
        <w:rPr>
          <w:rFonts w:ascii="Times New Roman" w:hAnsi="Times New Roman" w:cs="Times New Roman" w:eastAsia="Times New Roman" w:hint="default"/>
          <w:spacing w:val="-3"/>
        </w:rPr>
        <w:t>2009</w:t>
      </w:r>
      <w:r>
        <w:rPr>
          <w:spacing w:val="-3"/>
        </w:rPr>
        <w:t>年度关联交易情况说明的议案》、《关于续聘会计师事务所的议</w:t>
      </w:r>
      <w:r>
        <w:rPr>
          <w:spacing w:val="-110"/>
        </w:rPr>
        <w:t> </w:t>
      </w:r>
      <w:r>
        <w:rPr>
          <w:spacing w:val="-110"/>
        </w:rPr>
      </w:r>
      <w:r>
        <w:rPr>
          <w:spacing w:val="-9"/>
        </w:rPr>
        <w:t>案》、《关于公司</w:t>
      </w:r>
      <w:r>
        <w:rPr>
          <w:rFonts w:ascii="Times New Roman" w:hAnsi="Times New Roman" w:cs="Times New Roman" w:eastAsia="Times New Roman" w:hint="default"/>
          <w:spacing w:val="-9"/>
        </w:rPr>
        <w:t>2009</w:t>
      </w:r>
      <w:r>
        <w:rPr>
          <w:spacing w:val="-9"/>
        </w:rPr>
        <w:t>年度内部控制的自我评价报告》、《关于调整公司部分监事薪酬的</w:t>
      </w:r>
      <w:r>
        <w:rPr>
          <w:spacing w:val="-85"/>
        </w:rPr>
        <w:t> </w:t>
      </w:r>
      <w:r>
        <w:rPr>
          <w:spacing w:val="-85"/>
        </w:rPr>
      </w:r>
      <w:r>
        <w:rPr>
          <w:spacing w:val="-11"/>
        </w:rPr>
        <w:t>议案》，本次监事会决议公告刊登在</w:t>
      </w:r>
      <w:r>
        <w:rPr>
          <w:rFonts w:ascii="Times New Roman" w:hAnsi="Times New Roman" w:cs="Times New Roman" w:eastAsia="Times New Roman" w:hint="default"/>
          <w:spacing w:val="-11"/>
        </w:rPr>
        <w:t>2010</w:t>
      </w:r>
      <w:r>
        <w:rPr>
          <w:spacing w:val="-11"/>
        </w:rPr>
        <w:t>年</w:t>
      </w:r>
      <w:r>
        <w:rPr>
          <w:rFonts w:ascii="Times New Roman" w:hAnsi="Times New Roman" w:cs="Times New Roman" w:eastAsia="Times New Roman" w:hint="default"/>
          <w:spacing w:val="-11"/>
        </w:rPr>
        <w:t>3</w:t>
      </w:r>
      <w:r>
        <w:rPr>
          <w:spacing w:val="-11"/>
        </w:rPr>
        <w:t>月</w:t>
      </w:r>
      <w:r>
        <w:rPr>
          <w:rFonts w:ascii="Times New Roman" w:hAnsi="Times New Roman" w:cs="Times New Roman" w:eastAsia="Times New Roman" w:hint="default"/>
          <w:spacing w:val="-11"/>
        </w:rPr>
        <w:t>16</w:t>
      </w:r>
      <w:r>
        <w:rPr>
          <w:spacing w:val="-11"/>
        </w:rPr>
        <w:t>日的巨潮资讯网站、《证券时报》、《中</w:t>
      </w:r>
      <w:r>
        <w:rPr>
          <w:spacing w:val="-114"/>
        </w:rPr>
        <w:t> </w:t>
      </w:r>
      <w:r>
        <w:rPr>
          <w:spacing w:val="-114"/>
        </w:rPr>
      </w:r>
      <w:r>
        <w:rPr>
          <w:spacing w:val="-11"/>
        </w:rPr>
        <w:t>国证券报》、《上海证券报》和《证券日报》上；</w:t>
      </w:r>
    </w:p>
    <w:p>
      <w:pPr>
        <w:pStyle w:val="BodyText"/>
        <w:spacing w:line="314" w:lineRule="auto" w:before="48"/>
        <w:ind w:right="97" w:firstLine="480"/>
        <w:jc w:val="left"/>
      </w:pPr>
      <w:r>
        <w:rPr>
          <w:rFonts w:ascii="Times New Roman" w:hAnsi="Times New Roman" w:cs="Times New Roman" w:eastAsia="Times New Roman" w:hint="default"/>
          <w:spacing w:val="-3"/>
        </w:rPr>
        <w:t>2</w:t>
      </w:r>
      <w:r>
        <w:rPr>
          <w:spacing w:val="-3"/>
        </w:rPr>
        <w:t>、公司于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28</w:t>
      </w:r>
      <w:r>
        <w:rPr>
          <w:spacing w:val="-3"/>
        </w:rPr>
        <w:t>日召开第三届监事会第十六次会议，会议审议通过了《苏宁</w:t>
      </w:r>
      <w:r>
        <w:rPr/>
        <w:t> </w:t>
      </w:r>
      <w:r>
        <w:rPr>
          <w:spacing w:val="-6"/>
        </w:rPr>
        <w:t>电器股份有限公司</w:t>
      </w:r>
      <w:r>
        <w:rPr>
          <w:rFonts w:ascii="Times New Roman" w:hAnsi="Times New Roman" w:cs="Times New Roman" w:eastAsia="Times New Roman" w:hint="default"/>
          <w:spacing w:val="-6"/>
        </w:rPr>
        <w:t>2010</w:t>
      </w:r>
      <w:r>
        <w:rPr>
          <w:spacing w:val="-6"/>
        </w:rPr>
        <w:t>年第一季度报告》，本次监事会决议已提交深圳证券交易所备案；</w:t>
      </w:r>
    </w:p>
    <w:p>
      <w:pPr>
        <w:pStyle w:val="BodyText"/>
        <w:spacing w:line="321" w:lineRule="auto" w:before="22"/>
        <w:ind w:right="231" w:firstLine="480"/>
        <w:jc w:val="both"/>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日召开第三届监事会第十七次会议，会议审议通过了《关于 </w:t>
      </w:r>
      <w:r>
        <w:rPr>
          <w:spacing w:val="-3"/>
        </w:rPr>
        <w:t>以募集资金置换预先已投入募投项目的自筹资金的议案》，本次监事会决议公告刊登在</w:t>
      </w:r>
      <w:r>
        <w:rPr>
          <w:spacing w:val="-114"/>
        </w:rPr>
        <w:t> </w:t>
      </w:r>
      <w:r>
        <w:rPr>
          <w:spacing w:val="-114"/>
        </w:rPr>
      </w:r>
      <w:r>
        <w:rPr>
          <w:rFonts w:ascii="Times New Roman" w:hAnsi="Times New Roman" w:cs="Times New Roman" w:eastAsia="Times New Roman" w:hint="default"/>
          <w:spacing w:val="-14"/>
        </w:rPr>
        <w:t>2010</w:t>
      </w:r>
      <w:r>
        <w:rPr>
          <w:spacing w:val="-14"/>
        </w:rPr>
        <w:t>年</w:t>
      </w:r>
      <w:r>
        <w:rPr>
          <w:rFonts w:ascii="Times New Roman" w:hAnsi="Times New Roman" w:cs="Times New Roman" w:eastAsia="Times New Roman" w:hint="default"/>
          <w:spacing w:val="-14"/>
        </w:rPr>
        <w:t>6</w:t>
      </w:r>
      <w:r>
        <w:rPr>
          <w:spacing w:val="-14"/>
        </w:rPr>
        <w:t>月</w:t>
      </w:r>
      <w:r>
        <w:rPr>
          <w:rFonts w:ascii="Times New Roman" w:hAnsi="Times New Roman" w:cs="Times New Roman" w:eastAsia="Times New Roman" w:hint="default"/>
          <w:spacing w:val="-14"/>
        </w:rPr>
        <w:t>8</w:t>
      </w:r>
      <w:r>
        <w:rPr>
          <w:spacing w:val="-14"/>
        </w:rPr>
        <w:t>日的巨潮资讯网站、《证券时报》、《中国证券报》、《上海证券报》和《证券</w:t>
      </w:r>
      <w:r>
        <w:rPr>
          <w:spacing w:val="-114"/>
        </w:rPr>
        <w:t> </w:t>
      </w:r>
      <w:r>
        <w:rPr>
          <w:spacing w:val="-114"/>
        </w:rPr>
      </w:r>
      <w:r>
        <w:rPr/>
        <w:t>日报》上；</w:t>
      </w:r>
    </w:p>
    <w:p>
      <w:pPr>
        <w:pStyle w:val="BodyText"/>
        <w:spacing w:line="314" w:lineRule="auto" w:before="41"/>
        <w:ind w:right="232" w:firstLine="480"/>
        <w:jc w:val="both"/>
      </w:pP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日召开第三届监事会第十八次会议，会议审议通过了《关于 </w:t>
      </w:r>
      <w:r>
        <w:rPr>
          <w:spacing w:val="-3"/>
        </w:rPr>
        <w:t>公司监事会换届选举的议案》，本次监事会决议公告刊登在</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9</w:t>
      </w:r>
      <w:r>
        <w:rPr>
          <w:spacing w:val="-3"/>
        </w:rPr>
        <w:t>日的巨潮资讯网</w:t>
      </w:r>
      <w:r>
        <w:rPr>
          <w:spacing w:val="-112"/>
        </w:rPr>
        <w:t> </w:t>
      </w:r>
      <w:r>
        <w:rPr>
          <w:spacing w:val="-19"/>
        </w:rPr>
        <w:t>站、《证券时报》、《中国证券报》、《上海证券报》和《证券日报》上；</w:t>
      </w:r>
    </w:p>
    <w:p>
      <w:pPr>
        <w:pStyle w:val="BodyText"/>
        <w:spacing w:line="314" w:lineRule="auto" w:before="48"/>
        <w:ind w:right="232" w:firstLine="480"/>
        <w:jc w:val="both"/>
      </w:pPr>
      <w:r>
        <w:rPr>
          <w:rFonts w:ascii="Times New Roman" w:hAnsi="Times New Roman" w:cs="Times New Roman" w:eastAsia="Times New Roman" w:hint="default"/>
          <w:spacing w:val="-3"/>
        </w:rPr>
        <w:t>5</w:t>
      </w:r>
      <w:r>
        <w:rPr>
          <w:spacing w:val="-3"/>
        </w:rPr>
        <w:t>、公司于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27</w:t>
      </w:r>
      <w:r>
        <w:rPr>
          <w:spacing w:val="-3"/>
        </w:rPr>
        <w:t>日召开第四届监事会第一次会议，会议审议通过了《关于选</w:t>
      </w:r>
      <w:r>
        <w:rPr/>
        <w:t> 举公司监事会主席的议案》，本次监事会决议公告刊登在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日的巨潮资讯网</w:t>
      </w:r>
      <w:r>
        <w:rPr>
          <w:spacing w:val="-103"/>
        </w:rPr>
        <w:t> </w:t>
      </w:r>
      <w:r>
        <w:rPr>
          <w:spacing w:val="-19"/>
        </w:rPr>
        <w:t>站、《证券时报》、《中国证券报》、《上海证券报》和《证券日报》上；</w:t>
      </w:r>
    </w:p>
    <w:p>
      <w:pPr>
        <w:pStyle w:val="BodyText"/>
        <w:spacing w:line="314" w:lineRule="auto" w:before="48"/>
        <w:ind w:right="231" w:firstLine="480"/>
        <w:jc w:val="both"/>
      </w:pPr>
      <w:r>
        <w:rPr>
          <w:rFonts w:ascii="Times New Roman" w:hAnsi="Times New Roman" w:cs="Times New Roman" w:eastAsia="Times New Roman" w:hint="default"/>
          <w:spacing w:val="-3"/>
        </w:rPr>
        <w:t>6</w:t>
      </w:r>
      <w:r>
        <w:rPr>
          <w:spacing w:val="-3"/>
        </w:rPr>
        <w:t>、公司于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25</w:t>
      </w:r>
      <w:r>
        <w:rPr>
          <w:spacing w:val="-3"/>
        </w:rPr>
        <w:t>日召开第四届监事会第二次会议，会议审议通过了《苏宁电</w:t>
      </w:r>
      <w:r>
        <w:rPr/>
        <w:t> </w:t>
      </w:r>
      <w:r>
        <w:rPr>
          <w:spacing w:val="-3"/>
        </w:rPr>
        <w:t>器股份有限公司</w:t>
      </w:r>
      <w:r>
        <w:rPr>
          <w:rFonts w:ascii="Times New Roman" w:hAnsi="Times New Roman" w:cs="Times New Roman" w:eastAsia="Times New Roman" w:hint="default"/>
          <w:spacing w:val="-3"/>
        </w:rPr>
        <w:t>2010</w:t>
      </w:r>
      <w:r>
        <w:rPr>
          <w:spacing w:val="-3"/>
        </w:rPr>
        <w:t>年股票期权激励计划（草案）》及其摘要，本次监事会决议公告刊</w:t>
      </w:r>
      <w:r>
        <w:rPr>
          <w:spacing w:val="-117"/>
        </w:rPr>
        <w:t> </w:t>
      </w:r>
      <w:r>
        <w:rPr>
          <w:spacing w:val="-117"/>
        </w:rPr>
      </w:r>
      <w:r>
        <w:rPr>
          <w:spacing w:val="-12"/>
        </w:rPr>
        <w:t>登在</w:t>
      </w:r>
      <w:r>
        <w:rPr>
          <w:rFonts w:ascii="Times New Roman" w:hAnsi="Times New Roman" w:cs="Times New Roman" w:eastAsia="Times New Roman" w:hint="default"/>
          <w:spacing w:val="-12"/>
        </w:rPr>
        <w:t>2010</w:t>
      </w:r>
      <w:r>
        <w:rPr>
          <w:spacing w:val="-12"/>
        </w:rPr>
        <w:t>年</w:t>
      </w:r>
      <w:r>
        <w:rPr>
          <w:rFonts w:ascii="Times New Roman" w:hAnsi="Times New Roman" w:cs="Times New Roman" w:eastAsia="Times New Roman" w:hint="default"/>
          <w:spacing w:val="-12"/>
        </w:rPr>
        <w:t>8</w:t>
      </w:r>
      <w:r>
        <w:rPr>
          <w:spacing w:val="-12"/>
        </w:rPr>
        <w:t>月</w:t>
      </w:r>
      <w:r>
        <w:rPr>
          <w:rFonts w:ascii="Times New Roman" w:hAnsi="Times New Roman" w:cs="Times New Roman" w:eastAsia="Times New Roman" w:hint="default"/>
          <w:spacing w:val="-12"/>
        </w:rPr>
        <w:t>26</w:t>
      </w:r>
      <w:r>
        <w:rPr>
          <w:spacing w:val="-12"/>
        </w:rPr>
        <w:t>日的巨潮资讯网站、《证券时报》、《中国证券报》、《上海证券报》和</w:t>
      </w:r>
      <w:r>
        <w:rPr/>
      </w:r>
    </w:p>
    <w:p>
      <w:pPr>
        <w:pStyle w:val="BodyText"/>
        <w:spacing w:line="240" w:lineRule="auto" w:before="22"/>
        <w:ind w:right="217"/>
        <w:jc w:val="left"/>
      </w:pPr>
      <w:r>
        <w:rPr/>
        <w:t>《证券日报》上；</w:t>
      </w:r>
    </w:p>
    <w:p>
      <w:pPr>
        <w:pStyle w:val="BodyText"/>
        <w:spacing w:line="314" w:lineRule="auto" w:before="122"/>
        <w:ind w:right="229" w:firstLine="480"/>
        <w:jc w:val="both"/>
      </w:pPr>
      <w:r>
        <w:rPr>
          <w:rFonts w:ascii="Times New Roman" w:hAnsi="Times New Roman" w:cs="Times New Roman" w:eastAsia="Times New Roman" w:hint="default"/>
          <w:spacing w:val="-3"/>
        </w:rPr>
        <w:t>7</w:t>
      </w:r>
      <w:r>
        <w:rPr>
          <w:spacing w:val="-3"/>
        </w:rPr>
        <w:t>、公司于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30</w:t>
      </w:r>
      <w:r>
        <w:rPr>
          <w:spacing w:val="-3"/>
        </w:rPr>
        <w:t>日召开第四届监事会第三次会议，会议审议通过了《苏宁电</w:t>
      </w:r>
      <w:r>
        <w:rPr/>
        <w:t> </w:t>
      </w:r>
      <w:r>
        <w:rPr>
          <w:spacing w:val="3"/>
        </w:rPr>
        <w:t>器股份有限公司</w:t>
      </w:r>
      <w:r>
        <w:rPr>
          <w:rFonts w:ascii="Times New Roman" w:hAnsi="Times New Roman" w:cs="Times New Roman" w:eastAsia="Times New Roman" w:hint="default"/>
          <w:spacing w:val="3"/>
        </w:rPr>
        <w:t>2010</w:t>
      </w:r>
      <w:r>
        <w:rPr>
          <w:spacing w:val="3"/>
        </w:rPr>
        <w:t>年半年度报告》及《苏宁电器股份有限公司</w:t>
      </w:r>
      <w:r>
        <w:rPr>
          <w:rFonts w:ascii="Times New Roman" w:hAnsi="Times New Roman" w:cs="Times New Roman" w:eastAsia="Times New Roman" w:hint="default"/>
          <w:spacing w:val="3"/>
        </w:rPr>
        <w:t>2010</w:t>
      </w:r>
      <w:r>
        <w:rPr>
          <w:spacing w:val="3"/>
        </w:rPr>
        <w:t>年半年度报告摘</w:t>
      </w:r>
      <w:r>
        <w:rPr>
          <w:spacing w:val="-105"/>
        </w:rPr>
        <w:t> </w:t>
      </w:r>
      <w:r>
        <w:rPr>
          <w:spacing w:val="-6"/>
        </w:rPr>
        <w:t>要》，本次监事会决议已提交深圳证券交易所备案；</w:t>
      </w:r>
    </w:p>
    <w:p>
      <w:pPr>
        <w:pStyle w:val="BodyText"/>
        <w:spacing w:line="240" w:lineRule="auto" w:before="48"/>
        <w:ind w:left="620" w:right="217"/>
        <w:jc w:val="left"/>
      </w:pPr>
      <w:r>
        <w:rPr>
          <w:rFonts w:ascii="Times New Roman" w:hAnsi="Times New Roman" w:cs="Times New Roman" w:eastAsia="Times New Roman" w:hint="default"/>
        </w:rPr>
        <w:t>8</w:t>
      </w: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日召开第四届监事会第四次会议，会议审议通过了《苏宁</w:t>
      </w:r>
    </w:p>
    <w:p>
      <w:pPr>
        <w:spacing w:after="0" w:line="240" w:lineRule="auto"/>
        <w:jc w:val="left"/>
        <w:sectPr>
          <w:pgSz w:w="11910" w:h="16840"/>
          <w:pgMar w:header="748" w:footer="714" w:top="980" w:bottom="900" w:left="1300" w:right="120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电器股份有限公司</w:t>
      </w:r>
      <w:r>
        <w:rPr>
          <w:rFonts w:ascii="Times New Roman" w:hAnsi="Times New Roman" w:cs="Times New Roman" w:eastAsia="Times New Roman" w:hint="default"/>
        </w:rPr>
        <w:t>2010</w:t>
      </w:r>
      <w:r>
        <w:rPr/>
        <w:t>年第三季度报告</w:t>
      </w:r>
      <w:r>
        <w:rPr>
          <w:spacing w:val="-120"/>
        </w:rPr>
        <w:t>》</w:t>
      </w:r>
      <w:r>
        <w:rPr>
          <w:spacing w:val="-92"/>
        </w:rPr>
        <w:t>，</w:t>
      </w:r>
      <w:r>
        <w:rPr/>
        <w:t>本次监事会决议已提交深圳证券交易所备案；</w:t>
      </w:r>
    </w:p>
    <w:p>
      <w:pPr>
        <w:pStyle w:val="BodyText"/>
        <w:spacing w:line="314" w:lineRule="auto" w:before="104"/>
        <w:ind w:right="231" w:firstLine="464"/>
        <w:jc w:val="both"/>
      </w:pPr>
      <w:r>
        <w:rPr>
          <w:rFonts w:ascii="Times New Roman" w:hAnsi="Times New Roman" w:cs="Times New Roman" w:eastAsia="Times New Roman" w:hint="default"/>
          <w:spacing w:val="-5"/>
        </w:rPr>
        <w:t>9</w:t>
      </w:r>
      <w:r>
        <w:rPr>
          <w:spacing w:val="-5"/>
        </w:rPr>
        <w:t>、公司于</w:t>
      </w:r>
      <w:r>
        <w:rPr>
          <w:rFonts w:ascii="Times New Roman" w:hAnsi="Times New Roman" w:cs="Times New Roman" w:eastAsia="Times New Roman" w:hint="default"/>
          <w:spacing w:val="-5"/>
        </w:rPr>
        <w:t>2010</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26</w:t>
      </w:r>
      <w:r>
        <w:rPr>
          <w:spacing w:val="-5"/>
        </w:rPr>
        <w:t>日召开第四届监事会第五次会议，会议审议通过了《关于核 </w:t>
      </w:r>
      <w:r>
        <w:rPr>
          <w:spacing w:val="-12"/>
        </w:rPr>
        <w:t>实公司期权激励计划中激励对象名单的议案》，本次监事会决议公告刊登在</w:t>
      </w:r>
      <w:r>
        <w:rPr>
          <w:spacing w:val="-3"/>
        </w:rPr>
        <w:t> </w:t>
      </w:r>
      <w:r>
        <w:rPr>
          <w:rFonts w:ascii="Times New Roman" w:hAnsi="Times New Roman" w:cs="Times New Roman" w:eastAsia="Times New Roman" w:hint="default"/>
          <w:spacing w:val="-7"/>
        </w:rPr>
        <w:t>2010</w:t>
      </w:r>
      <w:r>
        <w:rPr>
          <w:spacing w:val="-7"/>
        </w:rPr>
        <w:t>年</w:t>
      </w:r>
      <w:r>
        <w:rPr>
          <w:rFonts w:ascii="Times New Roman" w:hAnsi="Times New Roman" w:cs="Times New Roman" w:eastAsia="Times New Roman" w:hint="default"/>
          <w:spacing w:val="-7"/>
        </w:rPr>
        <w:t>11</w:t>
      </w:r>
      <w:r>
        <w:rPr>
          <w:spacing w:val="-7"/>
        </w:rPr>
        <w:t>月</w:t>
      </w:r>
      <w:r>
        <w:rPr>
          <w:rFonts w:ascii="Times New Roman" w:hAnsi="Times New Roman" w:cs="Times New Roman" w:eastAsia="Times New Roman" w:hint="default"/>
          <w:spacing w:val="-7"/>
        </w:rPr>
        <w:t>27</w:t>
      </w:r>
      <w:r>
        <w:rPr>
          <w:rFonts w:ascii="Times New Roman" w:hAnsi="Times New Roman" w:cs="Times New Roman" w:eastAsia="Times New Roman" w:hint="default"/>
          <w:spacing w:val="-57"/>
        </w:rPr>
        <w:t> </w:t>
      </w:r>
      <w:r>
        <w:rPr>
          <w:spacing w:val="-23"/>
        </w:rPr>
        <w:t>日的巨潮资讯网站、《证券时报》、《中国证券报》、《上海证券报》和《证券日报》上。</w:t>
      </w:r>
      <w:r>
        <w:rPr/>
      </w:r>
    </w:p>
    <w:p>
      <w:pPr>
        <w:pStyle w:val="BodyText"/>
        <w:spacing w:line="240" w:lineRule="auto" w:before="48"/>
        <w:ind w:left="620" w:right="217"/>
        <w:jc w:val="left"/>
      </w:pPr>
      <w:r>
        <w:rPr/>
        <w:t>二、监事会对以下事项发表的独立意见</w:t>
      </w:r>
    </w:p>
    <w:p>
      <w:pPr>
        <w:pStyle w:val="BodyText"/>
        <w:spacing w:line="314" w:lineRule="auto" w:before="122"/>
        <w:ind w:left="620" w:right="217"/>
        <w:jc w:val="left"/>
      </w:pPr>
      <w:r>
        <w:rPr>
          <w:rFonts w:ascii="Times New Roman" w:hAnsi="Times New Roman" w:cs="Times New Roman" w:eastAsia="Times New Roman" w:hint="default"/>
        </w:rPr>
        <w:t>1</w:t>
      </w:r>
      <w:r>
        <w:rPr/>
        <w:t>、公司依法运作情况： </w:t>
      </w:r>
      <w:r>
        <w:rPr>
          <w:spacing w:val="-10"/>
        </w:rPr>
        <w:t>根据《公司法》、《证券法》、公司《章程》等各项法律法规的要求，监事会通过召</w:t>
      </w:r>
    </w:p>
    <w:p>
      <w:pPr>
        <w:pStyle w:val="BodyText"/>
        <w:spacing w:line="324" w:lineRule="auto" w:before="48"/>
        <w:ind w:right="124"/>
        <w:jc w:val="left"/>
      </w:pPr>
      <w:r>
        <w:rPr>
          <w:spacing w:val="-3"/>
        </w:rPr>
        <w:t>开九次会议，列席报告期内历次董事会会议，参加公司</w:t>
      </w:r>
      <w:r>
        <w:rPr>
          <w:rFonts w:ascii="Times New Roman" w:hAnsi="Times New Roman" w:cs="Times New Roman" w:eastAsia="Times New Roman" w:hint="default"/>
          <w:spacing w:val="-3"/>
        </w:rPr>
        <w:t>2009</w:t>
      </w:r>
      <w:r>
        <w:rPr>
          <w:spacing w:val="-3"/>
        </w:rPr>
        <w:t>年年度股东大会、</w:t>
      </w:r>
      <w:r>
        <w:rPr>
          <w:rFonts w:ascii="Times New Roman" w:hAnsi="Times New Roman" w:cs="Times New Roman" w:eastAsia="Times New Roman" w:hint="default"/>
          <w:spacing w:val="-3"/>
        </w:rPr>
        <w:t>2010</w:t>
      </w:r>
      <w:r>
        <w:rPr>
          <w:spacing w:val="-3"/>
        </w:rPr>
        <w:t>年第</w:t>
      </w:r>
      <w:r>
        <w:rPr>
          <w:spacing w:val="-84"/>
        </w:rPr>
        <w:t> </w:t>
      </w:r>
      <w:r>
        <w:rPr/>
        <w:t>一次临时股东大会、</w:t>
      </w:r>
      <w:r>
        <w:rPr>
          <w:rFonts w:ascii="Times New Roman" w:hAnsi="Times New Roman" w:cs="Times New Roman" w:eastAsia="Times New Roman" w:hint="default"/>
        </w:rPr>
        <w:t>2010</w:t>
      </w:r>
      <w:r>
        <w:rPr/>
        <w:t>年第二次临时股东大会，对公司经营运作的情况进行了监督， </w:t>
      </w:r>
      <w:r>
        <w:rPr>
          <w:spacing w:val="-9"/>
        </w:rPr>
        <w:t>认为</w:t>
      </w:r>
      <w:r>
        <w:rPr>
          <w:rFonts w:ascii="Times New Roman" w:hAnsi="Times New Roman" w:cs="Times New Roman" w:eastAsia="Times New Roman" w:hint="default"/>
          <w:spacing w:val="-9"/>
        </w:rPr>
        <w:t>2010</w:t>
      </w:r>
      <w:r>
        <w:rPr>
          <w:spacing w:val="-9"/>
        </w:rPr>
        <w:t>年度，公司所有重大决策程序符合《公司法》、《证券法》、公司《章程》等规</w:t>
      </w:r>
      <w:r>
        <w:rPr>
          <w:spacing w:val="-109"/>
        </w:rPr>
        <w:t> </w:t>
      </w:r>
      <w:r>
        <w:rPr>
          <w:spacing w:val="-109"/>
        </w:rPr>
      </w:r>
      <w:r>
        <w:rPr>
          <w:spacing w:val="-3"/>
        </w:rPr>
        <w:t>定规范运作，建立了较为完善的内部控制制度。信息披露及时、准确。公司董事、高级</w:t>
      </w:r>
      <w:r>
        <w:rPr>
          <w:spacing w:val="-96"/>
        </w:rPr>
        <w:t> </w:t>
      </w:r>
      <w:r>
        <w:rPr>
          <w:spacing w:val="-96"/>
        </w:rPr>
      </w:r>
      <w:r>
        <w:rPr>
          <w:spacing w:val="-3"/>
        </w:rPr>
        <w:t>管理人员在执行公司职务时，不存在违反法律、法规、公司《章程》或有损于公司和股</w:t>
      </w:r>
      <w:r>
        <w:rPr>
          <w:spacing w:val="-96"/>
        </w:rPr>
        <w:t> </w:t>
      </w:r>
      <w:r>
        <w:rPr>
          <w:spacing w:val="-96"/>
        </w:rPr>
      </w:r>
      <w:r>
        <w:rPr/>
        <w:t>东利益的行为。</w:t>
      </w:r>
    </w:p>
    <w:p>
      <w:pPr>
        <w:pStyle w:val="BodyText"/>
        <w:spacing w:line="314" w:lineRule="auto" w:before="38"/>
        <w:ind w:left="604" w:right="217" w:firstLine="15"/>
        <w:jc w:val="left"/>
      </w:pPr>
      <w:r>
        <w:rPr>
          <w:rFonts w:ascii="Times New Roman" w:hAnsi="Times New Roman" w:cs="Times New Roman" w:eastAsia="Times New Roman" w:hint="default"/>
        </w:rPr>
        <w:t>2</w:t>
      </w:r>
      <w:r>
        <w:rPr/>
        <w:t>、检查公司财务的情况： </w:t>
      </w:r>
      <w:r>
        <w:rPr>
          <w:spacing w:val="-9"/>
        </w:rPr>
        <w:t>监事会对公司</w:t>
      </w:r>
      <w:r>
        <w:rPr>
          <w:rFonts w:ascii="Times New Roman" w:hAnsi="Times New Roman" w:cs="Times New Roman" w:eastAsia="Times New Roman" w:hint="default"/>
          <w:spacing w:val="-9"/>
        </w:rPr>
        <w:t>2010</w:t>
      </w:r>
      <w:r>
        <w:rPr>
          <w:spacing w:val="-9"/>
        </w:rPr>
        <w:t>年的财务状况、财务管理等进行了认真、细致的检查和审核，检查</w:t>
      </w:r>
      <w:r>
        <w:rPr/>
      </w:r>
    </w:p>
    <w:p>
      <w:pPr>
        <w:pStyle w:val="BodyText"/>
        <w:spacing w:line="324" w:lineRule="auto" w:before="22"/>
        <w:ind w:right="232"/>
        <w:jc w:val="both"/>
      </w:pPr>
      <w:r>
        <w:rPr>
          <w:spacing w:val="-16"/>
        </w:rPr>
        <w:t>认为：公司财务制度健全、运作规范，执行《会计法》、《企业会计准则》等法律法规的情</w:t>
      </w:r>
      <w:r>
        <w:rPr>
          <w:spacing w:val="-82"/>
        </w:rPr>
        <w:t> </w:t>
      </w:r>
      <w:r>
        <w:rPr>
          <w:spacing w:val="-82"/>
        </w:rPr>
      </w:r>
      <w:r>
        <w:rPr>
          <w:spacing w:val="-9"/>
        </w:rPr>
        <w:t>况良好。报告期内的财务报告真实、准确的反映了公司的财务状况和经营成果。公司</w:t>
      </w:r>
      <w:r>
        <w:rPr>
          <w:rFonts w:ascii="Times New Roman" w:hAnsi="Times New Roman" w:cs="Times New Roman" w:eastAsia="Times New Roman" w:hint="default"/>
          <w:spacing w:val="-9"/>
        </w:rPr>
        <w:t>2010</w:t>
      </w:r>
      <w:r>
        <w:rPr>
          <w:rFonts w:ascii="Times New Roman" w:hAnsi="Times New Roman" w:cs="Times New Roman" w:eastAsia="Times New Roman" w:hint="default"/>
          <w:spacing w:val="-25"/>
        </w:rPr>
        <w:t> </w:t>
      </w:r>
      <w:r>
        <w:rPr>
          <w:spacing w:val="-9"/>
        </w:rPr>
        <w:t>年财务报告经普华永道中天会计师事务所有限公司出具了无保留意见的审计报告。</w:t>
      </w:r>
      <w:r>
        <w:rPr/>
      </w:r>
    </w:p>
    <w:p>
      <w:pPr>
        <w:pStyle w:val="BodyText"/>
        <w:spacing w:line="314" w:lineRule="auto" w:before="38"/>
        <w:ind w:left="620" w:right="604"/>
        <w:jc w:val="left"/>
      </w:pPr>
      <w:r>
        <w:rPr>
          <w:rFonts w:ascii="Times New Roman" w:hAnsi="Times New Roman" w:cs="Times New Roman" w:eastAsia="Times New Roman" w:hint="default"/>
        </w:rPr>
        <w:t>3</w:t>
      </w:r>
      <w:r>
        <w:rPr/>
        <w:t>、募集资金使用情况： 报告期内，公司募集资金的存放和使用管理严格遵循了《募集资金管理办法》</w:t>
      </w:r>
    </w:p>
    <w:p>
      <w:pPr>
        <w:pStyle w:val="BodyText"/>
        <w:spacing w:line="240" w:lineRule="auto" w:before="48"/>
        <w:ind w:right="0"/>
        <w:jc w:val="both"/>
      </w:pPr>
      <w:r>
        <w:rPr/>
        <w:t>的规定，募集资金实际投入项目与承诺投入项目一致，没有变更募集资金的投向。</w:t>
      </w:r>
    </w:p>
    <w:p>
      <w:pPr>
        <w:pStyle w:val="BodyText"/>
        <w:spacing w:line="240" w:lineRule="auto" w:before="122"/>
        <w:ind w:left="620" w:right="217"/>
        <w:jc w:val="left"/>
      </w:pPr>
      <w:r>
        <w:rPr>
          <w:rFonts w:ascii="Times New Roman" w:hAnsi="Times New Roman" w:cs="Times New Roman" w:eastAsia="Times New Roman" w:hint="default"/>
        </w:rPr>
        <w:t>4</w:t>
      </w:r>
      <w:r>
        <w:rPr/>
        <w:t>、公司收购、出售资产情况：</w:t>
      </w:r>
    </w:p>
    <w:p>
      <w:pPr>
        <w:pStyle w:val="BodyText"/>
        <w:spacing w:line="324" w:lineRule="auto" w:before="104"/>
        <w:ind w:right="233" w:firstLine="480"/>
        <w:jc w:val="both"/>
      </w:pPr>
      <w:r>
        <w:rPr>
          <w:rFonts w:ascii="Times New Roman" w:hAnsi="Times New Roman" w:cs="Times New Roman" w:eastAsia="Times New Roman" w:hint="default"/>
          <w:spacing w:val="-3"/>
        </w:rPr>
        <w:t>2010</w:t>
      </w:r>
      <w:r>
        <w:rPr>
          <w:spacing w:val="-3"/>
        </w:rPr>
        <w:t>年公司不存在重大收购和出售资产的情况。报告期内，公司所有的资产购置行</w:t>
      </w:r>
      <w:r>
        <w:rPr/>
        <w:t> </w:t>
      </w:r>
      <w:r>
        <w:rPr>
          <w:spacing w:val="-3"/>
        </w:rPr>
        <w:t>为，符合公司长期发展规划的要求，与公司主营业务配套相关，且遵循市场原则，交易</w:t>
      </w:r>
      <w:r>
        <w:rPr>
          <w:spacing w:val="-98"/>
        </w:rPr>
        <w:t> </w:t>
      </w:r>
      <w:r>
        <w:rPr>
          <w:spacing w:val="-98"/>
        </w:rPr>
      </w:r>
      <w:r>
        <w:rPr/>
        <w:t>价格合理，没有发现内幕交易及损害部分股东的权益或造成公司资产流失的情况。</w:t>
      </w:r>
    </w:p>
    <w:p>
      <w:pPr>
        <w:pStyle w:val="BodyText"/>
        <w:spacing w:line="314" w:lineRule="auto" w:before="38"/>
        <w:ind w:left="620" w:right="124"/>
        <w:jc w:val="left"/>
      </w:pPr>
      <w:r>
        <w:rPr>
          <w:rFonts w:ascii="Times New Roman" w:hAnsi="Times New Roman" w:cs="Times New Roman" w:eastAsia="Times New Roman" w:hint="default"/>
        </w:rPr>
        <w:t>5</w:t>
      </w:r>
      <w:r>
        <w:rPr/>
        <w:t>、公司关联交易情况： 经对公司</w:t>
      </w:r>
      <w:r>
        <w:rPr>
          <w:rFonts w:ascii="Times New Roman" w:hAnsi="Times New Roman" w:cs="Times New Roman" w:eastAsia="Times New Roman" w:hint="default"/>
        </w:rPr>
        <w:t>2010</w:t>
      </w:r>
      <w:r>
        <w:rPr/>
        <w:t>年度关联交易的核查，认为公司</w:t>
      </w:r>
      <w:r>
        <w:rPr>
          <w:rFonts w:ascii="Times New Roman" w:hAnsi="Times New Roman" w:cs="Times New Roman" w:eastAsia="Times New Roman" w:hint="default"/>
        </w:rPr>
        <w:t>2010</w:t>
      </w:r>
      <w:r>
        <w:rPr/>
        <w:t>年关联交易遵循了客观、公正、</w:t>
      </w:r>
    </w:p>
    <w:p>
      <w:pPr>
        <w:pStyle w:val="BodyText"/>
        <w:spacing w:line="333" w:lineRule="auto" w:before="22"/>
        <w:ind w:right="232"/>
        <w:jc w:val="both"/>
      </w:pPr>
      <w:r>
        <w:rPr>
          <w:spacing w:val="-3"/>
        </w:rPr>
        <w:t>公平的交易原则，根据市场原则进行，不存在任何内部交易，严格执行了《股票上市规</w:t>
      </w:r>
      <w:r>
        <w:rPr>
          <w:spacing w:val="-98"/>
        </w:rPr>
        <w:t> </w:t>
      </w:r>
      <w:r>
        <w:rPr>
          <w:spacing w:val="-98"/>
        </w:rPr>
      </w:r>
      <w:r>
        <w:rPr>
          <w:spacing w:val="-3"/>
        </w:rPr>
        <w:t>则》及《公司法》的各项规定，履行了相应的法定程序，并在关联方回避的情况下表决</w:t>
      </w:r>
      <w:r>
        <w:rPr>
          <w:spacing w:val="-96"/>
        </w:rPr>
        <w:t> </w:t>
      </w:r>
      <w:r>
        <w:rPr>
          <w:spacing w:val="-96"/>
        </w:rPr>
      </w:r>
      <w:r>
        <w:rPr/>
        <w:t>通过，因而没有损害到公司和其他关联方股东的利益。</w:t>
      </w:r>
    </w:p>
    <w:p>
      <w:pPr>
        <w:pStyle w:val="BodyText"/>
        <w:spacing w:line="240" w:lineRule="auto" w:before="29"/>
        <w:ind w:left="620" w:right="217"/>
        <w:jc w:val="left"/>
      </w:pPr>
      <w:r>
        <w:rPr>
          <w:rFonts w:ascii="Times New Roman" w:hAnsi="Times New Roman" w:cs="Times New Roman" w:eastAsia="Times New Roman" w:hint="default"/>
        </w:rPr>
        <w:t>6</w:t>
      </w:r>
      <w:r>
        <w:rPr/>
        <w:t>、公司对外担保及股权、资产置换情况：</w:t>
      </w:r>
    </w:p>
    <w:p>
      <w:pPr>
        <w:pStyle w:val="BodyText"/>
        <w:spacing w:line="314" w:lineRule="auto" w:before="104"/>
        <w:ind w:right="232"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5"/>
        </w:rPr>
        <w:t> </w:t>
      </w:r>
      <w:r>
        <w:rPr/>
        <w:t>年度公司未发生违规对外担保，未发生债务重组、非货币性交易事项及资产 置换，也未发生其他损害公司股东利益或造成公司资产流失的情况。</w:t>
      </w:r>
    </w:p>
    <w:p>
      <w:pPr>
        <w:spacing w:after="0" w:line="314" w:lineRule="auto"/>
        <w:jc w:val="both"/>
        <w:sectPr>
          <w:pgSz w:w="11910" w:h="16840"/>
          <w:pgMar w:header="748" w:footer="714" w:top="980" w:bottom="900" w:left="1300" w:right="1200"/>
        </w:sectPr>
      </w:pPr>
    </w:p>
    <w:p>
      <w:pPr>
        <w:spacing w:line="240" w:lineRule="auto" w:before="0"/>
        <w:rPr>
          <w:rFonts w:ascii="宋体" w:hAnsi="宋体" w:cs="宋体" w:eastAsia="宋体" w:hint="default"/>
          <w:sz w:val="20"/>
          <w:szCs w:val="20"/>
        </w:rPr>
      </w:pPr>
    </w:p>
    <w:p>
      <w:pPr>
        <w:pStyle w:val="Heading1"/>
        <w:tabs>
          <w:tab w:pos="1844" w:val="left" w:leader="none"/>
        </w:tabs>
        <w:spacing w:line="240" w:lineRule="auto"/>
        <w:ind w:left="564" w:right="0"/>
        <w:jc w:val="center"/>
        <w:rPr>
          <w:b w:val="0"/>
          <w:bCs w:val="0"/>
        </w:rPr>
      </w:pPr>
      <w:bookmarkStart w:name="_TOC_250002" w:id="9"/>
      <w:r>
        <w:rPr>
          <w:w w:val="95"/>
        </w:rPr>
        <w:t>第九节</w:t>
        <w:tab/>
      </w:r>
      <w:r>
        <w:rPr/>
        <w:t>重要事项</w:t>
      </w:r>
      <w:bookmarkEnd w:id="9"/>
      <w:r>
        <w:rPr>
          <w:b w:val="0"/>
          <w:bCs w:val="0"/>
        </w:rPr>
      </w:r>
    </w:p>
    <w:p>
      <w:pPr>
        <w:pStyle w:val="BodyText"/>
        <w:spacing w:line="357" w:lineRule="auto" w:before="217"/>
        <w:ind w:left="1000" w:right="4444" w:hanging="360"/>
        <w:jc w:val="left"/>
      </w:pPr>
      <w:r>
        <w:rPr/>
        <w:t>一、公司应披露的重大诉讼、仲裁事项： 本年度公司无重大诉讼、仲裁事项。</w:t>
      </w:r>
    </w:p>
    <w:p>
      <w:pPr>
        <w:pStyle w:val="BodyText"/>
        <w:spacing w:line="240" w:lineRule="auto" w:before="36"/>
        <w:ind w:left="640" w:right="0"/>
        <w:jc w:val="left"/>
      </w:pPr>
      <w:r>
        <w:rPr/>
        <w:t>二、公司应披露的收购及出售资产、吸收合并事项：</w:t>
      </w:r>
    </w:p>
    <w:p>
      <w:pPr>
        <w:pStyle w:val="BodyText"/>
        <w:spacing w:line="338" w:lineRule="auto" w:before="154"/>
        <w:ind w:left="160" w:right="109" w:firstLine="600"/>
        <w:jc w:val="left"/>
      </w:pP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2009</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30</w:t>
      </w:r>
      <w:r>
        <w:rPr>
          <w:spacing w:val="-7"/>
        </w:rPr>
        <w:t>日，公司与</w:t>
      </w:r>
      <w:r>
        <w:rPr>
          <w:rFonts w:ascii="Times New Roman" w:hAnsi="Times New Roman" w:cs="Times New Roman" w:eastAsia="Times New Roman" w:hint="default"/>
          <w:spacing w:val="-7"/>
        </w:rPr>
        <w:t>Citicall </w:t>
      </w:r>
      <w:r>
        <w:rPr>
          <w:rFonts w:ascii="Times New Roman" w:hAnsi="Times New Roman" w:cs="Times New Roman" w:eastAsia="Times New Roman" w:hint="default"/>
        </w:rPr>
        <w:t>Retail Management</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13"/>
        </w:rPr>
        <w:t>Limited</w:t>
      </w:r>
      <w:r>
        <w:rPr>
          <w:spacing w:val="-13"/>
        </w:rPr>
        <w:t>（以下简称“</w:t>
      </w:r>
      <w:r>
        <w:rPr>
          <w:rFonts w:ascii="Times New Roman" w:hAnsi="Times New Roman" w:cs="Times New Roman" w:eastAsia="Times New Roman" w:hint="default"/>
          <w:spacing w:val="-13"/>
        </w:rPr>
        <w:t>CRM</w:t>
      </w:r>
      <w:r>
        <w:rPr>
          <w:spacing w:val="-13"/>
        </w:rPr>
        <w:t>”）</w:t>
      </w:r>
      <w:r>
        <w:rPr/>
        <w:t> 以及</w:t>
      </w:r>
      <w:r>
        <w:rPr>
          <w:rFonts w:ascii="Times New Roman" w:hAnsi="Times New Roman" w:cs="Times New Roman" w:eastAsia="Times New Roman" w:hint="default"/>
        </w:rPr>
        <w:t>McCallum Retail Capital</w:t>
      </w:r>
      <w:r>
        <w:rPr>
          <w:rFonts w:ascii="Times New Roman" w:hAnsi="Times New Roman" w:cs="Times New Roman" w:eastAsia="Times New Roman" w:hint="default"/>
          <w:spacing w:val="-24"/>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McCallum</w:t>
      </w:r>
      <w:r>
        <w:rPr/>
        <w:t>”）签署《业务及资产转让 协议》。拟通过公司在香港设立的全资子公司全面承接</w:t>
      </w:r>
      <w:r>
        <w:rPr>
          <w:rFonts w:ascii="Times New Roman" w:hAnsi="Times New Roman" w:cs="Times New Roman" w:eastAsia="Times New Roman" w:hint="default"/>
        </w:rPr>
        <w:t>CRM</w:t>
      </w:r>
      <w:r>
        <w:rPr/>
        <w:t>品牌、网络及业务，收购</w:t>
      </w:r>
      <w:r>
        <w:rPr>
          <w:spacing w:val="-49"/>
        </w:rPr>
        <w:t> </w:t>
      </w:r>
      <w:r>
        <w:rPr>
          <w:spacing w:val="-3"/>
        </w:rPr>
        <w:t>其所有业务及在开展业务过程中使用的所有财产、资产和权利。</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8</w:t>
      </w:r>
      <w:r>
        <w:rPr>
          <w:spacing w:val="-3"/>
        </w:rPr>
        <w:t>日，公司与</w:t>
      </w:r>
      <w:r>
        <w:rPr>
          <w:spacing w:val="-87"/>
        </w:rPr>
        <w:t> </w:t>
      </w:r>
      <w:r>
        <w:rPr>
          <w:spacing w:val="-87"/>
        </w:rPr>
      </w:r>
      <w:r>
        <w:rPr>
          <w:rFonts w:ascii="Times New Roman" w:hAnsi="Times New Roman" w:cs="Times New Roman" w:eastAsia="Times New Roman" w:hint="default"/>
          <w:spacing w:val="-3"/>
        </w:rPr>
        <w:t>CRM</w:t>
      </w:r>
      <w:r>
        <w:rPr>
          <w:spacing w:val="-3"/>
        </w:rPr>
        <w:t>完成业务及资产转让交割，正式承接</w:t>
      </w:r>
      <w:r>
        <w:rPr>
          <w:rFonts w:ascii="Times New Roman" w:hAnsi="Times New Roman" w:cs="Times New Roman" w:eastAsia="Times New Roman" w:hint="default"/>
          <w:spacing w:val="-3"/>
        </w:rPr>
        <w:t>CRM</w:t>
      </w:r>
      <w:r>
        <w:rPr>
          <w:spacing w:val="-3"/>
        </w:rPr>
        <w:t>品牌及其在香港地区的连锁网络及业务，</w:t>
      </w:r>
      <w:r>
        <w:rPr>
          <w:spacing w:val="-82"/>
        </w:rPr>
        <w:t> </w:t>
      </w:r>
      <w:r>
        <w:rPr/>
        <w:t>全面开展在香港地区的家用电器及消费类电子产品的销售及服务业务。</w:t>
      </w:r>
    </w:p>
    <w:p>
      <w:pPr>
        <w:spacing w:before="60"/>
        <w:ind w:left="0" w:right="292" w:firstLine="0"/>
        <w:jc w:val="right"/>
        <w:rPr>
          <w:rFonts w:ascii="宋体" w:hAnsi="宋体" w:cs="宋体" w:eastAsia="宋体" w:hint="default"/>
          <w:sz w:val="21"/>
          <w:szCs w:val="21"/>
        </w:rPr>
      </w:pPr>
      <w:r>
        <w:rPr>
          <w:rFonts w:ascii="宋体" w:hAnsi="宋体" w:cs="宋体" w:eastAsia="宋体" w:hint="default"/>
          <w:sz w:val="21"/>
          <w:szCs w:val="21"/>
        </w:rPr>
        <w:t>（单位：港币千元）</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229"/>
        <w:gridCol w:w="1231"/>
        <w:gridCol w:w="1475"/>
        <w:gridCol w:w="834"/>
        <w:gridCol w:w="680"/>
        <w:gridCol w:w="910"/>
        <w:gridCol w:w="1008"/>
        <w:gridCol w:w="818"/>
        <w:gridCol w:w="900"/>
      </w:tblGrid>
      <w:tr>
        <w:trPr>
          <w:trHeight w:val="1729" w:hRule="exact"/>
        </w:trPr>
        <w:tc>
          <w:tcPr>
            <w:tcW w:w="1229"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1" w:right="68" w:hanging="180"/>
              <w:jc w:val="left"/>
              <w:rPr>
                <w:rFonts w:ascii="宋体" w:hAnsi="宋体" w:cs="宋体" w:eastAsia="宋体" w:hint="default"/>
                <w:sz w:val="18"/>
                <w:szCs w:val="18"/>
              </w:rPr>
            </w:pPr>
            <w:r>
              <w:rPr>
                <w:rFonts w:ascii="宋体" w:hAnsi="宋体" w:cs="宋体" w:eastAsia="宋体" w:hint="default"/>
                <w:sz w:val="18"/>
                <w:szCs w:val="18"/>
              </w:rPr>
              <w:t>交易对方或最 终控制方</w:t>
            </w:r>
          </w:p>
        </w:tc>
        <w:tc>
          <w:tcPr>
            <w:tcW w:w="123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429" w:right="70" w:hanging="360"/>
              <w:jc w:val="left"/>
              <w:rPr>
                <w:rFonts w:ascii="宋体" w:hAnsi="宋体" w:cs="宋体" w:eastAsia="宋体" w:hint="default"/>
                <w:sz w:val="18"/>
                <w:szCs w:val="18"/>
              </w:rPr>
            </w:pPr>
            <w:r>
              <w:rPr>
                <w:rFonts w:ascii="宋体" w:hAnsi="宋体" w:cs="宋体" w:eastAsia="宋体" w:hint="default"/>
                <w:sz w:val="18"/>
                <w:szCs w:val="18"/>
              </w:rPr>
              <w:t>被收购或置入 资产</w:t>
            </w:r>
          </w:p>
        </w:tc>
        <w:tc>
          <w:tcPr>
            <w:tcW w:w="147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购买日</w:t>
            </w:r>
          </w:p>
        </w:tc>
        <w:tc>
          <w:tcPr>
            <w:tcW w:w="83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交易价格</w:t>
            </w:r>
          </w:p>
        </w:tc>
        <w:tc>
          <w:tcPr>
            <w:tcW w:w="68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64" w:right="64"/>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91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100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7" w:right="48"/>
              <w:jc w:val="both"/>
              <w:rPr>
                <w:rFonts w:ascii="宋体" w:hAnsi="宋体" w:cs="宋体" w:eastAsia="宋体" w:hint="default"/>
                <w:sz w:val="18"/>
                <w:szCs w:val="18"/>
              </w:rPr>
            </w:pPr>
            <w:r>
              <w:rPr>
                <w:rFonts w:ascii="宋体" w:hAnsi="宋体" w:cs="宋体" w:eastAsia="宋体" w:hint="default"/>
                <w:sz w:val="18"/>
                <w:szCs w:val="18"/>
              </w:rPr>
              <w:t>所涉及的资 产产权是否 已全部过户</w:t>
            </w:r>
          </w:p>
        </w:tc>
        <w:tc>
          <w:tcPr>
            <w:tcW w:w="81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44" w:right="42"/>
              <w:jc w:val="both"/>
              <w:rPr>
                <w:rFonts w:ascii="宋体" w:hAnsi="宋体" w:cs="宋体" w:eastAsia="宋体" w:hint="default"/>
                <w:sz w:val="18"/>
                <w:szCs w:val="18"/>
              </w:rPr>
            </w:pPr>
            <w:r>
              <w:rPr>
                <w:rFonts w:ascii="宋体" w:hAnsi="宋体" w:cs="宋体" w:eastAsia="宋体" w:hint="default"/>
                <w:sz w:val="18"/>
                <w:szCs w:val="18"/>
              </w:rPr>
              <w:t>所涉及的 债权债务 是否已全 部转移</w:t>
            </w:r>
          </w:p>
        </w:tc>
        <w:tc>
          <w:tcPr>
            <w:tcW w:w="900"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4" w:hanging="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2"/>
                <w:sz w:val="18"/>
                <w:szCs w:val="18"/>
              </w:rPr>
              <w:t>关系（适用</w:t>
            </w:r>
            <w:r>
              <w:rPr>
                <w:rFonts w:ascii="宋体" w:hAnsi="宋体" w:cs="宋体" w:eastAsia="宋体" w:hint="default"/>
                <w:sz w:val="18"/>
                <w:szCs w:val="18"/>
              </w:rPr>
              <w:t> 关联交易 情形）</w:t>
            </w:r>
          </w:p>
        </w:tc>
      </w:tr>
      <w:tr>
        <w:trPr>
          <w:trHeight w:val="731" w:hRule="exact"/>
        </w:trPr>
        <w:tc>
          <w:tcPr>
            <w:tcW w:w="1229"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McCallum</w:t>
            </w:r>
          </w:p>
        </w:tc>
        <w:tc>
          <w:tcPr>
            <w:tcW w:w="1231" w:type="dxa"/>
            <w:tcBorders>
              <w:top w:val="single" w:sz="4" w:space="0" w:color="000000"/>
              <w:left w:val="single" w:sz="4" w:space="0" w:color="000000"/>
              <w:bottom w:val="single" w:sz="17" w:space="0" w:color="000000"/>
              <w:right w:val="single" w:sz="4" w:space="0" w:color="000000"/>
            </w:tcBorders>
          </w:tcPr>
          <w:p>
            <w:pPr>
              <w:pStyle w:val="TableParagraph"/>
              <w:spacing w:line="234" w:lineRule="exact" w:before="109"/>
              <w:ind w:left="22" w:right="20" w:firstLine="4"/>
              <w:jc w:val="left"/>
              <w:rPr>
                <w:rFonts w:ascii="宋体" w:hAnsi="宋体" w:cs="宋体" w:eastAsia="宋体" w:hint="default"/>
                <w:sz w:val="18"/>
                <w:szCs w:val="18"/>
              </w:rPr>
            </w:pP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品牌、网</w:t>
            </w:r>
            <w:r>
              <w:rPr>
                <w:rFonts w:ascii="宋体" w:hAnsi="宋体" w:cs="宋体" w:eastAsia="宋体" w:hint="default"/>
                <w:w w:val="99"/>
                <w:sz w:val="18"/>
                <w:szCs w:val="18"/>
              </w:rPr>
              <w:t> </w:t>
            </w:r>
            <w:r>
              <w:rPr>
                <w:rFonts w:ascii="宋体" w:hAnsi="宋体" w:cs="宋体" w:eastAsia="宋体" w:hint="default"/>
                <w:spacing w:val="-12"/>
                <w:sz w:val="18"/>
                <w:szCs w:val="18"/>
              </w:rPr>
              <w:t>络、业务、资产</w:t>
            </w:r>
          </w:p>
        </w:tc>
        <w:tc>
          <w:tcPr>
            <w:tcW w:w="147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8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119,720</w:t>
            </w:r>
          </w:p>
        </w:tc>
        <w:tc>
          <w:tcPr>
            <w:tcW w:w="6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10"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90" w:right="0"/>
              <w:jc w:val="left"/>
              <w:rPr>
                <w:rFonts w:ascii="宋体" w:hAnsi="宋体" w:cs="宋体" w:eastAsia="宋体" w:hint="default"/>
                <w:sz w:val="18"/>
                <w:szCs w:val="18"/>
              </w:rPr>
            </w:pPr>
            <w:r>
              <w:rPr>
                <w:rFonts w:ascii="宋体" w:hAnsi="宋体" w:cs="宋体" w:eastAsia="宋体" w:hint="default"/>
                <w:sz w:val="18"/>
                <w:szCs w:val="18"/>
              </w:rPr>
              <w:t>参考净资</w:t>
            </w:r>
          </w:p>
          <w:p>
            <w:pPr>
              <w:pStyle w:val="TableParagraph"/>
              <w:spacing w:line="240" w:lineRule="auto"/>
              <w:ind w:left="180" w:right="87" w:hanging="90"/>
              <w:jc w:val="left"/>
              <w:rPr>
                <w:rFonts w:ascii="宋体" w:hAnsi="宋体" w:cs="宋体" w:eastAsia="宋体" w:hint="default"/>
                <w:sz w:val="18"/>
                <w:szCs w:val="18"/>
              </w:rPr>
            </w:pPr>
            <w:r>
              <w:rPr>
                <w:rFonts w:ascii="宋体" w:hAnsi="宋体" w:cs="宋体" w:eastAsia="宋体" w:hint="default"/>
                <w:sz w:val="18"/>
                <w:szCs w:val="18"/>
              </w:rPr>
              <w:t>产双方协 商定价</w:t>
            </w:r>
          </w:p>
        </w:tc>
        <w:tc>
          <w:tcPr>
            <w:tcW w:w="10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left="22" w:right="7"/>
              <w:jc w:val="left"/>
              <w:rPr>
                <w:rFonts w:ascii="宋体" w:hAnsi="宋体" w:cs="宋体" w:eastAsia="宋体" w:hint="default"/>
                <w:sz w:val="18"/>
                <w:szCs w:val="18"/>
              </w:rPr>
            </w:pPr>
            <w:r>
              <w:rPr>
                <w:rFonts w:ascii="宋体" w:hAnsi="宋体" w:cs="宋体" w:eastAsia="宋体" w:hint="default"/>
                <w:spacing w:val="13"/>
                <w:sz w:val="18"/>
                <w:szCs w:val="18"/>
              </w:rPr>
              <w:t>商标转让办 </w:t>
            </w:r>
            <w:r>
              <w:rPr>
                <w:rFonts w:ascii="宋体" w:hAnsi="宋体" w:cs="宋体" w:eastAsia="宋体" w:hint="default"/>
                <w:sz w:val="18"/>
                <w:szCs w:val="18"/>
              </w:rPr>
              <w:t>理过程中</w:t>
            </w:r>
          </w:p>
        </w:tc>
        <w:tc>
          <w:tcPr>
            <w:tcW w:w="8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2"/>
        <w:rPr>
          <w:rFonts w:ascii="宋体" w:hAnsi="宋体" w:cs="宋体" w:eastAsia="宋体" w:hint="default"/>
          <w:sz w:val="5"/>
          <w:szCs w:val="5"/>
        </w:rPr>
      </w:pPr>
    </w:p>
    <w:p>
      <w:pPr>
        <w:pStyle w:val="BodyText"/>
        <w:spacing w:line="345" w:lineRule="auto" w:before="26"/>
        <w:ind w:left="160" w:right="232" w:firstLine="48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spacing w:val="-6"/>
        </w:rPr>
        <w:t>日，苏宁电器股份有限公司（以下简称“公司”）就认购日本家</w:t>
      </w:r>
      <w:r>
        <w:rPr/>
        <w:t> 电连锁企业 </w:t>
      </w:r>
      <w:r>
        <w:rPr>
          <w:rFonts w:ascii="Times New Roman" w:hAnsi="Times New Roman" w:cs="Times New Roman" w:eastAsia="Times New Roman" w:hint="default"/>
          <w:spacing w:val="-1"/>
          <w:w w:val="99"/>
        </w:rPr>
        <w:t>LAOX</w:t>
      </w:r>
      <w:r>
        <w:rPr>
          <w:rFonts w:ascii="Times New Roman" w:hAnsi="Times New Roman" w:cs="Times New Roman" w:eastAsia="Times New Roman" w:hint="default"/>
          <w:spacing w:val="18"/>
          <w:w w:val="99"/>
        </w:rPr>
        <w:t> </w:t>
      </w:r>
      <w:r>
        <w:rPr>
          <w:spacing w:val="-8"/>
          <w:w w:val="99"/>
        </w:rPr>
        <w:t>株式会社（以下简称“</w:t>
      </w:r>
      <w:r>
        <w:rPr>
          <w:rFonts w:ascii="Times New Roman" w:hAnsi="Times New Roman" w:cs="Times New Roman" w:eastAsia="Times New Roman" w:hint="default"/>
          <w:spacing w:val="-8"/>
          <w:w w:val="99"/>
        </w:rPr>
        <w:t>LAOX</w:t>
      </w:r>
      <w:r>
        <w:rPr>
          <w:spacing w:val="-8"/>
          <w:w w:val="99"/>
        </w:rPr>
        <w:t>”）定向发行股份事宜签署了附生效条</w:t>
      </w:r>
      <w:r>
        <w:rPr/>
        <w:t> </w:t>
      </w:r>
      <w:r>
        <w:rPr>
          <w:spacing w:val="-7"/>
        </w:rPr>
        <w:t>件的《合同书》，通过境外设立的全资子公司</w:t>
      </w:r>
      <w:r>
        <w:rPr/>
        <w:t> </w:t>
      </w:r>
      <w:r>
        <w:rPr>
          <w:rFonts w:ascii="Times New Roman" w:hAnsi="Times New Roman" w:cs="Times New Roman" w:eastAsia="Times New Roman" w:hint="default"/>
          <w:spacing w:val="-1"/>
          <w:w w:val="99"/>
        </w:rPr>
        <w:t>GRANDA</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MAGIC</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rPr>
        <w:t>LIMITED</w:t>
      </w:r>
      <w:r>
        <w:rPr>
          <w:rFonts w:ascii="Times New Roman" w:hAnsi="Times New Roman" w:cs="Times New Roman" w:eastAsia="Times New Roman" w:hint="default"/>
        </w:rPr>
        <w:t> </w:t>
      </w:r>
      <w:r>
        <w:rPr/>
        <w:t>认购</w:t>
      </w:r>
      <w:r>
        <w:rPr>
          <w:spacing w:val="-10"/>
        </w:rPr>
        <w:t> </w:t>
      </w:r>
      <w:r>
        <w:rPr>
          <w:rFonts w:ascii="Times New Roman" w:hAnsi="Times New Roman" w:cs="Times New Roman" w:eastAsia="Times New Roman" w:hint="default"/>
          <w:spacing w:val="-1"/>
          <w:w w:val="99"/>
        </w:rPr>
        <w:t>LAOX </w:t>
      </w:r>
      <w:r>
        <w:rPr/>
        <w:t>发行的股份，成为其第一大股东，并获得</w:t>
      </w:r>
      <w:r>
        <w:rPr>
          <w:spacing w:val="-75"/>
        </w:rPr>
        <w:t> </w:t>
      </w:r>
      <w:r>
        <w:rPr>
          <w:rFonts w:ascii="Times New Roman" w:hAnsi="Times New Roman" w:cs="Times New Roman" w:eastAsia="Times New Roman" w:hint="default"/>
        </w:rPr>
        <w:t>1,066</w:t>
      </w:r>
      <w:r>
        <w:rPr>
          <w:rFonts w:ascii="Times New Roman" w:hAnsi="Times New Roman" w:cs="Times New Roman" w:eastAsia="Times New Roman" w:hint="default"/>
          <w:spacing w:val="-15"/>
        </w:rPr>
        <w:t> </w:t>
      </w:r>
      <w:r>
        <w:rPr/>
        <w:t>万股的新股预约权。根据《合同书》的</w:t>
      </w:r>
    </w:p>
    <w:p>
      <w:pPr>
        <w:pStyle w:val="BodyText"/>
        <w:spacing w:line="240" w:lineRule="auto" w:before="31"/>
        <w:ind w:left="160" w:right="0"/>
        <w:jc w:val="both"/>
      </w:pPr>
      <w:r>
        <w:rPr>
          <w:spacing w:val="-6"/>
        </w:rPr>
        <w:t>约定，公司于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日向</w:t>
      </w:r>
      <w:r>
        <w:rPr>
          <w:spacing w:val="-59"/>
        </w:rPr>
        <w:t> </w:t>
      </w:r>
      <w:r>
        <w:rPr>
          <w:rFonts w:ascii="Times New Roman" w:hAnsi="Times New Roman" w:cs="Times New Roman" w:eastAsia="Times New Roman" w:hint="default"/>
        </w:rPr>
        <w:t>LAOX </w:t>
      </w:r>
      <w:r>
        <w:rPr>
          <w:rFonts w:ascii="Times New Roman" w:hAnsi="Times New Roman" w:cs="Times New Roman" w:eastAsia="Times New Roman" w:hint="default"/>
          <w:spacing w:val="2"/>
        </w:rPr>
        <w:t> </w:t>
      </w:r>
      <w:r>
        <w:rPr>
          <w:spacing w:val="-4"/>
        </w:rPr>
        <w:t>提出了行权申请，全部行使新股预约权，即出</w:t>
      </w:r>
    </w:p>
    <w:p>
      <w:pPr>
        <w:pStyle w:val="BodyText"/>
        <w:spacing w:line="240" w:lineRule="auto" w:before="147"/>
        <w:ind w:left="160" w:right="0"/>
        <w:jc w:val="both"/>
        <w:rPr>
          <w:rFonts w:ascii="Times New Roman" w:hAnsi="Times New Roman" w:cs="Times New Roman" w:eastAsia="Times New Roman" w:hint="default"/>
        </w:rPr>
      </w:pPr>
      <w:r>
        <w:rPr/>
        <w:t>资 </w:t>
      </w:r>
      <w:r>
        <w:rPr>
          <w:rFonts w:ascii="Times New Roman" w:hAnsi="Times New Roman" w:cs="Times New Roman" w:eastAsia="Times New Roman" w:hint="default"/>
        </w:rPr>
        <w:t>21,320  </w:t>
      </w:r>
      <w:r>
        <w:rPr/>
        <w:t>万日元认购</w:t>
      </w:r>
      <w:r>
        <w:rPr>
          <w:spacing w:val="-70"/>
        </w:rPr>
        <w:t> </w:t>
      </w:r>
      <w:r>
        <w:rPr>
          <w:rFonts w:ascii="Times New Roman" w:hAnsi="Times New Roman" w:cs="Times New Roman" w:eastAsia="Times New Roman" w:hint="default"/>
        </w:rPr>
        <w:t>1,066</w:t>
      </w:r>
      <w:r>
        <w:rPr>
          <w:rFonts w:ascii="Times New Roman" w:hAnsi="Times New Roman" w:cs="Times New Roman" w:eastAsia="Times New Roman" w:hint="default"/>
          <w:spacing w:val="-10"/>
        </w:rPr>
        <w:t> </w:t>
      </w:r>
      <w:r>
        <w:rPr>
          <w:spacing w:val="-1"/>
        </w:rPr>
        <w:t>万股新股</w:t>
      </w:r>
      <w:r>
        <w:rPr>
          <w:spacing w:val="-121"/>
        </w:rPr>
        <w:t>。</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70"/>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70"/>
        </w:rPr>
        <w:t> </w:t>
      </w:r>
      <w:r>
        <w:rPr>
          <w:rFonts w:ascii="Times New Roman" w:hAnsi="Times New Roman" w:cs="Times New Roman" w:eastAsia="Times New Roman" w:hint="default"/>
        </w:rPr>
        <w:t>16</w:t>
      </w:r>
      <w:r>
        <w:rPr>
          <w:rFonts w:ascii="Times New Roman" w:hAnsi="Times New Roman" w:cs="Times New Roman" w:eastAsia="Times New Roman" w:hint="default"/>
          <w:spacing w:val="-11"/>
        </w:rPr>
        <w:t> </w:t>
      </w:r>
      <w:r>
        <w:rPr/>
        <w:t>日，</w:t>
      </w:r>
      <w:r>
        <w:rPr>
          <w:rFonts w:ascii="Times New Roman" w:hAnsi="Times New Roman" w:cs="Times New Roman" w:eastAsia="Times New Roman" w:hint="default"/>
          <w:spacing w:val="-1"/>
          <w:w w:val="99"/>
        </w:rPr>
        <w:t>GRAND</w:t>
      </w:r>
      <w:r>
        <w:rPr>
          <w:rFonts w:ascii="Times New Roman" w:hAnsi="Times New Roman" w:cs="Times New Roman" w:eastAsia="Times New Roman" w:hint="default"/>
          <w:w w:val="99"/>
        </w:rPr>
        <w:t>A</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
          <w:w w:val="99"/>
        </w:rPr>
        <w:t>MAGI</w:t>
      </w:r>
      <w:r>
        <w:rPr>
          <w:rFonts w:ascii="Times New Roman" w:hAnsi="Times New Roman" w:cs="Times New Roman" w:eastAsia="Times New Roman" w:hint="default"/>
          <w:w w:val="99"/>
        </w:rPr>
        <w:t>C</w:t>
      </w:r>
      <w:r>
        <w:rPr>
          <w:rFonts w:ascii="Times New Roman" w:hAnsi="Times New Roman" w:cs="Times New Roman" w:eastAsia="Times New Roman" w:hint="default"/>
        </w:rPr>
        <w:t> LIMITED</w:t>
      </w:r>
    </w:p>
    <w:p>
      <w:pPr>
        <w:pStyle w:val="BodyText"/>
        <w:spacing w:line="345" w:lineRule="auto" w:before="147"/>
        <w:ind w:left="159" w:right="232"/>
        <w:jc w:val="both"/>
      </w:pPr>
      <w:r>
        <w:rPr>
          <w:spacing w:val="-10"/>
        </w:rPr>
        <w:t>签署《股份认购协议》。认购</w:t>
      </w:r>
      <w:r>
        <w:rPr/>
        <w:t> </w:t>
      </w:r>
      <w:r>
        <w:rPr>
          <w:rFonts w:ascii="Times New Roman" w:hAnsi="Times New Roman" w:cs="Times New Roman" w:eastAsia="Times New Roman" w:hint="default"/>
          <w:spacing w:val="-1"/>
          <w:w w:val="99"/>
        </w:rPr>
        <w:t>LAOX</w:t>
      </w:r>
      <w:r>
        <w:rPr>
          <w:rFonts w:ascii="Times New Roman" w:hAnsi="Times New Roman" w:cs="Times New Roman" w:eastAsia="Times New Roman" w:hint="default"/>
          <w:w w:val="99"/>
        </w:rPr>
        <w:t> </w:t>
      </w:r>
      <w:r>
        <w:rPr/>
        <w:t>定向发的 </w:t>
      </w:r>
      <w:r>
        <w:rPr>
          <w:rFonts w:ascii="Times New Roman" w:hAnsi="Times New Roman" w:cs="Times New Roman" w:eastAsia="Times New Roman" w:hint="default"/>
        </w:rPr>
        <w:t>2,127.66 </w:t>
      </w:r>
      <w:r>
        <w:rPr/>
        <w:t>万股，合计支付认购款</w:t>
      </w:r>
      <w:r>
        <w:rPr>
          <w:spacing w:val="-90"/>
        </w:rPr>
        <w:t> </w:t>
      </w:r>
      <w:r>
        <w:rPr>
          <w:rFonts w:ascii="Times New Roman" w:hAnsi="Times New Roman" w:cs="Times New Roman" w:eastAsia="Times New Roman" w:hint="default"/>
        </w:rPr>
        <w:t>200,000 </w:t>
      </w:r>
      <w:r>
        <w:rPr>
          <w:spacing w:val="-3"/>
        </w:rPr>
        <w:t>万日元，前述交易完成后，截至报告期末，</w:t>
      </w:r>
      <w:r>
        <w:rPr>
          <w:rFonts w:ascii="Times New Roman" w:hAnsi="Times New Roman" w:cs="Times New Roman" w:eastAsia="Times New Roman" w:hint="default"/>
          <w:spacing w:val="-3"/>
        </w:rPr>
        <w:t>GRANDA </w:t>
      </w:r>
      <w:r>
        <w:rPr>
          <w:rFonts w:ascii="Times New Roman" w:hAnsi="Times New Roman" w:cs="Times New Roman" w:eastAsia="Times New Roman" w:hint="default"/>
        </w:rPr>
        <w:t>MAGIC </w:t>
      </w:r>
      <w:r>
        <w:rPr/>
        <w:t>将持有 </w:t>
      </w:r>
      <w:r>
        <w:rPr>
          <w:rFonts w:ascii="Times New Roman" w:hAnsi="Times New Roman" w:cs="Times New Roman" w:eastAsia="Times New Roman" w:hint="default"/>
        </w:rPr>
        <w:t>LAOX</w:t>
      </w:r>
      <w:r>
        <w:rPr>
          <w:rFonts w:ascii="Times New Roman" w:hAnsi="Times New Roman" w:cs="Times New Roman" w:eastAsia="Times New Roman" w:hint="default"/>
          <w:spacing w:val="1"/>
        </w:rPr>
        <w:t> </w:t>
      </w:r>
      <w:r>
        <w:rPr/>
        <w:t>发行在外 普通股的</w:t>
      </w:r>
      <w:r>
        <w:rPr>
          <w:spacing w:val="-61"/>
        </w:rPr>
        <w:t> </w:t>
      </w:r>
      <w:r>
        <w:rPr>
          <w:rFonts w:ascii="Times New Roman" w:hAnsi="Times New Roman" w:cs="Times New Roman" w:eastAsia="Times New Roman" w:hint="default"/>
        </w:rPr>
        <w:t>34.28%</w:t>
      </w:r>
      <w:r>
        <w:rPr/>
        <w:t>（扣除库存股）的股权，仍为</w:t>
      </w:r>
      <w:r>
        <w:rPr>
          <w:spacing w:val="-61"/>
        </w:rPr>
        <w:t> </w:t>
      </w:r>
      <w:r>
        <w:rPr>
          <w:rFonts w:ascii="Times New Roman" w:hAnsi="Times New Roman" w:cs="Times New Roman" w:eastAsia="Times New Roman" w:hint="default"/>
        </w:rPr>
        <w:t>LAOX</w:t>
      </w:r>
      <w:r>
        <w:rPr>
          <w:rFonts w:ascii="Times New Roman" w:hAnsi="Times New Roman" w:cs="Times New Roman" w:eastAsia="Times New Roman" w:hint="default"/>
          <w:spacing w:val="58"/>
        </w:rPr>
        <w:t> </w:t>
      </w:r>
      <w:r>
        <w:rPr/>
        <w:t>第一大股东。</w:t>
      </w:r>
    </w:p>
    <w:p>
      <w:pPr>
        <w:spacing w:after="0" w:line="345" w:lineRule="auto"/>
        <w:jc w:val="both"/>
        <w:sectPr>
          <w:pgSz w:w="11910" w:h="16840"/>
          <w:pgMar w:header="748" w:footer="714" w:top="980" w:bottom="900" w:left="1280" w:right="12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tabs>
          <w:tab w:pos="7119" w:val="left" w:leader="none"/>
        </w:tabs>
        <w:spacing w:before="26"/>
        <w:ind w:left="640" w:right="84" w:firstLine="0"/>
        <w:jc w:val="left"/>
        <w:rPr>
          <w:rFonts w:ascii="宋体" w:hAnsi="宋体" w:cs="宋体" w:eastAsia="宋体" w:hint="default"/>
          <w:sz w:val="21"/>
          <w:szCs w:val="21"/>
        </w:rPr>
      </w:pPr>
      <w:r>
        <w:rPr>
          <w:rFonts w:ascii="宋体" w:hAnsi="宋体" w:cs="宋体" w:eastAsia="宋体" w:hint="default"/>
          <w:sz w:val="24"/>
          <w:szCs w:val="24"/>
        </w:rPr>
        <w:t>报告期期末，该项投资账面值以及收益情况如下：</w:t>
        <w:tab/>
      </w:r>
      <w:r>
        <w:rPr>
          <w:rFonts w:ascii="宋体" w:hAnsi="宋体" w:cs="宋体" w:eastAsia="宋体" w:hint="default"/>
          <w:sz w:val="21"/>
          <w:szCs w:val="21"/>
        </w:rPr>
        <w:t>（单位：千元）</w:t>
      </w:r>
    </w:p>
    <w:p>
      <w:pPr>
        <w:spacing w:line="240" w:lineRule="auto" w:before="12"/>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980"/>
        <w:gridCol w:w="870"/>
        <w:gridCol w:w="1595"/>
        <w:gridCol w:w="920"/>
        <w:gridCol w:w="899"/>
        <w:gridCol w:w="904"/>
        <w:gridCol w:w="925"/>
        <w:gridCol w:w="1116"/>
        <w:gridCol w:w="876"/>
      </w:tblGrid>
      <w:tr>
        <w:trPr>
          <w:trHeight w:val="730" w:hRule="exact"/>
        </w:trPr>
        <w:tc>
          <w:tcPr>
            <w:tcW w:w="980"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7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证券简称</w:t>
            </w:r>
          </w:p>
        </w:tc>
        <w:tc>
          <w:tcPr>
            <w:tcW w:w="1595" w:type="dxa"/>
            <w:tcBorders>
              <w:top w:val="single" w:sz="17"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初始投资金额</w:t>
            </w:r>
          </w:p>
          <w:p>
            <w:pPr>
              <w:pStyle w:val="TableParagraph"/>
              <w:spacing w:line="240" w:lineRule="auto"/>
              <w:ind w:left="73" w:right="71"/>
              <w:jc w:val="center"/>
              <w:rPr>
                <w:rFonts w:ascii="宋体" w:hAnsi="宋体" w:cs="宋体" w:eastAsia="宋体" w:hint="default"/>
                <w:sz w:val="18"/>
                <w:szCs w:val="18"/>
              </w:rPr>
            </w:pPr>
            <w:r>
              <w:rPr>
                <w:rFonts w:ascii="宋体" w:hAnsi="宋体" w:cs="宋体" w:eastAsia="宋体" w:hint="default"/>
                <w:sz w:val="18"/>
                <w:szCs w:val="18"/>
              </w:rPr>
              <w:t>（长期股权投资成 本）</w:t>
            </w:r>
          </w:p>
        </w:tc>
        <w:tc>
          <w:tcPr>
            <w:tcW w:w="92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94" w:right="95"/>
              <w:jc w:val="left"/>
              <w:rPr>
                <w:rFonts w:ascii="宋体" w:hAnsi="宋体" w:cs="宋体" w:eastAsia="宋体" w:hint="default"/>
                <w:sz w:val="18"/>
                <w:szCs w:val="18"/>
              </w:rPr>
            </w:pPr>
            <w:r>
              <w:rPr>
                <w:rFonts w:ascii="宋体" w:hAnsi="宋体" w:cs="宋体" w:eastAsia="宋体" w:hint="default"/>
                <w:sz w:val="18"/>
                <w:szCs w:val="18"/>
              </w:rPr>
              <w:t>占该公司 股权比例</w:t>
            </w:r>
          </w:p>
        </w:tc>
        <w:tc>
          <w:tcPr>
            <w:tcW w:w="89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354" w:right="83" w:hanging="270"/>
              <w:jc w:val="left"/>
              <w:rPr>
                <w:rFonts w:ascii="宋体" w:hAnsi="宋体" w:cs="宋体" w:eastAsia="宋体" w:hint="default"/>
                <w:sz w:val="18"/>
                <w:szCs w:val="18"/>
              </w:rPr>
            </w:pPr>
            <w:r>
              <w:rPr>
                <w:rFonts w:ascii="宋体" w:hAnsi="宋体" w:cs="宋体" w:eastAsia="宋体" w:hint="default"/>
                <w:sz w:val="18"/>
                <w:szCs w:val="18"/>
              </w:rPr>
              <w:t>期末账面 值</w:t>
            </w:r>
          </w:p>
        </w:tc>
        <w:tc>
          <w:tcPr>
            <w:tcW w:w="90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357" w:right="84" w:hanging="270"/>
              <w:jc w:val="left"/>
              <w:rPr>
                <w:rFonts w:ascii="宋体" w:hAnsi="宋体" w:cs="宋体" w:eastAsia="宋体" w:hint="default"/>
                <w:sz w:val="18"/>
                <w:szCs w:val="18"/>
              </w:rPr>
            </w:pPr>
            <w:r>
              <w:rPr>
                <w:rFonts w:ascii="宋体" w:hAnsi="宋体" w:cs="宋体" w:eastAsia="宋体" w:hint="default"/>
                <w:sz w:val="18"/>
                <w:szCs w:val="18"/>
              </w:rPr>
              <w:t>报告期损 益</w:t>
            </w:r>
          </w:p>
        </w:tc>
        <w:tc>
          <w:tcPr>
            <w:tcW w:w="925" w:type="dxa"/>
            <w:tcBorders>
              <w:top w:val="single" w:sz="17" w:space="0" w:color="000000"/>
              <w:left w:val="single" w:sz="4" w:space="0" w:color="000000"/>
              <w:bottom w:val="single" w:sz="4" w:space="0" w:color="000000"/>
              <w:right w:val="single" w:sz="4" w:space="0" w:color="000000"/>
            </w:tcBorders>
          </w:tcPr>
          <w:p>
            <w:pPr>
              <w:pStyle w:val="TableParagraph"/>
              <w:spacing w:line="207" w:lineRule="exact"/>
              <w:ind w:left="97" w:right="0"/>
              <w:jc w:val="left"/>
              <w:rPr>
                <w:rFonts w:ascii="宋体" w:hAnsi="宋体" w:cs="宋体" w:eastAsia="宋体" w:hint="default"/>
                <w:sz w:val="18"/>
                <w:szCs w:val="18"/>
              </w:rPr>
            </w:pPr>
            <w:r>
              <w:rPr>
                <w:rFonts w:ascii="宋体" w:hAnsi="宋体" w:cs="宋体" w:eastAsia="宋体" w:hint="default"/>
                <w:sz w:val="18"/>
                <w:szCs w:val="18"/>
              </w:rPr>
              <w:t>报告期所</w:t>
            </w:r>
          </w:p>
          <w:p>
            <w:pPr>
              <w:pStyle w:val="TableParagraph"/>
              <w:spacing w:line="240" w:lineRule="auto"/>
              <w:ind w:left="277" w:right="96" w:hanging="180"/>
              <w:jc w:val="left"/>
              <w:rPr>
                <w:rFonts w:ascii="宋体" w:hAnsi="宋体" w:cs="宋体" w:eastAsia="宋体" w:hint="default"/>
                <w:sz w:val="18"/>
                <w:szCs w:val="18"/>
              </w:rPr>
            </w:pPr>
            <w:r>
              <w:rPr>
                <w:rFonts w:ascii="宋体" w:hAnsi="宋体" w:cs="宋体" w:eastAsia="宋体" w:hint="default"/>
                <w:sz w:val="18"/>
                <w:szCs w:val="18"/>
              </w:rPr>
              <w:t>有者权益 变动</w:t>
            </w:r>
          </w:p>
        </w:tc>
        <w:tc>
          <w:tcPr>
            <w:tcW w:w="111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461" w:right="102" w:hanging="360"/>
              <w:jc w:val="left"/>
              <w:rPr>
                <w:rFonts w:ascii="宋体" w:hAnsi="宋体" w:cs="宋体" w:eastAsia="宋体" w:hint="default"/>
                <w:sz w:val="18"/>
                <w:szCs w:val="18"/>
              </w:rPr>
            </w:pPr>
            <w:r>
              <w:rPr>
                <w:rFonts w:ascii="宋体" w:hAnsi="宋体" w:cs="宋体" w:eastAsia="宋体" w:hint="default"/>
                <w:sz w:val="18"/>
                <w:szCs w:val="18"/>
              </w:rPr>
              <w:t>会计核算科 目</w:t>
            </w:r>
          </w:p>
        </w:tc>
        <w:tc>
          <w:tcPr>
            <w:tcW w:w="876"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479" w:hRule="exact"/>
        </w:trPr>
        <w:tc>
          <w:tcPr>
            <w:tcW w:w="980" w:type="dxa"/>
            <w:tcBorders>
              <w:top w:val="single" w:sz="4" w:space="0" w:color="000000"/>
              <w:left w:val="single" w:sz="17" w:space="0" w:color="000000"/>
              <w:bottom w:val="single" w:sz="4" w:space="0" w:color="000000"/>
              <w:right w:val="single" w:sz="4" w:space="0" w:color="000000"/>
            </w:tcBorders>
          </w:tcPr>
          <w:p>
            <w:pPr>
              <w:pStyle w:val="TableParagraph"/>
              <w:spacing w:line="193" w:lineRule="exact" w:before="11"/>
              <w:ind w:left="218" w:right="0"/>
              <w:jc w:val="left"/>
              <w:rPr>
                <w:rFonts w:ascii="Arial" w:hAnsi="Arial" w:cs="Arial" w:eastAsia="Arial" w:hint="default"/>
                <w:sz w:val="18"/>
                <w:szCs w:val="18"/>
              </w:rPr>
            </w:pPr>
            <w:r>
              <w:rPr>
                <w:rFonts w:ascii="Arial"/>
                <w:sz w:val="18"/>
              </w:rPr>
              <w:t>82020</w:t>
            </w:r>
          </w:p>
          <w:p>
            <w:pPr>
              <w:pStyle w:val="TableParagraph"/>
              <w:spacing w:line="235" w:lineRule="exact"/>
              <w:ind w:left="24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LAOX</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before="11"/>
              <w:ind w:left="467" w:right="0"/>
              <w:jc w:val="left"/>
              <w:rPr>
                <w:rFonts w:ascii="Arial" w:hAnsi="Arial" w:cs="Arial" w:eastAsia="Arial" w:hint="default"/>
                <w:sz w:val="18"/>
                <w:szCs w:val="18"/>
              </w:rPr>
            </w:pPr>
            <w:r>
              <w:rPr>
                <w:rFonts w:ascii="Arial"/>
                <w:sz w:val="18"/>
              </w:rPr>
              <w:t>237,908</w:t>
            </w:r>
          </w:p>
          <w:p>
            <w:pPr>
              <w:pStyle w:val="TableParagraph"/>
              <w:spacing w:line="235" w:lineRule="exact"/>
              <w:ind w:left="45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Arial" w:hAnsi="Arial" w:cs="Arial" w:eastAsia="Arial" w:hint="default"/>
                <w:sz w:val="18"/>
                <w:szCs w:val="18"/>
              </w:rPr>
            </w:pPr>
            <w:r>
              <w:rPr>
                <w:rFonts w:ascii="Arial"/>
                <w:spacing w:val="-1"/>
                <w:sz w:val="18"/>
              </w:rPr>
              <w:t>34.28%</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9"/>
              <w:jc w:val="right"/>
              <w:rPr>
                <w:rFonts w:ascii="Arial" w:hAnsi="Arial" w:cs="Arial" w:eastAsia="Arial" w:hint="default"/>
                <w:sz w:val="18"/>
                <w:szCs w:val="18"/>
              </w:rPr>
            </w:pPr>
            <w:r>
              <w:rPr>
                <w:rFonts w:ascii="Arial"/>
                <w:spacing w:val="-1"/>
                <w:sz w:val="18"/>
              </w:rPr>
              <w:t>251,903</w:t>
            </w:r>
            <w:r>
              <w:rPr>
                <w:rFonts w:ascii="Arial"/>
                <w:sz w:val="18"/>
              </w:rPr>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before="11"/>
              <w:ind w:left="172" w:right="0"/>
              <w:jc w:val="left"/>
              <w:rPr>
                <w:rFonts w:ascii="Arial" w:hAnsi="Arial" w:cs="Arial" w:eastAsia="Arial" w:hint="default"/>
                <w:sz w:val="18"/>
                <w:szCs w:val="18"/>
              </w:rPr>
            </w:pPr>
            <w:r>
              <w:rPr>
                <w:rFonts w:ascii="Arial"/>
                <w:sz w:val="18"/>
              </w:rPr>
              <w:t>10,625</w:t>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3</w:t>
            </w:r>
            <w:r>
              <w:rPr>
                <w:rFonts w:ascii="宋体" w:hAnsi="宋体" w:cs="宋体" w:eastAsia="宋体" w:hint="default"/>
                <w:sz w:val="18"/>
                <w:szCs w:val="18"/>
              </w:rPr>
              <w:t>）</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Arial" w:hAnsi="Arial" w:cs="Arial" w:eastAsia="Arial" w:hint="default"/>
                <w:sz w:val="18"/>
                <w:szCs w:val="18"/>
              </w:rPr>
            </w:pPr>
            <w:r>
              <w:rPr>
                <w:rFonts w:ascii="Arial"/>
                <w:sz w:val="18"/>
              </w:rPr>
              <w:t>10,625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长期股权投</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资</w:t>
            </w:r>
          </w:p>
        </w:tc>
        <w:tc>
          <w:tcPr>
            <w:tcW w:w="87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left="14" w:right="0"/>
              <w:jc w:val="center"/>
              <w:rPr>
                <w:rFonts w:ascii="宋体" w:hAnsi="宋体" w:cs="宋体" w:eastAsia="宋体" w:hint="default"/>
                <w:sz w:val="18"/>
                <w:szCs w:val="18"/>
              </w:rPr>
            </w:pPr>
            <w:r>
              <w:rPr>
                <w:rFonts w:ascii="宋体" w:hAnsi="宋体" w:cs="宋体" w:eastAsia="宋体" w:hint="default"/>
                <w:sz w:val="18"/>
                <w:szCs w:val="18"/>
              </w:rPr>
              <w:t>认购</w:t>
            </w:r>
          </w:p>
        </w:tc>
      </w:tr>
      <w:tr>
        <w:trPr>
          <w:trHeight w:val="470" w:hRule="exact"/>
        </w:trPr>
        <w:tc>
          <w:tcPr>
            <w:tcW w:w="1850" w:type="dxa"/>
            <w:gridSpan w:val="2"/>
            <w:tcBorders>
              <w:top w:val="single" w:sz="4" w:space="0" w:color="000000"/>
              <w:left w:val="single" w:sz="17" w:space="0" w:color="000000"/>
              <w:bottom w:val="single" w:sz="17" w:space="0" w:color="000000"/>
              <w:right w:val="single" w:sz="4" w:space="0" w:color="000000"/>
            </w:tcBorders>
          </w:tcPr>
          <w:p>
            <w:pPr>
              <w:pStyle w:val="TableParagraph"/>
              <w:spacing w:line="240" w:lineRule="auto" w:before="74"/>
              <w:ind w:right="14"/>
              <w:jc w:val="center"/>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5"/>
              <w:ind w:left="468" w:right="0"/>
              <w:jc w:val="left"/>
              <w:rPr>
                <w:rFonts w:ascii="Arial" w:hAnsi="Arial" w:cs="Arial" w:eastAsia="Arial" w:hint="default"/>
                <w:sz w:val="18"/>
                <w:szCs w:val="18"/>
              </w:rPr>
            </w:pPr>
            <w:r>
              <w:rPr>
                <w:rFonts w:ascii="Arial"/>
                <w:sz w:val="18"/>
              </w:rPr>
              <w:t>237,908</w:t>
            </w:r>
          </w:p>
        </w:tc>
        <w:tc>
          <w:tcPr>
            <w:tcW w:w="9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5"/>
              <w:ind w:right="20"/>
              <w:jc w:val="right"/>
              <w:rPr>
                <w:rFonts w:ascii="Arial" w:hAnsi="Arial" w:cs="Arial" w:eastAsia="Arial" w:hint="default"/>
                <w:sz w:val="18"/>
                <w:szCs w:val="18"/>
              </w:rPr>
            </w:pPr>
            <w:r>
              <w:rPr>
                <w:rFonts w:ascii="Arial"/>
                <w:spacing w:val="-1"/>
                <w:sz w:val="18"/>
              </w:rPr>
              <w:t>34.28%</w:t>
            </w:r>
          </w:p>
        </w:tc>
        <w:tc>
          <w:tcPr>
            <w:tcW w:w="89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5"/>
              <w:ind w:right="118"/>
              <w:jc w:val="right"/>
              <w:rPr>
                <w:rFonts w:ascii="Arial" w:hAnsi="Arial" w:cs="Arial" w:eastAsia="Arial" w:hint="default"/>
                <w:sz w:val="18"/>
                <w:szCs w:val="18"/>
              </w:rPr>
            </w:pPr>
            <w:r>
              <w:rPr>
                <w:rFonts w:ascii="Arial"/>
                <w:spacing w:val="-1"/>
                <w:sz w:val="18"/>
              </w:rPr>
              <w:t>251,903</w:t>
            </w:r>
          </w:p>
        </w:tc>
        <w:tc>
          <w:tcPr>
            <w:tcW w:w="90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5"/>
              <w:ind w:left="172" w:right="0"/>
              <w:jc w:val="left"/>
              <w:rPr>
                <w:rFonts w:ascii="Arial" w:hAnsi="Arial" w:cs="Arial" w:eastAsia="Arial" w:hint="default"/>
                <w:sz w:val="18"/>
                <w:szCs w:val="18"/>
              </w:rPr>
            </w:pPr>
            <w:r>
              <w:rPr>
                <w:rFonts w:ascii="Arial"/>
                <w:sz w:val="18"/>
              </w:rPr>
              <w:t>10,625</w:t>
            </w:r>
          </w:p>
        </w:tc>
        <w:tc>
          <w:tcPr>
            <w:tcW w:w="92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5"/>
              <w:ind w:right="0"/>
              <w:jc w:val="center"/>
              <w:rPr>
                <w:rFonts w:ascii="Arial" w:hAnsi="Arial" w:cs="Arial" w:eastAsia="Arial" w:hint="default"/>
                <w:sz w:val="18"/>
                <w:szCs w:val="18"/>
              </w:rPr>
            </w:pPr>
            <w:r>
              <w:rPr>
                <w:rFonts w:ascii="Arial"/>
                <w:sz w:val="18"/>
              </w:rPr>
              <w:t>10,625</w:t>
            </w:r>
          </w:p>
        </w:tc>
        <w:tc>
          <w:tcPr>
            <w:tcW w:w="1116" w:type="dxa"/>
            <w:tcBorders>
              <w:top w:val="single" w:sz="4" w:space="0" w:color="000000"/>
              <w:left w:val="single" w:sz="4" w:space="0" w:color="000000"/>
              <w:bottom w:val="single" w:sz="17" w:space="0" w:color="000000"/>
              <w:right w:val="single" w:sz="4" w:space="0" w:color="000000"/>
            </w:tcBorders>
          </w:tcPr>
          <w:p>
            <w:pPr/>
          </w:p>
        </w:tc>
        <w:tc>
          <w:tcPr>
            <w:tcW w:w="876" w:type="dxa"/>
            <w:tcBorders>
              <w:top w:val="single" w:sz="4" w:space="0" w:color="000000"/>
              <w:left w:val="single" w:sz="4" w:space="0" w:color="000000"/>
              <w:bottom w:val="single" w:sz="17" w:space="0" w:color="000000"/>
              <w:right w:val="single" w:sz="17" w:space="0" w:color="000000"/>
            </w:tcBorders>
          </w:tcPr>
          <w:p>
            <w:pPr/>
          </w:p>
        </w:tc>
      </w:tr>
    </w:tbl>
    <w:p>
      <w:pPr>
        <w:spacing w:before="75"/>
        <w:ind w:left="160" w:right="0" w:firstLine="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Arial" w:hAnsi="Arial" w:cs="Arial" w:eastAsia="Arial" w:hint="default"/>
          <w:spacing w:val="-1"/>
          <w:w w:val="99"/>
          <w:sz w:val="21"/>
          <w:szCs w:val="21"/>
        </w:rPr>
        <w:t>1</w:t>
      </w:r>
      <w:r>
        <w:rPr>
          <w:rFonts w:ascii="宋体" w:hAnsi="宋体" w:cs="宋体" w:eastAsia="宋体" w:hint="default"/>
          <w:sz w:val="21"/>
          <w:szCs w:val="21"/>
        </w:rPr>
        <w:t>）</w:t>
      </w:r>
      <w:r>
        <w:rPr>
          <w:rFonts w:ascii="Arial" w:hAnsi="Arial" w:cs="Arial" w:eastAsia="Arial" w:hint="default"/>
          <w:spacing w:val="-1"/>
          <w:sz w:val="21"/>
          <w:szCs w:val="21"/>
        </w:rPr>
        <w:t>LAO</w:t>
      </w:r>
      <w:r>
        <w:rPr>
          <w:rFonts w:ascii="Arial" w:hAnsi="Arial" w:cs="Arial" w:eastAsia="Arial" w:hint="default"/>
          <w:sz w:val="21"/>
          <w:szCs w:val="21"/>
        </w:rPr>
        <w:t>X</w:t>
      </w:r>
      <w:r>
        <w:rPr>
          <w:rFonts w:ascii="Arial" w:hAnsi="Arial" w:cs="Arial" w:eastAsia="Arial" w:hint="default"/>
          <w:spacing w:val="-6"/>
          <w:sz w:val="21"/>
          <w:szCs w:val="21"/>
        </w:rPr>
        <w:t> </w:t>
      </w:r>
      <w:r>
        <w:rPr>
          <w:rFonts w:ascii="宋体" w:hAnsi="宋体" w:cs="宋体" w:eastAsia="宋体" w:hint="default"/>
          <w:sz w:val="21"/>
          <w:szCs w:val="21"/>
        </w:rPr>
        <w:t>为东京证券交易所二部上市公司，证券代码</w:t>
      </w:r>
      <w:r>
        <w:rPr>
          <w:rFonts w:ascii="宋体" w:hAnsi="宋体" w:cs="宋体" w:eastAsia="宋体" w:hint="default"/>
          <w:spacing w:val="-53"/>
          <w:sz w:val="21"/>
          <w:szCs w:val="21"/>
        </w:rPr>
        <w:t> </w:t>
      </w:r>
      <w:r>
        <w:rPr>
          <w:rFonts w:ascii="Arial" w:hAnsi="Arial" w:cs="Arial" w:eastAsia="Arial" w:hint="default"/>
          <w:spacing w:val="-1"/>
          <w:w w:val="99"/>
          <w:sz w:val="21"/>
          <w:szCs w:val="21"/>
        </w:rPr>
        <w:t>82020</w:t>
      </w:r>
      <w:r>
        <w:rPr>
          <w:rFonts w:ascii="宋体" w:hAnsi="宋体" w:cs="宋体" w:eastAsia="宋体" w:hint="default"/>
          <w:sz w:val="21"/>
          <w:szCs w:val="21"/>
        </w:rPr>
        <w:t>。</w:t>
      </w:r>
    </w:p>
    <w:p>
      <w:pPr>
        <w:spacing w:before="110"/>
        <w:ind w:left="466" w:right="165"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2009 </w:t>
      </w:r>
      <w:r>
        <w:rPr>
          <w:rFonts w:ascii="宋体" w:hAnsi="宋体" w:cs="宋体" w:eastAsia="宋体" w:hint="default"/>
          <w:sz w:val="21"/>
          <w:szCs w:val="21"/>
        </w:rPr>
        <w:t>年 </w:t>
      </w:r>
      <w:r>
        <w:rPr>
          <w:rFonts w:ascii="Arial" w:hAnsi="Arial" w:cs="Arial" w:eastAsia="Arial" w:hint="default"/>
          <w:sz w:val="21"/>
          <w:szCs w:val="21"/>
        </w:rPr>
        <w:t>8 </w:t>
      </w:r>
      <w:r>
        <w:rPr>
          <w:rFonts w:ascii="宋体" w:hAnsi="宋体" w:cs="宋体" w:eastAsia="宋体" w:hint="default"/>
          <w:sz w:val="21"/>
          <w:szCs w:val="21"/>
        </w:rPr>
        <w:t>月 </w:t>
      </w:r>
      <w:r>
        <w:rPr>
          <w:rFonts w:ascii="Arial" w:hAnsi="Arial" w:cs="Arial" w:eastAsia="Arial" w:hint="default"/>
          <w:sz w:val="21"/>
          <w:szCs w:val="21"/>
        </w:rPr>
        <w:t>3 </w:t>
      </w:r>
      <w:r>
        <w:rPr>
          <w:rFonts w:ascii="宋体" w:hAnsi="宋体" w:cs="宋体" w:eastAsia="宋体" w:hint="default"/>
          <w:sz w:val="21"/>
          <w:szCs w:val="21"/>
        </w:rPr>
        <w:t>日，公司认购 </w:t>
      </w:r>
      <w:r>
        <w:rPr>
          <w:rFonts w:ascii="Arial" w:hAnsi="Arial" w:cs="Arial" w:eastAsia="Arial" w:hint="default"/>
          <w:sz w:val="21"/>
          <w:szCs w:val="21"/>
        </w:rPr>
        <w:t>LAOX </w:t>
      </w:r>
      <w:r>
        <w:rPr>
          <w:rFonts w:ascii="宋体" w:hAnsi="宋体" w:cs="宋体" w:eastAsia="宋体" w:hint="default"/>
          <w:sz w:val="21"/>
          <w:szCs w:val="21"/>
        </w:rPr>
        <w:t>株式会社 </w:t>
      </w:r>
      <w:r>
        <w:rPr>
          <w:rFonts w:ascii="Arial" w:hAnsi="Arial" w:cs="Arial" w:eastAsia="Arial" w:hint="default"/>
          <w:sz w:val="21"/>
          <w:szCs w:val="21"/>
        </w:rPr>
        <w:t>6,666.67 </w:t>
      </w:r>
      <w:r>
        <w:rPr>
          <w:rFonts w:ascii="宋体" w:hAnsi="宋体" w:cs="宋体" w:eastAsia="宋体" w:hint="default"/>
          <w:sz w:val="21"/>
          <w:szCs w:val="21"/>
        </w:rPr>
        <w:t>万股股份并获得 </w:t>
      </w:r>
      <w:r>
        <w:rPr>
          <w:rFonts w:ascii="Arial" w:hAnsi="Arial" w:cs="Arial" w:eastAsia="Arial" w:hint="default"/>
          <w:sz w:val="21"/>
          <w:szCs w:val="21"/>
        </w:rPr>
        <w:t>1,066</w:t>
      </w:r>
      <w:r>
        <w:rPr>
          <w:rFonts w:ascii="Arial" w:hAnsi="Arial" w:cs="Arial" w:eastAsia="Arial" w:hint="default"/>
          <w:spacing w:val="57"/>
          <w:sz w:val="21"/>
          <w:szCs w:val="21"/>
        </w:rPr>
        <w:t> </w:t>
      </w:r>
      <w:r>
        <w:rPr>
          <w:rFonts w:ascii="宋体" w:hAnsi="宋体" w:cs="宋体" w:eastAsia="宋体" w:hint="default"/>
          <w:sz w:val="21"/>
          <w:szCs w:val="21"/>
        </w:rPr>
        <w:t>万份新</w:t>
      </w:r>
    </w:p>
    <w:p>
      <w:pPr>
        <w:spacing w:before="111"/>
        <w:ind w:left="160" w:right="0" w:firstLine="0"/>
        <w:jc w:val="both"/>
        <w:rPr>
          <w:rFonts w:ascii="宋体" w:hAnsi="宋体" w:cs="宋体" w:eastAsia="宋体" w:hint="default"/>
          <w:sz w:val="21"/>
          <w:szCs w:val="21"/>
        </w:rPr>
      </w:pPr>
      <w:r>
        <w:rPr>
          <w:rFonts w:ascii="宋体" w:hAnsi="宋体" w:cs="宋体" w:eastAsia="宋体" w:hint="default"/>
          <w:sz w:val="21"/>
          <w:szCs w:val="21"/>
        </w:rPr>
        <w:t>股预约权，共计支付</w:t>
      </w:r>
      <w:r>
        <w:rPr>
          <w:rFonts w:ascii="宋体" w:hAnsi="宋体" w:cs="宋体" w:eastAsia="宋体" w:hint="default"/>
          <w:spacing w:val="-39"/>
          <w:sz w:val="21"/>
          <w:szCs w:val="21"/>
        </w:rPr>
        <w:t> </w:t>
      </w:r>
      <w:r>
        <w:rPr>
          <w:rFonts w:ascii="Arial" w:hAnsi="Arial" w:cs="Arial" w:eastAsia="Arial" w:hint="default"/>
          <w:w w:val="99"/>
          <w:sz w:val="21"/>
          <w:szCs w:val="21"/>
        </w:rPr>
        <w:t>8</w:t>
      </w:r>
      <w:r>
        <w:rPr>
          <w:rFonts w:ascii="Arial" w:hAnsi="Arial" w:cs="Arial" w:eastAsia="Arial" w:hint="default"/>
          <w:sz w:val="21"/>
          <w:szCs w:val="21"/>
        </w:rPr>
        <w:t> </w:t>
      </w:r>
      <w:r>
        <w:rPr>
          <w:rFonts w:ascii="Arial" w:hAnsi="Arial" w:cs="Arial" w:eastAsia="Arial" w:hint="default"/>
          <w:spacing w:val="-12"/>
          <w:sz w:val="21"/>
          <w:szCs w:val="21"/>
        </w:rPr>
        <w:t> </w:t>
      </w:r>
      <w:r>
        <w:rPr>
          <w:rFonts w:ascii="宋体" w:hAnsi="宋体" w:cs="宋体" w:eastAsia="宋体" w:hint="default"/>
          <w:sz w:val="21"/>
          <w:szCs w:val="21"/>
        </w:rPr>
        <w:t>亿日元（约人民币</w:t>
      </w:r>
      <w:r>
        <w:rPr>
          <w:rFonts w:ascii="宋体" w:hAnsi="宋体" w:cs="宋体" w:eastAsia="宋体" w:hint="default"/>
          <w:spacing w:val="-39"/>
          <w:sz w:val="21"/>
          <w:szCs w:val="21"/>
        </w:rPr>
        <w:t> </w:t>
      </w:r>
      <w:r>
        <w:rPr>
          <w:rFonts w:ascii="Arial" w:hAnsi="Arial" w:cs="Arial" w:eastAsia="Arial" w:hint="default"/>
          <w:spacing w:val="-1"/>
          <w:w w:val="99"/>
          <w:sz w:val="21"/>
          <w:szCs w:val="21"/>
        </w:rPr>
        <w:t>5,75</w:t>
      </w:r>
      <w:r>
        <w:rPr>
          <w:rFonts w:ascii="Arial" w:hAnsi="Arial" w:cs="Arial" w:eastAsia="Arial" w:hint="default"/>
          <w:w w:val="99"/>
          <w:sz w:val="21"/>
          <w:szCs w:val="21"/>
        </w:rPr>
        <w:t>5</w:t>
      </w:r>
      <w:r>
        <w:rPr>
          <w:rFonts w:ascii="Arial" w:hAnsi="Arial" w:cs="Arial" w:eastAsia="Arial" w:hint="default"/>
          <w:spacing w:val="-1"/>
          <w:w w:val="100"/>
          <w:sz w:val="21"/>
          <w:szCs w:val="21"/>
        </w:rPr>
        <w:t>.</w:t>
      </w:r>
      <w:r>
        <w:rPr>
          <w:rFonts w:ascii="Arial" w:hAnsi="Arial" w:cs="Arial" w:eastAsia="Arial" w:hint="default"/>
          <w:w w:val="100"/>
          <w:sz w:val="21"/>
          <w:szCs w:val="21"/>
        </w:rPr>
        <w:t>4 </w:t>
      </w:r>
      <w:r>
        <w:rPr>
          <w:rFonts w:ascii="Arial" w:hAnsi="Arial" w:cs="Arial" w:eastAsia="Arial" w:hint="default"/>
          <w:spacing w:val="-11"/>
          <w:w w:val="100"/>
          <w:sz w:val="21"/>
          <w:szCs w:val="21"/>
        </w:rPr>
        <w:t> </w:t>
      </w:r>
      <w:r>
        <w:rPr>
          <w:rFonts w:ascii="宋体" w:hAnsi="宋体" w:cs="宋体" w:eastAsia="宋体" w:hint="default"/>
          <w:w w:val="100"/>
          <w:sz w:val="21"/>
          <w:szCs w:val="21"/>
        </w:rPr>
        <w:t>万元</w:t>
      </w:r>
      <w:r>
        <w:rPr>
          <w:rFonts w:ascii="宋体" w:hAnsi="宋体" w:cs="宋体" w:eastAsia="宋体" w:hint="default"/>
          <w:spacing w:val="-105"/>
          <w:w w:val="100"/>
          <w:sz w:val="21"/>
          <w:szCs w:val="21"/>
        </w:rPr>
        <w:t>）</w:t>
      </w:r>
      <w:r>
        <w:rPr>
          <w:rFonts w:ascii="宋体" w:hAnsi="宋体" w:cs="宋体" w:eastAsia="宋体" w:hint="default"/>
          <w:w w:val="100"/>
          <w:sz w:val="21"/>
          <w:szCs w:val="21"/>
        </w:rPr>
        <w:t>，</w:t>
      </w:r>
      <w:r>
        <w:rPr>
          <w:rFonts w:ascii="宋体" w:hAnsi="宋体" w:cs="宋体" w:eastAsia="宋体" w:hint="default"/>
          <w:spacing w:val="-2"/>
          <w:w w:val="100"/>
          <w:sz w:val="21"/>
          <w:szCs w:val="21"/>
        </w:rPr>
        <w:t>其</w:t>
      </w:r>
      <w:r>
        <w:rPr>
          <w:rFonts w:ascii="宋体" w:hAnsi="宋体" w:cs="宋体" w:eastAsia="宋体" w:hint="default"/>
          <w:w w:val="100"/>
          <w:sz w:val="21"/>
          <w:szCs w:val="21"/>
        </w:rPr>
        <w:t>中对应的投资成本为</w:t>
      </w:r>
      <w:r>
        <w:rPr>
          <w:rFonts w:ascii="宋体" w:hAnsi="宋体" w:cs="宋体" w:eastAsia="宋体" w:hint="default"/>
          <w:spacing w:val="-39"/>
          <w:w w:val="100"/>
          <w:sz w:val="21"/>
          <w:szCs w:val="21"/>
        </w:rPr>
        <w:t> </w:t>
      </w:r>
      <w:r>
        <w:rPr>
          <w:rFonts w:ascii="Arial" w:hAnsi="Arial" w:cs="Arial" w:eastAsia="Arial" w:hint="default"/>
          <w:spacing w:val="-1"/>
          <w:w w:val="99"/>
          <w:sz w:val="21"/>
          <w:szCs w:val="21"/>
        </w:rPr>
        <w:t>5,</w:t>
      </w:r>
      <w:r>
        <w:rPr>
          <w:rFonts w:ascii="Arial" w:hAnsi="Arial" w:cs="Arial" w:eastAsia="Arial" w:hint="default"/>
          <w:w w:val="99"/>
          <w:sz w:val="21"/>
          <w:szCs w:val="21"/>
        </w:rPr>
        <w:t>0</w:t>
      </w:r>
      <w:r>
        <w:rPr>
          <w:rFonts w:ascii="Arial" w:hAnsi="Arial" w:cs="Arial" w:eastAsia="Arial" w:hint="default"/>
          <w:spacing w:val="-1"/>
          <w:w w:val="99"/>
          <w:sz w:val="21"/>
          <w:szCs w:val="21"/>
        </w:rPr>
        <w:t>17.</w:t>
      </w:r>
      <w:r>
        <w:rPr>
          <w:rFonts w:ascii="Arial" w:hAnsi="Arial" w:cs="Arial" w:eastAsia="Arial" w:hint="default"/>
          <w:w w:val="99"/>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万元；</w:t>
      </w:r>
    </w:p>
    <w:p>
      <w:pPr>
        <w:spacing w:before="110"/>
        <w:ind w:left="160" w:right="0" w:firstLine="0"/>
        <w:jc w:val="both"/>
        <w:rPr>
          <w:rFonts w:ascii="宋体" w:hAnsi="宋体" w:cs="宋体" w:eastAsia="宋体" w:hint="default"/>
          <w:sz w:val="21"/>
          <w:szCs w:val="21"/>
        </w:rPr>
      </w:pPr>
      <w:r>
        <w:rPr>
          <w:rFonts w:ascii="Arial" w:hAnsi="Arial" w:cs="Arial" w:eastAsia="Arial" w:hint="default"/>
          <w:sz w:val="21"/>
          <w:szCs w:val="21"/>
        </w:rPr>
        <w:t>2010 </w:t>
      </w:r>
      <w:r>
        <w:rPr>
          <w:rFonts w:ascii="宋体" w:hAnsi="宋体" w:cs="宋体" w:eastAsia="宋体" w:hint="default"/>
          <w:sz w:val="21"/>
          <w:szCs w:val="21"/>
        </w:rPr>
        <w:t>年 </w:t>
      </w:r>
      <w:r>
        <w:rPr>
          <w:rFonts w:ascii="Arial" w:hAnsi="Arial" w:cs="Arial" w:eastAsia="Arial" w:hint="default"/>
          <w:sz w:val="21"/>
          <w:szCs w:val="21"/>
        </w:rPr>
        <w:t>6 </w:t>
      </w:r>
      <w:r>
        <w:rPr>
          <w:rFonts w:ascii="宋体" w:hAnsi="宋体" w:cs="宋体" w:eastAsia="宋体" w:hint="default"/>
          <w:sz w:val="21"/>
          <w:szCs w:val="21"/>
        </w:rPr>
        <w:t>日 </w:t>
      </w:r>
      <w:r>
        <w:rPr>
          <w:rFonts w:ascii="Arial" w:hAnsi="Arial" w:cs="Arial" w:eastAsia="Arial" w:hint="default"/>
          <w:sz w:val="21"/>
          <w:szCs w:val="21"/>
        </w:rPr>
        <w:t>4 </w:t>
      </w:r>
      <w:r>
        <w:rPr>
          <w:rFonts w:ascii="宋体" w:hAnsi="宋体" w:cs="宋体" w:eastAsia="宋体" w:hint="default"/>
          <w:sz w:val="21"/>
          <w:szCs w:val="21"/>
        </w:rPr>
        <w:t>日，公司行使全部新股预约权，即出资 </w:t>
      </w:r>
      <w:r>
        <w:rPr>
          <w:rFonts w:ascii="Arial" w:hAnsi="Arial" w:cs="Arial" w:eastAsia="Arial" w:hint="default"/>
          <w:sz w:val="21"/>
          <w:szCs w:val="21"/>
        </w:rPr>
        <w:t>21,320 </w:t>
      </w:r>
      <w:r>
        <w:rPr>
          <w:rFonts w:ascii="宋体" w:hAnsi="宋体" w:cs="宋体" w:eastAsia="宋体" w:hint="default"/>
          <w:sz w:val="21"/>
          <w:szCs w:val="21"/>
        </w:rPr>
        <w:t>万日元（约 </w:t>
      </w:r>
      <w:r>
        <w:rPr>
          <w:rFonts w:ascii="Arial" w:hAnsi="Arial" w:cs="Arial" w:eastAsia="Arial" w:hint="default"/>
          <w:sz w:val="21"/>
          <w:szCs w:val="21"/>
        </w:rPr>
        <w:t>1,569.6</w:t>
      </w:r>
      <w:r>
        <w:rPr>
          <w:rFonts w:ascii="Arial" w:hAnsi="Arial" w:cs="Arial" w:eastAsia="Arial" w:hint="default"/>
          <w:spacing w:val="4"/>
          <w:sz w:val="21"/>
          <w:szCs w:val="21"/>
        </w:rPr>
        <w:t> </w:t>
      </w:r>
      <w:r>
        <w:rPr>
          <w:rFonts w:ascii="宋体" w:hAnsi="宋体" w:cs="宋体" w:eastAsia="宋体" w:hint="default"/>
          <w:sz w:val="21"/>
          <w:szCs w:val="21"/>
        </w:rPr>
        <w:t>万元人名币）</w:t>
      </w:r>
    </w:p>
    <w:p>
      <w:pPr>
        <w:spacing w:line="331" w:lineRule="auto" w:before="110"/>
        <w:ind w:left="159" w:right="172" w:firstLine="0"/>
        <w:jc w:val="both"/>
        <w:rPr>
          <w:rFonts w:ascii="宋体" w:hAnsi="宋体" w:cs="宋体" w:eastAsia="宋体" w:hint="default"/>
          <w:sz w:val="21"/>
          <w:szCs w:val="21"/>
        </w:rPr>
      </w:pPr>
      <w:r>
        <w:rPr>
          <w:rFonts w:ascii="宋体" w:hAnsi="宋体" w:cs="宋体" w:eastAsia="宋体" w:hint="default"/>
          <w:sz w:val="21"/>
          <w:szCs w:val="21"/>
        </w:rPr>
        <w:t>认购</w:t>
      </w:r>
      <w:r>
        <w:rPr>
          <w:rFonts w:ascii="宋体" w:hAnsi="宋体" w:cs="宋体" w:eastAsia="宋体" w:hint="default"/>
          <w:spacing w:val="-47"/>
          <w:sz w:val="21"/>
          <w:szCs w:val="21"/>
        </w:rPr>
        <w:t> </w:t>
      </w:r>
      <w:r>
        <w:rPr>
          <w:rFonts w:ascii="Arial" w:hAnsi="Arial" w:cs="Arial" w:eastAsia="Arial" w:hint="default"/>
          <w:sz w:val="21"/>
          <w:szCs w:val="21"/>
        </w:rPr>
        <w:t>1,066</w:t>
      </w:r>
      <w:r>
        <w:rPr>
          <w:rFonts w:ascii="Arial" w:hAnsi="Arial" w:cs="Arial" w:eastAsia="Arial" w:hint="default"/>
          <w:spacing w:val="-1"/>
          <w:sz w:val="21"/>
          <w:szCs w:val="21"/>
        </w:rPr>
        <w:t> </w:t>
      </w:r>
      <w:r>
        <w:rPr>
          <w:rFonts w:ascii="宋体" w:hAnsi="宋体" w:cs="宋体" w:eastAsia="宋体" w:hint="default"/>
          <w:sz w:val="21"/>
          <w:szCs w:val="21"/>
        </w:rPr>
        <w:t>万股新股，连同交易性金融资产于行权日之余额人民币</w:t>
      </w:r>
      <w:r>
        <w:rPr>
          <w:rFonts w:ascii="宋体" w:hAnsi="宋体" w:cs="宋体" w:eastAsia="宋体" w:hint="default"/>
          <w:spacing w:val="-47"/>
          <w:sz w:val="21"/>
          <w:szCs w:val="21"/>
        </w:rPr>
        <w:t> </w:t>
      </w:r>
      <w:r>
        <w:rPr>
          <w:rFonts w:ascii="Arial" w:hAnsi="Arial" w:cs="Arial" w:eastAsia="Arial" w:hint="default"/>
          <w:sz w:val="21"/>
          <w:szCs w:val="21"/>
        </w:rPr>
        <w:t>1,303.6</w:t>
      </w:r>
      <w:r>
        <w:rPr>
          <w:rFonts w:ascii="Arial" w:hAnsi="Arial" w:cs="Arial" w:eastAsia="Arial" w:hint="default"/>
          <w:spacing w:val="-1"/>
          <w:sz w:val="21"/>
          <w:szCs w:val="21"/>
        </w:rPr>
        <w:t> </w:t>
      </w:r>
      <w:r>
        <w:rPr>
          <w:rFonts w:ascii="宋体" w:hAnsi="宋体" w:cs="宋体" w:eastAsia="宋体" w:hint="default"/>
          <w:sz w:val="21"/>
          <w:szCs w:val="21"/>
        </w:rPr>
        <w:t>万元，构成本次增加投 资之投资成本共计人民币 </w:t>
      </w:r>
      <w:r>
        <w:rPr>
          <w:rFonts w:ascii="Arial" w:hAnsi="Arial" w:cs="Arial" w:eastAsia="Arial" w:hint="default"/>
          <w:sz w:val="21"/>
          <w:szCs w:val="21"/>
        </w:rPr>
        <w:t>2,873.22 </w:t>
      </w:r>
      <w:r>
        <w:rPr>
          <w:rFonts w:ascii="宋体" w:hAnsi="宋体" w:cs="宋体" w:eastAsia="宋体" w:hint="default"/>
          <w:sz w:val="21"/>
          <w:szCs w:val="21"/>
        </w:rPr>
        <w:t>万元。</w:t>
      </w:r>
      <w:r>
        <w:rPr>
          <w:rFonts w:ascii="Arial" w:hAnsi="Arial" w:cs="Arial" w:eastAsia="Arial" w:hint="default"/>
          <w:sz w:val="21"/>
          <w:szCs w:val="21"/>
        </w:rPr>
        <w:t>2010 </w:t>
      </w:r>
      <w:r>
        <w:rPr>
          <w:rFonts w:ascii="宋体" w:hAnsi="宋体" w:cs="宋体" w:eastAsia="宋体" w:hint="default"/>
          <w:sz w:val="21"/>
          <w:szCs w:val="21"/>
        </w:rPr>
        <w:t>年 </w:t>
      </w:r>
      <w:r>
        <w:rPr>
          <w:rFonts w:ascii="Arial" w:hAnsi="Arial" w:cs="Arial" w:eastAsia="Arial" w:hint="default"/>
          <w:sz w:val="21"/>
          <w:szCs w:val="21"/>
        </w:rPr>
        <w:t>8 </w:t>
      </w:r>
      <w:r>
        <w:rPr>
          <w:rFonts w:ascii="宋体" w:hAnsi="宋体" w:cs="宋体" w:eastAsia="宋体" w:hint="default"/>
          <w:sz w:val="21"/>
          <w:szCs w:val="21"/>
        </w:rPr>
        <w:t>月 </w:t>
      </w:r>
      <w:r>
        <w:rPr>
          <w:rFonts w:ascii="Arial" w:hAnsi="Arial" w:cs="Arial" w:eastAsia="Arial" w:hint="default"/>
          <w:sz w:val="21"/>
          <w:szCs w:val="21"/>
        </w:rPr>
        <w:t>16 </w:t>
      </w:r>
      <w:r>
        <w:rPr>
          <w:rFonts w:ascii="宋体" w:hAnsi="宋体" w:cs="宋体" w:eastAsia="宋体" w:hint="default"/>
          <w:sz w:val="21"/>
          <w:szCs w:val="21"/>
        </w:rPr>
        <w:t>日，苏宁电器认购 </w:t>
      </w:r>
      <w:r>
        <w:rPr>
          <w:rFonts w:ascii="Arial" w:hAnsi="Arial" w:cs="Arial" w:eastAsia="Arial" w:hint="default"/>
          <w:sz w:val="21"/>
          <w:szCs w:val="21"/>
        </w:rPr>
        <w:t>LAOX</w:t>
      </w:r>
      <w:r>
        <w:rPr>
          <w:rFonts w:ascii="Arial" w:hAnsi="Arial" w:cs="Arial" w:eastAsia="Arial" w:hint="default"/>
          <w:spacing w:val="-10"/>
          <w:sz w:val="21"/>
          <w:szCs w:val="21"/>
        </w:rPr>
        <w:t> </w:t>
      </w:r>
      <w:r>
        <w:rPr>
          <w:rFonts w:ascii="宋体" w:hAnsi="宋体" w:cs="宋体" w:eastAsia="宋体" w:hint="default"/>
          <w:sz w:val="21"/>
          <w:szCs w:val="21"/>
        </w:rPr>
        <w:t>株式会社 </w:t>
      </w:r>
      <w:r>
        <w:rPr>
          <w:rFonts w:ascii="Arial" w:hAnsi="Arial" w:cs="Arial" w:eastAsia="Arial" w:hint="default"/>
          <w:spacing w:val="-1"/>
          <w:w w:val="99"/>
          <w:sz w:val="21"/>
          <w:szCs w:val="21"/>
        </w:rPr>
        <w:t>2,127.66</w:t>
      </w:r>
      <w:r>
        <w:rPr>
          <w:rFonts w:ascii="Arial" w:hAnsi="Arial" w:cs="Arial" w:eastAsia="Arial" w:hint="default"/>
          <w:w w:val="99"/>
          <w:sz w:val="21"/>
          <w:szCs w:val="21"/>
        </w:rPr>
        <w:t> </w:t>
      </w:r>
      <w:r>
        <w:rPr>
          <w:rFonts w:ascii="宋体" w:hAnsi="宋体" w:cs="宋体" w:eastAsia="宋体" w:hint="default"/>
          <w:spacing w:val="-5"/>
          <w:sz w:val="21"/>
          <w:szCs w:val="21"/>
        </w:rPr>
        <w:t>万股，认购价格为</w:t>
      </w:r>
      <w:r>
        <w:rPr>
          <w:rFonts w:ascii="宋体" w:hAnsi="宋体" w:cs="宋体" w:eastAsia="宋体" w:hint="default"/>
          <w:sz w:val="21"/>
          <w:szCs w:val="21"/>
        </w:rPr>
        <w:t> </w:t>
      </w:r>
      <w:r>
        <w:rPr>
          <w:rFonts w:ascii="Arial" w:hAnsi="Arial" w:cs="Arial" w:eastAsia="Arial" w:hint="default"/>
          <w:spacing w:val="-1"/>
          <w:w w:val="99"/>
          <w:sz w:val="21"/>
          <w:szCs w:val="21"/>
        </w:rPr>
        <w:t>94</w:t>
      </w:r>
      <w:r>
        <w:rPr>
          <w:rFonts w:ascii="Arial" w:hAnsi="Arial" w:cs="Arial" w:eastAsia="Arial" w:hint="default"/>
          <w:w w:val="99"/>
          <w:sz w:val="21"/>
          <w:szCs w:val="21"/>
        </w:rPr>
        <w:t> </w:t>
      </w:r>
      <w:r>
        <w:rPr>
          <w:rFonts w:ascii="宋体" w:hAnsi="宋体" w:cs="宋体" w:eastAsia="宋体" w:hint="default"/>
          <w:spacing w:val="-7"/>
          <w:w w:val="100"/>
          <w:sz w:val="21"/>
          <w:szCs w:val="21"/>
        </w:rPr>
        <w:t>日元</w:t>
      </w:r>
      <w:r>
        <w:rPr>
          <w:rFonts w:ascii="Arial" w:hAnsi="Arial" w:cs="Arial" w:eastAsia="Arial" w:hint="default"/>
          <w:spacing w:val="-7"/>
          <w:w w:val="100"/>
          <w:sz w:val="21"/>
          <w:szCs w:val="21"/>
        </w:rPr>
        <w:t>/</w:t>
      </w:r>
      <w:r>
        <w:rPr>
          <w:rFonts w:ascii="宋体" w:hAnsi="宋体" w:cs="宋体" w:eastAsia="宋体" w:hint="default"/>
          <w:spacing w:val="-7"/>
          <w:w w:val="100"/>
          <w:sz w:val="21"/>
          <w:szCs w:val="21"/>
        </w:rPr>
        <w:t>股（约</w:t>
      </w:r>
      <w:r>
        <w:rPr>
          <w:rFonts w:ascii="宋体" w:hAnsi="宋体" w:cs="宋体" w:eastAsia="宋体" w:hint="default"/>
          <w:w w:val="100"/>
          <w:sz w:val="21"/>
          <w:szCs w:val="21"/>
        </w:rPr>
        <w:t> </w:t>
      </w:r>
      <w:r>
        <w:rPr>
          <w:rFonts w:ascii="Arial" w:hAnsi="Arial" w:cs="Arial" w:eastAsia="Arial" w:hint="default"/>
          <w:spacing w:val="-1"/>
          <w:w w:val="99"/>
          <w:sz w:val="21"/>
          <w:szCs w:val="21"/>
        </w:rPr>
        <w:t>7.58</w:t>
      </w:r>
      <w:r>
        <w:rPr>
          <w:rFonts w:ascii="Arial" w:hAnsi="Arial" w:cs="Arial" w:eastAsia="Arial" w:hint="default"/>
          <w:w w:val="99"/>
          <w:sz w:val="21"/>
          <w:szCs w:val="21"/>
        </w:rPr>
        <w:t> </w:t>
      </w:r>
      <w:r>
        <w:rPr>
          <w:rFonts w:ascii="宋体" w:hAnsi="宋体" w:cs="宋体" w:eastAsia="宋体" w:hint="default"/>
          <w:spacing w:val="-11"/>
          <w:w w:val="100"/>
          <w:sz w:val="21"/>
          <w:szCs w:val="21"/>
        </w:rPr>
        <w:t>元人民币</w:t>
      </w:r>
      <w:r>
        <w:rPr>
          <w:rFonts w:ascii="Arial" w:hAnsi="Arial" w:cs="Arial" w:eastAsia="Arial" w:hint="default"/>
          <w:spacing w:val="-11"/>
          <w:w w:val="100"/>
          <w:sz w:val="21"/>
          <w:szCs w:val="21"/>
        </w:rPr>
        <w:t>/</w:t>
      </w:r>
      <w:r>
        <w:rPr>
          <w:rFonts w:ascii="宋体" w:hAnsi="宋体" w:cs="宋体" w:eastAsia="宋体" w:hint="default"/>
          <w:spacing w:val="-11"/>
          <w:w w:val="100"/>
          <w:sz w:val="21"/>
          <w:szCs w:val="21"/>
        </w:rPr>
        <w:t>股），总投资额约为</w:t>
      </w:r>
      <w:r>
        <w:rPr>
          <w:rFonts w:ascii="宋体" w:hAnsi="宋体" w:cs="宋体" w:eastAsia="宋体" w:hint="default"/>
          <w:w w:val="100"/>
          <w:sz w:val="21"/>
          <w:szCs w:val="21"/>
        </w:rPr>
        <w:t> </w:t>
      </w:r>
      <w:r>
        <w:rPr>
          <w:rFonts w:ascii="Arial" w:hAnsi="Arial" w:cs="Arial" w:eastAsia="Arial" w:hint="default"/>
          <w:spacing w:val="-1"/>
          <w:w w:val="99"/>
          <w:sz w:val="21"/>
          <w:szCs w:val="21"/>
        </w:rPr>
        <w:t>20</w:t>
      </w:r>
      <w:r>
        <w:rPr>
          <w:rFonts w:ascii="Arial" w:hAnsi="Arial" w:cs="Arial" w:eastAsia="Arial" w:hint="default"/>
          <w:w w:val="99"/>
          <w:sz w:val="21"/>
          <w:szCs w:val="21"/>
        </w:rPr>
        <w:t> </w:t>
      </w:r>
      <w:r>
        <w:rPr>
          <w:rFonts w:ascii="宋体" w:hAnsi="宋体" w:cs="宋体" w:eastAsia="宋体" w:hint="default"/>
          <w:spacing w:val="-8"/>
          <w:sz w:val="21"/>
          <w:szCs w:val="21"/>
        </w:rPr>
        <w:t>亿日元（约</w:t>
      </w:r>
      <w:r>
        <w:rPr>
          <w:rFonts w:ascii="宋体" w:hAnsi="宋体" w:cs="宋体" w:eastAsia="宋体" w:hint="default"/>
          <w:spacing w:val="-78"/>
          <w:sz w:val="21"/>
          <w:szCs w:val="21"/>
        </w:rPr>
        <w:t> </w:t>
      </w:r>
      <w:r>
        <w:rPr>
          <w:rFonts w:ascii="Arial" w:hAnsi="Arial" w:cs="Arial" w:eastAsia="Arial" w:hint="default"/>
          <w:spacing w:val="-1"/>
          <w:w w:val="99"/>
          <w:sz w:val="21"/>
          <w:szCs w:val="21"/>
        </w:rPr>
        <w:t>1.59 </w:t>
      </w:r>
      <w:r>
        <w:rPr>
          <w:rFonts w:ascii="宋体" w:hAnsi="宋体" w:cs="宋体" w:eastAsia="宋体" w:hint="default"/>
          <w:spacing w:val="-6"/>
          <w:sz w:val="21"/>
          <w:szCs w:val="21"/>
        </w:rPr>
        <w:t>亿元人民币），构成本次增加投资成本。</w:t>
      </w:r>
    </w:p>
    <w:p>
      <w:pPr>
        <w:spacing w:line="331" w:lineRule="auto" w:before="46"/>
        <w:ind w:left="160" w:right="172" w:firstLine="315"/>
        <w:jc w:val="both"/>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）报告期内，公司行使全部 </w:t>
      </w:r>
      <w:r>
        <w:rPr>
          <w:rFonts w:ascii="Arial" w:hAnsi="Arial" w:cs="Arial" w:eastAsia="Arial" w:hint="default"/>
          <w:sz w:val="21"/>
          <w:szCs w:val="21"/>
        </w:rPr>
        <w:t>1,066 </w:t>
      </w:r>
      <w:r>
        <w:rPr>
          <w:rFonts w:ascii="宋体" w:hAnsi="宋体" w:cs="宋体" w:eastAsia="宋体" w:hint="default"/>
          <w:sz w:val="21"/>
          <w:szCs w:val="21"/>
        </w:rPr>
        <w:t>万份新股预约权，将新股预约权公允价值变动损益</w:t>
      </w:r>
      <w:r>
        <w:rPr>
          <w:rFonts w:ascii="宋体" w:hAnsi="宋体" w:cs="宋体" w:eastAsia="宋体" w:hint="default"/>
          <w:spacing w:val="-81"/>
          <w:sz w:val="21"/>
          <w:szCs w:val="21"/>
        </w:rPr>
        <w:t> </w:t>
      </w:r>
      <w:r>
        <w:rPr>
          <w:rFonts w:ascii="Arial" w:hAnsi="Arial" w:cs="Arial" w:eastAsia="Arial" w:hint="default"/>
          <w:sz w:val="21"/>
          <w:szCs w:val="21"/>
        </w:rPr>
        <w:t>565.8</w:t>
      </w:r>
      <w:r>
        <w:rPr>
          <w:rFonts w:ascii="Arial" w:hAnsi="Arial" w:cs="Arial" w:eastAsia="Arial" w:hint="default"/>
          <w:spacing w:val="-1"/>
          <w:w w:val="99"/>
          <w:sz w:val="21"/>
          <w:szCs w:val="21"/>
        </w:rPr>
        <w:t> </w:t>
      </w:r>
      <w:r>
        <w:rPr>
          <w:rFonts w:ascii="宋体" w:hAnsi="宋体" w:cs="宋体" w:eastAsia="宋体" w:hint="default"/>
          <w:sz w:val="21"/>
          <w:szCs w:val="21"/>
        </w:rPr>
        <w:t>万元转入投资收益；同时，公司按照权益法核算确认对</w:t>
      </w:r>
      <w:r>
        <w:rPr>
          <w:rFonts w:ascii="宋体" w:hAnsi="宋体" w:cs="宋体" w:eastAsia="宋体" w:hint="default"/>
          <w:spacing w:val="-61"/>
          <w:sz w:val="21"/>
          <w:szCs w:val="21"/>
        </w:rPr>
        <w:t> </w:t>
      </w:r>
      <w:r>
        <w:rPr>
          <w:rFonts w:ascii="Arial" w:hAnsi="Arial" w:cs="Arial" w:eastAsia="Arial" w:hint="default"/>
          <w:sz w:val="21"/>
          <w:szCs w:val="21"/>
        </w:rPr>
        <w:t>LAOX</w:t>
      </w:r>
      <w:r>
        <w:rPr>
          <w:rFonts w:ascii="Arial" w:hAnsi="Arial" w:cs="Arial" w:eastAsia="Arial" w:hint="default"/>
          <w:spacing w:val="-14"/>
          <w:sz w:val="21"/>
          <w:szCs w:val="21"/>
        </w:rPr>
        <w:t> </w:t>
      </w:r>
      <w:r>
        <w:rPr>
          <w:rFonts w:ascii="宋体" w:hAnsi="宋体" w:cs="宋体" w:eastAsia="宋体" w:hint="default"/>
          <w:sz w:val="21"/>
          <w:szCs w:val="21"/>
        </w:rPr>
        <w:t>株式会社的投资收益</w:t>
      </w:r>
      <w:r>
        <w:rPr>
          <w:rFonts w:ascii="宋体" w:hAnsi="宋体" w:cs="宋体" w:eastAsia="宋体" w:hint="default"/>
          <w:spacing w:val="-61"/>
          <w:sz w:val="21"/>
          <w:szCs w:val="21"/>
        </w:rPr>
        <w:t> </w:t>
      </w:r>
      <w:r>
        <w:rPr>
          <w:rFonts w:ascii="Arial" w:hAnsi="Arial" w:cs="Arial" w:eastAsia="Arial" w:hint="default"/>
          <w:sz w:val="21"/>
          <w:szCs w:val="21"/>
        </w:rPr>
        <w:t>496.7</w:t>
      </w:r>
      <w:r>
        <w:rPr>
          <w:rFonts w:ascii="Arial" w:hAnsi="Arial" w:cs="Arial" w:eastAsia="Arial" w:hint="default"/>
          <w:spacing w:val="-14"/>
          <w:sz w:val="21"/>
          <w:szCs w:val="21"/>
        </w:rPr>
        <w:t> </w:t>
      </w:r>
      <w:r>
        <w:rPr>
          <w:rFonts w:ascii="宋体" w:hAnsi="宋体" w:cs="宋体" w:eastAsia="宋体" w:hint="default"/>
          <w:spacing w:val="-3"/>
          <w:sz w:val="21"/>
          <w:szCs w:val="21"/>
        </w:rPr>
        <w:t>万元。故</w:t>
      </w:r>
      <w:r>
        <w:rPr>
          <w:rFonts w:ascii="宋体" w:hAnsi="宋体" w:cs="宋体" w:eastAsia="宋体" w:hint="default"/>
          <w:sz w:val="21"/>
          <w:szCs w:val="21"/>
        </w:rPr>
        <w:t> 报告期内，公司累计确认投资收益</w:t>
      </w:r>
      <w:r>
        <w:rPr>
          <w:rFonts w:ascii="宋体" w:hAnsi="宋体" w:cs="宋体" w:eastAsia="宋体" w:hint="default"/>
          <w:spacing w:val="-56"/>
          <w:sz w:val="21"/>
          <w:szCs w:val="21"/>
        </w:rPr>
        <w:t> </w:t>
      </w:r>
      <w:r>
        <w:rPr>
          <w:rFonts w:ascii="Arial" w:hAnsi="Arial" w:cs="Arial" w:eastAsia="Arial" w:hint="default"/>
          <w:sz w:val="21"/>
          <w:szCs w:val="21"/>
        </w:rPr>
        <w:t>1,062.5</w:t>
      </w:r>
      <w:r>
        <w:rPr>
          <w:rFonts w:ascii="Arial" w:hAnsi="Arial" w:cs="Arial" w:eastAsia="Arial" w:hint="default"/>
          <w:spacing w:val="-10"/>
          <w:sz w:val="21"/>
          <w:szCs w:val="21"/>
        </w:rPr>
        <w:t> </w:t>
      </w:r>
      <w:r>
        <w:rPr>
          <w:rFonts w:ascii="宋体" w:hAnsi="宋体" w:cs="宋体" w:eastAsia="宋体" w:hint="default"/>
          <w:sz w:val="21"/>
          <w:szCs w:val="21"/>
        </w:rPr>
        <w:t>万元投资收益。</w:t>
      </w:r>
    </w:p>
    <w:p>
      <w:pPr>
        <w:pStyle w:val="BodyText"/>
        <w:spacing w:line="240" w:lineRule="exact"/>
        <w:ind w:left="640" w:right="84"/>
        <w:jc w:val="left"/>
      </w:pPr>
      <w:r>
        <w:rPr>
          <w:rFonts w:ascii="Times New Roman" w:hAnsi="Times New Roman" w:cs="Times New Roman" w:eastAsia="Times New Roman" w:hint="default"/>
        </w:rPr>
        <w:t>3</w:t>
      </w:r>
      <w:r>
        <w:rPr/>
        <w:t>、除以上购置事项外，不存在其他应披露的收购及出售资产、吸收合并事项。</w:t>
      </w:r>
    </w:p>
    <w:p>
      <w:pPr>
        <w:pStyle w:val="BodyText"/>
        <w:spacing w:line="240" w:lineRule="auto" w:before="135"/>
        <w:ind w:left="640" w:right="84"/>
        <w:jc w:val="left"/>
      </w:pPr>
      <w:r>
        <w:rPr/>
        <w:t>三、持有非上市金融企业股权情况</w:t>
      </w:r>
    </w:p>
    <w:p>
      <w:pPr>
        <w:pStyle w:val="BodyText"/>
        <w:spacing w:line="338" w:lineRule="auto" w:before="154"/>
        <w:ind w:left="160" w:right="161" w:firstLine="48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spacing w:val="-5"/>
        </w:rPr>
        <w:t>月，公司与江苏银行股份有限公司签署《认股协议书》，出资</w:t>
      </w:r>
      <w:r>
        <w:rPr>
          <w:spacing w:val="-52"/>
        </w:rPr>
        <w:t> </w:t>
      </w:r>
      <w:r>
        <w:rPr>
          <w:rFonts w:ascii="Times New Roman" w:hAnsi="Times New Roman" w:cs="Times New Roman" w:eastAsia="Times New Roman" w:hint="default"/>
        </w:rPr>
        <w:t>5.4</w:t>
      </w:r>
      <w:r>
        <w:rPr>
          <w:rFonts w:ascii="Times New Roman" w:hAnsi="Times New Roman" w:cs="Times New Roman" w:eastAsia="Times New Roman" w:hint="default"/>
          <w:spacing w:val="8"/>
        </w:rPr>
        <w:t> </w:t>
      </w:r>
      <w:r>
        <w:rPr/>
        <w:t>亿元人 民币，参与其增资扩股，认购江苏银行</w:t>
      </w:r>
      <w:r>
        <w:rPr>
          <w:spacing w:val="-60"/>
        </w:rPr>
        <w:t> </w:t>
      </w:r>
      <w:r>
        <w:rPr>
          <w:rFonts w:ascii="Times New Roman" w:hAnsi="Times New Roman" w:cs="Times New Roman" w:eastAsia="Times New Roman" w:hint="default"/>
        </w:rPr>
        <w:t>1.79%</w:t>
      </w:r>
      <w:r>
        <w:rPr/>
        <w:t>的股权。</w:t>
      </w:r>
    </w:p>
    <w:p>
      <w:pPr>
        <w:pStyle w:val="BodyText"/>
        <w:tabs>
          <w:tab w:pos="7719" w:val="left" w:leader="none"/>
        </w:tabs>
        <w:spacing w:line="240" w:lineRule="auto" w:before="27"/>
        <w:ind w:left="640" w:right="84"/>
        <w:jc w:val="left"/>
      </w:pPr>
      <w:r>
        <w:rPr/>
        <w:t>报告期，该项投资账面值即收益情况如下：</w:t>
        <w:tab/>
        <w:t>单位：千元</w:t>
      </w:r>
    </w:p>
    <w:p>
      <w:pPr>
        <w:spacing w:line="240" w:lineRule="auto" w:before="10"/>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498"/>
        <w:gridCol w:w="775"/>
        <w:gridCol w:w="1261"/>
        <w:gridCol w:w="948"/>
        <w:gridCol w:w="1176"/>
        <w:gridCol w:w="832"/>
        <w:gridCol w:w="998"/>
        <w:gridCol w:w="779"/>
        <w:gridCol w:w="818"/>
      </w:tblGrid>
      <w:tr>
        <w:trPr>
          <w:trHeight w:val="839" w:hRule="exact"/>
        </w:trPr>
        <w:tc>
          <w:tcPr>
            <w:tcW w:w="149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所持对象名称</w:t>
            </w:r>
          </w:p>
        </w:tc>
        <w:tc>
          <w:tcPr>
            <w:tcW w:w="775"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30"/>
              <w:ind w:left="67" w:right="66"/>
              <w:jc w:val="left"/>
              <w:rPr>
                <w:rFonts w:ascii="宋体" w:hAnsi="宋体" w:cs="宋体" w:eastAsia="宋体" w:hint="default"/>
                <w:sz w:val="21"/>
                <w:szCs w:val="21"/>
              </w:rPr>
            </w:pPr>
            <w:r>
              <w:rPr>
                <w:rFonts w:ascii="宋体" w:hAnsi="宋体" w:cs="宋体" w:eastAsia="宋体" w:hint="default"/>
                <w:sz w:val="21"/>
                <w:szCs w:val="21"/>
              </w:rPr>
              <w:t>初始投 资金额</w:t>
            </w:r>
          </w:p>
        </w:tc>
        <w:tc>
          <w:tcPr>
            <w:tcW w:w="1261"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before="102"/>
              <w:ind w:right="1"/>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948"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30"/>
              <w:ind w:left="48" w:right="48"/>
              <w:jc w:val="left"/>
              <w:rPr>
                <w:rFonts w:ascii="宋体" w:hAnsi="宋体" w:cs="宋体" w:eastAsia="宋体" w:hint="default"/>
                <w:sz w:val="21"/>
                <w:szCs w:val="21"/>
              </w:rPr>
            </w:pPr>
            <w:r>
              <w:rPr>
                <w:rFonts w:ascii="宋体" w:hAnsi="宋体" w:cs="宋体" w:eastAsia="宋体" w:hint="default"/>
                <w:sz w:val="21"/>
                <w:szCs w:val="21"/>
              </w:rPr>
              <w:t>占该公司 股权比例</w:t>
            </w:r>
          </w:p>
        </w:tc>
        <w:tc>
          <w:tcPr>
            <w:tcW w:w="11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期末账面值</w:t>
            </w:r>
          </w:p>
        </w:tc>
        <w:tc>
          <w:tcPr>
            <w:tcW w:w="832"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30"/>
              <w:ind w:left="200" w:right="95" w:hanging="105"/>
              <w:jc w:val="left"/>
              <w:rPr>
                <w:rFonts w:ascii="宋体" w:hAnsi="宋体" w:cs="宋体" w:eastAsia="宋体" w:hint="default"/>
                <w:sz w:val="21"/>
                <w:szCs w:val="21"/>
              </w:rPr>
            </w:pPr>
            <w:r>
              <w:rPr>
                <w:rFonts w:ascii="宋体" w:hAnsi="宋体" w:cs="宋体" w:eastAsia="宋体" w:hint="default"/>
                <w:sz w:val="21"/>
                <w:szCs w:val="21"/>
              </w:rPr>
              <w:t>报告期 损益</w:t>
            </w:r>
          </w:p>
        </w:tc>
        <w:tc>
          <w:tcPr>
            <w:tcW w:w="998"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73" w:right="0"/>
              <w:jc w:val="left"/>
              <w:rPr>
                <w:rFonts w:ascii="宋体" w:hAnsi="宋体" w:cs="宋体" w:eastAsia="宋体" w:hint="default"/>
                <w:sz w:val="21"/>
                <w:szCs w:val="21"/>
              </w:rPr>
            </w:pPr>
            <w:r>
              <w:rPr>
                <w:rFonts w:ascii="宋体" w:hAnsi="宋体" w:cs="宋体" w:eastAsia="宋体" w:hint="default"/>
                <w:sz w:val="21"/>
                <w:szCs w:val="21"/>
              </w:rPr>
              <w:t>报告期所</w:t>
            </w:r>
          </w:p>
          <w:p>
            <w:pPr>
              <w:pStyle w:val="TableParagraph"/>
              <w:spacing w:line="240" w:lineRule="auto"/>
              <w:ind w:left="283" w:right="73" w:hanging="210"/>
              <w:jc w:val="left"/>
              <w:rPr>
                <w:rFonts w:ascii="宋体" w:hAnsi="宋体" w:cs="宋体" w:eastAsia="宋体" w:hint="default"/>
                <w:sz w:val="21"/>
                <w:szCs w:val="21"/>
              </w:rPr>
            </w:pPr>
            <w:r>
              <w:rPr>
                <w:rFonts w:ascii="宋体" w:hAnsi="宋体" w:cs="宋体" w:eastAsia="宋体" w:hint="default"/>
                <w:sz w:val="21"/>
                <w:szCs w:val="21"/>
              </w:rPr>
              <w:t>有者权益 变动</w:t>
            </w:r>
          </w:p>
        </w:tc>
        <w:tc>
          <w:tcPr>
            <w:tcW w:w="779"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30"/>
              <w:ind w:left="68" w:right="68"/>
              <w:jc w:val="left"/>
              <w:rPr>
                <w:rFonts w:ascii="宋体" w:hAnsi="宋体" w:cs="宋体" w:eastAsia="宋体" w:hint="default"/>
                <w:sz w:val="21"/>
                <w:szCs w:val="21"/>
              </w:rPr>
            </w:pPr>
            <w:r>
              <w:rPr>
                <w:rFonts w:ascii="宋体" w:hAnsi="宋体" w:cs="宋体" w:eastAsia="宋体" w:hint="default"/>
                <w:sz w:val="21"/>
                <w:szCs w:val="21"/>
              </w:rPr>
              <w:t>会计核 算科目</w:t>
            </w:r>
          </w:p>
        </w:tc>
        <w:tc>
          <w:tcPr>
            <w:tcW w:w="818" w:type="dxa"/>
            <w:tcBorders>
              <w:top w:val="single" w:sz="12" w:space="0" w:color="000000"/>
              <w:left w:val="single" w:sz="4" w:space="0" w:color="000000"/>
              <w:bottom w:val="single" w:sz="4" w:space="0" w:color="000000"/>
              <w:right w:val="single" w:sz="12" w:space="0" w:color="000000"/>
            </w:tcBorders>
          </w:tcPr>
          <w:p>
            <w:pPr>
              <w:pStyle w:val="TableParagraph"/>
              <w:spacing w:line="272" w:lineRule="exact" w:before="130"/>
              <w:ind w:left="298" w:right="78" w:hanging="210"/>
              <w:jc w:val="left"/>
              <w:rPr>
                <w:rFonts w:ascii="宋体" w:hAnsi="宋体" w:cs="宋体" w:eastAsia="宋体" w:hint="default"/>
                <w:sz w:val="21"/>
                <w:szCs w:val="21"/>
              </w:rPr>
            </w:pPr>
            <w:r>
              <w:rPr>
                <w:rFonts w:ascii="宋体" w:hAnsi="宋体" w:cs="宋体" w:eastAsia="宋体" w:hint="default"/>
                <w:sz w:val="21"/>
                <w:szCs w:val="21"/>
              </w:rPr>
              <w:t>股份来 源</w:t>
            </w:r>
          </w:p>
        </w:tc>
      </w:tr>
      <w:tr>
        <w:trPr>
          <w:trHeight w:val="914" w:hRule="exact"/>
        </w:trPr>
        <w:tc>
          <w:tcPr>
            <w:tcW w:w="14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4"/>
              <w:ind w:left="13" w:right="203"/>
              <w:jc w:val="left"/>
              <w:rPr>
                <w:rFonts w:ascii="宋体" w:hAnsi="宋体" w:cs="宋体" w:eastAsia="宋体" w:hint="default"/>
                <w:sz w:val="21"/>
                <w:szCs w:val="21"/>
              </w:rPr>
            </w:pPr>
            <w:r>
              <w:rPr>
                <w:rFonts w:ascii="宋体" w:hAnsi="宋体" w:cs="宋体" w:eastAsia="宋体" w:hint="default"/>
                <w:sz w:val="21"/>
                <w:szCs w:val="21"/>
              </w:rPr>
              <w:t>江苏银行股份 有限公司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540,000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150,000,000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97" w:right="0"/>
              <w:jc w:val="left"/>
              <w:rPr>
                <w:rFonts w:ascii="Times New Roman" w:hAnsi="Times New Roman" w:cs="Times New Roman" w:eastAsia="Times New Roman" w:hint="default"/>
                <w:sz w:val="21"/>
                <w:szCs w:val="21"/>
              </w:rPr>
            </w:pPr>
            <w:r>
              <w:rPr>
                <w:rFonts w:ascii="Times New Roman"/>
                <w:sz w:val="21"/>
              </w:rPr>
              <w:t>1.79%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540,000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 w:right="-25"/>
              <w:jc w:val="left"/>
              <w:rPr>
                <w:rFonts w:ascii="宋体" w:hAnsi="宋体" w:cs="宋体" w:eastAsia="宋体" w:hint="default"/>
                <w:sz w:val="21"/>
                <w:szCs w:val="21"/>
              </w:rPr>
            </w:pPr>
            <w:r>
              <w:rPr>
                <w:rFonts w:ascii="宋体" w:hAnsi="宋体" w:cs="宋体" w:eastAsia="宋体" w:hint="default"/>
                <w:spacing w:val="30"/>
                <w:sz w:val="21"/>
                <w:szCs w:val="21"/>
              </w:rPr>
              <w:t>长期股</w:t>
            </w:r>
            <w:r>
              <w:rPr>
                <w:rFonts w:ascii="宋体" w:hAnsi="宋体" w:cs="宋体" w:eastAsia="宋体" w:hint="default"/>
                <w:spacing w:val="-59"/>
                <w:sz w:val="21"/>
                <w:szCs w:val="21"/>
              </w:rPr>
              <w:t> </w:t>
            </w:r>
            <w:r>
              <w:rPr>
                <w:rFonts w:ascii="宋体" w:hAnsi="宋体" w:cs="宋体" w:eastAsia="宋体" w:hint="default"/>
                <w:sz w:val="21"/>
                <w:szCs w:val="21"/>
              </w:rPr>
              <w:t>权投资</w:t>
            </w:r>
          </w:p>
        </w:tc>
        <w:tc>
          <w:tcPr>
            <w:tcW w:w="8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认购</w:t>
            </w:r>
          </w:p>
        </w:tc>
      </w:tr>
      <w:tr>
        <w:trPr>
          <w:trHeight w:val="470" w:hRule="exact"/>
        </w:trPr>
        <w:tc>
          <w:tcPr>
            <w:tcW w:w="149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4"/>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7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sz w:val="21"/>
              </w:rPr>
              <w:t>540,000</w:t>
            </w:r>
          </w:p>
        </w:tc>
        <w:tc>
          <w:tcPr>
            <w:tcW w:w="1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Times New Roman"/>
                <w:sz w:val="21"/>
              </w:rPr>
              <w:t>150,000,000</w:t>
            </w:r>
          </w:p>
        </w:tc>
        <w:tc>
          <w:tcPr>
            <w:tcW w:w="9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left="196" w:right="0"/>
              <w:jc w:val="left"/>
              <w:rPr>
                <w:rFonts w:ascii="Times New Roman" w:hAnsi="Times New Roman" w:cs="Times New Roman" w:eastAsia="Times New Roman" w:hint="default"/>
                <w:sz w:val="21"/>
                <w:szCs w:val="21"/>
              </w:rPr>
            </w:pPr>
            <w:r>
              <w:rPr>
                <w:rFonts w:ascii="Times New Roman"/>
                <w:sz w:val="21"/>
              </w:rPr>
              <w:t>1.79%</w:t>
            </w: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21"/>
                <w:szCs w:val="21"/>
              </w:rPr>
            </w:pPr>
            <w:r>
              <w:rPr>
                <w:rFonts w:ascii="Times New Roman"/>
                <w:sz w:val="21"/>
              </w:rPr>
              <w:t>540,000</w:t>
            </w:r>
          </w:p>
        </w:tc>
        <w:tc>
          <w:tcPr>
            <w:tcW w:w="8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21"/>
                <w:szCs w:val="21"/>
              </w:rPr>
            </w:pPr>
            <w:r>
              <w:rPr>
                <w:rFonts w:ascii="Times New Roman"/>
                <w:sz w:val="21"/>
              </w:rPr>
              <w:t>0</w:t>
            </w:r>
          </w:p>
        </w:tc>
        <w:tc>
          <w:tcPr>
            <w:tcW w:w="9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3"/>
              <w:jc w:val="center"/>
              <w:rPr>
                <w:rFonts w:ascii="Times New Roman" w:hAnsi="Times New Roman" w:cs="Times New Roman" w:eastAsia="Times New Roman" w:hint="default"/>
                <w:sz w:val="21"/>
                <w:szCs w:val="21"/>
              </w:rPr>
            </w:pPr>
            <w:r>
              <w:rPr>
                <w:rFonts w:ascii="Times New Roman"/>
                <w:sz w:val="21"/>
              </w:rPr>
              <w:t>0</w:t>
            </w:r>
          </w:p>
        </w:tc>
        <w:tc>
          <w:tcPr>
            <w:tcW w:w="7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1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2"/>
              <w:ind w:left="5"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240" w:lineRule="auto" w:before="81"/>
        <w:ind w:left="640" w:right="84"/>
        <w:jc w:val="left"/>
      </w:pPr>
      <w:r>
        <w:rPr/>
        <w:t>四、股权激励事项</w:t>
      </w:r>
    </w:p>
    <w:p>
      <w:pPr>
        <w:pStyle w:val="BodyText"/>
        <w:spacing w:line="240" w:lineRule="auto" w:before="154"/>
        <w:ind w:left="640" w:right="84"/>
        <w:jc w:val="left"/>
      </w:pPr>
      <w:r>
        <w:rPr>
          <w:rFonts w:ascii="Times New Roman" w:hAnsi="Times New Roman" w:cs="Times New Roman" w:eastAsia="Times New Roman" w:hint="default"/>
        </w:rPr>
        <w:t>1</w:t>
      </w:r>
      <w:r>
        <w:rPr/>
        <w:t>、股权激励计划简述</w:t>
      </w:r>
    </w:p>
    <w:p>
      <w:pPr>
        <w:pStyle w:val="BodyText"/>
        <w:spacing w:line="240" w:lineRule="auto" w:before="135"/>
        <w:ind w:left="640" w:right="84"/>
        <w:jc w:val="left"/>
      </w:pPr>
      <w:r>
        <w:rPr/>
        <w:t>公司于</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spacing w:val="-4"/>
        </w:rPr>
        <w:t>日召开第四届董事会第二次会议审议通过了《苏宁电器股份</w:t>
      </w:r>
    </w:p>
    <w:p>
      <w:pPr>
        <w:pStyle w:val="BodyText"/>
        <w:spacing w:line="348" w:lineRule="auto" w:before="135"/>
        <w:ind w:left="160" w:right="171"/>
        <w:jc w:val="both"/>
      </w:pPr>
      <w:r>
        <w:rPr/>
        <w:t>有限公司 </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spacing w:val="-15"/>
        </w:rPr>
        <w:t>年股票期权激励计划（草案）》（以下简称“本次期权激励计划草案”），</w:t>
      </w:r>
      <w:r>
        <w:rPr/>
        <w:t> </w:t>
      </w:r>
      <w:r>
        <w:rPr>
          <w:spacing w:val="3"/>
        </w:rPr>
        <w:t>并报中国证券监督管理委员会备案。本次期权激励计划草案获得中国证监会备案通过</w:t>
      </w:r>
      <w:r>
        <w:rPr>
          <w:spacing w:val="-94"/>
        </w:rPr>
        <w:t> </w:t>
      </w:r>
      <w:r>
        <w:rPr>
          <w:spacing w:val="-94"/>
        </w:rPr>
      </w:r>
      <w:r>
        <w:rPr/>
        <w:t>后，公司于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日发出召开</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年第二次临时股东大会通知，审议本次期</w:t>
      </w:r>
    </w:p>
    <w:p>
      <w:pPr>
        <w:spacing w:after="0" w:line="348" w:lineRule="auto"/>
        <w:jc w:val="both"/>
        <w:sectPr>
          <w:pgSz w:w="11910" w:h="16840"/>
          <w:pgMar w:header="748" w:footer="714" w:top="980" w:bottom="900" w:left="1280" w:right="1260"/>
        </w:sectPr>
      </w:pPr>
    </w:p>
    <w:p>
      <w:pPr>
        <w:spacing w:line="240" w:lineRule="auto" w:before="7"/>
        <w:rPr>
          <w:rFonts w:ascii="宋体" w:hAnsi="宋体" w:cs="宋体" w:eastAsia="宋体" w:hint="default"/>
          <w:sz w:val="29"/>
          <w:szCs w:val="29"/>
        </w:rPr>
      </w:pPr>
    </w:p>
    <w:p>
      <w:pPr>
        <w:pStyle w:val="BodyText"/>
        <w:spacing w:line="338" w:lineRule="auto" w:before="26"/>
        <w:ind w:left="240" w:right="242"/>
        <w:jc w:val="left"/>
      </w:pPr>
      <w:r>
        <w:rPr/>
        <w:t>权激励计划。</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日，公司</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年第二次临时股东大会审议通过了《</w:t>
      </w:r>
      <w:r>
        <w:rPr>
          <w:rFonts w:ascii="Times New Roman" w:hAnsi="Times New Roman" w:cs="Times New Roman" w:eastAsia="Times New Roman" w:hint="default"/>
        </w:rPr>
        <w:t>2010 </w:t>
      </w:r>
      <w:r>
        <w:rPr>
          <w:spacing w:val="-5"/>
        </w:rPr>
        <w:t>年股票期权激励计划》，本次股票期权激励计划获得批准。</w:t>
      </w:r>
    </w:p>
    <w:p>
      <w:pPr>
        <w:pStyle w:val="BodyText"/>
        <w:spacing w:line="348" w:lineRule="auto" w:before="55"/>
        <w:ind w:left="240" w:right="251" w:firstLine="480"/>
        <w:jc w:val="both"/>
      </w:pPr>
      <w:r>
        <w:rPr/>
        <w:t>根据公司期权激励计划，公司授予激励对象</w:t>
      </w:r>
      <w:r>
        <w:rPr>
          <w:spacing w:val="-75"/>
        </w:rPr>
        <w:t> </w:t>
      </w:r>
      <w:r>
        <w:rPr>
          <w:rFonts w:ascii="Times New Roman" w:hAnsi="Times New Roman" w:cs="Times New Roman" w:eastAsia="Times New Roman" w:hint="default"/>
        </w:rPr>
        <w:t>8,469</w:t>
      </w:r>
      <w:r>
        <w:rPr>
          <w:rFonts w:ascii="Times New Roman" w:hAnsi="Times New Roman" w:cs="Times New Roman" w:eastAsia="Times New Roman" w:hint="default"/>
          <w:spacing w:val="-15"/>
        </w:rPr>
        <w:t> </w:t>
      </w:r>
      <w:r>
        <w:rPr/>
        <w:t>万份期权，每份股票期权拥有在 </w:t>
      </w:r>
      <w:r>
        <w:rPr>
          <w:spacing w:val="3"/>
        </w:rPr>
        <w:t>激励计划有效期内的可行权日以行权价格和行权条件购买一股苏宁电器股票的权利。</w:t>
      </w:r>
      <w:r>
        <w:rPr>
          <w:spacing w:val="-94"/>
        </w:rPr>
        <w:t> </w:t>
      </w:r>
      <w:r>
        <w:rPr>
          <w:spacing w:val="-94"/>
        </w:rPr>
      </w:r>
      <w:r>
        <w:rPr>
          <w:rFonts w:ascii="Times New Roman" w:hAnsi="Times New Roman" w:cs="Times New Roman" w:eastAsia="Times New Roman" w:hint="default"/>
        </w:rPr>
        <w:t>8,469 </w:t>
      </w:r>
      <w:r>
        <w:rPr/>
        <w:t>万份股票期权标的股票总数占本激励计划批准时公司股本总额的</w:t>
      </w:r>
      <w:r>
        <w:rPr>
          <w:spacing w:val="-60"/>
        </w:rPr>
        <w:t> </w:t>
      </w:r>
      <w:r>
        <w:rPr>
          <w:rFonts w:ascii="Times New Roman" w:hAnsi="Times New Roman" w:cs="Times New Roman" w:eastAsia="Times New Roman" w:hint="default"/>
        </w:rPr>
        <w:t>1.21%</w:t>
      </w:r>
      <w:r>
        <w:rPr/>
        <w:t>。</w:t>
      </w:r>
    </w:p>
    <w:p>
      <w:pPr>
        <w:pStyle w:val="BodyText"/>
        <w:spacing w:line="338" w:lineRule="auto" w:before="16"/>
        <w:ind w:left="720" w:right="119"/>
        <w:jc w:val="left"/>
        <w:rPr>
          <w:rFonts w:ascii="Times New Roman" w:hAnsi="Times New Roman" w:cs="Times New Roman" w:eastAsia="Times New Roman" w:hint="default"/>
        </w:rPr>
      </w:pPr>
      <w:r>
        <w:rPr>
          <w:rFonts w:ascii="Times New Roman" w:hAnsi="Times New Roman" w:cs="Times New Roman" w:eastAsia="Times New Roman" w:hint="default"/>
        </w:rPr>
        <w:t>2</w:t>
      </w:r>
      <w:r>
        <w:rPr/>
        <w:t>、股票期权的授予情况 </w:t>
      </w:r>
      <w:r>
        <w:rPr>
          <w:spacing w:val="-3"/>
        </w:rPr>
        <w:t>经公司第四届董事会第六次会议审议通过，董事会认为公司激励对象均符合《</w:t>
      </w:r>
      <w:r>
        <w:rPr>
          <w:rFonts w:ascii="Times New Roman" w:hAnsi="Times New Roman" w:cs="Times New Roman" w:eastAsia="Times New Roman" w:hint="default"/>
          <w:spacing w:val="-3"/>
        </w:rPr>
        <w:t>2010</w:t>
      </w:r>
    </w:p>
    <w:p>
      <w:pPr>
        <w:pStyle w:val="BodyText"/>
        <w:spacing w:line="240" w:lineRule="auto" w:before="27"/>
        <w:ind w:left="240" w:right="119"/>
        <w:jc w:val="left"/>
      </w:pPr>
      <w:r>
        <w:rPr/>
        <w:t>年股票期权激励计划》规定的股票期权授予条件，于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日向</w:t>
      </w:r>
      <w:r>
        <w:rPr>
          <w:spacing w:val="-57"/>
        </w:rPr>
        <w:t> </w:t>
      </w:r>
      <w:r>
        <w:rPr>
          <w:rFonts w:ascii="Times New Roman" w:hAnsi="Times New Roman" w:cs="Times New Roman" w:eastAsia="Times New Roman" w:hint="default"/>
        </w:rPr>
        <w:t>248</w:t>
      </w:r>
      <w:r>
        <w:rPr>
          <w:rFonts w:ascii="Times New Roman" w:hAnsi="Times New Roman" w:cs="Times New Roman" w:eastAsia="Times New Roman" w:hint="default"/>
          <w:spacing w:val="3"/>
        </w:rPr>
        <w:t> </w:t>
      </w:r>
      <w:r>
        <w:rPr/>
        <w:t>名激励</w:t>
      </w:r>
    </w:p>
    <w:p>
      <w:pPr>
        <w:pStyle w:val="BodyText"/>
        <w:spacing w:line="338" w:lineRule="auto" w:before="135"/>
        <w:ind w:left="720" w:right="119" w:hanging="480"/>
        <w:jc w:val="left"/>
      </w:pPr>
      <w:r>
        <w:rPr/>
        <w:t>对象授予</w:t>
      </w:r>
      <w:r>
        <w:rPr>
          <w:spacing w:val="-60"/>
        </w:rPr>
        <w:t> </w:t>
      </w:r>
      <w:r>
        <w:rPr>
          <w:rFonts w:ascii="Times New Roman" w:hAnsi="Times New Roman" w:cs="Times New Roman" w:eastAsia="Times New Roman" w:hint="default"/>
        </w:rPr>
        <w:t>8,469 </w:t>
      </w:r>
      <w:r>
        <w:rPr/>
        <w:t>万份股票期权，授予股票期权的行权价格为</w:t>
      </w:r>
      <w:r>
        <w:rPr>
          <w:spacing w:val="-60"/>
        </w:rPr>
        <w:t> </w:t>
      </w:r>
      <w:r>
        <w:rPr>
          <w:rFonts w:ascii="Times New Roman" w:hAnsi="Times New Roman" w:cs="Times New Roman" w:eastAsia="Times New Roman" w:hint="default"/>
        </w:rPr>
        <w:t>14.5 </w:t>
      </w:r>
      <w:r>
        <w:rPr/>
        <w:t>元。 </w:t>
      </w:r>
      <w:r>
        <w:rPr>
          <w:rFonts w:ascii="Times New Roman" w:hAnsi="Times New Roman" w:cs="Times New Roman" w:eastAsia="Times New Roman" w:hint="default"/>
          <w:spacing w:val="-3"/>
        </w:rPr>
        <w:t>3</w:t>
      </w:r>
      <w:r>
        <w:rPr>
          <w:spacing w:val="-3"/>
        </w:rPr>
        <w:t>、公司股票期权的授予对公司本报告期及以后各年度财务状况和经营成果的影响。</w:t>
      </w:r>
      <w:r>
        <w:rPr/>
        <w:t> </w:t>
      </w:r>
      <w:r>
        <w:rPr>
          <w:spacing w:val="-3"/>
        </w:rPr>
        <w:t>根据《企业会计准则第</w:t>
      </w:r>
      <w:r>
        <w:rPr>
          <w:spacing w:val="-71"/>
        </w:rPr>
        <w:t> </w:t>
      </w:r>
      <w:r>
        <w:rPr>
          <w:rFonts w:ascii="Times New Roman" w:hAnsi="Times New Roman" w:cs="Times New Roman" w:eastAsia="Times New Roman" w:hint="default"/>
        </w:rPr>
        <w:t>22</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金融工具确认和计量》中关于公允价值确定的相关规</w:t>
      </w:r>
    </w:p>
    <w:p>
      <w:pPr>
        <w:pStyle w:val="BodyText"/>
        <w:spacing w:line="338" w:lineRule="auto" w:before="27"/>
        <w:ind w:left="240" w:right="240"/>
        <w:jc w:val="left"/>
      </w:pPr>
      <w:r>
        <w:rPr>
          <w:spacing w:val="-4"/>
        </w:rPr>
        <w:t>定，公司选择布莱特</w:t>
      </w:r>
      <w:r>
        <w:rPr>
          <w:rFonts w:ascii="Times New Roman" w:hAnsi="Times New Roman" w:cs="Times New Roman" w:eastAsia="Times New Roman" w:hint="default"/>
          <w:spacing w:val="-4"/>
        </w:rPr>
        <w:t>-</w:t>
      </w:r>
      <w:r>
        <w:rPr>
          <w:spacing w:val="-4"/>
        </w:rPr>
        <w:t>斯科尔期权定价模型</w:t>
      </w:r>
      <w:r>
        <w:rPr>
          <w:rFonts w:ascii="Times New Roman" w:hAnsi="Times New Roman" w:cs="Times New Roman" w:eastAsia="Times New Roman" w:hint="default"/>
          <w:spacing w:val="-4"/>
        </w:rPr>
        <w:t>,</w:t>
      </w:r>
      <w:r>
        <w:rPr>
          <w:spacing w:val="-4"/>
        </w:rPr>
        <w:t>并以确定的授权日</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日的收盘 价等数据为参数对公司的股票期权的公允价值进行了测算。</w:t>
      </w:r>
    </w:p>
    <w:p>
      <w:pPr>
        <w:pStyle w:val="BodyText"/>
        <w:spacing w:line="348" w:lineRule="auto" w:before="55"/>
        <w:ind w:left="240" w:right="253" w:firstLine="480"/>
        <w:jc w:val="both"/>
      </w:pPr>
      <w:r>
        <w:rPr/>
        <w:t>公司激励计划的股票期权公允价值为</w:t>
      </w:r>
      <w:r>
        <w:rPr>
          <w:spacing w:val="-59"/>
        </w:rPr>
        <w:t> </w:t>
      </w:r>
      <w:r>
        <w:rPr>
          <w:rFonts w:ascii="Times New Roman" w:hAnsi="Times New Roman" w:cs="Times New Roman" w:eastAsia="Times New Roman" w:hint="default"/>
        </w:rPr>
        <w:t>39,464.45</w:t>
      </w:r>
      <w:r>
        <w:rPr>
          <w:rFonts w:ascii="Times New Roman" w:hAnsi="Times New Roman" w:cs="Times New Roman" w:eastAsia="Times New Roman" w:hint="default"/>
          <w:spacing w:val="1"/>
        </w:rPr>
        <w:t> </w:t>
      </w:r>
      <w:r>
        <w:rPr>
          <w:spacing w:val="-11"/>
        </w:rPr>
        <w:t>万元，在授予日起的</w:t>
      </w:r>
      <w:r>
        <w:rPr>
          <w:spacing w:val="-59"/>
        </w:rPr>
        <w:t> </w:t>
      </w:r>
      <w:r>
        <w:rPr>
          <w:rFonts w:ascii="Times New Roman" w:hAnsi="Times New Roman" w:cs="Times New Roman" w:eastAsia="Times New Roman" w:hint="default"/>
        </w:rPr>
        <w:t>48</w:t>
      </w:r>
      <w:r>
        <w:rPr>
          <w:rFonts w:ascii="Times New Roman" w:hAnsi="Times New Roman" w:cs="Times New Roman" w:eastAsia="Times New Roman" w:hint="default"/>
          <w:spacing w:val="1"/>
        </w:rPr>
        <w:t> </w:t>
      </w:r>
      <w:r>
        <w:rPr/>
        <w:t>个月内摊销 </w:t>
      </w:r>
      <w:r>
        <w:rPr>
          <w:spacing w:val="-3"/>
        </w:rPr>
        <w:t>完毕。假设全部激励对象均符合本计划规定的行权条件且在各行权期内全部行权，则每</w:t>
      </w:r>
      <w:r>
        <w:rPr>
          <w:spacing w:val="-98"/>
        </w:rPr>
        <w:t> </w:t>
      </w:r>
      <w:r>
        <w:rPr>
          <w:spacing w:val="-98"/>
        </w:rPr>
      </w:r>
      <w:r>
        <w:rPr/>
        <w:t>年的期权成本摊销情况以及对公司相关年度的财务指标影响如下：</w:t>
      </w:r>
    </w:p>
    <w:p>
      <w:pPr>
        <w:spacing w:line="240" w:lineRule="auto" w:before="7"/>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2014"/>
        <w:gridCol w:w="1234"/>
        <w:gridCol w:w="1522"/>
        <w:gridCol w:w="1600"/>
        <w:gridCol w:w="1399"/>
        <w:gridCol w:w="1477"/>
      </w:tblGrid>
      <w:tr>
        <w:trPr>
          <w:trHeight w:val="535" w:hRule="exact"/>
        </w:trPr>
        <w:tc>
          <w:tcPr>
            <w:tcW w:w="2014" w:type="dxa"/>
            <w:tcBorders>
              <w:top w:val="single" w:sz="12" w:space="0" w:color="000000"/>
              <w:left w:val="single" w:sz="12" w:space="0" w:color="000000"/>
              <w:bottom w:val="single" w:sz="8" w:space="0" w:color="000000"/>
              <w:right w:val="single" w:sz="8" w:space="0" w:color="000000"/>
            </w:tcBorders>
          </w:tcPr>
          <w:p>
            <w:pPr/>
          </w:p>
        </w:tc>
        <w:tc>
          <w:tcPr>
            <w:tcW w:w="123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6"/>
              <w:ind w:left="26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2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6"/>
              <w:ind w:left="415"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6"/>
              <w:ind w:left="44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9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6"/>
              <w:ind w:left="34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477"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before="86"/>
              <w:ind w:left="38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2014</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611" w:hRule="exact"/>
        </w:trPr>
        <w:tc>
          <w:tcPr>
            <w:tcW w:w="2014" w:type="dxa"/>
            <w:tcBorders>
              <w:top w:val="single" w:sz="8" w:space="0" w:color="000000"/>
              <w:left w:val="single" w:sz="12" w:space="0" w:color="000000"/>
              <w:bottom w:val="single" w:sz="12" w:space="0" w:color="000000"/>
              <w:right w:val="single" w:sz="8"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期权成本摊销</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（万元）</w:t>
            </w:r>
          </w:p>
        </w:tc>
        <w:tc>
          <w:tcPr>
            <w:tcW w:w="123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71"/>
              <w:ind w:left="380" w:right="0"/>
              <w:jc w:val="left"/>
              <w:rPr>
                <w:rFonts w:ascii="Times New Roman" w:hAnsi="Times New Roman" w:cs="Times New Roman" w:eastAsia="Times New Roman" w:hint="default"/>
                <w:sz w:val="21"/>
                <w:szCs w:val="21"/>
              </w:rPr>
            </w:pPr>
            <w:r>
              <w:rPr>
                <w:rFonts w:ascii="Times New Roman"/>
                <w:sz w:val="21"/>
              </w:rPr>
              <w:t>1,454.25</w:t>
            </w:r>
          </w:p>
        </w:tc>
        <w:tc>
          <w:tcPr>
            <w:tcW w:w="152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71"/>
              <w:ind w:left="562" w:right="0"/>
              <w:jc w:val="left"/>
              <w:rPr>
                <w:rFonts w:ascii="Times New Roman" w:hAnsi="Times New Roman" w:cs="Times New Roman" w:eastAsia="Times New Roman" w:hint="default"/>
                <w:sz w:val="21"/>
                <w:szCs w:val="21"/>
              </w:rPr>
            </w:pPr>
            <w:r>
              <w:rPr>
                <w:rFonts w:ascii="Times New Roman"/>
                <w:sz w:val="21"/>
              </w:rPr>
              <w:t>16,966.55</w:t>
            </w:r>
          </w:p>
        </w:tc>
        <w:tc>
          <w:tcPr>
            <w:tcW w:w="16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71"/>
              <w:ind w:left="647" w:right="0"/>
              <w:jc w:val="left"/>
              <w:rPr>
                <w:rFonts w:ascii="Times New Roman" w:hAnsi="Times New Roman" w:cs="Times New Roman" w:eastAsia="Times New Roman" w:hint="default"/>
                <w:sz w:val="21"/>
                <w:szCs w:val="21"/>
              </w:rPr>
            </w:pPr>
            <w:r>
              <w:rPr>
                <w:rFonts w:ascii="Times New Roman"/>
                <w:sz w:val="21"/>
              </w:rPr>
              <w:t>11,256.52</w:t>
            </w:r>
          </w:p>
        </w:tc>
        <w:tc>
          <w:tcPr>
            <w:tcW w:w="139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71"/>
              <w:ind w:left="546" w:right="0"/>
              <w:jc w:val="left"/>
              <w:rPr>
                <w:rFonts w:ascii="Times New Roman" w:hAnsi="Times New Roman" w:cs="Times New Roman" w:eastAsia="Times New Roman" w:hint="default"/>
                <w:sz w:val="21"/>
                <w:szCs w:val="21"/>
              </w:rPr>
            </w:pPr>
            <w:r>
              <w:rPr>
                <w:rFonts w:ascii="Times New Roman"/>
                <w:sz w:val="21"/>
              </w:rPr>
              <w:t>6,755.65</w:t>
            </w:r>
          </w:p>
        </w:tc>
        <w:tc>
          <w:tcPr>
            <w:tcW w:w="1477"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171"/>
              <w:ind w:left="623" w:right="0"/>
              <w:jc w:val="left"/>
              <w:rPr>
                <w:rFonts w:ascii="Times New Roman" w:hAnsi="Times New Roman" w:cs="Times New Roman" w:eastAsia="Times New Roman" w:hint="default"/>
                <w:sz w:val="21"/>
                <w:szCs w:val="21"/>
              </w:rPr>
            </w:pPr>
            <w:r>
              <w:rPr>
                <w:rFonts w:ascii="Times New Roman"/>
                <w:sz w:val="21"/>
              </w:rPr>
              <w:t>3,031.47</w:t>
            </w:r>
          </w:p>
        </w:tc>
      </w:tr>
    </w:tbl>
    <w:p>
      <w:pPr>
        <w:pStyle w:val="BodyText"/>
        <w:spacing w:line="293" w:lineRule="exact"/>
        <w:ind w:left="720" w:right="2202"/>
        <w:jc w:val="left"/>
      </w:pPr>
      <w:r>
        <w:rPr/>
        <w:t>报告期内，公司计提该项费用</w:t>
      </w:r>
      <w:r>
        <w:rPr>
          <w:spacing w:val="-60"/>
        </w:rPr>
        <w:t> </w:t>
      </w:r>
      <w:r>
        <w:rPr>
          <w:rFonts w:ascii="Times New Roman" w:hAnsi="Times New Roman" w:cs="Times New Roman" w:eastAsia="Times New Roman" w:hint="default"/>
        </w:rPr>
        <w:t>1,454.25 </w:t>
      </w:r>
      <w:r>
        <w:rPr/>
        <w:t>万元。</w:t>
      </w:r>
    </w:p>
    <w:p>
      <w:pPr>
        <w:pStyle w:val="BodyText"/>
        <w:spacing w:line="240" w:lineRule="auto" w:before="135"/>
        <w:ind w:left="720" w:right="2202"/>
        <w:jc w:val="left"/>
      </w:pPr>
      <w:r>
        <w:rPr/>
        <w:t>五、重大关联交易</w:t>
      </w:r>
    </w:p>
    <w:p>
      <w:pPr>
        <w:pStyle w:val="BodyText"/>
        <w:spacing w:line="240" w:lineRule="auto" w:before="154"/>
        <w:ind w:left="720" w:right="2202"/>
        <w:jc w:val="left"/>
      </w:pPr>
      <w:r>
        <w:rPr>
          <w:rFonts w:ascii="Times New Roman" w:hAnsi="Times New Roman" w:cs="Times New Roman" w:eastAsia="Times New Roman" w:hint="default"/>
        </w:rPr>
        <w:t>1</w:t>
      </w:r>
      <w:r>
        <w:rPr/>
        <w:t>、商标使用许可协议</w:t>
      </w:r>
    </w:p>
    <w:p>
      <w:pPr>
        <w:pStyle w:val="BodyText"/>
        <w:spacing w:line="350" w:lineRule="auto" w:before="135"/>
        <w:ind w:left="240" w:right="251" w:firstLine="48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t>日，经公司</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年年度股东大会审议通过了关于《商标使用许可 </w:t>
      </w:r>
      <w:r>
        <w:rPr>
          <w:spacing w:val="-4"/>
        </w:rPr>
        <w:t>的议案》，同意许可公司第二大发起人股东苏宁电器集团有限公司及其全资、控股子公</w:t>
      </w:r>
      <w:r>
        <w:rPr>
          <w:spacing w:val="-85"/>
        </w:rPr>
        <w:t> </w:t>
      </w:r>
      <w:r>
        <w:rPr>
          <w:spacing w:val="-85"/>
        </w:rPr>
      </w:r>
      <w:r>
        <w:rPr>
          <w:spacing w:val="-3"/>
        </w:rPr>
        <w:t>司和具有实际控制权的公司使用公司已注册的部分“蘇寧”系列注册商标以及部分“苏</w:t>
      </w:r>
      <w:r>
        <w:rPr>
          <w:spacing w:val="-96"/>
        </w:rPr>
        <w:t> </w:t>
      </w:r>
      <w:r>
        <w:rPr>
          <w:spacing w:val="-96"/>
        </w:rPr>
      </w:r>
      <w:r>
        <w:rPr/>
        <w:t>宁”及“</w:t>
      </w:r>
      <w:r>
        <w:rPr>
          <w:rFonts w:ascii="Times New Roman" w:hAnsi="Times New Roman" w:cs="Times New Roman" w:eastAsia="Times New Roman" w:hint="default"/>
        </w:rPr>
        <w:t>NS</w:t>
      </w:r>
      <w:r>
        <w:rPr/>
        <w:t>”组合的系列注册商标。若在后期的经营活动中，苏宁电器集团有限公司</w:t>
      </w:r>
      <w:r>
        <w:rPr>
          <w:spacing w:val="-50"/>
        </w:rPr>
        <w:t> </w:t>
      </w:r>
      <w:r>
        <w:rPr>
          <w:spacing w:val="-50"/>
        </w:rPr>
      </w:r>
      <w:r>
        <w:rPr>
          <w:spacing w:val="-3"/>
        </w:rPr>
        <w:t>及其全资、控股子公司和具有实际控制权的公司需要使用许可使用商标的延申商标，公</w:t>
      </w:r>
      <w:r>
        <w:rPr>
          <w:spacing w:val="-98"/>
        </w:rPr>
        <w:t> </w:t>
      </w:r>
      <w:r>
        <w:rPr>
          <w:spacing w:val="-98"/>
        </w:rPr>
      </w:r>
      <w:r>
        <w:rPr/>
        <w:t>司可代为申请注册，并许可其使用。</w:t>
      </w:r>
    </w:p>
    <w:p>
      <w:pPr>
        <w:pStyle w:val="BodyText"/>
        <w:spacing w:line="338" w:lineRule="auto" w:before="43"/>
        <w:ind w:left="240" w:right="250" w:firstLine="48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日，经公司</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年年度股东大会审议通过了关于《商标使用许可 </w:t>
      </w:r>
      <w:r>
        <w:rPr>
          <w:spacing w:val="-5"/>
        </w:rPr>
        <w:t>的议案》，许可苏宁电器集团有限公司及其直接或间接持有</w:t>
      </w:r>
      <w:r>
        <w:rPr>
          <w:spacing w:val="-55"/>
        </w:rPr>
        <w:t> </w:t>
      </w:r>
      <w:r>
        <w:rPr>
          <w:rFonts w:ascii="Times New Roman" w:hAnsi="Times New Roman" w:cs="Times New Roman" w:eastAsia="Times New Roman" w:hint="default"/>
          <w:spacing w:val="-1"/>
        </w:rPr>
        <w:t>20%</w:t>
      </w:r>
      <w:r>
        <w:rPr>
          <w:spacing w:val="-1"/>
        </w:rPr>
        <w:t>以上（含</w:t>
      </w:r>
      <w:r>
        <w:rPr>
          <w:spacing w:val="-55"/>
        </w:rPr>
        <w:t> </w:t>
      </w:r>
      <w:r>
        <w:rPr>
          <w:rFonts w:ascii="Times New Roman" w:hAnsi="Times New Roman" w:cs="Times New Roman" w:eastAsia="Times New Roman" w:hint="default"/>
          <w:spacing w:val="-1"/>
        </w:rPr>
        <w:t>20%</w:t>
      </w:r>
      <w:r>
        <w:rPr>
          <w:spacing w:val="-1"/>
        </w:rPr>
        <w:t>）股份的</w:t>
      </w:r>
      <w:r>
        <w:rPr/>
        <w:t> </w:t>
      </w:r>
      <w:r>
        <w:rPr>
          <w:spacing w:val="-4"/>
        </w:rPr>
        <w:t>公司（以下简称“子公司”）使用公司已注册的部分“苏宁”以及“苏宁”的汉语拼音</w:t>
      </w:r>
    </w:p>
    <w:p>
      <w:pPr>
        <w:spacing w:after="0" w:line="338" w:lineRule="auto"/>
        <w:jc w:val="both"/>
        <w:sectPr>
          <w:pgSz w:w="11910" w:h="16840"/>
          <w:pgMar w:header="748" w:footer="714" w:top="980" w:bottom="900" w:left="1200" w:right="1180"/>
        </w:sectPr>
      </w:pPr>
    </w:p>
    <w:p>
      <w:pPr>
        <w:spacing w:line="240" w:lineRule="auto" w:before="7"/>
        <w:rPr>
          <w:rFonts w:ascii="宋体" w:hAnsi="宋体" w:cs="宋体" w:eastAsia="宋体" w:hint="default"/>
          <w:sz w:val="29"/>
          <w:szCs w:val="29"/>
        </w:rPr>
      </w:pPr>
    </w:p>
    <w:p>
      <w:pPr>
        <w:pStyle w:val="BodyText"/>
        <w:spacing w:line="338" w:lineRule="auto" w:before="26"/>
        <w:ind w:left="139" w:right="234"/>
        <w:jc w:val="both"/>
      </w:pPr>
      <w:r>
        <w:rPr/>
        <w:t>“</w:t>
      </w:r>
      <w:r>
        <w:rPr>
          <w:rFonts w:ascii="Times New Roman" w:hAnsi="Times New Roman" w:cs="Times New Roman" w:eastAsia="Times New Roman" w:hint="default"/>
          <w:i/>
        </w:rPr>
        <w:t>SUNING</w:t>
      </w:r>
      <w:r>
        <w:rPr/>
        <w:t>”系列商标。若在后期的经营活动中，苏宁电器集团有限公司及其子公司需 要使用许可使用商标的延申商标，公司可代为申请注册，并许可其使用。</w:t>
      </w:r>
    </w:p>
    <w:p>
      <w:pPr>
        <w:pStyle w:val="BodyText"/>
        <w:spacing w:line="338" w:lineRule="auto" w:before="55"/>
        <w:ind w:left="139" w:right="216" w:firstLine="410"/>
        <w:jc w:val="left"/>
      </w:pPr>
      <w:r>
        <w:rPr/>
        <w:t>本报告期内，苏宁电器集团有限公司向公司支付了 </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39"/>
        </w:rPr>
        <w:t> </w:t>
      </w:r>
      <w:r>
        <w:rPr/>
        <w:t>年度商标使用许可 费 </w:t>
      </w:r>
      <w:r>
        <w:rPr>
          <w:rFonts w:ascii="Times New Roman" w:hAnsi="Times New Roman" w:cs="Times New Roman" w:eastAsia="Times New Roman" w:hint="default"/>
        </w:rPr>
        <w:t>200  </w:t>
      </w:r>
      <w:r>
        <w:rPr/>
        <w:t>万元。</w:t>
      </w:r>
    </w:p>
    <w:p>
      <w:pPr>
        <w:pStyle w:val="BodyText"/>
        <w:spacing w:line="240" w:lineRule="auto" w:before="27"/>
        <w:ind w:left="678" w:right="217"/>
        <w:jc w:val="left"/>
      </w:pPr>
      <w:r>
        <w:rPr>
          <w:rFonts w:ascii="Times New Roman" w:hAnsi="Times New Roman" w:cs="Times New Roman" w:eastAsia="Times New Roman" w:hint="default"/>
        </w:rPr>
        <w:t>2</w:t>
      </w:r>
      <w:r>
        <w:rPr/>
        <w:t>、租赁协议</w:t>
      </w:r>
    </w:p>
    <w:p>
      <w:pPr>
        <w:pStyle w:val="BodyText"/>
        <w:spacing w:line="240" w:lineRule="auto" w:before="135"/>
        <w:ind w:left="547" w:right="97"/>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2002</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t>日，公司签署《房屋租赁合同</w:t>
      </w:r>
      <w:r>
        <w:rPr>
          <w:spacing w:val="-120"/>
        </w:rPr>
        <w:t>》</w:t>
      </w:r>
      <w:r>
        <w:rPr/>
        <w:t>，承租苏宁电器集团有限公司</w:t>
      </w:r>
    </w:p>
    <w:p>
      <w:pPr>
        <w:pStyle w:val="BodyText"/>
        <w:spacing w:line="240" w:lineRule="auto" w:before="135"/>
        <w:ind w:left="139" w:right="0"/>
        <w:jc w:val="both"/>
      </w:pPr>
      <w:r>
        <w:rPr/>
        <w:t>位于南京市淮海路</w:t>
      </w:r>
      <w:r>
        <w:rPr>
          <w:spacing w:val="-57"/>
        </w:rPr>
        <w:t> </w:t>
      </w:r>
      <w:r>
        <w:rPr>
          <w:rFonts w:ascii="Times New Roman" w:hAnsi="Times New Roman" w:cs="Times New Roman" w:eastAsia="Times New Roman" w:hint="default"/>
        </w:rPr>
        <w:t>68</w:t>
      </w:r>
      <w:r>
        <w:rPr>
          <w:rFonts w:ascii="Times New Roman" w:hAnsi="Times New Roman" w:cs="Times New Roman" w:eastAsia="Times New Roman" w:hint="default"/>
          <w:spacing w:val="3"/>
        </w:rPr>
        <w:t> </w:t>
      </w:r>
      <w:r>
        <w:rPr>
          <w:spacing w:val="-3"/>
        </w:rPr>
        <w:t>号的苏宁电器大厦，租赁面积约为</w:t>
      </w:r>
      <w:r>
        <w:rPr>
          <w:spacing w:val="-57"/>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3"/>
        </w:rPr>
        <w:t> </w:t>
      </w:r>
      <w:r>
        <w:rPr/>
        <w:t>平方米做为商场和办公</w:t>
      </w:r>
    </w:p>
    <w:p>
      <w:pPr>
        <w:pStyle w:val="BodyText"/>
        <w:spacing w:line="240" w:lineRule="auto" w:before="135"/>
        <w:ind w:left="139" w:right="0"/>
        <w:jc w:val="both"/>
        <w:rPr>
          <w:rFonts w:ascii="Times New Roman" w:hAnsi="Times New Roman" w:cs="Times New Roman" w:eastAsia="Times New Roman" w:hint="default"/>
        </w:rPr>
      </w:pPr>
      <w:r>
        <w:rPr/>
        <w:t>用房</w:t>
      </w:r>
      <w:r>
        <w:rPr>
          <w:spacing w:val="-101"/>
        </w:rPr>
        <w:t>，</w:t>
      </w:r>
      <w:r>
        <w:rPr/>
        <w:t>租赁期自</w:t>
      </w:r>
      <w:r>
        <w:rPr>
          <w:spacing w:val="-60"/>
        </w:rPr>
        <w:t> </w:t>
      </w:r>
      <w:r>
        <w:rPr>
          <w:rFonts w:ascii="Times New Roman" w:hAnsi="Times New Roman" w:cs="Times New Roman" w:eastAsia="Times New Roman" w:hint="default"/>
        </w:rPr>
        <w:t>2002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日起至</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w:t>
      </w:r>
      <w:r>
        <w:rPr>
          <w:spacing w:val="-101"/>
        </w:rPr>
        <w:t>，</w:t>
      </w:r>
      <w:r>
        <w:rPr/>
        <w:t>第一年租金为人民币</w:t>
      </w:r>
      <w:r>
        <w:rPr>
          <w:spacing w:val="-60"/>
        </w:rPr>
        <w:t> </w:t>
      </w:r>
      <w:r>
        <w:rPr>
          <w:rFonts w:ascii="Times New Roman" w:hAnsi="Times New Roman" w:cs="Times New Roman" w:eastAsia="Times New Roman" w:hint="default"/>
        </w:rPr>
        <w:t>1,200</w:t>
      </w:r>
    </w:p>
    <w:p>
      <w:pPr>
        <w:pStyle w:val="BodyText"/>
        <w:spacing w:line="240" w:lineRule="auto" w:before="135"/>
        <w:ind w:left="139" w:right="0"/>
        <w:jc w:val="both"/>
      </w:pPr>
      <w:r>
        <w:rPr/>
        <w:t>万元人民币，以后每年递增</w:t>
      </w:r>
      <w:r>
        <w:rPr>
          <w:spacing w:val="-60"/>
        </w:rPr>
        <w:t> </w:t>
      </w:r>
      <w:r>
        <w:rPr>
          <w:rFonts w:ascii="Times New Roman" w:hAnsi="Times New Roman" w:cs="Times New Roman" w:eastAsia="Times New Roman" w:hint="default"/>
        </w:rPr>
        <w:t>2%</w:t>
      </w:r>
      <w:r>
        <w:rPr/>
        <w:t>。</w:t>
      </w:r>
    </w:p>
    <w:p>
      <w:pPr>
        <w:pStyle w:val="BodyText"/>
        <w:spacing w:line="240" w:lineRule="auto" w:before="135"/>
        <w:ind w:left="550" w:right="0"/>
        <w:jc w:val="left"/>
      </w:pPr>
      <w:r>
        <w:rPr/>
        <w:t>（</w:t>
      </w:r>
      <w:r>
        <w:rPr>
          <w:rFonts w:ascii="Times New Roman" w:hAnsi="Times New Roman" w:cs="Times New Roman" w:eastAsia="Times New Roman" w:hint="default"/>
        </w:rPr>
        <w:t>2</w:t>
      </w:r>
      <w:r>
        <w:rPr>
          <w:spacing w:val="-68"/>
        </w:rPr>
        <w:t>）</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 </w:t>
      </w:r>
      <w:r>
        <w:rPr/>
        <w:t>日</w:t>
      </w:r>
      <w:r>
        <w:rPr>
          <w:spacing w:val="-68"/>
        </w:rPr>
        <w:t>，</w:t>
      </w:r>
      <w:r>
        <w:rPr/>
        <w:t>公司与苏宁电器集团有限公司签订</w:t>
      </w:r>
      <w:r>
        <w:rPr>
          <w:spacing w:val="-68"/>
        </w:rPr>
        <w:t>了</w:t>
      </w:r>
      <w:r>
        <w:rPr/>
        <w:t>《房屋租赁补充协议</w:t>
      </w:r>
      <w:r>
        <w:rPr>
          <w:spacing w:val="-120"/>
        </w:rPr>
        <w:t>》</w:t>
      </w:r>
      <w:r>
        <w:rPr/>
        <w:t>，</w:t>
      </w:r>
    </w:p>
    <w:p>
      <w:pPr>
        <w:pStyle w:val="BodyText"/>
        <w:spacing w:line="240" w:lineRule="auto" w:before="135"/>
        <w:ind w:right="0"/>
        <w:jc w:val="both"/>
        <w:rPr>
          <w:rFonts w:ascii="Times New Roman" w:hAnsi="Times New Roman" w:cs="Times New Roman" w:eastAsia="Times New Roman" w:hint="default"/>
        </w:rPr>
      </w:pPr>
      <w:r>
        <w:rPr/>
        <w:t>增租苏宁电器大厦共计</w:t>
      </w:r>
      <w:r>
        <w:rPr>
          <w:spacing w:val="-58"/>
        </w:rPr>
        <w:t> </w:t>
      </w:r>
      <w:r>
        <w:rPr>
          <w:rFonts w:ascii="Times New Roman" w:hAnsi="Times New Roman" w:cs="Times New Roman" w:eastAsia="Times New Roman" w:hint="default"/>
        </w:rPr>
        <w:t>4,400</w:t>
      </w:r>
      <w:r>
        <w:rPr>
          <w:rFonts w:ascii="Times New Roman" w:hAnsi="Times New Roman" w:cs="Times New Roman" w:eastAsia="Times New Roman" w:hint="default"/>
          <w:spacing w:val="2"/>
        </w:rPr>
        <w:t> </w:t>
      </w:r>
      <w:r>
        <w:rPr/>
        <w:t>平方米的建筑面积，租赁期自</w:t>
      </w:r>
      <w:r>
        <w:rPr>
          <w:spacing w:val="-58"/>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58"/>
        </w:rPr>
        <w:t> </w:t>
      </w:r>
      <w:r>
        <w:rPr>
          <w:rFonts w:ascii="Times New Roman" w:hAnsi="Times New Roman" w:cs="Times New Roman" w:eastAsia="Times New Roman" w:hint="default"/>
          <w:spacing w:val="-3"/>
        </w:rPr>
        <w:t>2011</w:t>
      </w:r>
    </w:p>
    <w:p>
      <w:pPr>
        <w:pStyle w:val="BodyText"/>
        <w:spacing w:line="240" w:lineRule="auto" w:before="135"/>
        <w:ind w:right="0"/>
        <w:jc w:val="both"/>
      </w:pP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日止，第一年租金总额为人民币</w:t>
      </w:r>
      <w:r>
        <w:rPr>
          <w:spacing w:val="-60"/>
        </w:rPr>
        <w:t> </w:t>
      </w:r>
      <w:r>
        <w:rPr>
          <w:rFonts w:ascii="Times New Roman" w:hAnsi="Times New Roman" w:cs="Times New Roman" w:eastAsia="Times New Roman" w:hint="default"/>
        </w:rPr>
        <w:t>320 </w:t>
      </w:r>
      <w:r>
        <w:rPr/>
        <w:t>万元，以后每年递增</w:t>
      </w:r>
      <w:r>
        <w:rPr>
          <w:spacing w:val="-60"/>
        </w:rPr>
        <w:t> </w:t>
      </w:r>
      <w:r>
        <w:rPr>
          <w:rFonts w:ascii="Times New Roman" w:hAnsi="Times New Roman" w:cs="Times New Roman" w:eastAsia="Times New Roman" w:hint="default"/>
        </w:rPr>
        <w:t>2%</w:t>
      </w:r>
      <w:r>
        <w:rPr/>
        <w:t>。</w:t>
      </w:r>
    </w:p>
    <w:p>
      <w:pPr>
        <w:pStyle w:val="BodyText"/>
        <w:spacing w:line="240" w:lineRule="auto" w:before="135"/>
        <w:ind w:left="550" w:right="97"/>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日，公司与苏宁电器集团有限公司签订了《房屋租赁协议</w:t>
      </w:r>
      <w:r>
        <w:rPr>
          <w:spacing w:val="-120"/>
        </w:rPr>
        <w:t>》</w:t>
      </w:r>
      <w:r>
        <w:rPr/>
        <w:t>，</w:t>
      </w:r>
    </w:p>
    <w:p>
      <w:pPr>
        <w:pStyle w:val="BodyText"/>
        <w:spacing w:line="240" w:lineRule="auto" w:before="135"/>
        <w:ind w:right="0"/>
        <w:jc w:val="both"/>
      </w:pPr>
      <w:r>
        <w:rPr/>
        <w:t>租赁苏宁电器大厦建筑面积共计约</w:t>
      </w:r>
      <w:r>
        <w:rPr>
          <w:spacing w:val="-50"/>
        </w:rPr>
        <w:t> </w:t>
      </w:r>
      <w:r>
        <w:rPr>
          <w:rFonts w:ascii="Times New Roman" w:hAnsi="Times New Roman" w:cs="Times New Roman" w:eastAsia="Times New Roman" w:hint="default"/>
        </w:rPr>
        <w:t>1,300</w:t>
      </w:r>
      <w:r>
        <w:rPr>
          <w:rFonts w:ascii="Times New Roman" w:hAnsi="Times New Roman" w:cs="Times New Roman" w:eastAsia="Times New Roman" w:hint="default"/>
          <w:spacing w:val="10"/>
        </w:rPr>
        <w:t> </w:t>
      </w:r>
      <w:r>
        <w:rPr/>
        <w:t>平方米的房屋。租赁期自</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日起</w:t>
      </w:r>
    </w:p>
    <w:p>
      <w:pPr>
        <w:pStyle w:val="BodyText"/>
        <w:spacing w:line="240" w:lineRule="auto" w:before="135"/>
        <w:ind w:right="0"/>
        <w:jc w:val="both"/>
      </w:pPr>
      <w:r>
        <w:rPr/>
        <w:t>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日止，第一年租金总额为</w:t>
      </w:r>
      <w:r>
        <w:rPr>
          <w:spacing w:val="-60"/>
        </w:rPr>
        <w:t> </w:t>
      </w:r>
      <w:r>
        <w:rPr>
          <w:rFonts w:ascii="Times New Roman" w:hAnsi="Times New Roman" w:cs="Times New Roman" w:eastAsia="Times New Roman" w:hint="default"/>
          <w:spacing w:val="-3"/>
        </w:rPr>
        <w:t>110</w:t>
      </w:r>
      <w:r>
        <w:rPr>
          <w:rFonts w:ascii="Times New Roman" w:hAnsi="Times New Roman" w:cs="Times New Roman" w:eastAsia="Times New Roman" w:hint="default"/>
        </w:rPr>
        <w:t> </w:t>
      </w:r>
      <w:r>
        <w:rPr/>
        <w:t>万元，以后每年递增</w:t>
      </w:r>
      <w:r>
        <w:rPr>
          <w:spacing w:val="-60"/>
        </w:rPr>
        <w:t> </w:t>
      </w:r>
      <w:r>
        <w:rPr>
          <w:rFonts w:ascii="Times New Roman" w:hAnsi="Times New Roman" w:cs="Times New Roman" w:eastAsia="Times New Roman" w:hint="default"/>
        </w:rPr>
        <w:t>2%</w:t>
      </w:r>
      <w:r>
        <w:rPr/>
        <w:t>。</w:t>
      </w:r>
    </w:p>
    <w:p>
      <w:pPr>
        <w:pStyle w:val="BodyText"/>
        <w:spacing w:line="240" w:lineRule="auto" w:before="135"/>
        <w:ind w:left="550" w:right="97"/>
        <w:jc w:val="left"/>
      </w:pPr>
      <w:r>
        <w:rPr>
          <w:spacing w:val="-12"/>
        </w:rPr>
        <w:t>（</w:t>
      </w:r>
      <w:r>
        <w:rPr>
          <w:rFonts w:ascii="Times New Roman" w:hAnsi="Times New Roman" w:cs="Times New Roman" w:eastAsia="Times New Roman" w:hint="default"/>
          <w:spacing w:val="-12"/>
        </w:rPr>
        <w:t>4</w:t>
      </w:r>
      <w:r>
        <w:rPr>
          <w:spacing w:val="-12"/>
        </w:rPr>
        <w:t>）</w:t>
      </w:r>
      <w:r>
        <w:rPr>
          <w:rFonts w:ascii="Times New Roman" w:hAnsi="Times New Roman" w:cs="Times New Roman" w:eastAsia="Times New Roman" w:hint="default"/>
          <w:spacing w:val="-12"/>
        </w:rPr>
        <w:t>2007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9"/>
        </w:rPr>
        <w:t>日，公司与江苏苏宁银河国际购物广场有限公司（以下简称“苏</w:t>
      </w:r>
    </w:p>
    <w:p>
      <w:pPr>
        <w:pStyle w:val="BodyText"/>
        <w:spacing w:line="240" w:lineRule="auto" w:before="135"/>
        <w:ind w:right="0"/>
        <w:jc w:val="both"/>
      </w:pPr>
      <w:r>
        <w:rPr/>
        <w:t>宁银河国际</w:t>
      </w:r>
      <w:r>
        <w:rPr>
          <w:spacing w:val="-120"/>
        </w:rPr>
        <w:t>”</w:t>
      </w:r>
      <w:r>
        <w:rPr>
          <w:spacing w:val="-30"/>
        </w:rPr>
        <w:t>）</w:t>
      </w:r>
      <w:r>
        <w:rPr/>
        <w:t>签</w:t>
      </w:r>
      <w:r>
        <w:rPr>
          <w:spacing w:val="-30"/>
        </w:rPr>
        <w:t>订</w:t>
      </w:r>
      <w:r>
        <w:rPr>
          <w:spacing w:val="-2"/>
        </w:rPr>
        <w:t>《</w:t>
      </w:r>
      <w:r>
        <w:rPr/>
        <w:t>备忘录</w:t>
      </w:r>
      <w:r>
        <w:rPr>
          <w:spacing w:val="-120"/>
        </w:rPr>
        <w:t>》</w:t>
      </w:r>
      <w:r>
        <w:rPr>
          <w:spacing w:val="-30"/>
        </w:rPr>
        <w:t>，</w:t>
      </w:r>
      <w:r>
        <w:rPr/>
        <w:t>一致同意因经营需要提前解除</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18 </w:t>
      </w:r>
      <w:r>
        <w:rPr/>
        <w:t>日签订的</w:t>
      </w:r>
    </w:p>
    <w:p>
      <w:pPr>
        <w:pStyle w:val="BodyText"/>
        <w:spacing w:line="357" w:lineRule="auto" w:before="135"/>
        <w:ind w:right="232"/>
        <w:jc w:val="both"/>
        <w:rPr>
          <w:rFonts w:ascii="Times New Roman" w:hAnsi="Times New Roman" w:cs="Times New Roman" w:eastAsia="Times New Roman" w:hint="default"/>
        </w:rPr>
      </w:pPr>
      <w:r>
        <w:rPr>
          <w:spacing w:val="-9"/>
        </w:rPr>
        <w:t>《房屋租赁合同》，双方另行签订了新的《房屋租赁合同》，承租银河国际位于南京市中</w:t>
      </w:r>
      <w:r>
        <w:rPr>
          <w:spacing w:val="-99"/>
        </w:rPr>
        <w:t> </w:t>
      </w:r>
      <w:r>
        <w:rPr>
          <w:spacing w:val="-99"/>
        </w:rPr>
      </w:r>
      <w:r>
        <w:rPr/>
        <w:t>山南路 </w:t>
      </w:r>
      <w:r>
        <w:rPr>
          <w:rFonts w:ascii="Times New Roman" w:hAnsi="Times New Roman" w:cs="Times New Roman" w:eastAsia="Times New Roman" w:hint="default"/>
        </w:rPr>
        <w:t>49 </w:t>
      </w:r>
      <w:r>
        <w:rPr/>
        <w:t>号商茂世纪大厦一层至五层，共约 </w:t>
      </w:r>
      <w:r>
        <w:rPr>
          <w:rFonts w:ascii="Times New Roman" w:hAnsi="Times New Roman" w:cs="Times New Roman" w:eastAsia="Times New Roman" w:hint="default"/>
        </w:rPr>
        <w:t>17,600 </w:t>
      </w:r>
      <w:r>
        <w:rPr/>
        <w:t>平方米的面积，租赁期限自</w:t>
      </w:r>
      <w:r>
        <w:rPr>
          <w:spacing w:val="-30"/>
        </w:rPr>
        <w:t> </w:t>
      </w:r>
      <w:r>
        <w:rPr>
          <w:rFonts w:ascii="Times New Roman" w:hAnsi="Times New Roman" w:cs="Times New Roman" w:eastAsia="Times New Roman" w:hint="default"/>
        </w:rPr>
        <w:t>2007</w:t>
      </w:r>
    </w:p>
    <w:p>
      <w:pPr>
        <w:pStyle w:val="BodyText"/>
        <w:spacing w:line="240" w:lineRule="auto" w:before="5"/>
        <w:ind w:right="0"/>
        <w:jc w:val="both"/>
        <w:rPr>
          <w:rFonts w:ascii="Times New Roman" w:hAnsi="Times New Roman" w:cs="Times New Roman" w:eastAsia="Times New Roman" w:hint="default"/>
        </w:rPr>
      </w:pP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t>日起至</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t>日止，租赁费用为首年单价人民币</w:t>
      </w:r>
      <w:r>
        <w:rPr>
          <w:spacing w:val="-53"/>
        </w:rPr>
        <w:t> </w:t>
      </w:r>
      <w:r>
        <w:rPr>
          <w:rFonts w:ascii="Times New Roman" w:hAnsi="Times New Roman" w:cs="Times New Roman" w:eastAsia="Times New Roman" w:hint="default"/>
          <w:spacing w:val="-3"/>
        </w:rPr>
        <w:t>3.11</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p>
    <w:p>
      <w:pPr>
        <w:pStyle w:val="BodyText"/>
        <w:spacing w:line="338" w:lineRule="auto" w:before="135"/>
        <w:ind w:left="550" w:right="217" w:hanging="411"/>
        <w:jc w:val="left"/>
      </w:pPr>
      <w:r>
        <w:rPr/>
        <w:t>天，自第</w:t>
      </w:r>
      <w:r>
        <w:rPr>
          <w:spacing w:val="-60"/>
        </w:rPr>
        <w:t> </w:t>
      </w:r>
      <w:r>
        <w:rPr>
          <w:rFonts w:ascii="Times New Roman" w:hAnsi="Times New Roman" w:cs="Times New Roman" w:eastAsia="Times New Roman" w:hint="default"/>
        </w:rPr>
        <w:t>2 </w:t>
      </w:r>
      <w:r>
        <w:rPr/>
        <w:t>年起每</w:t>
      </w:r>
      <w:r>
        <w:rPr>
          <w:spacing w:val="-60"/>
        </w:rPr>
        <w:t> </w:t>
      </w:r>
      <w:r>
        <w:rPr>
          <w:rFonts w:ascii="Times New Roman" w:hAnsi="Times New Roman" w:cs="Times New Roman" w:eastAsia="Times New Roman" w:hint="default"/>
        </w:rPr>
        <w:t>3 </w:t>
      </w:r>
      <w:r>
        <w:rPr/>
        <w:t>年在上一年基础上递增</w:t>
      </w:r>
      <w:r>
        <w:rPr>
          <w:spacing w:val="-60"/>
        </w:rPr>
        <w:t> </w:t>
      </w:r>
      <w:r>
        <w:rPr>
          <w:rFonts w:ascii="Times New Roman" w:hAnsi="Times New Roman" w:cs="Times New Roman" w:eastAsia="Times New Roman" w:hint="default"/>
        </w:rPr>
        <w:t>5%</w:t>
      </w:r>
      <w:r>
        <w:rPr/>
        <w:t>。 </w:t>
      </w:r>
      <w:r>
        <w:rPr>
          <w:spacing w:val="-2"/>
        </w:rPr>
        <w:t>公司成立全资子公司南京白下苏宁电器有限公司（以下简称“白下苏宁”）负责位</w:t>
      </w:r>
      <w:r>
        <w:rPr/>
      </w:r>
    </w:p>
    <w:p>
      <w:pPr>
        <w:pStyle w:val="BodyText"/>
        <w:spacing w:line="338" w:lineRule="auto" w:before="55"/>
        <w:ind w:right="232"/>
        <w:jc w:val="both"/>
      </w:pPr>
      <w:r>
        <w:rPr/>
        <w:t>于商茂世纪大厦连锁店的运营。</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月，公司、银河国际、白下苏宁签署《合同</w:t>
      </w:r>
      <w:r>
        <w:rPr>
          <w:spacing w:val="-1"/>
        </w:rPr>
        <w:t> </w:t>
      </w:r>
      <w:r>
        <w:rPr>
          <w:spacing w:val="-9"/>
        </w:rPr>
        <w:t>主体变更三方协议》，同意由白下苏宁自</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5"/>
        </w:rPr>
        <w:t>日起承接新《房屋租赁合同》中</w:t>
      </w:r>
      <w:r>
        <w:rPr/>
        <w:t> 公司有关的各项权利义务，合同条款内容不变。</w:t>
      </w:r>
    </w:p>
    <w:p>
      <w:pPr>
        <w:pStyle w:val="BodyText"/>
        <w:spacing w:line="240" w:lineRule="auto" w:before="134"/>
        <w:ind w:left="119" w:right="361"/>
        <w:jc w:val="center"/>
      </w:pPr>
      <w:r>
        <w:rPr/>
        <w:t>（</w:t>
      </w:r>
      <w:r>
        <w:rPr>
          <w:rFonts w:ascii="Times New Roman" w:hAnsi="Times New Roman" w:cs="Times New Roman" w:eastAsia="Times New Roman" w:hint="default"/>
        </w:rPr>
        <w:t>4</w:t>
      </w:r>
      <w:r>
        <w:rPr/>
        <w:t>） 根据上述租赁协议，报告期内公司向关联方支付的租赁费情况如下：</w:t>
      </w:r>
    </w:p>
    <w:p>
      <w:pPr>
        <w:spacing w:before="137"/>
        <w:ind w:left="0" w:right="1287"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2"/>
        <w:rPr>
          <w:rFonts w:ascii="宋体" w:hAnsi="宋体" w:cs="宋体" w:eastAsia="宋体" w:hint="default"/>
          <w:sz w:val="8"/>
          <w:szCs w:val="8"/>
        </w:rPr>
      </w:pPr>
    </w:p>
    <w:tbl>
      <w:tblPr>
        <w:tblW w:w="0" w:type="auto"/>
        <w:jc w:val="left"/>
        <w:tblInd w:w="586" w:type="dxa"/>
        <w:tblLayout w:type="fixed"/>
        <w:tblCellMar>
          <w:top w:w="0" w:type="dxa"/>
          <w:left w:w="0" w:type="dxa"/>
          <w:bottom w:w="0" w:type="dxa"/>
          <w:right w:w="0" w:type="dxa"/>
        </w:tblCellMar>
        <w:tblLook w:val="01E0"/>
      </w:tblPr>
      <w:tblGrid>
        <w:gridCol w:w="2787"/>
        <w:gridCol w:w="4846"/>
      </w:tblGrid>
      <w:tr>
        <w:trPr>
          <w:trHeight w:val="794" w:hRule="exact"/>
        </w:trPr>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484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人民币千元</w:t>
            </w:r>
            <w:r>
              <w:rPr>
                <w:rFonts w:ascii="Times New Roman" w:hAnsi="Times New Roman" w:cs="Times New Roman" w:eastAsia="Times New Roman" w:hint="default"/>
                <w:w w:val="95"/>
                <w:sz w:val="18"/>
                <w:szCs w:val="18"/>
              </w:rPr>
              <w:t>)</w:t>
            </w:r>
            <w:r>
              <w:rPr>
                <w:rFonts w:ascii="Times New Roman" w:hAnsi="Times New Roman" w:cs="Times New Roman" w:eastAsia="Times New Roman" w:hint="default"/>
                <w:sz w:val="18"/>
                <w:szCs w:val="18"/>
              </w:rPr>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18,594</w:t>
            </w:r>
          </w:p>
        </w:tc>
      </w:tr>
      <w:tr>
        <w:trPr>
          <w:trHeight w:val="345" w:hRule="exact"/>
        </w:trPr>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苏宁银河国际</w:t>
            </w:r>
          </w:p>
        </w:tc>
        <w:tc>
          <w:tcPr>
            <w:tcW w:w="4846"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21,000</w:t>
            </w:r>
          </w:p>
        </w:tc>
      </w:tr>
      <w:tr>
        <w:trPr>
          <w:trHeight w:val="419" w:hRule="exact"/>
        </w:trPr>
        <w:tc>
          <w:tcPr>
            <w:tcW w:w="2787" w:type="dxa"/>
            <w:tcBorders>
              <w:top w:val="nil" w:sz="6" w:space="0" w:color="auto"/>
              <w:left w:val="nil" w:sz="6" w:space="0" w:color="auto"/>
              <w:bottom w:val="nil" w:sz="6" w:space="0" w:color="auto"/>
              <w:right w:val="nil" w:sz="6" w:space="0" w:color="auto"/>
            </w:tcBorders>
          </w:tcPr>
          <w:p>
            <w:pPr/>
          </w:p>
        </w:tc>
        <w:tc>
          <w:tcPr>
            <w:tcW w:w="4846" w:type="dxa"/>
            <w:tcBorders>
              <w:top w:val="single" w:sz="4" w:space="0" w:color="000000"/>
              <w:left w:val="nil" w:sz="6" w:space="0" w:color="auto"/>
              <w:bottom w:val="single" w:sz="12" w:space="0" w:color="000000"/>
              <w:right w:val="nil" w:sz="6" w:space="0" w:color="auto"/>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39,594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714" w:top="980" w:bottom="900" w:left="1300" w:right="1200"/>
        </w:sectPr>
      </w:pPr>
    </w:p>
    <w:p>
      <w:pPr>
        <w:spacing w:line="240" w:lineRule="auto" w:before="7"/>
        <w:rPr>
          <w:rFonts w:ascii="宋体" w:hAnsi="宋体" w:cs="宋体" w:eastAsia="宋体" w:hint="default"/>
          <w:sz w:val="29"/>
          <w:szCs w:val="29"/>
        </w:rPr>
      </w:pPr>
    </w:p>
    <w:p>
      <w:pPr>
        <w:pStyle w:val="BodyText"/>
        <w:spacing w:line="240" w:lineRule="auto" w:before="26"/>
        <w:ind w:left="740" w:right="153"/>
        <w:jc w:val="left"/>
      </w:pPr>
      <w:r>
        <w:rPr/>
        <w:t>六、公司重大合同及履行情况</w:t>
      </w:r>
    </w:p>
    <w:p>
      <w:pPr>
        <w:pStyle w:val="BodyText"/>
        <w:spacing w:line="357" w:lineRule="auto" w:before="154"/>
        <w:ind w:right="152" w:firstLine="480"/>
        <w:jc w:val="both"/>
      </w:pPr>
      <w:r>
        <w:rPr>
          <w:spacing w:val="-3"/>
        </w:rPr>
        <w:t>（一）报告期内，公司除正常租赁房屋进行连锁店建设外，未发生也未有以前期间</w:t>
      </w:r>
      <w:r>
        <w:rPr/>
        <w:t> </w:t>
      </w:r>
      <w:r>
        <w:rPr>
          <w:spacing w:val="-3"/>
        </w:rPr>
        <w:t>发生但延续到报告期的重大托管、承包、租赁其他公司资产或其他公司托管、承包、租</w:t>
      </w:r>
      <w:r>
        <w:rPr>
          <w:spacing w:val="-98"/>
        </w:rPr>
        <w:t> </w:t>
      </w:r>
      <w:r>
        <w:rPr>
          <w:spacing w:val="-98"/>
        </w:rPr>
      </w:r>
      <w:r>
        <w:rPr/>
        <w:t>赁上市公司资产事项。有关连锁店租赁房屋的合同已正常履行。</w:t>
      </w:r>
    </w:p>
    <w:p>
      <w:pPr>
        <w:pStyle w:val="BodyText"/>
        <w:spacing w:line="338" w:lineRule="auto" w:before="36"/>
        <w:ind w:right="103" w:firstLine="480"/>
        <w:jc w:val="both"/>
      </w:pPr>
      <w:r>
        <w:rPr/>
        <w:t>报告期内，公司也未签署超过</w:t>
      </w:r>
      <w:r>
        <w:rPr>
          <w:rFonts w:ascii="Times New Roman" w:hAnsi="Times New Roman" w:cs="Times New Roman" w:eastAsia="Times New Roman" w:hint="default"/>
        </w:rPr>
        <w:t>2010</w:t>
      </w:r>
      <w:r>
        <w:rPr/>
        <w:t>年主营业务收入</w:t>
      </w:r>
      <w:r>
        <w:rPr>
          <w:rFonts w:ascii="Times New Roman" w:hAnsi="Times New Roman" w:cs="Times New Roman" w:eastAsia="Times New Roman" w:hint="default"/>
        </w:rPr>
        <w:t>30%</w:t>
      </w:r>
      <w:r>
        <w:rPr/>
        <w:t>以上的日常经营重大合同， 有关连锁店租赁房屋的合同已正常履行。</w:t>
      </w:r>
    </w:p>
    <w:p>
      <w:pPr>
        <w:pStyle w:val="BodyText"/>
        <w:spacing w:line="357" w:lineRule="auto" w:before="55"/>
        <w:ind w:right="153" w:firstLine="480"/>
        <w:jc w:val="both"/>
      </w:pPr>
      <w:r>
        <w:rPr/>
        <w:t>（二）</w:t>
      </w:r>
      <w:r>
        <w:rPr>
          <w:spacing w:val="2"/>
        </w:rPr>
        <w:t> </w:t>
      </w:r>
      <w:r>
        <w:rPr/>
        <w:t>报告期内，公司未发生委托现金资产管理事项，也无以前委托现金资产管</w:t>
      </w:r>
      <w:r>
        <w:rPr/>
        <w:t> 理事项。</w:t>
      </w:r>
    </w:p>
    <w:p>
      <w:pPr>
        <w:pStyle w:val="BodyText"/>
        <w:spacing w:line="357" w:lineRule="auto" w:before="36"/>
        <w:ind w:right="153" w:firstLine="480"/>
        <w:jc w:val="both"/>
      </w:pPr>
      <w:r>
        <w:rPr/>
        <w:t>（三）</w:t>
      </w:r>
      <w:r>
        <w:rPr>
          <w:spacing w:val="2"/>
        </w:rPr>
        <w:t> </w:t>
      </w:r>
      <w:r>
        <w:rPr/>
        <w:t>报告期内，公司除对控股子公司进行担保外，不存在其他对外担保事项，</w:t>
      </w:r>
      <w:r>
        <w:rPr/>
        <w:t> 也不存在以前发生并延续到报告期的其他对外担保事项，具体情况如下：</w:t>
      </w:r>
    </w:p>
    <w:p>
      <w:pPr>
        <w:pStyle w:val="BodyText"/>
        <w:spacing w:line="240" w:lineRule="auto" w:before="36"/>
        <w:ind w:left="620" w:right="153"/>
        <w:jc w:val="left"/>
      </w:pPr>
      <w:r>
        <w:rPr>
          <w:rFonts w:ascii="Times New Roman" w:hAnsi="Times New Roman" w:cs="Times New Roman" w:eastAsia="Times New Roman" w:hint="default"/>
        </w:rPr>
        <w:t>1</w:t>
      </w:r>
      <w:r>
        <w:rPr/>
        <w:t>、报告期内，公司审议对外担保情况</w:t>
      </w:r>
    </w:p>
    <w:p>
      <w:pPr>
        <w:pStyle w:val="BodyText"/>
        <w:spacing w:line="345" w:lineRule="auto" w:before="135"/>
        <w:ind w:left="139" w:right="153"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14</w:t>
      </w:r>
      <w:r>
        <w:rPr>
          <w:rFonts w:ascii="Times New Roman" w:hAnsi="Times New Roman" w:cs="Times New Roman" w:eastAsia="Times New Roman" w:hint="default"/>
          <w:spacing w:val="-7"/>
        </w:rPr>
        <w:t> </w:t>
      </w:r>
      <w:r>
        <w:rPr/>
        <w:t>日，经公司第三届董事会第三十六次会议审议通过，同意公司为控 </w:t>
      </w:r>
      <w:r>
        <w:rPr>
          <w:spacing w:val="-3"/>
        </w:rPr>
        <w:t>股子公司—福建苏宁电器有限公司、安徽苏宁电器有限公司、武汉苏宁电器有限公司向</w:t>
      </w:r>
      <w:r>
        <w:rPr>
          <w:spacing w:val="-98"/>
        </w:rPr>
        <w:t> </w:t>
      </w:r>
      <w:r>
        <w:rPr>
          <w:spacing w:val="-98"/>
        </w:rPr>
      </w:r>
      <w:r>
        <w:rPr/>
        <w:t>银行融资分别提供最高额度为</w:t>
      </w:r>
      <w:r>
        <w:rPr>
          <w:spacing w:val="-68"/>
        </w:rPr>
        <w:t> </w:t>
      </w:r>
      <w:r>
        <w:rPr>
          <w:rFonts w:ascii="Times New Roman" w:hAnsi="Times New Roman" w:cs="Times New Roman" w:eastAsia="Times New Roman" w:hint="default"/>
        </w:rPr>
        <w:t>8,000</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10,500</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22,000</w:t>
      </w:r>
      <w:r>
        <w:rPr>
          <w:rFonts w:ascii="Times New Roman" w:hAnsi="Times New Roman" w:cs="Times New Roman" w:eastAsia="Times New Roman" w:hint="default"/>
          <w:spacing w:val="-8"/>
        </w:rPr>
        <w:t> </w:t>
      </w:r>
      <w:r>
        <w:rPr/>
        <w:t>万元的担保；为控股子 公司—湖南苏宁电器有限公司向银行融资再提供 </w:t>
      </w:r>
      <w:r>
        <w:rPr>
          <w:rFonts w:ascii="Times New Roman" w:hAnsi="Times New Roman" w:cs="Times New Roman" w:eastAsia="Times New Roman" w:hint="default"/>
        </w:rPr>
        <w:t>14,000</w:t>
      </w:r>
      <w:r>
        <w:rPr>
          <w:rFonts w:ascii="Times New Roman" w:hAnsi="Times New Roman" w:cs="Times New Roman" w:eastAsia="Times New Roman" w:hint="default"/>
          <w:spacing w:val="28"/>
        </w:rPr>
        <w:t> </w:t>
      </w:r>
      <w:r>
        <w:rPr/>
        <w:t>万元的担保；同意为全资子公</w:t>
      </w:r>
    </w:p>
    <w:p>
      <w:pPr>
        <w:pStyle w:val="BodyText"/>
        <w:spacing w:line="240" w:lineRule="auto" w:before="19"/>
        <w:ind w:left="139" w:right="0"/>
        <w:jc w:val="both"/>
      </w:pPr>
      <w:r>
        <w:rPr/>
        <w:t>司—香港苏宁电器有限公司向银行融资提供最高额度为</w:t>
      </w:r>
      <w:r>
        <w:rPr>
          <w:spacing w:val="-60"/>
        </w:rPr>
        <w:t> </w:t>
      </w:r>
      <w:r>
        <w:rPr>
          <w:rFonts w:ascii="Times New Roman" w:hAnsi="Times New Roman" w:cs="Times New Roman" w:eastAsia="Times New Roman" w:hint="default"/>
        </w:rPr>
        <w:t>30,000 </w:t>
      </w:r>
      <w:r>
        <w:rPr/>
        <w:t>万元的担保。</w:t>
      </w:r>
    </w:p>
    <w:p>
      <w:pPr>
        <w:pStyle w:val="BodyText"/>
        <w:spacing w:line="240" w:lineRule="auto" w:before="135"/>
        <w:ind w:left="619"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t>日，经公司第四届董事会第二次会议审议通过，同意公司为全资子</w:t>
      </w:r>
    </w:p>
    <w:p>
      <w:pPr>
        <w:pStyle w:val="BodyText"/>
        <w:spacing w:line="240" w:lineRule="auto" w:before="135"/>
        <w:ind w:left="139" w:right="0"/>
        <w:jc w:val="both"/>
      </w:pPr>
      <w:r>
        <w:rPr/>
        <w:t>公司—香港苏宁电器有限公司向银行融资再提供最高额度为 </w:t>
      </w:r>
      <w:r>
        <w:rPr>
          <w:rFonts w:ascii="Times New Roman" w:hAnsi="Times New Roman" w:cs="Times New Roman" w:eastAsia="Times New Roman" w:hint="default"/>
        </w:rPr>
        <w:t>20,000  </w:t>
      </w:r>
      <w:r>
        <w:rPr/>
        <w:t>万元的担保。</w:t>
      </w:r>
    </w:p>
    <w:p>
      <w:pPr>
        <w:pStyle w:val="BodyText"/>
        <w:spacing w:line="240" w:lineRule="auto" w:before="135"/>
        <w:ind w:left="619" w:right="153"/>
        <w:jc w:val="left"/>
      </w:pPr>
      <w:r>
        <w:rPr>
          <w:rFonts w:ascii="Times New Roman" w:hAnsi="Times New Roman" w:cs="Times New Roman" w:eastAsia="Times New Roman" w:hint="default"/>
        </w:rPr>
        <w:t>2</w:t>
      </w:r>
      <w:r>
        <w:rPr/>
        <w:t>、报告期内公司实际对外担保情况</w:t>
      </w:r>
    </w:p>
    <w:p>
      <w:pPr>
        <w:pStyle w:val="BodyText"/>
        <w:spacing w:line="240" w:lineRule="auto" w:before="135"/>
        <w:ind w:left="619" w:right="0"/>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2009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日，公司与交通银行股份有限公司安徽省分行签订了最高额保</w:t>
      </w:r>
    </w:p>
    <w:p>
      <w:pPr>
        <w:pStyle w:val="BodyText"/>
        <w:spacing w:line="240" w:lineRule="auto" w:before="135"/>
        <w:ind w:left="139" w:right="0"/>
        <w:jc w:val="both"/>
      </w:pPr>
      <w:r>
        <w:rPr>
          <w:spacing w:val="-6"/>
        </w:rPr>
        <w:t>证合同，为安徽苏宁电器有限公司自</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 </w:t>
      </w:r>
      <w:r>
        <w:rPr/>
        <w:t>日起至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 </w:t>
      </w:r>
      <w:r>
        <w:rPr/>
        <w:t>日期间的银行</w:t>
      </w:r>
    </w:p>
    <w:p>
      <w:pPr>
        <w:pStyle w:val="BodyText"/>
        <w:spacing w:line="240" w:lineRule="auto" w:before="135"/>
        <w:ind w:left="139" w:right="0"/>
        <w:jc w:val="both"/>
      </w:pPr>
      <w:r>
        <w:rPr/>
        <w:t>承兑汇票提供连带责任保证，最高额度为</w:t>
      </w:r>
      <w:r>
        <w:rPr>
          <w:spacing w:val="-76"/>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6"/>
        </w:rPr>
        <w:t> </w:t>
      </w:r>
      <w:r>
        <w:rPr/>
        <w:t>万元，安徽苏宁电器有限公司根据上述</w:t>
      </w:r>
    </w:p>
    <w:p>
      <w:pPr>
        <w:pStyle w:val="BodyText"/>
        <w:spacing w:line="338" w:lineRule="auto" w:before="135"/>
        <w:ind w:left="139" w:right="153"/>
        <w:jc w:val="both"/>
      </w:pPr>
      <w:r>
        <w:rPr/>
        <w:t>最高额保证合同及相关合同开具的承兑汇票于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9"/>
        </w:rPr>
        <w:t>日到期，已全部归还。公</w:t>
      </w:r>
      <w:r>
        <w:rPr/>
        <w:t> 司此项担保解除。</w:t>
      </w:r>
    </w:p>
    <w:p>
      <w:pPr>
        <w:pStyle w:val="BodyText"/>
        <w:spacing w:line="240" w:lineRule="auto" w:before="55"/>
        <w:ind w:left="619"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日，公司与交通银行股份有限公司安徽省分行签订了最高额保证合</w:t>
      </w:r>
    </w:p>
    <w:p>
      <w:pPr>
        <w:pStyle w:val="BodyText"/>
        <w:spacing w:line="240" w:lineRule="auto" w:before="135"/>
        <w:ind w:left="139" w:right="0"/>
        <w:jc w:val="both"/>
      </w:pPr>
      <w:r>
        <w:rPr>
          <w:spacing w:val="-6"/>
        </w:rPr>
        <w:t>同，为安徽苏宁电器有限公司自</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15 </w:t>
      </w:r>
      <w:r>
        <w:rPr/>
        <w:t>日起至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15 </w:t>
      </w:r>
      <w:r>
        <w:rPr/>
        <w:t>日期间开具的银</w:t>
      </w:r>
    </w:p>
    <w:p>
      <w:pPr>
        <w:pStyle w:val="BodyText"/>
        <w:spacing w:line="348" w:lineRule="auto" w:before="135"/>
        <w:ind w:left="139" w:right="151"/>
        <w:jc w:val="both"/>
      </w:pPr>
      <w:r>
        <w:rPr/>
        <w:t>行承兑汇票提供连带责任保证，最高额度为</w:t>
      </w:r>
      <w:r>
        <w:rPr>
          <w:spacing w:val="-61"/>
        </w:rPr>
        <w:t> </w:t>
      </w:r>
      <w:r>
        <w:rPr>
          <w:rFonts w:ascii="Times New Roman" w:hAnsi="Times New Roman" w:cs="Times New Roman" w:eastAsia="Times New Roman" w:hint="default"/>
        </w:rPr>
        <w:t>10,500</w:t>
      </w:r>
      <w:r>
        <w:rPr>
          <w:rFonts w:ascii="Times New Roman" w:hAnsi="Times New Roman" w:cs="Times New Roman" w:eastAsia="Times New Roman" w:hint="default"/>
          <w:spacing w:val="-1"/>
        </w:rPr>
        <w:t> </w:t>
      </w:r>
      <w:r>
        <w:rPr>
          <w:spacing w:val="-3"/>
        </w:rPr>
        <w:t>万元。截至</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4"/>
        </w:rPr>
        <w:t>日，安</w:t>
      </w:r>
      <w:r>
        <w:rPr/>
        <w:t> </w:t>
      </w:r>
      <w:r>
        <w:rPr>
          <w:spacing w:val="3"/>
        </w:rPr>
        <w:t>徽苏宁电器有限公司根据上述最高额保证合同及相关合同开具的银行承兑汇票尚未到</w:t>
      </w:r>
      <w:r>
        <w:rPr>
          <w:spacing w:val="-94"/>
        </w:rPr>
        <w:t> </w:t>
      </w:r>
      <w:r>
        <w:rPr>
          <w:spacing w:val="-94"/>
        </w:rPr>
      </w:r>
      <w:r>
        <w:rPr/>
        <w:t>期，公司继续为其提供连带责任保证。</w:t>
      </w:r>
    </w:p>
    <w:p>
      <w:pPr>
        <w:pStyle w:val="BodyText"/>
        <w:spacing w:line="240" w:lineRule="auto" w:before="46"/>
        <w:ind w:left="619" w:right="0"/>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2009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日，公司与中信银行股份有限公司武汉分行签订了最高额保证</w:t>
      </w:r>
    </w:p>
    <w:p>
      <w:pPr>
        <w:pStyle w:val="BodyText"/>
        <w:spacing w:line="240" w:lineRule="auto" w:before="135"/>
        <w:ind w:left="139" w:right="0"/>
        <w:jc w:val="both"/>
      </w:pPr>
      <w:r>
        <w:rPr>
          <w:spacing w:val="-7"/>
        </w:rPr>
        <w:t>合同，为武汉苏宁电器有限公司自</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日起至</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日期间的银行</w:t>
      </w:r>
    </w:p>
    <w:p>
      <w:pPr>
        <w:spacing w:after="0" w:line="240" w:lineRule="auto"/>
        <w:jc w:val="both"/>
        <w:sectPr>
          <w:pgSz w:w="11910" w:h="16840"/>
          <w:pgMar w:header="748" w:footer="714" w:top="980" w:bottom="900" w:left="1300" w:right="128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授信提供连带责任保证，最高额度为</w:t>
      </w:r>
      <w:r>
        <w:rPr>
          <w:spacing w:val="-76"/>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6"/>
        </w:rPr>
        <w:t> </w:t>
      </w:r>
      <w:r>
        <w:rPr/>
        <w:t>万元。武汉苏宁电器有限公司根据上述最高</w:t>
      </w:r>
    </w:p>
    <w:p>
      <w:pPr>
        <w:pStyle w:val="BodyText"/>
        <w:spacing w:line="338" w:lineRule="auto" w:before="135"/>
        <w:ind w:right="193"/>
        <w:jc w:val="both"/>
      </w:pPr>
      <w:r>
        <w:rPr/>
        <w:t>额保证合同及相关合同开具的承兑汇票于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spacing w:val="-8"/>
        </w:rPr>
        <w:t>日到期，已全部归还。公司此</w:t>
      </w:r>
      <w:r>
        <w:rPr/>
        <w:t> 项担保解除。</w:t>
      </w:r>
    </w:p>
    <w:p>
      <w:pPr>
        <w:pStyle w:val="BodyText"/>
        <w:spacing w:line="240" w:lineRule="auto" w:before="55"/>
        <w:ind w:left="709" w:right="165"/>
        <w:jc w:val="center"/>
      </w:pP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32"/>
        </w:rPr>
        <w:t> </w:t>
      </w:r>
      <w:r>
        <w:rPr/>
        <w:t>日，公司与汉口银行青年路支行签订了最高额保证合同，为武汉</w:t>
      </w:r>
    </w:p>
    <w:p>
      <w:pPr>
        <w:pStyle w:val="BodyText"/>
        <w:spacing w:line="240" w:lineRule="auto" w:before="135"/>
        <w:ind w:right="0"/>
        <w:jc w:val="both"/>
      </w:pPr>
      <w:r>
        <w:rPr/>
        <w:t>苏宁电器有限公司自</w:t>
      </w:r>
      <w:r>
        <w:rPr>
          <w:spacing w:val="-6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70"/>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日起至</w:t>
      </w:r>
      <w:r>
        <w:rPr>
          <w:spacing w:val="-6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70"/>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日期间的银行授信提供连带</w:t>
      </w:r>
    </w:p>
    <w:p>
      <w:pPr>
        <w:pStyle w:val="BodyText"/>
        <w:spacing w:line="240" w:lineRule="auto" w:before="135"/>
        <w:ind w:left="139" w:right="0"/>
        <w:jc w:val="both"/>
      </w:pPr>
      <w:r>
        <w:rPr/>
        <w:t>责任保证，最高额度为</w:t>
      </w:r>
      <w:r>
        <w:rPr>
          <w:spacing w:val="-76"/>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6"/>
        </w:rPr>
        <w:t> </w:t>
      </w:r>
      <w:r>
        <w:rPr/>
        <w:t>万元。武汉苏宁电器有限公司根据上述最高额保证合同及</w:t>
      </w:r>
    </w:p>
    <w:p>
      <w:pPr>
        <w:pStyle w:val="BodyText"/>
        <w:spacing w:line="240" w:lineRule="auto" w:before="135"/>
        <w:ind w:left="139" w:right="0"/>
        <w:jc w:val="both"/>
      </w:pPr>
      <w:r>
        <w:rPr/>
        <w:t>相关合同开具的承兑汇票于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27 </w:t>
      </w:r>
      <w:r>
        <w:rPr/>
        <w:t>日到期，已全部归还。公司此项担保解除。</w:t>
      </w:r>
    </w:p>
    <w:p>
      <w:pPr>
        <w:pStyle w:val="BodyText"/>
        <w:spacing w:line="240" w:lineRule="auto" w:before="135"/>
        <w:ind w:left="620" w:right="84"/>
        <w:jc w:val="left"/>
      </w:pP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20 </w:t>
      </w:r>
      <w:r>
        <w:rPr/>
        <w:t>日，</w:t>
      </w:r>
      <w:r>
        <w:rPr>
          <w:spacing w:val="-32"/>
        </w:rPr>
        <w:t> </w:t>
      </w:r>
      <w:r>
        <w:rPr/>
        <w:t>公司与招商银行股份有限公司武汉循礼门支行签订最高额不</w:t>
      </w:r>
    </w:p>
    <w:p>
      <w:pPr>
        <w:pStyle w:val="BodyText"/>
        <w:spacing w:line="240" w:lineRule="auto" w:before="135"/>
        <w:ind w:right="0"/>
        <w:jc w:val="both"/>
        <w:rPr>
          <w:rFonts w:ascii="Times New Roman" w:hAnsi="Times New Roman" w:cs="Times New Roman" w:eastAsia="Times New Roman" w:hint="default"/>
        </w:rPr>
      </w:pPr>
      <w:r>
        <w:rPr/>
        <w:t>可撤销担保书，公司为武汉苏宁电器有限公司自</w:t>
      </w:r>
      <w:r>
        <w:rPr>
          <w:spacing w:val="-4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月</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18"/>
        </w:rPr>
        <w:t> </w:t>
      </w:r>
      <w:r>
        <w:rPr/>
        <w:t>日至</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8"/>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月</w:t>
      </w:r>
      <w:r>
        <w:rPr>
          <w:spacing w:val="-42"/>
        </w:rPr>
        <w:t> </w:t>
      </w:r>
      <w:r>
        <w:rPr>
          <w:rFonts w:ascii="Times New Roman" w:hAnsi="Times New Roman" w:cs="Times New Roman" w:eastAsia="Times New Roman" w:hint="default"/>
        </w:rPr>
        <w:t>19</w:t>
      </w:r>
    </w:p>
    <w:p>
      <w:pPr>
        <w:pStyle w:val="BodyText"/>
        <w:spacing w:line="240" w:lineRule="auto" w:before="135"/>
        <w:ind w:left="139" w:right="0"/>
        <w:jc w:val="both"/>
      </w:pPr>
      <w:r>
        <w:rPr/>
        <w:t>日期间的银行授信提供连带责任保证，最高额度为 </w:t>
      </w:r>
      <w:r>
        <w:rPr>
          <w:rFonts w:ascii="Times New Roman" w:hAnsi="Times New Roman" w:cs="Times New Roman" w:eastAsia="Times New Roman" w:hint="default"/>
        </w:rPr>
        <w:t>10,000</w:t>
      </w:r>
      <w:r>
        <w:rPr>
          <w:rFonts w:ascii="Times New Roman" w:hAnsi="Times New Roman" w:cs="Times New Roman" w:eastAsia="Times New Roman" w:hint="default"/>
          <w:spacing w:val="28"/>
        </w:rPr>
        <w:t> </w:t>
      </w:r>
      <w:r>
        <w:rPr/>
        <w:t>万元。武汉苏宁电器有限公</w:t>
      </w:r>
    </w:p>
    <w:p>
      <w:pPr>
        <w:pStyle w:val="BodyText"/>
        <w:spacing w:line="338" w:lineRule="auto" w:before="135"/>
        <w:ind w:left="139" w:right="193"/>
        <w:jc w:val="both"/>
      </w:pPr>
      <w:r>
        <w:rPr/>
        <w:t>司根据上述最高额保证合同及相关合同开具的承兑汇票于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28 </w:t>
      </w:r>
      <w:r>
        <w:rPr>
          <w:spacing w:val="-16"/>
        </w:rPr>
        <w:t>日到期，已全</w:t>
      </w:r>
      <w:r>
        <w:rPr/>
        <w:t> 部归还。公司此项担保解除。</w:t>
      </w:r>
    </w:p>
    <w:p>
      <w:pPr>
        <w:pStyle w:val="BodyText"/>
        <w:spacing w:line="240" w:lineRule="auto" w:before="55"/>
        <w:ind w:left="619" w:right="84"/>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日，公司与中国银行股份有限公司武汉江汉支行签订了最高额保证</w:t>
      </w:r>
    </w:p>
    <w:p>
      <w:pPr>
        <w:pStyle w:val="BodyText"/>
        <w:spacing w:line="240" w:lineRule="auto" w:before="135"/>
        <w:ind w:left="139" w:right="0"/>
        <w:jc w:val="both"/>
      </w:pPr>
      <w:r>
        <w:rPr>
          <w:spacing w:val="-6"/>
        </w:rPr>
        <w:t>合同，为武汉苏宁电器有限公司自</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14 </w:t>
      </w:r>
      <w:r>
        <w:rPr/>
        <w:t>日起至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14 </w:t>
      </w:r>
      <w:r>
        <w:rPr/>
        <w:t>日期间开具的</w:t>
      </w:r>
    </w:p>
    <w:p>
      <w:pPr>
        <w:pStyle w:val="BodyText"/>
        <w:spacing w:line="348" w:lineRule="auto" w:before="135"/>
        <w:ind w:right="162"/>
        <w:jc w:val="both"/>
      </w:pPr>
      <w:r>
        <w:rPr/>
        <w:t>银行承兑汇票提供连带责任保证，最高额度为</w:t>
      </w:r>
      <w:r>
        <w:rPr>
          <w:spacing w:val="-60"/>
        </w:rPr>
        <w:t> </w:t>
      </w:r>
      <w:r>
        <w:rPr>
          <w:rFonts w:ascii="Times New Roman" w:hAnsi="Times New Roman" w:cs="Times New Roman" w:eastAsia="Times New Roman" w:hint="default"/>
        </w:rPr>
        <w:t>15,000 </w:t>
      </w:r>
      <w:r>
        <w:rPr/>
        <w:t>万元。截至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 </w:t>
      </w:r>
      <w:r>
        <w:rPr>
          <w:spacing w:val="3"/>
        </w:rPr>
        <w:t>武汉苏宁电器有限公司根据上述最高额保证合同及相关合同开具的银行承兑汇票尚未</w:t>
      </w:r>
      <w:r>
        <w:rPr>
          <w:spacing w:val="-94"/>
        </w:rPr>
        <w:t> </w:t>
      </w:r>
      <w:r>
        <w:rPr>
          <w:spacing w:val="-94"/>
        </w:rPr>
      </w:r>
      <w:r>
        <w:rPr/>
        <w:t>到期，公司继续为其提供连带责任保证。</w:t>
      </w:r>
    </w:p>
    <w:p>
      <w:pPr>
        <w:pStyle w:val="BodyText"/>
        <w:spacing w:line="240" w:lineRule="auto" w:before="46"/>
        <w:ind w:left="620" w:right="84"/>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32"/>
        </w:rPr>
        <w:t> </w:t>
      </w:r>
      <w:r>
        <w:rPr/>
        <w:t>日，公司与福州市商业银行股份有限公司怡丰支行签订最高</w:t>
      </w:r>
    </w:p>
    <w:p>
      <w:pPr>
        <w:pStyle w:val="BodyText"/>
        <w:spacing w:line="240" w:lineRule="auto" w:before="135"/>
        <w:ind w:right="0"/>
        <w:jc w:val="both"/>
      </w:pPr>
      <w:r>
        <w:rPr/>
        <w:t>额保证合同，为福建苏宁电器有限公司自</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日起至</w:t>
      </w:r>
      <w:r>
        <w:rPr>
          <w:spacing w:val="-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日期</w:t>
      </w:r>
    </w:p>
    <w:p>
      <w:pPr>
        <w:pStyle w:val="BodyText"/>
        <w:spacing w:line="240" w:lineRule="auto" w:before="135"/>
        <w:ind w:right="0"/>
        <w:jc w:val="both"/>
      </w:pPr>
      <w:r>
        <w:rPr/>
        <w:t>间开具的银行承兑汇票提供连带责任担保，最高额度为</w:t>
      </w:r>
      <w:r>
        <w:rPr>
          <w:spacing w:val="-76"/>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6"/>
        </w:rPr>
        <w:t> </w:t>
      </w:r>
      <w:r>
        <w:rPr/>
        <w:t>万元，福建苏宁电器有限</w:t>
      </w:r>
    </w:p>
    <w:p>
      <w:pPr>
        <w:pStyle w:val="BodyText"/>
        <w:spacing w:line="338" w:lineRule="auto" w:before="135"/>
        <w:ind w:right="193"/>
        <w:jc w:val="both"/>
      </w:pPr>
      <w:r>
        <w:rPr/>
        <w:t>公司根据上述最高额保证合同及相关合同开具的承兑汇票于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30 </w:t>
      </w:r>
      <w:r>
        <w:rPr>
          <w:spacing w:val="-19"/>
        </w:rPr>
        <w:t>日到期，已</w:t>
      </w:r>
      <w:r>
        <w:rPr/>
        <w:t> 全部归还。公司此项担保解除。</w:t>
      </w:r>
    </w:p>
    <w:p>
      <w:pPr>
        <w:pStyle w:val="BodyText"/>
        <w:spacing w:line="240" w:lineRule="auto" w:before="55"/>
        <w:ind w:left="620" w:right="84"/>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32"/>
        </w:rPr>
        <w:t> </w:t>
      </w:r>
      <w:r>
        <w:rPr/>
        <w:t>日，公司与交通银行股份有限公司广西壮族自治区分行签订</w:t>
      </w:r>
    </w:p>
    <w:p>
      <w:pPr>
        <w:pStyle w:val="BodyText"/>
        <w:spacing w:line="240" w:lineRule="auto" w:before="135"/>
        <w:ind w:right="0"/>
        <w:jc w:val="both"/>
        <w:rPr>
          <w:rFonts w:ascii="Times New Roman" w:hAnsi="Times New Roman" w:cs="Times New Roman" w:eastAsia="Times New Roman" w:hint="default"/>
        </w:rPr>
      </w:pPr>
      <w:r>
        <w:rPr/>
        <w:t>了最高额保证合同，为广西苏宁电器有限公司自</w:t>
      </w:r>
      <w:r>
        <w:rPr>
          <w:spacing w:val="-4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日起至</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8"/>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月</w:t>
      </w:r>
      <w:r>
        <w:rPr>
          <w:spacing w:val="-42"/>
        </w:rPr>
        <w:t> </w:t>
      </w:r>
      <w:r>
        <w:rPr>
          <w:rFonts w:ascii="Times New Roman" w:hAnsi="Times New Roman" w:cs="Times New Roman" w:eastAsia="Times New Roman" w:hint="default"/>
        </w:rPr>
        <w:t>1</w:t>
      </w:r>
    </w:p>
    <w:p>
      <w:pPr>
        <w:pStyle w:val="BodyText"/>
        <w:spacing w:line="240" w:lineRule="auto" w:before="135"/>
        <w:ind w:right="0"/>
        <w:jc w:val="both"/>
      </w:pPr>
      <w:r>
        <w:rPr/>
        <w:t>日期间的银行授信提供连带责任保证，最高额度为</w:t>
      </w:r>
      <w:r>
        <w:rPr>
          <w:spacing w:val="-76"/>
        </w:rPr>
        <w:t> </w:t>
      </w:r>
      <w:r>
        <w:rPr>
          <w:rFonts w:ascii="Times New Roman" w:hAnsi="Times New Roman" w:cs="Times New Roman" w:eastAsia="Times New Roman" w:hint="default"/>
        </w:rPr>
        <w:t>7,700</w:t>
      </w:r>
      <w:r>
        <w:rPr>
          <w:rFonts w:ascii="Times New Roman" w:hAnsi="Times New Roman" w:cs="Times New Roman" w:eastAsia="Times New Roman" w:hint="default"/>
          <w:spacing w:val="-16"/>
        </w:rPr>
        <w:t> </w:t>
      </w:r>
      <w:r>
        <w:rPr/>
        <w:t>万元。广西苏宁电器有限公司</w:t>
      </w:r>
    </w:p>
    <w:p>
      <w:pPr>
        <w:pStyle w:val="BodyText"/>
        <w:spacing w:line="338" w:lineRule="auto" w:before="135"/>
        <w:ind w:right="193"/>
        <w:jc w:val="both"/>
      </w:pPr>
      <w:r>
        <w:rPr/>
        <w:t>根据上述最高额保证合同及相关合同开具的承兑汇票于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17 </w:t>
      </w:r>
      <w:r>
        <w:rPr>
          <w:spacing w:val="-14"/>
        </w:rPr>
        <w:t>日到期，已全部</w:t>
      </w:r>
      <w:r>
        <w:rPr/>
        <w:t> 归还。公司此项担保解除。</w:t>
      </w:r>
    </w:p>
    <w:p>
      <w:pPr>
        <w:pStyle w:val="BodyText"/>
        <w:spacing w:line="338" w:lineRule="auto" w:before="55"/>
        <w:ind w:right="180" w:firstLine="480"/>
        <w:jc w:val="left"/>
      </w:pPr>
      <w:r>
        <w:rPr>
          <w:spacing w:val="-3"/>
        </w:rPr>
        <w:t>（</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2009</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16 </w:t>
      </w:r>
      <w:r>
        <w:rPr/>
        <w:t>日，</w:t>
      </w:r>
      <w:r>
        <w:rPr>
          <w:spacing w:val="-15"/>
        </w:rPr>
        <w:t> </w:t>
      </w:r>
      <w:r>
        <w:rPr/>
        <w:t>公司与交通银行股份有限公司上海市分行签订了最高额</w:t>
      </w:r>
      <w:r>
        <w:rPr/>
        <w:t> </w:t>
      </w:r>
      <w:r>
        <w:rPr>
          <w:spacing w:val="-6"/>
        </w:rPr>
        <w:t>保证合同，为上海苏宁电器有限公司自</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16 </w:t>
      </w:r>
      <w:r>
        <w:rPr/>
        <w:t>日起至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16 </w:t>
      </w:r>
      <w:r>
        <w:rPr/>
        <w:t>日期间开</w:t>
      </w:r>
    </w:p>
    <w:p>
      <w:pPr>
        <w:pStyle w:val="BodyText"/>
        <w:spacing w:line="240" w:lineRule="auto" w:before="27"/>
        <w:ind w:right="0"/>
        <w:jc w:val="both"/>
      </w:pPr>
      <w:r>
        <w:rPr/>
        <w:t>具的银行承兑汇票提供连带责任保证，最高额度为 </w:t>
      </w:r>
      <w:r>
        <w:rPr>
          <w:rFonts w:ascii="Times New Roman" w:hAnsi="Times New Roman" w:cs="Times New Roman" w:eastAsia="Times New Roman" w:hint="default"/>
        </w:rPr>
        <w:t>40,000</w:t>
      </w:r>
      <w:r>
        <w:rPr>
          <w:rFonts w:ascii="Times New Roman" w:hAnsi="Times New Roman" w:cs="Times New Roman" w:eastAsia="Times New Roman" w:hint="default"/>
          <w:spacing w:val="28"/>
        </w:rPr>
        <w:t> </w:t>
      </w:r>
      <w:r>
        <w:rPr/>
        <w:t>万元。上海苏宁电器有限公</w:t>
      </w:r>
    </w:p>
    <w:p>
      <w:pPr>
        <w:pStyle w:val="BodyText"/>
        <w:spacing w:line="240" w:lineRule="auto" w:before="135"/>
        <w:ind w:right="0"/>
        <w:jc w:val="both"/>
      </w:pPr>
      <w:r>
        <w:rPr/>
        <w:t>司根据上述最高额保证合同及相关合同开具的承兑汇票于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26 </w:t>
      </w:r>
      <w:r>
        <w:rPr>
          <w:spacing w:val="-16"/>
        </w:rPr>
        <w:t>日到期，已全</w:t>
      </w:r>
    </w:p>
    <w:p>
      <w:pPr>
        <w:spacing w:after="0" w:line="240" w:lineRule="auto"/>
        <w:jc w:val="both"/>
        <w:sectPr>
          <w:footerReference w:type="default" r:id="rId45"/>
          <w:pgSz w:w="11910" w:h="16840"/>
          <w:pgMar w:footer="714" w:header="748" w:top="980" w:bottom="900" w:left="1300" w:right="1240"/>
          <w:pgNumType w:start="91"/>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部归还。公司此项担保解除。</w:t>
      </w:r>
    </w:p>
    <w:p>
      <w:pPr>
        <w:pStyle w:val="BodyText"/>
        <w:spacing w:line="240" w:lineRule="auto" w:before="154"/>
        <w:ind w:left="620" w:right="97"/>
        <w:jc w:val="left"/>
      </w:pPr>
      <w:r>
        <w:rPr>
          <w:spacing w:val="-3"/>
        </w:rPr>
        <w:t>（</w:t>
      </w: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2009 </w:t>
      </w:r>
      <w:r>
        <w:rPr/>
        <w:t>年</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日，公司与交通银行股份有限公司长沙分行府中支行签订了最</w:t>
      </w:r>
    </w:p>
    <w:p>
      <w:pPr>
        <w:pStyle w:val="BodyText"/>
        <w:spacing w:line="240" w:lineRule="auto" w:before="135"/>
        <w:ind w:right="0"/>
        <w:jc w:val="both"/>
      </w:pPr>
      <w:r>
        <w:rPr>
          <w:spacing w:val="-5"/>
        </w:rPr>
        <w:t>高额保证合同，为湖南苏宁电器有限公司自</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4 </w:t>
      </w:r>
      <w:r>
        <w:rPr/>
        <w:t>日起至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4 </w:t>
      </w:r>
      <w:r>
        <w:rPr/>
        <w:t>日期间</w:t>
      </w:r>
    </w:p>
    <w:p>
      <w:pPr>
        <w:pStyle w:val="BodyText"/>
        <w:spacing w:line="240" w:lineRule="auto" w:before="135"/>
        <w:ind w:right="0"/>
        <w:jc w:val="both"/>
      </w:pPr>
      <w:r>
        <w:rPr/>
        <w:t>的银行承兑汇票提供连带责任保证，最高额度为</w:t>
      </w:r>
      <w:r>
        <w:rPr>
          <w:spacing w:val="-76"/>
        </w:rPr>
        <w:t> </w:t>
      </w:r>
      <w:r>
        <w:rPr>
          <w:rFonts w:ascii="Times New Roman" w:hAnsi="Times New Roman" w:cs="Times New Roman" w:eastAsia="Times New Roman" w:hint="default"/>
        </w:rPr>
        <w:t>7,200</w:t>
      </w:r>
      <w:r>
        <w:rPr>
          <w:rFonts w:ascii="Times New Roman" w:hAnsi="Times New Roman" w:cs="Times New Roman" w:eastAsia="Times New Roman" w:hint="default"/>
          <w:spacing w:val="-16"/>
        </w:rPr>
        <w:t> </w:t>
      </w:r>
      <w:r>
        <w:rPr/>
        <w:t>万元。湖南苏宁电器有限公司根</w:t>
      </w:r>
    </w:p>
    <w:p>
      <w:pPr>
        <w:pStyle w:val="BodyText"/>
        <w:spacing w:line="338" w:lineRule="auto" w:before="135"/>
        <w:ind w:right="233"/>
        <w:jc w:val="both"/>
      </w:pPr>
      <w:r>
        <w:rPr/>
        <w:t>据上述最高额保证合同及相关合同开具的承兑汇票于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14 </w:t>
      </w:r>
      <w:r>
        <w:rPr>
          <w:spacing w:val="-12"/>
        </w:rPr>
        <w:t>日到期，已全部归</w:t>
      </w:r>
      <w:r>
        <w:rPr/>
        <w:t> 还。公司此项担保解除。</w:t>
      </w:r>
    </w:p>
    <w:p>
      <w:pPr>
        <w:pStyle w:val="BodyText"/>
        <w:spacing w:line="240" w:lineRule="auto" w:before="55"/>
        <w:ind w:left="620" w:right="97"/>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t>日，公司与交通银行股份有限公司湖南省分行府中支行签订了最高</w:t>
      </w:r>
    </w:p>
    <w:p>
      <w:pPr>
        <w:pStyle w:val="BodyText"/>
        <w:spacing w:line="240" w:lineRule="auto" w:before="135"/>
        <w:ind w:right="0"/>
        <w:jc w:val="both"/>
      </w:pPr>
      <w:r>
        <w:rPr>
          <w:spacing w:val="-5"/>
        </w:rPr>
        <w:t>额保证合同，为湖南苏宁电器有限公司自</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16 </w:t>
      </w:r>
      <w:r>
        <w:rPr/>
        <w:t>日起至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16 </w:t>
      </w:r>
      <w:r>
        <w:rPr/>
        <w:t>日期间</w:t>
      </w:r>
    </w:p>
    <w:p>
      <w:pPr>
        <w:pStyle w:val="BodyText"/>
        <w:spacing w:line="240" w:lineRule="auto" w:before="135"/>
        <w:ind w:right="0"/>
        <w:jc w:val="both"/>
      </w:pPr>
      <w:r>
        <w:rPr/>
        <w:t>开具的银行承兑汇票提供连带责任保证，最高额度为</w:t>
      </w:r>
      <w:r>
        <w:rPr>
          <w:spacing w:val="-46"/>
        </w:rPr>
        <w:t> </w:t>
      </w:r>
      <w:r>
        <w:rPr>
          <w:rFonts w:ascii="Times New Roman" w:hAnsi="Times New Roman" w:cs="Times New Roman" w:eastAsia="Times New Roman" w:hint="default"/>
        </w:rPr>
        <w:t>14,000</w:t>
      </w:r>
      <w:r>
        <w:rPr>
          <w:rFonts w:ascii="Times New Roman" w:hAnsi="Times New Roman" w:cs="Times New Roman" w:eastAsia="Times New Roman" w:hint="default"/>
          <w:spacing w:val="14"/>
        </w:rPr>
        <w:t> </w:t>
      </w:r>
      <w:r>
        <w:rPr/>
        <w:t>万元。截至</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p>
    <w:p>
      <w:pPr>
        <w:pStyle w:val="BodyText"/>
        <w:spacing w:line="338" w:lineRule="auto" w:before="135"/>
        <w:ind w:right="231"/>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日，湖南苏宁电器有限公司根据上述最高额保证合同及相关合同开具的银行承兑汇 票尚未到期，公司继续为其提供连带责任保证。</w:t>
      </w:r>
    </w:p>
    <w:p>
      <w:pPr>
        <w:pStyle w:val="BodyText"/>
        <w:spacing w:line="240" w:lineRule="auto" w:before="55"/>
        <w:ind w:left="620" w:right="97"/>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21</w:t>
      </w:r>
      <w:r>
        <w:rPr>
          <w:rFonts w:ascii="Times New Roman" w:hAnsi="Times New Roman" w:cs="Times New Roman" w:eastAsia="Times New Roman" w:hint="default"/>
          <w:spacing w:val="-32"/>
        </w:rPr>
        <w:t> </w:t>
      </w:r>
      <w:r>
        <w:rPr/>
        <w:t>日，公司与中国银行股份有限公司南京鼓楼支行签订了保证</w:t>
      </w:r>
    </w:p>
    <w:p>
      <w:pPr>
        <w:pStyle w:val="BodyText"/>
        <w:spacing w:line="240" w:lineRule="auto" w:before="135"/>
        <w:ind w:right="0"/>
        <w:jc w:val="both"/>
        <w:rPr>
          <w:rFonts w:ascii="Times New Roman" w:hAnsi="Times New Roman" w:cs="Times New Roman" w:eastAsia="Times New Roman" w:hint="default"/>
        </w:rPr>
      </w:pPr>
      <w:r>
        <w:rPr/>
        <w:t>金质押合同，为银行向香港苏宁电器有限公司自</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8"/>
        </w:rPr>
        <w:t> </w:t>
      </w:r>
      <w:r>
        <w:rPr/>
        <w:t>日起至</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5</w:t>
      </w:r>
    </w:p>
    <w:p>
      <w:pPr>
        <w:pStyle w:val="BodyText"/>
        <w:spacing w:line="348" w:lineRule="auto" w:before="135"/>
        <w:ind w:right="233"/>
        <w:jc w:val="both"/>
      </w:pPr>
      <w:r>
        <w:rPr/>
        <w:t>日期间开具的保函提供连带责任保证，保证金额为</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亿元，截止</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 </w:t>
      </w:r>
      <w:r>
        <w:rPr>
          <w:spacing w:val="-3"/>
        </w:rPr>
        <w:t>根据上述保证金质押合同及相关合同开具的保函尚未到期，公司继续为其提供连带责任</w:t>
      </w:r>
      <w:r>
        <w:rPr>
          <w:spacing w:val="-98"/>
        </w:rPr>
        <w:t> </w:t>
      </w:r>
      <w:r>
        <w:rPr>
          <w:spacing w:val="-98"/>
        </w:rPr>
      </w:r>
      <w:r>
        <w:rPr/>
        <w:t>保证。</w:t>
      </w:r>
    </w:p>
    <w:p>
      <w:pPr>
        <w:pStyle w:val="BodyText"/>
        <w:spacing w:line="240" w:lineRule="auto" w:before="46"/>
        <w:ind w:left="6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spacing w:val="-6"/>
        </w:rPr>
        <w:t>日，公司与花旗银行（中国）有限公司上海分行签署账户质押协议，</w:t>
      </w:r>
    </w:p>
    <w:p>
      <w:pPr>
        <w:pStyle w:val="BodyText"/>
        <w:spacing w:line="240" w:lineRule="auto" w:before="135"/>
        <w:ind w:right="0"/>
        <w:jc w:val="both"/>
      </w:pPr>
      <w:r>
        <w:rPr/>
        <w:t>为银行对香港苏宁电器有限公司自</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日起至</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日止期间开具</w:t>
      </w:r>
    </w:p>
    <w:p>
      <w:pPr>
        <w:pStyle w:val="BodyText"/>
        <w:spacing w:line="338" w:lineRule="auto" w:before="135"/>
        <w:ind w:right="233"/>
        <w:jc w:val="both"/>
      </w:pPr>
      <w:r>
        <w:rPr/>
        <w:t>的保函提供连带责任保证，保证金额为</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亿元。截止</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日，根据上述账 户质押协议开立的保函尚未到期，公司继续为其提供连带责任保证。</w:t>
      </w:r>
    </w:p>
    <w:p>
      <w:pPr>
        <w:pStyle w:val="BodyText"/>
        <w:spacing w:line="240" w:lineRule="auto" w:before="55"/>
        <w:ind w:left="620" w:right="97"/>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t>日，公司与中国银行股份有限公司南京鼓楼支行签订了保证金质押</w:t>
      </w:r>
    </w:p>
    <w:p>
      <w:pPr>
        <w:pStyle w:val="BodyText"/>
        <w:spacing w:line="240" w:lineRule="auto" w:before="135"/>
        <w:ind w:right="0"/>
        <w:jc w:val="both"/>
      </w:pPr>
      <w:r>
        <w:rPr>
          <w:spacing w:val="-5"/>
        </w:rPr>
        <w:t>合同，为银行向香港苏宁电器有限公司自</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日起至</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日期间</w:t>
      </w:r>
    </w:p>
    <w:p>
      <w:pPr>
        <w:pStyle w:val="BodyText"/>
        <w:spacing w:line="338" w:lineRule="auto" w:before="135"/>
        <w:ind w:right="142"/>
        <w:jc w:val="both"/>
      </w:pPr>
      <w:r>
        <w:rPr/>
        <w:t>开具的保函提供连带责任保证，保证金额为</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亿元。截止</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日，根据上 述保证金质押合同及相关合同开具的保函尚未到期，公司继续为其提供连带责任保证。</w:t>
      </w:r>
    </w:p>
    <w:p>
      <w:pPr>
        <w:pStyle w:val="BodyText"/>
        <w:spacing w:line="338" w:lineRule="auto" w:before="55"/>
        <w:ind w:left="620" w:right="232"/>
        <w:jc w:val="left"/>
      </w:pPr>
      <w:r>
        <w:rPr>
          <w:rFonts w:ascii="Times New Roman" w:hAnsi="Times New Roman" w:cs="Times New Roman" w:eastAsia="Times New Roman" w:hint="default"/>
        </w:rPr>
        <w:t>3</w:t>
      </w:r>
      <w:r>
        <w:rPr/>
        <w:t>、其他事项 </w:t>
      </w:r>
      <w:r>
        <w:rPr>
          <w:spacing w:val="-3"/>
        </w:rPr>
        <w:t>经董事会审议通过，前期公司同意为控股子公司南通苏宁电器有限公司、陕西苏宁</w:t>
      </w:r>
    </w:p>
    <w:p>
      <w:pPr>
        <w:pStyle w:val="BodyText"/>
        <w:spacing w:line="338" w:lineRule="auto" w:before="55"/>
        <w:ind w:right="233"/>
        <w:jc w:val="both"/>
      </w:pPr>
      <w:r>
        <w:rPr/>
        <w:t>电器有限责任公司、佛山市苏宁电器有限公司分别提供最高额不超过</w:t>
      </w:r>
      <w:r>
        <w:rPr>
          <w:spacing w:val="-81"/>
        </w:rPr>
        <w:t> </w:t>
      </w:r>
      <w:r>
        <w:rPr>
          <w:rFonts w:ascii="Times New Roman" w:hAnsi="Times New Roman" w:cs="Times New Roman" w:eastAsia="Times New Roman" w:hint="default"/>
        </w:rPr>
        <w:t>2,200</w:t>
      </w:r>
      <w:r>
        <w:rPr>
          <w:rFonts w:ascii="Times New Roman" w:hAnsi="Times New Roman" w:cs="Times New Roman" w:eastAsia="Times New Roman" w:hint="default"/>
          <w:spacing w:val="-21"/>
        </w:rPr>
        <w:t> </w:t>
      </w:r>
      <w:r>
        <w:rPr>
          <w:spacing w:val="-6"/>
        </w:rPr>
        <w:t>万元、</w:t>
      </w:r>
      <w:r>
        <w:rPr>
          <w:rFonts w:ascii="Times New Roman" w:hAnsi="Times New Roman" w:cs="Times New Roman" w:eastAsia="Times New Roman" w:hint="default"/>
          <w:spacing w:val="-6"/>
        </w:rPr>
        <w:t>2,400</w:t>
      </w:r>
      <w:r>
        <w:rPr>
          <w:rFonts w:ascii="Times New Roman" w:hAnsi="Times New Roman" w:cs="Times New Roman" w:eastAsia="Times New Roman" w:hint="default"/>
        </w:rPr>
        <w:t> </w:t>
      </w:r>
      <w:r>
        <w:rPr/>
        <w:t>万元、</w:t>
      </w:r>
      <w:r>
        <w:rPr>
          <w:rFonts w:ascii="Times New Roman" w:hAnsi="Times New Roman" w:cs="Times New Roman" w:eastAsia="Times New Roman" w:hint="default"/>
        </w:rPr>
        <w:t>8,000</w:t>
      </w:r>
      <w:r>
        <w:rPr>
          <w:rFonts w:ascii="Times New Roman" w:hAnsi="Times New Roman" w:cs="Times New Roman" w:eastAsia="Times New Roman" w:hint="default"/>
          <w:spacing w:val="28"/>
        </w:rPr>
        <w:t> </w:t>
      </w:r>
      <w:r>
        <w:rPr/>
        <w:t>万元的担保，由于前述三家子公司一直未向银行提出授信额度申请，故报 告期内取消对该三家控股子公司的担保。</w:t>
      </w:r>
    </w:p>
    <w:p>
      <w:pPr>
        <w:pStyle w:val="BodyText"/>
        <w:spacing w:line="240" w:lineRule="auto" w:before="55"/>
        <w:ind w:left="620" w:right="97"/>
        <w:jc w:val="left"/>
        <w:rPr>
          <w:rFonts w:ascii="Times New Roman" w:hAnsi="Times New Roman" w:cs="Times New Roman" w:eastAsia="Times New Roman" w:hint="default"/>
        </w:rPr>
      </w:pPr>
      <w:r>
        <w:rPr>
          <w:rFonts w:ascii="Times New Roman" w:hAnsi="Times New Roman" w:cs="Times New Roman" w:eastAsia="Times New Roman" w:hint="default"/>
        </w:rPr>
        <w:t>4</w:t>
      </w:r>
      <w:r>
        <w:rPr/>
        <w:t>、截至</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日，董事会审议批准公司可对外担保累计金额为</w:t>
      </w:r>
      <w:r>
        <w:rPr>
          <w:spacing w:val="-57"/>
        </w:rPr>
        <w:t> </w:t>
      </w:r>
      <w:r>
        <w:rPr>
          <w:rFonts w:ascii="Times New Roman" w:hAnsi="Times New Roman" w:cs="Times New Roman" w:eastAsia="Times New Roman" w:hint="default"/>
        </w:rPr>
        <w:t>104,500</w:t>
      </w:r>
    </w:p>
    <w:p>
      <w:pPr>
        <w:pStyle w:val="BodyText"/>
        <w:spacing w:line="240" w:lineRule="auto" w:before="135"/>
        <w:ind w:right="0"/>
        <w:jc w:val="both"/>
      </w:pPr>
      <w:r>
        <w:rPr>
          <w:spacing w:val="-3"/>
        </w:rPr>
        <w:t>万元，全部为对控股子公司的担保，占公司</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日经审计净资产的</w:t>
      </w:r>
      <w:r>
        <w:rPr>
          <w:spacing w:val="-60"/>
        </w:rPr>
        <w:t> </w:t>
      </w:r>
      <w:r>
        <w:rPr>
          <w:rFonts w:ascii="Times New Roman" w:hAnsi="Times New Roman" w:cs="Times New Roman" w:eastAsia="Times New Roman" w:hint="default"/>
        </w:rPr>
        <w:t>5.70%</w:t>
      </w:r>
      <w:r>
        <w:rPr/>
        <w:t>；</w:t>
      </w:r>
    </w:p>
    <w:p>
      <w:pPr>
        <w:spacing w:after="0" w:line="240" w:lineRule="auto"/>
        <w:jc w:val="both"/>
        <w:sectPr>
          <w:footerReference w:type="default" r:id="rId46"/>
          <w:pgSz w:w="11910" w:h="16840"/>
          <w:pgMar w:footer="714" w:header="748" w:top="980" w:bottom="900" w:left="1300" w:right="1200"/>
          <w:pgNumType w:start="92"/>
        </w:sectPr>
      </w:pPr>
    </w:p>
    <w:p>
      <w:pPr>
        <w:spacing w:line="240" w:lineRule="auto" w:before="7"/>
        <w:rPr>
          <w:rFonts w:ascii="宋体" w:hAnsi="宋体" w:cs="宋体" w:eastAsia="宋体" w:hint="default"/>
          <w:sz w:val="29"/>
          <w:szCs w:val="29"/>
        </w:rPr>
      </w:pPr>
    </w:p>
    <w:p>
      <w:pPr>
        <w:pStyle w:val="BodyText"/>
        <w:spacing w:line="240" w:lineRule="auto" w:before="26"/>
        <w:ind w:right="0"/>
        <w:jc w:val="left"/>
      </w:pPr>
      <w:r>
        <w:rPr>
          <w:spacing w:val="-4"/>
        </w:rPr>
        <w:t>公司实际为控股子公司提供的尚未履行完毕的担保总额为 </w:t>
      </w:r>
      <w:r>
        <w:rPr>
          <w:rFonts w:ascii="Times New Roman" w:hAnsi="Times New Roman" w:cs="Times New Roman" w:eastAsia="Times New Roman" w:hint="default"/>
        </w:rPr>
        <w:t>89,500 </w:t>
      </w:r>
      <w:r>
        <w:rPr>
          <w:spacing w:val="-4"/>
        </w:rPr>
        <w:t>万元，占公司 </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9"/>
        </w:rPr>
        <w:t> </w:t>
      </w:r>
      <w:r>
        <w:rPr/>
        <w:t>年</w:t>
      </w:r>
    </w:p>
    <w:p>
      <w:pPr>
        <w:pStyle w:val="BodyText"/>
        <w:spacing w:line="338" w:lineRule="auto" w:before="135"/>
        <w:ind w:left="619" w:right="153" w:hanging="48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5"/>
        </w:rPr>
        <w:t>日经审计净资产的</w:t>
      </w:r>
      <w:r>
        <w:rPr>
          <w:spacing w:val="-65"/>
        </w:rPr>
        <w:t> </w:t>
      </w:r>
      <w:r>
        <w:rPr>
          <w:rFonts w:ascii="Times New Roman" w:hAnsi="Times New Roman" w:cs="Times New Roman" w:eastAsia="Times New Roman" w:hint="default"/>
          <w:spacing w:val="-3"/>
        </w:rPr>
        <w:t>4.88%</w:t>
      </w:r>
      <w:r>
        <w:rPr>
          <w:spacing w:val="-3"/>
        </w:rPr>
        <w:t>。</w:t>
      </w:r>
      <w:r>
        <w:rPr>
          <w:spacing w:val="-117"/>
        </w:rPr>
        <w:t> </w:t>
      </w:r>
      <w:r>
        <w:rPr>
          <w:spacing w:val="-3"/>
        </w:rPr>
        <w:t>报告期内，公司控股子公司未发生对外担保的情况，本公司及控股子公司亦未发生</w:t>
      </w:r>
    </w:p>
    <w:p>
      <w:pPr>
        <w:pStyle w:val="BodyText"/>
        <w:spacing w:line="240" w:lineRule="auto" w:before="55"/>
        <w:ind w:left="139" w:right="153"/>
        <w:jc w:val="left"/>
      </w:pPr>
      <w:r>
        <w:rPr/>
        <w:t>逾期对外担保的情况。</w:t>
      </w:r>
    </w:p>
    <w:p>
      <w:pPr>
        <w:pStyle w:val="BodyText"/>
        <w:spacing w:line="338" w:lineRule="auto" w:before="154"/>
        <w:ind w:left="619" w:right="153"/>
        <w:jc w:val="left"/>
      </w:pPr>
      <w:r>
        <w:rPr/>
        <w:t>七、公司或持股 </w:t>
      </w:r>
      <w:r>
        <w:rPr>
          <w:rFonts w:ascii="Times New Roman" w:hAnsi="Times New Roman" w:cs="Times New Roman" w:eastAsia="Times New Roman" w:hint="default"/>
        </w:rPr>
        <w:t>5</w:t>
      </w:r>
      <w:r>
        <w:rPr/>
        <w:t>％以上股东的承诺事项 </w:t>
      </w:r>
      <w:r>
        <w:rPr>
          <w:rFonts w:ascii="Times New Roman" w:hAnsi="Times New Roman" w:cs="Times New Roman" w:eastAsia="Times New Roman" w:hint="default"/>
        </w:rPr>
        <w:t>1</w:t>
      </w:r>
      <w:r>
        <w:rPr/>
        <w:t>、为避免同业竞争损害本公司及其他股东的利益，公司股东张近东先生、苏宁电</w:t>
      </w:r>
    </w:p>
    <w:p>
      <w:pPr>
        <w:pStyle w:val="BodyText"/>
        <w:spacing w:line="338" w:lineRule="auto" w:before="27"/>
        <w:ind w:right="137"/>
        <w:jc w:val="left"/>
      </w:pPr>
      <w:r>
        <w:rPr/>
        <w:t>器集团有限公司、陈金凤、赵蓓已于</w:t>
      </w:r>
      <w:r>
        <w:rPr>
          <w:spacing w:val="-54"/>
        </w:rPr>
        <w:t> </w:t>
      </w:r>
      <w:r>
        <w:rPr>
          <w:rFonts w:ascii="Times New Roman" w:hAnsi="Times New Roman" w:cs="Times New Roman" w:eastAsia="Times New Roman" w:hint="default"/>
        </w:rPr>
        <w:t>2002</w:t>
      </w:r>
      <w:r>
        <w:rPr>
          <w:rFonts w:ascii="Times New Roman" w:hAnsi="Times New Roman" w:cs="Times New Roman" w:eastAsia="Times New Roman" w:hint="default"/>
          <w:spacing w:val="6"/>
        </w:rPr>
        <w:t> </w:t>
      </w:r>
      <w:r>
        <w:rPr/>
        <w:t>年</w:t>
      </w:r>
      <w:r>
        <w:rPr>
          <w:spacing w:val="-5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日分别向公司出具《不竞争承诺 </w:t>
      </w:r>
      <w:r>
        <w:rPr>
          <w:spacing w:val="-4"/>
        </w:rPr>
        <w:t>函》。报告期内，上述股东信守承诺，没有发生与公司同业竞争的行为。</w:t>
      </w:r>
    </w:p>
    <w:p>
      <w:pPr>
        <w:pStyle w:val="BodyText"/>
        <w:spacing w:line="338" w:lineRule="auto" w:before="55"/>
        <w:ind w:right="153" w:firstLine="480"/>
        <w:jc w:val="both"/>
      </w:pPr>
      <w:r>
        <w:rPr/>
        <w:t>苏宁电器集团有限公司</w:t>
      </w:r>
      <w:r>
        <w:rPr>
          <w:spacing w:val="-56"/>
        </w:rPr>
        <w:t> </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日出具承诺函，保证今后避免发生除正常业 务外的一切资金往来。报告期内，苏宁电器集团有限公司执行了承诺。</w:t>
      </w:r>
    </w:p>
    <w:p>
      <w:pPr>
        <w:pStyle w:val="BodyText"/>
        <w:spacing w:line="348" w:lineRule="auto" w:before="55"/>
        <w:ind w:right="153" w:firstLine="480"/>
        <w:jc w:val="both"/>
      </w:pPr>
      <w:r>
        <w:rPr>
          <w:rFonts w:ascii="Times New Roman" w:hAnsi="Times New Roman" w:cs="Times New Roman" w:eastAsia="Times New Roman" w:hint="default"/>
        </w:rPr>
        <w:t>2</w:t>
      </w:r>
      <w:r>
        <w:rPr/>
        <w:t>、股权分置改革中公司原非流通股股东持续到报告期内的承诺为：通过证券交易 </w:t>
      </w:r>
      <w:r>
        <w:rPr>
          <w:spacing w:val="-3"/>
        </w:rPr>
        <w:t>所挂牌交易出售的股份数量，达到公司股份总数百分之一的，自该事实发生之日起两个</w:t>
      </w:r>
      <w:r>
        <w:rPr>
          <w:spacing w:val="-98"/>
        </w:rPr>
        <w:t> </w:t>
      </w:r>
      <w:r>
        <w:rPr>
          <w:spacing w:val="-98"/>
        </w:rPr>
      </w:r>
      <w:r>
        <w:rPr/>
        <w:t>工作日内做出公告。报告期内，公司承诺股东均履行了所做的承诺。</w:t>
      </w:r>
    </w:p>
    <w:p>
      <w:pPr>
        <w:pStyle w:val="BodyText"/>
        <w:spacing w:line="240" w:lineRule="auto" w:before="46"/>
        <w:ind w:left="620"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32"/>
        </w:rPr>
        <w:t> </w:t>
      </w:r>
      <w:r>
        <w:rPr/>
        <w:t>日，基于对苏宁电器未来发展的信心，为促进公司长期稳定发</w:t>
      </w:r>
    </w:p>
    <w:p>
      <w:pPr>
        <w:pStyle w:val="BodyText"/>
        <w:spacing w:line="240" w:lineRule="auto" w:before="135"/>
        <w:ind w:right="0"/>
        <w:jc w:val="left"/>
      </w:pPr>
      <w:r>
        <w:rPr/>
        <w:t>展，张近东先生在原股权分置改革承诺的基础上，追加股份限售承诺，于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p>
    <w:p>
      <w:pPr>
        <w:pStyle w:val="BodyText"/>
        <w:spacing w:line="338" w:lineRule="auto" w:before="135"/>
        <w:ind w:right="153"/>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日前，其持有的所有苏宁电器股份不通过证券交易系统（含大宗交易系统）挂牌交 易的方式减持。报告期内，张近东先生履行其承诺。</w:t>
      </w:r>
    </w:p>
    <w:p>
      <w:pPr>
        <w:pStyle w:val="BodyText"/>
        <w:spacing w:line="240" w:lineRule="auto" w:before="55"/>
        <w:ind w:left="620"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4</w:t>
      </w:r>
      <w:r>
        <w:rPr>
          <w:spacing w:val="-3"/>
        </w:rPr>
        <w:t>、张近东先生认购的公司</w:t>
      </w:r>
      <w:r>
        <w:rPr>
          <w:spacing w:val="-60"/>
        </w:rPr>
        <w:t> </w:t>
      </w:r>
      <w:r>
        <w:rPr>
          <w:rFonts w:ascii="Times New Roman" w:hAnsi="Times New Roman" w:cs="Times New Roman" w:eastAsia="Times New Roman" w:hint="default"/>
        </w:rPr>
        <w:t>2009 </w:t>
      </w:r>
      <w:r>
        <w:rPr/>
        <w:t>年非公开发行股票自</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日起至</w:t>
      </w:r>
      <w:r>
        <w:rPr>
          <w:spacing w:val="-60"/>
        </w:rPr>
        <w:t> </w:t>
      </w:r>
      <w:r>
        <w:rPr>
          <w:rFonts w:ascii="Times New Roman" w:hAnsi="Times New Roman" w:cs="Times New Roman" w:eastAsia="Times New Roman" w:hint="default"/>
        </w:rPr>
        <w:t>2012</w:t>
      </w:r>
    </w:p>
    <w:p>
      <w:pPr>
        <w:pStyle w:val="BodyText"/>
        <w:spacing w:line="338" w:lineRule="auto" w:before="135"/>
        <w:ind w:left="620" w:right="0" w:hanging="480"/>
        <w:jc w:val="left"/>
      </w:pP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30 </w:t>
      </w:r>
      <w:r>
        <w:rPr/>
        <w:t>日止限售</w:t>
      </w:r>
      <w:r>
        <w:rPr>
          <w:spacing w:val="-60"/>
        </w:rPr>
        <w:t> </w:t>
      </w:r>
      <w:r>
        <w:rPr>
          <w:rFonts w:ascii="Times New Roman" w:hAnsi="Times New Roman" w:cs="Times New Roman" w:eastAsia="Times New Roman" w:hint="default"/>
        </w:rPr>
        <w:t>36 </w:t>
      </w:r>
      <w:r>
        <w:rPr/>
        <w:t>个月。报告期内，张近东先生履行承诺。 </w:t>
      </w:r>
      <w:r>
        <w:rPr>
          <w:spacing w:val="-3"/>
        </w:rPr>
        <w:t>八、报告期内，公司续聘普华永道中天会计师事务所为公司财务审计机构。该所已</w:t>
      </w:r>
    </w:p>
    <w:p>
      <w:pPr>
        <w:pStyle w:val="BodyText"/>
        <w:spacing w:line="240" w:lineRule="auto" w:before="55"/>
        <w:ind w:right="0"/>
        <w:jc w:val="left"/>
      </w:pPr>
      <w:r>
        <w:rPr/>
        <w:t>连续</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年为公司提供审计服务，现为公司</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年年度财务报告提供审计服务的签字会</w:t>
      </w:r>
    </w:p>
    <w:p>
      <w:pPr>
        <w:pStyle w:val="BodyText"/>
        <w:spacing w:line="338" w:lineRule="auto" w:before="135"/>
        <w:ind w:left="620" w:right="152" w:hanging="480"/>
        <w:jc w:val="left"/>
      </w:pPr>
      <w:r>
        <w:rPr/>
        <w:t>计师为柯镇洪先生、曹婕女士。此次审计费用为</w:t>
      </w:r>
      <w:r>
        <w:rPr>
          <w:spacing w:val="-60"/>
        </w:rPr>
        <w:t> </w:t>
      </w:r>
      <w:r>
        <w:rPr>
          <w:rFonts w:ascii="Times New Roman" w:hAnsi="Times New Roman" w:cs="Times New Roman" w:eastAsia="Times New Roman" w:hint="default"/>
        </w:rPr>
        <w:t>620 </w:t>
      </w:r>
      <w:r>
        <w:rPr/>
        <w:t>万元。 </w:t>
      </w:r>
      <w:r>
        <w:rPr>
          <w:spacing w:val="-3"/>
        </w:rPr>
        <w:t>此外，其普华永道全球网络成员所——罗兵咸永道会计师事务所为公司香港地区注</w:t>
      </w:r>
    </w:p>
    <w:p>
      <w:pPr>
        <w:pStyle w:val="BodyText"/>
        <w:spacing w:line="338" w:lineRule="auto" w:before="55"/>
        <w:ind w:left="620" w:right="0" w:hanging="480"/>
        <w:jc w:val="left"/>
      </w:pPr>
      <w:r>
        <w:rPr/>
        <w:t>册的</w:t>
      </w:r>
      <w:r>
        <w:rPr>
          <w:rFonts w:ascii="Times New Roman" w:hAnsi="Times New Roman" w:cs="Times New Roman" w:eastAsia="Times New Roman" w:hint="default"/>
        </w:rPr>
        <w:t>5 </w:t>
      </w:r>
      <w:r>
        <w:rPr/>
        <w:t>家控股子公司提供</w:t>
      </w:r>
      <w:r>
        <w:rPr>
          <w:spacing w:val="-60"/>
        </w:rPr>
        <w:t> </w:t>
      </w:r>
      <w:r>
        <w:rPr>
          <w:rFonts w:ascii="Times New Roman" w:hAnsi="Times New Roman" w:cs="Times New Roman" w:eastAsia="Times New Roman" w:hint="default"/>
        </w:rPr>
        <w:t>2010 </w:t>
      </w:r>
      <w:r>
        <w:rPr/>
        <w:t>年度审计服务，审计费用</w:t>
      </w:r>
      <w:r>
        <w:rPr>
          <w:spacing w:val="-60"/>
        </w:rPr>
        <w:t> </w:t>
      </w:r>
      <w:r>
        <w:rPr>
          <w:rFonts w:ascii="Times New Roman" w:hAnsi="Times New Roman" w:cs="Times New Roman" w:eastAsia="Times New Roman" w:hint="default"/>
        </w:rPr>
        <w:t>50 </w:t>
      </w:r>
      <w:r>
        <w:rPr/>
        <w:t>万人民币。 </w:t>
      </w:r>
      <w:r>
        <w:rPr>
          <w:spacing w:val="-3"/>
        </w:rPr>
        <w:t>九、报告期间，公司董事会及董事没有受到中国证监会的稽查、中国证监会的行政</w:t>
      </w:r>
    </w:p>
    <w:p>
      <w:pPr>
        <w:pStyle w:val="BodyText"/>
        <w:spacing w:line="357" w:lineRule="auto" w:before="55"/>
        <w:ind w:right="0"/>
        <w:jc w:val="left"/>
      </w:pPr>
      <w:r>
        <w:rPr>
          <w:spacing w:val="-3"/>
        </w:rPr>
        <w:t>处罚、通报批评，也没有被其他行政管理部门处罚及证券交易所公开谴责的情况，公司</w:t>
      </w:r>
      <w:r>
        <w:rPr>
          <w:spacing w:val="-96"/>
        </w:rPr>
        <w:t> </w:t>
      </w:r>
      <w:r>
        <w:rPr>
          <w:spacing w:val="-96"/>
        </w:rPr>
      </w:r>
      <w:r>
        <w:rPr/>
        <w:t>董事、管理层有关人员没有被采取司法强制措施的情况。</w:t>
      </w:r>
    </w:p>
    <w:p>
      <w:pPr>
        <w:spacing w:after="0" w:line="357" w:lineRule="auto"/>
        <w:jc w:val="left"/>
        <w:sectPr>
          <w:pgSz w:w="11910" w:h="16840"/>
          <w:pgMar w:header="748" w:footer="714" w:top="980" w:bottom="900" w:left="1300" w:right="1280"/>
        </w:sectPr>
      </w:pPr>
    </w:p>
    <w:p>
      <w:pPr>
        <w:spacing w:line="240" w:lineRule="auto" w:before="7"/>
        <w:rPr>
          <w:rFonts w:ascii="宋体" w:hAnsi="宋体" w:cs="宋体" w:eastAsia="宋体" w:hint="default"/>
          <w:sz w:val="29"/>
          <w:szCs w:val="29"/>
        </w:rPr>
      </w:pPr>
    </w:p>
    <w:p>
      <w:pPr>
        <w:pStyle w:val="BodyText"/>
        <w:spacing w:line="240" w:lineRule="auto" w:before="26"/>
        <w:ind w:left="700" w:right="0"/>
        <w:jc w:val="left"/>
      </w:pPr>
      <w:r>
        <w:rPr/>
        <w:t>十、报告期内已披露的重要信息索引</w:t>
      </w:r>
    </w:p>
    <w:p>
      <w:pPr>
        <w:spacing w:line="240" w:lineRule="auto" w:before="10"/>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516"/>
        <w:gridCol w:w="1150"/>
        <w:gridCol w:w="4747"/>
        <w:gridCol w:w="1016"/>
        <w:gridCol w:w="1816"/>
      </w:tblGrid>
      <w:tr>
        <w:trPr>
          <w:trHeight w:val="53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52" w:right="0"/>
              <w:jc w:val="left"/>
              <w:rPr>
                <w:rFonts w:ascii="宋体" w:hAnsi="宋体" w:cs="宋体" w:eastAsia="宋体" w:hint="default"/>
                <w:sz w:val="20"/>
                <w:szCs w:val="20"/>
              </w:rPr>
            </w:pPr>
            <w:r>
              <w:rPr>
                <w:rFonts w:ascii="宋体" w:hAnsi="宋体" w:cs="宋体" w:eastAsia="宋体" w:hint="default"/>
                <w:w w:val="100"/>
                <w:sz w:val="20"/>
                <w:szCs w:val="20"/>
              </w:rPr>
              <w:t>序</w:t>
            </w:r>
          </w:p>
          <w:p>
            <w:pPr>
              <w:pStyle w:val="TableParagraph"/>
              <w:spacing w:line="261" w:lineRule="exact"/>
              <w:ind w:left="152" w:right="0"/>
              <w:jc w:val="left"/>
              <w:rPr>
                <w:rFonts w:ascii="宋体" w:hAnsi="宋体" w:cs="宋体" w:eastAsia="宋体" w:hint="default"/>
                <w:sz w:val="20"/>
                <w:szCs w:val="20"/>
              </w:rPr>
            </w:pPr>
            <w:r>
              <w:rPr>
                <w:rFonts w:ascii="宋体" w:hAnsi="宋体" w:cs="宋体" w:eastAsia="宋体" w:hint="default"/>
                <w:w w:val="100"/>
                <w:sz w:val="20"/>
                <w:szCs w:val="20"/>
              </w:rPr>
              <w:t>号</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日期</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公告名称</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公告编号</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刊登情况</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w w:val="100"/>
                <w:sz w:val="20"/>
              </w:rPr>
              <w:t>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2010-1-26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关于签订募集资金三方监管协议的公告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2010-001</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w w:val="100"/>
                <w:sz w:val="20"/>
              </w:rPr>
              <w:t>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2010-2-5</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第三届董事会第三十三次会议决议公告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2010-002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w w:val="100"/>
                <w:sz w:val="20"/>
              </w:rPr>
              <w:t>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2010-2-5</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公司章程（</w:t>
            </w: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w w:val="100"/>
                <w:sz w:val="20"/>
              </w:rPr>
              <w:t>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2010-2-5</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信息披露管理制度</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w w:val="100"/>
                <w:sz w:val="20"/>
              </w:rPr>
              <w:t>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2010-2-5</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年报信息披露重大差错责任追究制度</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w w:val="100"/>
                <w:sz w:val="20"/>
              </w:rPr>
              <w:t>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2010-2-10</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关于收购香港</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CITICALL</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业务及资产的进展公告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2010-003</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w w:val="100"/>
                <w:sz w:val="20"/>
              </w:rPr>
              <w:t>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2010-2-27</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年年度业绩快报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2010-004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w w:val="100"/>
                <w:sz w:val="20"/>
              </w:rPr>
              <w:t>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2010-3-16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第三届董事会第三十四次会议决议公告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2010-005</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w w:val="100"/>
                <w:sz w:val="20"/>
              </w:rPr>
              <w:t>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2010-3-16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第三届监事会第十五次会议决议公告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2010-006</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10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2010-3-16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年年度报告摘要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2010-007</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53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Times New Roman" w:hAnsi="Times New Roman" w:cs="Times New Roman" w:eastAsia="Times New Roman" w:hint="default"/>
                <w:sz w:val="20"/>
                <w:szCs w:val="20"/>
              </w:rPr>
            </w:pPr>
            <w:r>
              <w:rPr>
                <w:rFonts w:ascii="Times New Roman"/>
                <w:sz w:val="20"/>
              </w:rPr>
              <w:t>11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Times New Roman" w:hAnsi="Times New Roman" w:cs="Times New Roman" w:eastAsia="Times New Roman" w:hint="default"/>
                <w:sz w:val="20"/>
                <w:szCs w:val="20"/>
              </w:rPr>
            </w:pPr>
            <w:r>
              <w:rPr>
                <w:rFonts w:ascii="Times New Roman"/>
                <w:sz w:val="20"/>
              </w:rPr>
              <w:t>2010-3-16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董事会关于</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年度募集资金年度使用情况的专项</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报告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18" w:right="0"/>
              <w:jc w:val="left"/>
              <w:rPr>
                <w:rFonts w:ascii="Times New Roman" w:hAnsi="Times New Roman" w:cs="Times New Roman" w:eastAsia="Times New Roman" w:hint="default"/>
                <w:sz w:val="20"/>
                <w:szCs w:val="20"/>
              </w:rPr>
            </w:pPr>
            <w:r>
              <w:rPr>
                <w:rFonts w:ascii="Times New Roman"/>
                <w:sz w:val="20"/>
              </w:rPr>
              <w:t>2010-008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12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2010-3-16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独立董事对相关事项发表的独立意见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2010-009</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13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2010-3-16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董事会关于召开</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年年度股东大会的通知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2010-010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14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2010-3-16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董事会关于公司</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年度内部控制的自我评价报告</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529"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Times New Roman" w:hAnsi="Times New Roman" w:cs="Times New Roman" w:eastAsia="Times New Roman" w:hint="default"/>
                <w:sz w:val="20"/>
                <w:szCs w:val="20"/>
              </w:rPr>
            </w:pPr>
            <w:r>
              <w:rPr>
                <w:rFonts w:ascii="Times New Roman"/>
                <w:sz w:val="20"/>
              </w:rPr>
              <w:t>15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Times New Roman" w:hAnsi="Times New Roman" w:cs="Times New Roman" w:eastAsia="Times New Roman" w:hint="default"/>
                <w:sz w:val="20"/>
                <w:szCs w:val="20"/>
              </w:rPr>
            </w:pPr>
            <w:r>
              <w:rPr>
                <w:rFonts w:ascii="Times New Roman"/>
                <w:sz w:val="20"/>
              </w:rPr>
              <w:t>2010-3-16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 </w:t>
            </w:r>
            <w:r>
              <w:rPr>
                <w:rFonts w:ascii="宋体" w:hAnsi="宋体" w:cs="宋体" w:eastAsia="宋体" w:hint="default"/>
                <w:sz w:val="20"/>
                <w:szCs w:val="20"/>
              </w:rPr>
              <w:t>日止年度控股股东及其他关联</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方占用资金情况表及专项报告</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16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2010-3-16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年度述职报告（沈坤荣）</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17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2010-3-16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年度述职报告（孙剑平）</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18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2010-3-16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年度述职报告（戴新民）</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19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2010-3-16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年年度报告</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2010-3-16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年社会责任报告</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53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Times New Roman" w:hAnsi="Times New Roman" w:cs="Times New Roman" w:eastAsia="Times New Roman" w:hint="default"/>
                <w:sz w:val="20"/>
                <w:szCs w:val="20"/>
              </w:rPr>
            </w:pPr>
            <w:r>
              <w:rPr>
                <w:rFonts w:ascii="Times New Roman"/>
                <w:sz w:val="20"/>
              </w:rPr>
              <w:t>21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Times New Roman" w:hAnsi="Times New Roman" w:cs="Times New Roman" w:eastAsia="Times New Roman" w:hint="default"/>
                <w:sz w:val="20"/>
                <w:szCs w:val="20"/>
              </w:rPr>
            </w:pPr>
            <w:r>
              <w:rPr>
                <w:rFonts w:ascii="Times New Roman"/>
                <w:sz w:val="20"/>
              </w:rPr>
              <w:t>2010-3-16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年度募集资金年度使用情况的专项报告及鉴证</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报告</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2010-3-16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内部控制审核报告</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79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2010-3-16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中信证券股份有限公司关于《苏宁电器股份有限公司</w:t>
            </w:r>
          </w:p>
          <w:p>
            <w:pPr>
              <w:pStyle w:val="TableParagraph"/>
              <w:spacing w:line="260" w:lineRule="exact" w:before="25"/>
              <w:ind w:left="103" w:right="132"/>
              <w:jc w:val="left"/>
              <w:rPr>
                <w:rFonts w:ascii="宋体" w:hAnsi="宋体" w:cs="宋体" w:eastAsia="宋体" w:hint="default"/>
                <w:sz w:val="20"/>
                <w:szCs w:val="20"/>
              </w:rPr>
            </w:pPr>
            <w:r>
              <w:rPr>
                <w:rFonts w:ascii="宋体" w:hAnsi="宋体" w:cs="宋体" w:eastAsia="宋体" w:hint="default"/>
                <w:sz w:val="20"/>
                <w:szCs w:val="20"/>
              </w:rPr>
              <w:t>董事会关于</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年内部控制的自我评价报告》的保</w:t>
            </w:r>
            <w:r>
              <w:rPr>
                <w:rFonts w:ascii="宋体" w:hAnsi="宋体" w:cs="宋体" w:eastAsia="宋体" w:hint="default"/>
                <w:w w:val="100"/>
                <w:sz w:val="20"/>
                <w:szCs w:val="20"/>
              </w:rPr>
              <w:t> </w:t>
            </w:r>
            <w:r>
              <w:rPr>
                <w:rFonts w:ascii="宋体" w:hAnsi="宋体" w:cs="宋体" w:eastAsia="宋体" w:hint="default"/>
                <w:sz w:val="20"/>
                <w:szCs w:val="20"/>
              </w:rPr>
              <w:t>荐意见</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2010-3-16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年年度审计报告</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2010-3-23</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关于举行</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年年度报告网上说明会的通知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2010-011</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2010-4-7</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年年度股东大会决议公告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2010-012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2010-4-7</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年年度股东大会的法律意见书</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2010-4-7</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公司章程（</w:t>
            </w: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2010-4-9</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年度分红派息及资本公积金转增股本实施公告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2010-013</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30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2010-4-29</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第三届董事会第三十五次会议决议公告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2010-014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31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2010-4-29</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年第一季度季度报告正文</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2010-015</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32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2010-4-29</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公司章程（</w:t>
            </w: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33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2010-4-29</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年第一季度季度报告全文</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34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2010-5-15</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第三届董事会第三十六次会议决议公告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2010-016</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35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2010-5-15</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关于为子公司提供担保的公告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2010-017</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36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2010-6-8</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第三届董事会第三十七次会议决议公告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2010-018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37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2010-6-8</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第三届监事会第十七次会议决议公告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2010-019</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53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Times New Roman" w:hAnsi="Times New Roman" w:cs="Times New Roman" w:eastAsia="Times New Roman" w:hint="default"/>
                <w:sz w:val="20"/>
                <w:szCs w:val="20"/>
              </w:rPr>
            </w:pPr>
            <w:r>
              <w:rPr>
                <w:rFonts w:ascii="Times New Roman"/>
                <w:sz w:val="20"/>
              </w:rPr>
              <w:t>38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Times New Roman" w:hAnsi="Times New Roman" w:cs="Times New Roman" w:eastAsia="Times New Roman" w:hint="default"/>
                <w:sz w:val="20"/>
                <w:szCs w:val="20"/>
              </w:rPr>
            </w:pPr>
            <w:r>
              <w:rPr>
                <w:rFonts w:ascii="Times New Roman"/>
                <w:sz w:val="20"/>
              </w:rPr>
              <w:t>2010-6-8</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关于以募集资金置换预先已投入募投项目的自筹资</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金的公告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18" w:right="0"/>
              <w:jc w:val="left"/>
              <w:rPr>
                <w:rFonts w:ascii="Times New Roman" w:hAnsi="Times New Roman" w:cs="Times New Roman" w:eastAsia="Times New Roman" w:hint="default"/>
                <w:sz w:val="20"/>
                <w:szCs w:val="20"/>
              </w:rPr>
            </w:pPr>
            <w:r>
              <w:rPr>
                <w:rFonts w:ascii="Times New Roman"/>
                <w:sz w:val="20"/>
              </w:rPr>
              <w:t>2010-020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bl>
    <w:p>
      <w:pPr>
        <w:spacing w:after="0" w:line="240" w:lineRule="auto"/>
        <w:jc w:val="center"/>
        <w:rPr>
          <w:rFonts w:ascii="宋体" w:hAnsi="宋体" w:cs="宋体" w:eastAsia="宋体" w:hint="default"/>
          <w:sz w:val="20"/>
          <w:szCs w:val="20"/>
        </w:rPr>
        <w:sectPr>
          <w:pgSz w:w="11910" w:h="16840"/>
          <w:pgMar w:header="748" w:footer="714" w:top="980" w:bottom="900" w:left="1220" w:right="12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516"/>
        <w:gridCol w:w="1150"/>
        <w:gridCol w:w="4747"/>
        <w:gridCol w:w="1016"/>
        <w:gridCol w:w="1816"/>
      </w:tblGrid>
      <w:tr>
        <w:trPr>
          <w:trHeight w:val="468"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39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2010-6-8</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关于投资</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LAOX</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株式会社事宜的进展公告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8" w:right="0"/>
              <w:jc w:val="left"/>
              <w:rPr>
                <w:rFonts w:ascii="Times New Roman" w:hAnsi="Times New Roman" w:cs="Times New Roman" w:eastAsia="Times New Roman" w:hint="default"/>
                <w:sz w:val="20"/>
                <w:szCs w:val="20"/>
              </w:rPr>
            </w:pPr>
            <w:r>
              <w:rPr>
                <w:rFonts w:ascii="Times New Roman"/>
                <w:sz w:val="20"/>
              </w:rPr>
              <w:t>2010-021</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53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Times New Roman" w:hAnsi="Times New Roman" w:cs="Times New Roman" w:eastAsia="Times New Roman" w:hint="default"/>
                <w:sz w:val="20"/>
                <w:szCs w:val="20"/>
              </w:rPr>
            </w:pPr>
            <w:r>
              <w:rPr>
                <w:rFonts w:ascii="Times New Roman"/>
                <w:sz w:val="20"/>
              </w:rPr>
              <w:t>40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Times New Roman" w:hAnsi="Times New Roman" w:cs="Times New Roman" w:eastAsia="Times New Roman" w:hint="default"/>
                <w:sz w:val="20"/>
                <w:szCs w:val="20"/>
              </w:rPr>
            </w:pPr>
            <w:r>
              <w:rPr>
                <w:rFonts w:ascii="Times New Roman"/>
                <w:sz w:val="20"/>
              </w:rPr>
              <w:t>2010-6-8</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独立董事关于以募集资金置换预先已投入募投项目</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的自筹资金的独立意见</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6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2010-6-8</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3"/>
              <w:ind w:left="103" w:right="100"/>
              <w:jc w:val="left"/>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spacing w:val="-63"/>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r>
              <w:rPr>
                <w:rFonts w:ascii="宋体" w:hAnsi="宋体" w:cs="宋体" w:eastAsia="宋体" w:hint="default"/>
                <w:spacing w:val="-64"/>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r>
              <w:rPr>
                <w:rFonts w:ascii="宋体" w:hAnsi="宋体" w:cs="宋体" w:eastAsia="宋体" w:hint="default"/>
                <w:spacing w:val="-64"/>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日止以自筹资金预先投入募集资</w:t>
            </w:r>
            <w:r>
              <w:rPr>
                <w:rFonts w:ascii="宋体" w:hAnsi="宋体" w:cs="宋体" w:eastAsia="宋体" w:hint="default"/>
                <w:w w:val="100"/>
                <w:sz w:val="20"/>
                <w:szCs w:val="20"/>
              </w:rPr>
              <w:t> </w:t>
            </w:r>
            <w:r>
              <w:rPr>
                <w:rFonts w:ascii="宋体" w:hAnsi="宋体" w:cs="宋体" w:eastAsia="宋体" w:hint="default"/>
                <w:sz w:val="20"/>
                <w:szCs w:val="20"/>
              </w:rPr>
              <w:t>金投资情况报告及鉴证报告</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55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42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2010-6-8</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
              <w:ind w:left="103" w:right="230"/>
              <w:jc w:val="left"/>
              <w:rPr>
                <w:rFonts w:ascii="宋体" w:hAnsi="宋体" w:cs="宋体" w:eastAsia="宋体" w:hint="default"/>
                <w:sz w:val="20"/>
                <w:szCs w:val="20"/>
              </w:rPr>
            </w:pPr>
            <w:r>
              <w:rPr>
                <w:rFonts w:ascii="宋体" w:hAnsi="宋体" w:cs="宋体" w:eastAsia="宋体" w:hint="default"/>
                <w:spacing w:val="-1"/>
                <w:sz w:val="20"/>
                <w:szCs w:val="20"/>
              </w:rPr>
              <w:t>中信证券股份有限公司关于公司以募集资金置换预</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先已投入募投项目的自筹资金的保荐意见</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43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2010-7-9</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第三届董事会第三十八次会议决议公告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2010-022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44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2010-7-9</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第三届监事会第十八次会议决议公告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2010-023</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45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2010-7-9</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董事会关于召开</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年第一次临时股东大会的通知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2010-024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46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2010-7-9</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独立董事候选人声明（孙剑平）</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47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2010-7-9</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独立董事候选人声明（戴新民）</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48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2010-7-9</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独立董事提名人声明</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49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2010-7-9</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独立董事对董事会换届发表的独立意见</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50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2010-7-9</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独立董事候选人声明（沈坤荣）</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51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2010-7-9</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公司章程（</w:t>
            </w: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52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2010-7-28</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关于公司职工代表监事换届选举的公告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2010-025</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53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2010-7-28</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年第一次临时股东大会决议公告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2010-026</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54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2010-7-28</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第四届董事会第一次会议决议公告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2010-027</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55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2010-7-28</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第四届监事会第一次会议决议公告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2010-028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56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2010-7-28</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宋体" w:hAnsi="宋体" w:cs="宋体" w:eastAsia="宋体" w:hint="default"/>
                <w:sz w:val="20"/>
                <w:szCs w:val="20"/>
              </w:rPr>
              <w:t>股东大会议事规则（</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57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2010-7-28</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公司章程（草案）</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58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2010-7-28</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独立董事对公司聘任高管发表的独立意见</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59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2010-7-28</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年第一次临时股东大会的法律意见书</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60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2010-7-31</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年半年度业绩快报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2010-029</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61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2010-8-7</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限售股份上市流通提示性公告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2010-030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71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2010-8-7</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6"/>
              <w:ind w:left="103" w:right="230"/>
              <w:jc w:val="left"/>
              <w:rPr>
                <w:rFonts w:ascii="宋体" w:hAnsi="宋体" w:cs="宋体" w:eastAsia="宋体" w:hint="default"/>
                <w:sz w:val="20"/>
                <w:szCs w:val="20"/>
              </w:rPr>
            </w:pPr>
            <w:r>
              <w:rPr>
                <w:rFonts w:ascii="宋体" w:hAnsi="宋体" w:cs="宋体" w:eastAsia="宋体" w:hint="default"/>
                <w:spacing w:val="-1"/>
                <w:sz w:val="20"/>
                <w:szCs w:val="20"/>
              </w:rPr>
              <w:t>中信证券股份有限公司关于公司有限售条件的流通</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股上市流通申请的专项意见</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63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2010-8-17</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关于境外子公司增资</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LAOX</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株式会社的公告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2010-031</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64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2010-8-25</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停牌公告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2010-032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65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2010-8-26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第四届董事会第二次会议决议公告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2010-033</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66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2010-8-26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第四届监事会第二次会议决议公告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2010-034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67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2010-8-26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年股票期权激励计划（草案）摘要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2010-035</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68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2010-8-26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关于为子公司提供担保的公告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2010-036</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69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2010-8-26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年股票期权激励计划拟激励对象名单</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529"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Times New Roman" w:hAnsi="Times New Roman" w:cs="Times New Roman" w:eastAsia="Times New Roman" w:hint="default"/>
                <w:sz w:val="20"/>
                <w:szCs w:val="20"/>
              </w:rPr>
            </w:pPr>
            <w:r>
              <w:rPr>
                <w:rFonts w:ascii="Times New Roman"/>
                <w:sz w:val="20"/>
              </w:rPr>
              <w:t>70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Times New Roman" w:hAnsi="Times New Roman" w:cs="Times New Roman" w:eastAsia="Times New Roman" w:hint="default"/>
                <w:sz w:val="20"/>
                <w:szCs w:val="20"/>
              </w:rPr>
            </w:pPr>
            <w:r>
              <w:rPr>
                <w:rFonts w:ascii="Times New Roman"/>
                <w:sz w:val="20"/>
              </w:rPr>
              <w:t>2010-8-26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独立董事关于</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年股票期权激励计划（草案）的</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独立意见</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53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Times New Roman" w:hAnsi="Times New Roman" w:cs="Times New Roman" w:eastAsia="Times New Roman" w:hint="default"/>
                <w:sz w:val="20"/>
                <w:szCs w:val="20"/>
              </w:rPr>
            </w:pPr>
            <w:r>
              <w:rPr>
                <w:rFonts w:ascii="Times New Roman"/>
                <w:sz w:val="20"/>
              </w:rPr>
              <w:t>71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Times New Roman" w:hAnsi="Times New Roman" w:cs="Times New Roman" w:eastAsia="Times New Roman" w:hint="default"/>
                <w:sz w:val="20"/>
                <w:szCs w:val="20"/>
              </w:rPr>
            </w:pPr>
            <w:r>
              <w:rPr>
                <w:rFonts w:ascii="Times New Roman"/>
                <w:sz w:val="20"/>
              </w:rPr>
              <w:t>2010-8-26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年股票期权激励计划实施考核办法（</w:t>
            </w: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8</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72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2010-8-26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年股票期权激励计划（草案）</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73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2010-8-31</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年半年度报告摘要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2010-037</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55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74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2010-8-31</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
              <w:ind w:left="103" w:right="101"/>
              <w:jc w:val="left"/>
              <w:rPr>
                <w:rFonts w:ascii="宋体" w:hAnsi="宋体" w:cs="宋体" w:eastAsia="宋体" w:hint="default"/>
                <w:sz w:val="20"/>
                <w:szCs w:val="20"/>
              </w:rPr>
            </w:pPr>
            <w:r>
              <w:rPr>
                <w:rFonts w:ascii="宋体" w:hAnsi="宋体" w:cs="宋体" w:eastAsia="宋体" w:hint="default"/>
                <w:spacing w:val="-4"/>
                <w:sz w:val="20"/>
                <w:szCs w:val="20"/>
              </w:rPr>
              <w:t>独立董事对公司与关联方资金往来、公司累计和当前</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对外担保情况的专项说明和独立意见</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75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2010-8-31</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年半年度报告</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76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2010-8-31</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年半年度财务报告</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77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Times New Roman" w:hAnsi="Times New Roman" w:cs="Times New Roman" w:eastAsia="Times New Roman" w:hint="default"/>
                <w:sz w:val="20"/>
                <w:szCs w:val="20"/>
              </w:rPr>
            </w:pPr>
            <w:r>
              <w:rPr>
                <w:rFonts w:ascii="Times New Roman"/>
                <w:sz w:val="20"/>
              </w:rPr>
              <w:t>2010-10-30</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年第三季度报告正文</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2010-038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78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Times New Roman" w:hAnsi="Times New Roman" w:cs="Times New Roman" w:eastAsia="Times New Roman" w:hint="default"/>
                <w:sz w:val="20"/>
                <w:szCs w:val="20"/>
              </w:rPr>
            </w:pPr>
            <w:r>
              <w:rPr>
                <w:rFonts w:ascii="Times New Roman"/>
                <w:sz w:val="20"/>
              </w:rPr>
              <w:t>2010-10-30</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年第三季度报告全文</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bl>
    <w:p>
      <w:pPr>
        <w:spacing w:after="0" w:line="249" w:lineRule="exact"/>
        <w:jc w:val="center"/>
        <w:rPr>
          <w:rFonts w:ascii="宋体" w:hAnsi="宋体" w:cs="宋体" w:eastAsia="宋体" w:hint="default"/>
          <w:sz w:val="20"/>
          <w:szCs w:val="20"/>
        </w:rPr>
        <w:sectPr>
          <w:pgSz w:w="11910" w:h="16840"/>
          <w:pgMar w:header="748" w:footer="714" w:top="980" w:bottom="900" w:left="1220" w:right="12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516"/>
        <w:gridCol w:w="1150"/>
        <w:gridCol w:w="4747"/>
        <w:gridCol w:w="1016"/>
        <w:gridCol w:w="1816"/>
      </w:tblGrid>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2" w:right="0"/>
              <w:jc w:val="left"/>
              <w:rPr>
                <w:rFonts w:ascii="Times New Roman" w:hAnsi="Times New Roman" w:cs="Times New Roman" w:eastAsia="Times New Roman" w:hint="default"/>
                <w:sz w:val="20"/>
                <w:szCs w:val="20"/>
              </w:rPr>
            </w:pPr>
            <w:r>
              <w:rPr>
                <w:rFonts w:ascii="Times New Roman"/>
                <w:sz w:val="20"/>
              </w:rPr>
              <w:t>79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2010-11-6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第四届董事会第五次会议决议公告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2010-039</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2" w:right="0"/>
              <w:jc w:val="left"/>
              <w:rPr>
                <w:rFonts w:ascii="Times New Roman" w:hAnsi="Times New Roman" w:cs="Times New Roman" w:eastAsia="Times New Roman" w:hint="default"/>
                <w:sz w:val="20"/>
                <w:szCs w:val="20"/>
              </w:rPr>
            </w:pPr>
            <w:r>
              <w:rPr>
                <w:rFonts w:ascii="Times New Roman"/>
                <w:sz w:val="20"/>
              </w:rPr>
              <w:t>80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2010-11-6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独立董事公开征集委托投票权报告书</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2010-040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2" w:right="0"/>
              <w:jc w:val="left"/>
              <w:rPr>
                <w:rFonts w:ascii="Times New Roman" w:hAnsi="Times New Roman" w:cs="Times New Roman" w:eastAsia="Times New Roman" w:hint="default"/>
                <w:sz w:val="20"/>
                <w:szCs w:val="20"/>
              </w:rPr>
            </w:pPr>
            <w:r>
              <w:rPr>
                <w:rFonts w:ascii="Times New Roman"/>
                <w:sz w:val="20"/>
              </w:rPr>
              <w:t>81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2010-11-6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董事会关于召开</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年第二次临时股东大会的通知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2010-041</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2" w:right="0"/>
              <w:jc w:val="left"/>
              <w:rPr>
                <w:rFonts w:ascii="Times New Roman" w:hAnsi="Times New Roman" w:cs="Times New Roman" w:eastAsia="Times New Roman" w:hint="default"/>
                <w:sz w:val="20"/>
                <w:szCs w:val="20"/>
              </w:rPr>
            </w:pPr>
            <w:r>
              <w:rPr>
                <w:rFonts w:ascii="Times New Roman"/>
                <w:sz w:val="20"/>
              </w:rPr>
              <w:t>82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2010-11-6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年股票期权激励计划拟激励对象名单</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2" w:right="0"/>
              <w:jc w:val="left"/>
              <w:rPr>
                <w:rFonts w:ascii="Times New Roman" w:hAnsi="Times New Roman" w:cs="Times New Roman" w:eastAsia="Times New Roman" w:hint="default"/>
                <w:sz w:val="20"/>
                <w:szCs w:val="20"/>
              </w:rPr>
            </w:pPr>
            <w:r>
              <w:rPr>
                <w:rFonts w:ascii="Times New Roman"/>
                <w:sz w:val="20"/>
              </w:rPr>
              <w:t>83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2010-11-6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年股票期权激励计划（草案）的法律意见书</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2" w:right="0"/>
              <w:jc w:val="left"/>
              <w:rPr>
                <w:rFonts w:ascii="Times New Roman" w:hAnsi="Times New Roman" w:cs="Times New Roman" w:eastAsia="Times New Roman" w:hint="default"/>
                <w:sz w:val="20"/>
                <w:szCs w:val="20"/>
              </w:rPr>
            </w:pPr>
            <w:r>
              <w:rPr>
                <w:rFonts w:ascii="Times New Roman"/>
                <w:sz w:val="20"/>
              </w:rPr>
              <w:t>84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20"/>
                <w:szCs w:val="20"/>
              </w:rPr>
            </w:pPr>
            <w:r>
              <w:rPr>
                <w:rFonts w:ascii="Times New Roman"/>
                <w:sz w:val="20"/>
              </w:rPr>
              <w:t>2010-11-6</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年第二次临时股东大会会议资料</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53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52" w:right="0"/>
              <w:jc w:val="left"/>
              <w:rPr>
                <w:rFonts w:ascii="Times New Roman" w:hAnsi="Times New Roman" w:cs="Times New Roman" w:eastAsia="Times New Roman" w:hint="default"/>
                <w:sz w:val="20"/>
                <w:szCs w:val="20"/>
              </w:rPr>
            </w:pPr>
            <w:r>
              <w:rPr>
                <w:rFonts w:ascii="Times New Roman"/>
                <w:sz w:val="20"/>
              </w:rPr>
              <w:t>85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Times New Roman" w:hAnsi="Times New Roman" w:cs="Times New Roman" w:eastAsia="Times New Roman" w:hint="default"/>
                <w:sz w:val="20"/>
                <w:szCs w:val="20"/>
              </w:rPr>
            </w:pPr>
            <w:r>
              <w:rPr>
                <w:rFonts w:ascii="Times New Roman"/>
                <w:sz w:val="20"/>
              </w:rPr>
              <w:t>2010-11-17</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董事会关于召开</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年第二次临时股东大会的提示</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性公告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18" w:right="0"/>
              <w:jc w:val="left"/>
              <w:rPr>
                <w:rFonts w:ascii="Times New Roman" w:hAnsi="Times New Roman" w:cs="Times New Roman" w:eastAsia="Times New Roman" w:hint="default"/>
                <w:sz w:val="20"/>
                <w:szCs w:val="20"/>
              </w:rPr>
            </w:pPr>
            <w:r>
              <w:rPr>
                <w:rFonts w:ascii="Times New Roman"/>
                <w:sz w:val="20"/>
              </w:rPr>
              <w:t>2010-042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2" w:right="0"/>
              <w:jc w:val="left"/>
              <w:rPr>
                <w:rFonts w:ascii="Times New Roman" w:hAnsi="Times New Roman" w:cs="Times New Roman" w:eastAsia="Times New Roman" w:hint="default"/>
                <w:sz w:val="20"/>
                <w:szCs w:val="20"/>
              </w:rPr>
            </w:pPr>
            <w:r>
              <w:rPr>
                <w:rFonts w:ascii="Times New Roman"/>
                <w:sz w:val="20"/>
              </w:rPr>
              <w:t>86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Times New Roman" w:hAnsi="Times New Roman" w:cs="Times New Roman" w:eastAsia="Times New Roman" w:hint="default"/>
                <w:sz w:val="20"/>
                <w:szCs w:val="20"/>
              </w:rPr>
            </w:pPr>
            <w:r>
              <w:rPr>
                <w:rFonts w:ascii="Times New Roman"/>
                <w:sz w:val="20"/>
              </w:rPr>
              <w:t>2010-11-25</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年第二次临时股东大会的法律意见书</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2010-043</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2" w:right="0"/>
              <w:jc w:val="left"/>
              <w:rPr>
                <w:rFonts w:ascii="Times New Roman" w:hAnsi="Times New Roman" w:cs="Times New Roman" w:eastAsia="Times New Roman" w:hint="default"/>
                <w:sz w:val="20"/>
                <w:szCs w:val="20"/>
              </w:rPr>
            </w:pPr>
            <w:r>
              <w:rPr>
                <w:rFonts w:ascii="Times New Roman"/>
                <w:sz w:val="20"/>
              </w:rPr>
              <w:t>87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Times New Roman" w:hAnsi="Times New Roman" w:cs="Times New Roman" w:eastAsia="Times New Roman" w:hint="default"/>
                <w:sz w:val="20"/>
                <w:szCs w:val="20"/>
              </w:rPr>
            </w:pPr>
            <w:r>
              <w:rPr>
                <w:rFonts w:ascii="Times New Roman"/>
                <w:sz w:val="20"/>
              </w:rPr>
              <w:t>2010-11-25</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宋体" w:hAnsi="宋体" w:cs="宋体" w:eastAsia="宋体" w:hint="default"/>
                <w:sz w:val="20"/>
                <w:szCs w:val="20"/>
              </w:rPr>
              <w:t>股东大会议事规则（</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2" w:right="0"/>
              <w:jc w:val="left"/>
              <w:rPr>
                <w:rFonts w:ascii="Times New Roman" w:hAnsi="Times New Roman" w:cs="Times New Roman" w:eastAsia="Times New Roman" w:hint="default"/>
                <w:sz w:val="20"/>
                <w:szCs w:val="20"/>
              </w:rPr>
            </w:pPr>
            <w:r>
              <w:rPr>
                <w:rFonts w:ascii="Times New Roman"/>
                <w:sz w:val="20"/>
              </w:rPr>
              <w:t>88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Times New Roman" w:hAnsi="Times New Roman" w:cs="Times New Roman" w:eastAsia="Times New Roman" w:hint="default"/>
                <w:sz w:val="20"/>
                <w:szCs w:val="20"/>
              </w:rPr>
            </w:pPr>
            <w:r>
              <w:rPr>
                <w:rFonts w:ascii="Times New Roman"/>
                <w:sz w:val="20"/>
              </w:rPr>
              <w:t>2010-11-25</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年第二次临时股东大会决议公告</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2" w:right="0"/>
              <w:jc w:val="left"/>
              <w:rPr>
                <w:rFonts w:ascii="Times New Roman" w:hAnsi="Times New Roman" w:cs="Times New Roman" w:eastAsia="Times New Roman" w:hint="default"/>
                <w:sz w:val="20"/>
                <w:szCs w:val="20"/>
              </w:rPr>
            </w:pPr>
            <w:r>
              <w:rPr>
                <w:rFonts w:ascii="Times New Roman"/>
                <w:sz w:val="20"/>
              </w:rPr>
              <w:t>89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Times New Roman" w:hAnsi="Times New Roman" w:cs="Times New Roman" w:eastAsia="Times New Roman" w:hint="default"/>
                <w:sz w:val="20"/>
                <w:szCs w:val="20"/>
              </w:rPr>
            </w:pPr>
            <w:r>
              <w:rPr>
                <w:rFonts w:ascii="Times New Roman"/>
                <w:sz w:val="20"/>
              </w:rPr>
              <w:t>2010-11-25</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公司章程（</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2" w:right="0"/>
              <w:jc w:val="left"/>
              <w:rPr>
                <w:rFonts w:ascii="Times New Roman" w:hAnsi="Times New Roman" w:cs="Times New Roman" w:eastAsia="Times New Roman" w:hint="default"/>
                <w:sz w:val="20"/>
                <w:szCs w:val="20"/>
              </w:rPr>
            </w:pPr>
            <w:r>
              <w:rPr>
                <w:rFonts w:ascii="Times New Roman"/>
                <w:sz w:val="20"/>
              </w:rPr>
              <w:t>90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Times New Roman" w:hAnsi="Times New Roman" w:cs="Times New Roman" w:eastAsia="Times New Roman" w:hint="default"/>
                <w:sz w:val="20"/>
                <w:szCs w:val="20"/>
              </w:rPr>
            </w:pPr>
            <w:r>
              <w:rPr>
                <w:rFonts w:ascii="Times New Roman"/>
                <w:sz w:val="20"/>
              </w:rPr>
              <w:t>2010-11-27</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第四届董事会第六次会议决议公告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2010-044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2" w:right="0"/>
              <w:jc w:val="left"/>
              <w:rPr>
                <w:rFonts w:ascii="Times New Roman" w:hAnsi="Times New Roman" w:cs="Times New Roman" w:eastAsia="Times New Roman" w:hint="default"/>
                <w:sz w:val="20"/>
                <w:szCs w:val="20"/>
              </w:rPr>
            </w:pPr>
            <w:r>
              <w:rPr>
                <w:rFonts w:ascii="Times New Roman"/>
                <w:sz w:val="20"/>
              </w:rPr>
              <w:t>91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Times New Roman" w:hAnsi="Times New Roman" w:cs="Times New Roman" w:eastAsia="Times New Roman" w:hint="default"/>
                <w:sz w:val="20"/>
                <w:szCs w:val="20"/>
              </w:rPr>
            </w:pPr>
            <w:r>
              <w:rPr>
                <w:rFonts w:ascii="Times New Roman"/>
                <w:sz w:val="20"/>
              </w:rPr>
              <w:t>2010-11-27</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第四届监事会第五次会议决议公告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2010-045</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2" w:right="0"/>
              <w:jc w:val="left"/>
              <w:rPr>
                <w:rFonts w:ascii="Times New Roman" w:hAnsi="Times New Roman" w:cs="Times New Roman" w:eastAsia="Times New Roman" w:hint="default"/>
                <w:sz w:val="20"/>
                <w:szCs w:val="20"/>
              </w:rPr>
            </w:pPr>
            <w:r>
              <w:rPr>
                <w:rFonts w:ascii="Times New Roman"/>
                <w:sz w:val="20"/>
              </w:rPr>
              <w:t>92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Times New Roman" w:hAnsi="Times New Roman" w:cs="Times New Roman" w:eastAsia="Times New Roman" w:hint="default"/>
                <w:sz w:val="20"/>
                <w:szCs w:val="20"/>
              </w:rPr>
            </w:pPr>
            <w:r>
              <w:rPr>
                <w:rFonts w:ascii="Times New Roman"/>
                <w:sz w:val="20"/>
              </w:rPr>
              <w:t>2010-11-27</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董事会关于股票期权授予相关事项的公告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2010-046</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53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52" w:right="0"/>
              <w:jc w:val="left"/>
              <w:rPr>
                <w:rFonts w:ascii="Times New Roman" w:hAnsi="Times New Roman" w:cs="Times New Roman" w:eastAsia="Times New Roman" w:hint="default"/>
                <w:sz w:val="20"/>
                <w:szCs w:val="20"/>
              </w:rPr>
            </w:pPr>
            <w:r>
              <w:rPr>
                <w:rFonts w:ascii="Times New Roman"/>
                <w:sz w:val="20"/>
              </w:rPr>
              <w:t>93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Times New Roman" w:hAnsi="Times New Roman" w:cs="Times New Roman" w:eastAsia="Times New Roman" w:hint="default"/>
                <w:sz w:val="20"/>
                <w:szCs w:val="20"/>
              </w:rPr>
            </w:pPr>
            <w:r>
              <w:rPr>
                <w:rFonts w:ascii="Times New Roman"/>
                <w:sz w:val="20"/>
              </w:rPr>
              <w:t>2010-11-27</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关于连锁店发展项目中部分连锁店实施地点变更的</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18" w:right="0"/>
              <w:jc w:val="left"/>
              <w:rPr>
                <w:rFonts w:ascii="Times New Roman" w:hAnsi="Times New Roman" w:cs="Times New Roman" w:eastAsia="Times New Roman" w:hint="default"/>
                <w:sz w:val="20"/>
                <w:szCs w:val="20"/>
              </w:rPr>
            </w:pPr>
            <w:r>
              <w:rPr>
                <w:rFonts w:ascii="Times New Roman"/>
                <w:sz w:val="20"/>
              </w:rPr>
              <w:t>2010-047</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2" w:right="0"/>
              <w:jc w:val="left"/>
              <w:rPr>
                <w:rFonts w:ascii="Times New Roman" w:hAnsi="Times New Roman" w:cs="Times New Roman" w:eastAsia="Times New Roman" w:hint="default"/>
                <w:sz w:val="20"/>
                <w:szCs w:val="20"/>
              </w:rPr>
            </w:pPr>
            <w:r>
              <w:rPr>
                <w:rFonts w:ascii="Times New Roman"/>
                <w:sz w:val="20"/>
              </w:rPr>
              <w:t>94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Times New Roman" w:hAnsi="Times New Roman" w:cs="Times New Roman" w:eastAsia="Times New Roman" w:hint="default"/>
                <w:sz w:val="20"/>
                <w:szCs w:val="20"/>
              </w:rPr>
            </w:pPr>
            <w:r>
              <w:rPr>
                <w:rFonts w:ascii="Times New Roman"/>
                <w:sz w:val="20"/>
              </w:rPr>
              <w:t>2010-11-27</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年股票期权激励计划激励对象名单</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65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2" w:right="0"/>
              <w:jc w:val="left"/>
              <w:rPr>
                <w:rFonts w:ascii="Times New Roman" w:hAnsi="Times New Roman" w:cs="Times New Roman" w:eastAsia="Times New Roman" w:hint="default"/>
                <w:sz w:val="20"/>
                <w:szCs w:val="20"/>
              </w:rPr>
            </w:pPr>
            <w:r>
              <w:rPr>
                <w:rFonts w:ascii="Times New Roman"/>
                <w:sz w:val="20"/>
              </w:rPr>
              <w:t>95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2010-11-27</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230"/>
              <w:jc w:val="left"/>
              <w:rPr>
                <w:rFonts w:ascii="宋体" w:hAnsi="宋体" w:cs="宋体" w:eastAsia="宋体" w:hint="default"/>
                <w:sz w:val="20"/>
                <w:szCs w:val="20"/>
              </w:rPr>
            </w:pPr>
            <w:r>
              <w:rPr>
                <w:rFonts w:ascii="宋体" w:hAnsi="宋体" w:cs="宋体" w:eastAsia="宋体" w:hint="default"/>
                <w:spacing w:val="-1"/>
                <w:sz w:val="20"/>
                <w:szCs w:val="20"/>
              </w:rPr>
              <w:t>中信证券股份有限公司关于公司部分募集资金投资</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项目实施地点变更的保荐意见</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53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52" w:right="0"/>
              <w:jc w:val="left"/>
              <w:rPr>
                <w:rFonts w:ascii="Times New Roman" w:hAnsi="Times New Roman" w:cs="Times New Roman" w:eastAsia="Times New Roman" w:hint="default"/>
                <w:sz w:val="20"/>
                <w:szCs w:val="20"/>
              </w:rPr>
            </w:pPr>
            <w:r>
              <w:rPr>
                <w:rFonts w:ascii="Times New Roman"/>
                <w:sz w:val="20"/>
              </w:rPr>
              <w:t>96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Times New Roman" w:hAnsi="Times New Roman" w:cs="Times New Roman" w:eastAsia="Times New Roman" w:hint="default"/>
                <w:sz w:val="20"/>
                <w:szCs w:val="20"/>
              </w:rPr>
            </w:pPr>
            <w:r>
              <w:rPr>
                <w:rFonts w:ascii="Times New Roman"/>
                <w:sz w:val="20"/>
              </w:rPr>
              <w:t>2010-11-27</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关于公司</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年股票期权激励计划授权的法律意见</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书</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529"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2" w:right="0"/>
              <w:jc w:val="left"/>
              <w:rPr>
                <w:rFonts w:ascii="Times New Roman" w:hAnsi="Times New Roman" w:cs="Times New Roman" w:eastAsia="Times New Roman" w:hint="default"/>
                <w:sz w:val="20"/>
                <w:szCs w:val="20"/>
              </w:rPr>
            </w:pPr>
            <w:r>
              <w:rPr>
                <w:rFonts w:ascii="Times New Roman"/>
                <w:sz w:val="20"/>
              </w:rPr>
              <w:t>97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20"/>
                <w:szCs w:val="20"/>
              </w:rPr>
            </w:pPr>
            <w:r>
              <w:rPr>
                <w:rFonts w:ascii="Times New Roman"/>
                <w:sz w:val="20"/>
              </w:rPr>
              <w:t>2010-11-27</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独立董事关于公司股票期权激励计划相关事项的独</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立意见</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2" w:right="0"/>
              <w:jc w:val="left"/>
              <w:rPr>
                <w:rFonts w:ascii="Times New Roman" w:hAnsi="Times New Roman" w:cs="Times New Roman" w:eastAsia="Times New Roman" w:hint="default"/>
                <w:sz w:val="20"/>
                <w:szCs w:val="20"/>
              </w:rPr>
            </w:pPr>
            <w:r>
              <w:rPr>
                <w:rFonts w:ascii="Times New Roman"/>
                <w:sz w:val="20"/>
              </w:rPr>
              <w:t>98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Times New Roman" w:hAnsi="Times New Roman" w:cs="Times New Roman" w:eastAsia="Times New Roman" w:hint="default"/>
                <w:sz w:val="20"/>
                <w:szCs w:val="20"/>
              </w:rPr>
            </w:pPr>
            <w:r>
              <w:rPr>
                <w:rFonts w:ascii="Times New Roman"/>
                <w:sz w:val="20"/>
              </w:rPr>
              <w:t>2010-12-24</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关于股票期权授予登记完成的公告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2010-048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52" w:right="0"/>
              <w:jc w:val="left"/>
              <w:rPr>
                <w:rFonts w:ascii="Times New Roman" w:hAnsi="Times New Roman" w:cs="Times New Roman" w:eastAsia="Times New Roman" w:hint="default"/>
                <w:sz w:val="20"/>
                <w:szCs w:val="20"/>
              </w:rPr>
            </w:pPr>
            <w:r>
              <w:rPr>
                <w:rFonts w:ascii="Times New Roman"/>
                <w:sz w:val="20"/>
              </w:rPr>
              <w:t>99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Times New Roman" w:hAnsi="Times New Roman" w:cs="Times New Roman" w:eastAsia="Times New Roman" w:hint="default"/>
                <w:sz w:val="20"/>
                <w:szCs w:val="20"/>
              </w:rPr>
            </w:pPr>
            <w:r>
              <w:rPr>
                <w:rFonts w:ascii="Times New Roman"/>
                <w:sz w:val="20"/>
              </w:rPr>
              <w:t>2010-12-24</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年股票期权激励计划激励对象名单</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0"/>
                <w:szCs w:val="20"/>
              </w:rPr>
            </w:pPr>
            <w:r>
              <w:rPr>
                <w:rFonts w:ascii="宋体" w:hAnsi="宋体" w:cs="宋体" w:eastAsia="宋体" w:hint="default"/>
                <w:sz w:val="20"/>
                <w:szCs w:val="20"/>
              </w:rPr>
              <w:t>网站</w:t>
            </w:r>
          </w:p>
        </w:tc>
      </w:tr>
      <w:tr>
        <w:trPr>
          <w:trHeight w:val="31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Times New Roman" w:hAnsi="Times New Roman" w:cs="Times New Roman" w:eastAsia="Times New Roman" w:hint="default"/>
                <w:sz w:val="20"/>
                <w:szCs w:val="20"/>
              </w:rPr>
            </w:pPr>
            <w:r>
              <w:rPr>
                <w:rFonts w:ascii="Times New Roman"/>
                <w:sz w:val="20"/>
              </w:rPr>
              <w:t>100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2010-12-28</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限售股份上市流通提示性公告</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8" w:right="0"/>
              <w:jc w:val="left"/>
              <w:rPr>
                <w:rFonts w:ascii="Times New Roman" w:hAnsi="Times New Roman" w:cs="Times New Roman" w:eastAsia="Times New Roman" w:hint="default"/>
                <w:sz w:val="20"/>
                <w:szCs w:val="20"/>
              </w:rPr>
            </w:pPr>
            <w:r>
              <w:rPr>
                <w:rFonts w:ascii="Times New Roman"/>
                <w:sz w:val="20"/>
              </w:rPr>
              <w:t>2010-049</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四大证券报、网站</w:t>
            </w:r>
          </w:p>
        </w:tc>
      </w:tr>
      <w:tr>
        <w:trPr>
          <w:trHeight w:val="6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101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2010-12-28</w:t>
            </w:r>
          </w:p>
        </w:tc>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230"/>
              <w:jc w:val="left"/>
              <w:rPr>
                <w:rFonts w:ascii="宋体" w:hAnsi="宋体" w:cs="宋体" w:eastAsia="宋体" w:hint="default"/>
                <w:sz w:val="20"/>
                <w:szCs w:val="20"/>
              </w:rPr>
            </w:pPr>
            <w:r>
              <w:rPr>
                <w:rFonts w:ascii="宋体" w:hAnsi="宋体" w:cs="宋体" w:eastAsia="宋体" w:hint="default"/>
                <w:spacing w:val="-1"/>
                <w:sz w:val="20"/>
                <w:szCs w:val="20"/>
              </w:rPr>
              <w:t>中信证券股份有限公司关于公司有限售条件的流通</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股上市流通申请的专项意见</w:t>
            </w:r>
          </w:p>
        </w:tc>
        <w:tc>
          <w:tcPr>
            <w:tcW w:w="10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
              <w:jc w:val="center"/>
              <w:rPr>
                <w:rFonts w:ascii="宋体" w:hAnsi="宋体" w:cs="宋体" w:eastAsia="宋体" w:hint="default"/>
                <w:sz w:val="20"/>
                <w:szCs w:val="20"/>
              </w:rPr>
            </w:pPr>
            <w:r>
              <w:rPr>
                <w:rFonts w:ascii="宋体" w:hAnsi="宋体" w:cs="宋体" w:eastAsia="宋体" w:hint="default"/>
                <w:sz w:val="20"/>
                <w:szCs w:val="20"/>
              </w:rPr>
              <w:t>网站</w:t>
            </w:r>
          </w:p>
        </w:tc>
      </w:tr>
    </w:tbl>
    <w:p>
      <w:pPr>
        <w:spacing w:line="241" w:lineRule="exact" w:before="0"/>
        <w:ind w:left="640" w:right="0" w:firstLine="0"/>
        <w:jc w:val="left"/>
        <w:rPr>
          <w:rFonts w:ascii="宋体" w:hAnsi="宋体" w:cs="宋体" w:eastAsia="宋体" w:hint="default"/>
          <w:sz w:val="21"/>
          <w:szCs w:val="21"/>
        </w:rPr>
      </w:pPr>
      <w:r>
        <w:rPr>
          <w:rFonts w:ascii="宋体" w:hAnsi="宋体" w:cs="宋体" w:eastAsia="宋体" w:hint="default"/>
          <w:spacing w:val="4"/>
          <w:sz w:val="21"/>
          <w:szCs w:val="21"/>
        </w:rPr>
        <w:t>注：四大</w:t>
      </w:r>
      <w:r>
        <w:rPr>
          <w:rFonts w:ascii="宋体" w:hAnsi="宋体" w:cs="宋体" w:eastAsia="宋体" w:hint="default"/>
          <w:spacing w:val="6"/>
          <w:sz w:val="21"/>
          <w:szCs w:val="21"/>
        </w:rPr>
        <w:t>证</w:t>
      </w:r>
      <w:r>
        <w:rPr>
          <w:rFonts w:ascii="宋体" w:hAnsi="宋体" w:cs="宋体" w:eastAsia="宋体" w:hint="default"/>
          <w:spacing w:val="4"/>
          <w:sz w:val="21"/>
          <w:szCs w:val="21"/>
        </w:rPr>
        <w:t>券报指公</w:t>
      </w:r>
      <w:r>
        <w:rPr>
          <w:rFonts w:ascii="宋体" w:hAnsi="宋体" w:cs="宋体" w:eastAsia="宋体" w:hint="default"/>
          <w:spacing w:val="6"/>
          <w:sz w:val="21"/>
          <w:szCs w:val="21"/>
        </w:rPr>
        <w:t>司</w:t>
      </w:r>
      <w:r>
        <w:rPr>
          <w:rFonts w:ascii="宋体" w:hAnsi="宋体" w:cs="宋体" w:eastAsia="宋体" w:hint="default"/>
          <w:spacing w:val="4"/>
          <w:sz w:val="21"/>
          <w:szCs w:val="21"/>
        </w:rPr>
        <w:t>指定信息</w:t>
      </w:r>
      <w:r>
        <w:rPr>
          <w:rFonts w:ascii="宋体" w:hAnsi="宋体" w:cs="宋体" w:eastAsia="宋体" w:hint="default"/>
          <w:spacing w:val="6"/>
          <w:sz w:val="21"/>
          <w:szCs w:val="21"/>
        </w:rPr>
        <w:t>披</w:t>
      </w:r>
      <w:r>
        <w:rPr>
          <w:rFonts w:ascii="宋体" w:hAnsi="宋体" w:cs="宋体" w:eastAsia="宋体" w:hint="default"/>
          <w:spacing w:val="4"/>
          <w:sz w:val="21"/>
          <w:szCs w:val="21"/>
        </w:rPr>
        <w:t>露报纸―</w:t>
      </w:r>
      <w:r>
        <w:rPr>
          <w:rFonts w:ascii="宋体" w:hAnsi="宋体" w:cs="宋体" w:eastAsia="宋体" w:hint="default"/>
          <w:spacing w:val="6"/>
          <w:sz w:val="21"/>
          <w:szCs w:val="21"/>
        </w:rPr>
        <w:t>―</w:t>
      </w:r>
      <w:r>
        <w:rPr>
          <w:rFonts w:ascii="宋体" w:hAnsi="宋体" w:cs="宋体" w:eastAsia="宋体" w:hint="default"/>
          <w:spacing w:val="4"/>
          <w:sz w:val="21"/>
          <w:szCs w:val="21"/>
        </w:rPr>
        <w:t>《证券时报</w:t>
      </w:r>
      <w:r>
        <w:rPr>
          <w:rFonts w:ascii="宋体" w:hAnsi="宋体" w:cs="宋体" w:eastAsia="宋体" w:hint="default"/>
          <w:spacing w:val="-100"/>
          <w:sz w:val="21"/>
          <w:szCs w:val="21"/>
        </w:rPr>
        <w:t>》、</w:t>
      </w:r>
      <w:r>
        <w:rPr>
          <w:rFonts w:ascii="宋体" w:hAnsi="宋体" w:cs="宋体" w:eastAsia="宋体" w:hint="default"/>
          <w:spacing w:val="4"/>
          <w:sz w:val="21"/>
          <w:szCs w:val="21"/>
        </w:rPr>
        <w:t>《中国证券报</w:t>
      </w:r>
      <w:r>
        <w:rPr>
          <w:rFonts w:ascii="宋体" w:hAnsi="宋体" w:cs="宋体" w:eastAsia="宋体" w:hint="default"/>
          <w:spacing w:val="-100"/>
          <w:sz w:val="21"/>
          <w:szCs w:val="21"/>
        </w:rPr>
        <w:t>》、</w:t>
      </w:r>
      <w:r>
        <w:rPr>
          <w:rFonts w:ascii="宋体" w:hAnsi="宋体" w:cs="宋体" w:eastAsia="宋体" w:hint="default"/>
          <w:spacing w:val="4"/>
          <w:sz w:val="21"/>
          <w:szCs w:val="21"/>
        </w:rPr>
        <w:t>《上海证券报</w:t>
      </w:r>
      <w:r>
        <w:rPr>
          <w:rFonts w:ascii="宋体" w:hAnsi="宋体" w:cs="宋体" w:eastAsia="宋体" w:hint="default"/>
          <w:spacing w:val="-100"/>
          <w:sz w:val="21"/>
          <w:szCs w:val="21"/>
        </w:rPr>
        <w:t>》</w:t>
      </w:r>
      <w:r>
        <w:rPr>
          <w:rFonts w:ascii="宋体" w:hAnsi="宋体" w:cs="宋体" w:eastAsia="宋体" w:hint="default"/>
          <w:sz w:val="21"/>
          <w:szCs w:val="21"/>
        </w:rPr>
        <w:t>、</w:t>
      </w:r>
    </w:p>
    <w:p>
      <w:pPr>
        <w:spacing w:before="146"/>
        <w:ind w:left="220" w:right="0" w:firstLine="0"/>
        <w:jc w:val="left"/>
        <w:rPr>
          <w:rFonts w:ascii="宋体" w:hAnsi="宋体" w:cs="宋体" w:eastAsia="宋体" w:hint="default"/>
          <w:sz w:val="21"/>
          <w:szCs w:val="21"/>
        </w:rPr>
      </w:pPr>
      <w:r>
        <w:rPr>
          <w:rFonts w:ascii="宋体" w:hAnsi="宋体" w:cs="宋体" w:eastAsia="宋体" w:hint="default"/>
          <w:sz w:val="21"/>
          <w:szCs w:val="21"/>
        </w:rPr>
        <w:t>《证券日报</w:t>
      </w:r>
      <w:r>
        <w:rPr>
          <w:rFonts w:ascii="宋体" w:hAnsi="宋体" w:cs="宋体" w:eastAsia="宋体" w:hint="default"/>
          <w:spacing w:val="-106"/>
          <w:sz w:val="21"/>
          <w:szCs w:val="21"/>
        </w:rPr>
        <w:t>》</w:t>
      </w:r>
      <w:r>
        <w:rPr>
          <w:rFonts w:ascii="宋体" w:hAnsi="宋体" w:cs="宋体" w:eastAsia="宋体" w:hint="default"/>
          <w:sz w:val="21"/>
          <w:szCs w:val="21"/>
        </w:rPr>
        <w:t>；网站指公司指定信息披露网站――巨潮资讯网（</w:t>
      </w:r>
      <w:r>
        <w:rPr>
          <w:rFonts w:ascii="Times New Roman" w:hAnsi="Times New Roman" w:cs="Times New Roman" w:eastAsia="Times New Roman" w:hint="default"/>
          <w:color w:val="0000FF"/>
          <w:w w:val="99"/>
          <w:sz w:val="24"/>
          <w:szCs w:val="24"/>
        </w:rPr>
      </w:r>
      <w:hyperlink r:id="rId10">
        <w:r>
          <w:rPr>
            <w:rFonts w:ascii="Times New Roman" w:hAnsi="Times New Roman" w:cs="Times New Roman" w:eastAsia="Times New Roman" w:hint="default"/>
            <w:color w:val="0000FF"/>
            <w:w w:val="99"/>
            <w:sz w:val="24"/>
            <w:szCs w:val="24"/>
            <w:u w:val="single" w:color="0000FF"/>
          </w:rPr>
          <w:t>ww</w:t>
        </w:r>
        <w:r>
          <w:rPr>
            <w:rFonts w:ascii="Times New Roman" w:hAnsi="Times New Roman" w:cs="Times New Roman" w:eastAsia="Times New Roman" w:hint="default"/>
            <w:color w:val="0000FF"/>
            <w:spacing w:val="-17"/>
            <w:w w:val="99"/>
            <w:sz w:val="24"/>
            <w:szCs w:val="24"/>
            <w:u w:val="single" w:color="0000FF"/>
          </w:rPr>
          <w:t>w</w:t>
        </w:r>
        <w:r>
          <w:rPr>
            <w:rFonts w:ascii="Times New Roman" w:hAnsi="Times New Roman" w:cs="Times New Roman" w:eastAsia="Times New Roman" w:hint="default"/>
            <w:color w:val="0000FF"/>
            <w:w w:val="99"/>
            <w:sz w:val="24"/>
            <w:szCs w:val="24"/>
            <w:u w:val="single" w:color="0000FF"/>
          </w:rPr>
          <w:t>.cninfo.co</w:t>
        </w:r>
        <w:r>
          <w:rPr>
            <w:rFonts w:ascii="Times New Roman" w:hAnsi="Times New Roman" w:cs="Times New Roman" w:eastAsia="Times New Roman" w:hint="default"/>
            <w:color w:val="0000FF"/>
            <w:spacing w:val="-2"/>
            <w:w w:val="99"/>
            <w:sz w:val="24"/>
            <w:szCs w:val="24"/>
            <w:u w:val="single" w:color="0000FF"/>
          </w:rPr>
          <w:t>m</w:t>
        </w:r>
        <w:r>
          <w:rPr>
            <w:rFonts w:ascii="Times New Roman" w:hAnsi="Times New Roman" w:cs="Times New Roman" w:eastAsia="Times New Roman" w:hint="default"/>
            <w:color w:val="0000FF"/>
            <w:w w:val="99"/>
            <w:sz w:val="24"/>
            <w:szCs w:val="24"/>
            <w:u w:val="single" w:color="0000FF"/>
          </w:rPr>
          <w:t>.c</w:t>
        </w:r>
        <w:r>
          <w:rPr>
            <w:rFonts w:ascii="Times New Roman" w:hAnsi="Times New Roman" w:cs="Times New Roman" w:eastAsia="Times New Roman" w:hint="default"/>
            <w:color w:val="0000FF"/>
            <w:spacing w:val="-1"/>
            <w:w w:val="99"/>
            <w:sz w:val="24"/>
            <w:szCs w:val="24"/>
            <w:u w:val="single" w:color="0000FF"/>
          </w:rPr>
          <w:t>n</w:t>
        </w:r>
        <w:r>
          <w:rPr>
            <w:rFonts w:ascii="Times New Roman" w:hAnsi="Times New Roman" w:cs="Times New Roman" w:eastAsia="Times New Roman" w:hint="default"/>
            <w:color w:val="0000FF"/>
            <w:spacing w:val="-1"/>
            <w:w w:val="99"/>
            <w:sz w:val="24"/>
            <w:szCs w:val="24"/>
          </w:rPr>
        </w:r>
      </w:hyperlink>
      <w:r>
        <w:rPr>
          <w:rFonts w:ascii="宋体" w:hAnsi="宋体" w:cs="宋体" w:eastAsia="宋体" w:hint="default"/>
          <w:spacing w:val="-105"/>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8" w:footer="714" w:top="980" w:bottom="900" w:left="1220" w:right="1200"/>
        </w:sectPr>
      </w:pPr>
    </w:p>
    <w:p>
      <w:pPr>
        <w:spacing w:line="240" w:lineRule="auto" w:before="7"/>
        <w:rPr>
          <w:rFonts w:ascii="宋体" w:hAnsi="宋体" w:cs="宋体" w:eastAsia="宋体" w:hint="default"/>
          <w:sz w:val="29"/>
          <w:szCs w:val="29"/>
        </w:rPr>
      </w:pPr>
    </w:p>
    <w:p>
      <w:pPr>
        <w:pStyle w:val="BodyText"/>
        <w:spacing w:line="240" w:lineRule="auto" w:before="26"/>
        <w:ind w:left="300" w:right="0"/>
        <w:jc w:val="left"/>
      </w:pPr>
      <w:r>
        <w:rPr>
          <w:sz w:val="21"/>
          <w:szCs w:val="21"/>
        </w:rPr>
        <w:t>十一、</w:t>
      </w:r>
      <w:r>
        <w:rPr/>
        <w:t>报告期内接待调研、沟通、采访等活动登记表</w:t>
      </w:r>
    </w:p>
    <w:p>
      <w:pPr>
        <w:spacing w:line="240" w:lineRule="auto" w:before="1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29"/>
        <w:gridCol w:w="1622"/>
        <w:gridCol w:w="1306"/>
        <w:gridCol w:w="2155"/>
        <w:gridCol w:w="3182"/>
      </w:tblGrid>
      <w:tr>
        <w:trPr>
          <w:trHeight w:val="656"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49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2010.1.6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法国巴黎银行</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20"/>
              <w:jc w:val="left"/>
              <w:rPr>
                <w:rFonts w:ascii="宋体" w:hAnsi="宋体" w:cs="宋体" w:eastAsia="宋体" w:hint="default"/>
                <w:sz w:val="18"/>
                <w:szCs w:val="18"/>
              </w:rPr>
            </w:pPr>
            <w:r>
              <w:rPr>
                <w:rFonts w:ascii="宋体" w:hAnsi="宋体" w:cs="宋体" w:eastAsia="宋体" w:hint="default"/>
                <w:sz w:val="18"/>
                <w:szCs w:val="18"/>
              </w:rPr>
              <w:t>了解公司目前的经营财务状况、</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 及以后的发展战略</w:t>
            </w:r>
          </w:p>
        </w:tc>
      </w:tr>
      <w:tr>
        <w:trPr>
          <w:trHeight w:val="49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2010.1.7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40"/>
              <w:jc w:val="left"/>
              <w:rPr>
                <w:rFonts w:ascii="宋体" w:hAnsi="宋体" w:cs="宋体" w:eastAsia="宋体" w:hint="default"/>
                <w:sz w:val="18"/>
                <w:szCs w:val="18"/>
              </w:rPr>
            </w:pPr>
            <w:r>
              <w:rPr>
                <w:rFonts w:ascii="宋体" w:hAnsi="宋体" w:cs="宋体" w:eastAsia="宋体" w:hint="default"/>
                <w:sz w:val="18"/>
                <w:szCs w:val="18"/>
              </w:rPr>
              <w:t>东亚联丰投资管理有限公 司</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86"/>
              <w:jc w:val="left"/>
              <w:rPr>
                <w:rFonts w:ascii="宋体" w:hAnsi="宋体" w:cs="宋体" w:eastAsia="宋体" w:hint="default"/>
                <w:sz w:val="18"/>
                <w:szCs w:val="18"/>
              </w:rPr>
            </w:pPr>
            <w:r>
              <w:rPr>
                <w:rFonts w:ascii="宋体" w:hAnsi="宋体" w:cs="宋体" w:eastAsia="宋体" w:hint="default"/>
                <w:sz w:val="18"/>
                <w:szCs w:val="18"/>
              </w:rPr>
              <w:t>了解公司未来的经营计划与行业发展空 间</w:t>
            </w:r>
          </w:p>
        </w:tc>
      </w:tr>
      <w:tr>
        <w:trPr>
          <w:trHeight w:val="25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2010.1.19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Soros Fund</w:t>
            </w:r>
            <w:r>
              <w:rPr>
                <w:rFonts w:ascii="Times New Roman"/>
                <w:spacing w:val="-17"/>
                <w:sz w:val="18"/>
              </w:rPr>
              <w:t> </w:t>
            </w:r>
            <w:r>
              <w:rPr>
                <w:rFonts w:ascii="Times New Roman"/>
                <w:sz w:val="18"/>
              </w:rPr>
              <w:t>Management</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了解公司的经营现状及未来规划</w:t>
            </w:r>
          </w:p>
        </w:tc>
      </w:tr>
      <w:tr>
        <w:trPr>
          <w:trHeight w:val="356"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4" w:right="0"/>
              <w:jc w:val="left"/>
              <w:rPr>
                <w:rFonts w:ascii="Times New Roman" w:hAnsi="Times New Roman" w:cs="Times New Roman" w:eastAsia="Times New Roman" w:hint="default"/>
                <w:sz w:val="18"/>
                <w:szCs w:val="18"/>
              </w:rPr>
            </w:pPr>
            <w:r>
              <w:rPr>
                <w:rFonts w:ascii="Times New Roman"/>
                <w:sz w:val="18"/>
              </w:rPr>
              <w:t>2010.1.21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大成基金</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18"/>
                <w:szCs w:val="18"/>
              </w:rPr>
            </w:pPr>
            <w:r>
              <w:rPr>
                <w:rFonts w:ascii="宋体" w:hAnsi="宋体" w:cs="宋体" w:eastAsia="宋体" w:hint="default"/>
                <w:sz w:val="18"/>
                <w:szCs w:val="18"/>
              </w:rPr>
              <w:t>了解广州地区主要门店的销售情况</w:t>
            </w:r>
          </w:p>
        </w:tc>
      </w:tr>
      <w:tr>
        <w:trPr>
          <w:trHeight w:val="49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2010.1.22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华夏基金</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深入了解公司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年业绩状况，与管理层</w:t>
            </w:r>
          </w:p>
          <w:p>
            <w:pPr>
              <w:pStyle w:val="TableParagraph"/>
              <w:spacing w:line="245" w:lineRule="exact"/>
              <w:ind w:left="24" w:right="0"/>
              <w:jc w:val="left"/>
              <w:rPr>
                <w:rFonts w:ascii="宋体" w:hAnsi="宋体" w:cs="宋体" w:eastAsia="宋体" w:hint="default"/>
                <w:sz w:val="18"/>
                <w:szCs w:val="18"/>
              </w:rPr>
            </w:pPr>
            <w:r>
              <w:rPr>
                <w:rFonts w:ascii="宋体" w:hAnsi="宋体" w:cs="宋体" w:eastAsia="宋体" w:hint="default"/>
                <w:sz w:val="18"/>
                <w:szCs w:val="18"/>
              </w:rPr>
              <w:t>探讨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年发展前景</w:t>
            </w:r>
          </w:p>
        </w:tc>
      </w:tr>
      <w:tr>
        <w:trPr>
          <w:trHeight w:val="49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2010.1.25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广发基金</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宋体" w:hAnsi="宋体" w:cs="宋体" w:eastAsia="宋体" w:hint="default"/>
                <w:sz w:val="18"/>
                <w:szCs w:val="18"/>
              </w:rPr>
              <w:t>就当前的市场状况了解公司的未来应对</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规划</w:t>
            </w:r>
          </w:p>
        </w:tc>
      </w:tr>
      <w:tr>
        <w:trPr>
          <w:trHeight w:val="25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2010.2.4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18"/>
                <w:szCs w:val="18"/>
              </w:rPr>
            </w:pPr>
            <w:r>
              <w:rPr>
                <w:rFonts w:ascii="Times New Roman"/>
                <w:sz w:val="18"/>
              </w:rPr>
              <w:t>Capital</w:t>
            </w:r>
            <w:r>
              <w:rPr>
                <w:rFonts w:ascii="Times New Roman"/>
                <w:spacing w:val="-5"/>
                <w:sz w:val="18"/>
              </w:rPr>
              <w:t> </w:t>
            </w:r>
            <w:r>
              <w:rPr>
                <w:rFonts w:ascii="Times New Roman"/>
                <w:sz w:val="18"/>
              </w:rPr>
              <w:t>International</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考察公司的基本面情况</w:t>
            </w:r>
          </w:p>
        </w:tc>
      </w:tr>
      <w:tr>
        <w:trPr>
          <w:trHeight w:val="49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2010.2.9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摩根士丹利</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86"/>
              <w:jc w:val="left"/>
              <w:rPr>
                <w:rFonts w:ascii="宋体" w:hAnsi="宋体" w:cs="宋体" w:eastAsia="宋体" w:hint="default"/>
                <w:sz w:val="18"/>
                <w:szCs w:val="18"/>
              </w:rPr>
            </w:pPr>
            <w:r>
              <w:rPr>
                <w:rFonts w:ascii="宋体" w:hAnsi="宋体" w:cs="宋体" w:eastAsia="宋体" w:hint="default"/>
                <w:sz w:val="18"/>
                <w:szCs w:val="18"/>
              </w:rPr>
              <w:t>了解国内行业动态及公司的最新发展情 况</w:t>
            </w:r>
          </w:p>
        </w:tc>
      </w:tr>
      <w:tr>
        <w:trPr>
          <w:trHeight w:val="49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2010.3.2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2" w:right="0"/>
              <w:jc w:val="left"/>
              <w:rPr>
                <w:rFonts w:ascii="Times New Roman" w:hAnsi="Times New Roman" w:cs="Times New Roman" w:eastAsia="Times New Roman" w:hint="default"/>
                <w:sz w:val="18"/>
                <w:szCs w:val="18"/>
              </w:rPr>
            </w:pPr>
            <w:r>
              <w:rPr>
                <w:rFonts w:ascii="Times New Roman"/>
                <w:sz w:val="18"/>
              </w:rPr>
              <w:t>Clairvoyance</w:t>
            </w:r>
            <w:r>
              <w:rPr>
                <w:rFonts w:ascii="Times New Roman"/>
                <w:spacing w:val="-5"/>
                <w:sz w:val="18"/>
              </w:rPr>
              <w:t> </w:t>
            </w:r>
            <w:r>
              <w:rPr>
                <w:rFonts w:ascii="Times New Roman"/>
                <w:sz w:val="18"/>
              </w:rPr>
              <w:t>Capital</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宋体" w:hAnsi="宋体" w:cs="宋体" w:eastAsia="宋体" w:hint="default"/>
                <w:sz w:val="18"/>
                <w:szCs w:val="18"/>
              </w:rPr>
              <w:t>了解上海、南京两地的主要门店销售情</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49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2010.3.2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高桥资本</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86"/>
              <w:jc w:val="left"/>
              <w:rPr>
                <w:rFonts w:ascii="宋体" w:hAnsi="宋体" w:cs="宋体" w:eastAsia="宋体" w:hint="default"/>
                <w:sz w:val="18"/>
                <w:szCs w:val="18"/>
              </w:rPr>
            </w:pPr>
            <w:r>
              <w:rPr>
                <w:rFonts w:ascii="宋体" w:hAnsi="宋体" w:cs="宋体" w:eastAsia="宋体" w:hint="default"/>
                <w:sz w:val="18"/>
                <w:szCs w:val="18"/>
              </w:rPr>
              <w:t>了解公司最新的发展情况以作进一步投 资决策</w:t>
            </w:r>
          </w:p>
        </w:tc>
      </w:tr>
      <w:tr>
        <w:trPr>
          <w:trHeight w:val="49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2010.3.3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润晖投资</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86"/>
              <w:jc w:val="left"/>
              <w:rPr>
                <w:rFonts w:ascii="宋体" w:hAnsi="宋体" w:cs="宋体" w:eastAsia="宋体" w:hint="default"/>
                <w:sz w:val="18"/>
                <w:szCs w:val="18"/>
              </w:rPr>
            </w:pPr>
            <w:r>
              <w:rPr>
                <w:rFonts w:ascii="宋体" w:hAnsi="宋体" w:cs="宋体" w:eastAsia="宋体" w:hint="default"/>
                <w:sz w:val="18"/>
                <w:szCs w:val="18"/>
              </w:rPr>
              <w:t>深入了解公司在三四级市场的未来发展 规划</w:t>
            </w:r>
          </w:p>
        </w:tc>
      </w:tr>
      <w:tr>
        <w:trPr>
          <w:trHeight w:val="25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2010.3.4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18"/>
                <w:szCs w:val="18"/>
              </w:rPr>
            </w:pPr>
            <w:r>
              <w:rPr>
                <w:rFonts w:ascii="Times New Roman"/>
                <w:sz w:val="18"/>
              </w:rPr>
              <w:t>Clairvoyance</w:t>
            </w:r>
            <w:r>
              <w:rPr>
                <w:rFonts w:ascii="Times New Roman"/>
                <w:spacing w:val="-5"/>
                <w:sz w:val="18"/>
              </w:rPr>
              <w:t> </w:t>
            </w:r>
            <w:r>
              <w:rPr>
                <w:rFonts w:ascii="Times New Roman"/>
                <w:sz w:val="18"/>
              </w:rPr>
              <w:t>Capital</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宋体" w:hAnsi="宋体" w:cs="宋体" w:eastAsia="宋体" w:hint="default"/>
                <w:sz w:val="18"/>
                <w:szCs w:val="18"/>
              </w:rPr>
              <w:t>进一步了解公司的经营状况</w:t>
            </w:r>
          </w:p>
        </w:tc>
      </w:tr>
      <w:tr>
        <w:trPr>
          <w:trHeight w:val="25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2010.3.5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东吴基金、华泰证券</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了解行业动态及公司最新的发展状况</w:t>
            </w:r>
          </w:p>
        </w:tc>
      </w:tr>
      <w:tr>
        <w:trPr>
          <w:trHeight w:val="25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2010.3.8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易方达基金</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深入了解公司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年前后台发展规划</w:t>
            </w:r>
          </w:p>
        </w:tc>
      </w:tr>
      <w:tr>
        <w:trPr>
          <w:trHeight w:val="25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2010.3.9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华安基金、富国基金</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宋体" w:hAnsi="宋体" w:cs="宋体" w:eastAsia="宋体" w:hint="default"/>
                <w:sz w:val="18"/>
                <w:szCs w:val="18"/>
              </w:rPr>
              <w:t>深入了解公司最新的发展情况和动态</w:t>
            </w:r>
          </w:p>
        </w:tc>
      </w:tr>
      <w:tr>
        <w:trPr>
          <w:trHeight w:val="25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2010.3.9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Arohi</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资产管理有限公司</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考察公司的基本面情况</w:t>
            </w:r>
          </w:p>
        </w:tc>
      </w:tr>
      <w:tr>
        <w:trPr>
          <w:trHeight w:val="49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2010.3.18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博时基金、申万研究所</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86"/>
              <w:jc w:val="left"/>
              <w:rPr>
                <w:rFonts w:ascii="宋体" w:hAnsi="宋体" w:cs="宋体" w:eastAsia="宋体" w:hint="default"/>
                <w:sz w:val="18"/>
                <w:szCs w:val="18"/>
              </w:rPr>
            </w:pPr>
            <w:r>
              <w:rPr>
                <w:rFonts w:ascii="宋体" w:hAnsi="宋体" w:cs="宋体" w:eastAsia="宋体" w:hint="default"/>
                <w:sz w:val="18"/>
                <w:szCs w:val="18"/>
              </w:rPr>
              <w:t>了解行业动态及公司未来发展空间与规 划</w:t>
            </w:r>
          </w:p>
        </w:tc>
      </w:tr>
      <w:tr>
        <w:trPr>
          <w:trHeight w:val="25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2010.3.19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银华基金</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宋体" w:hAnsi="宋体" w:cs="宋体" w:eastAsia="宋体" w:hint="default"/>
                <w:sz w:val="18"/>
                <w:szCs w:val="18"/>
              </w:rPr>
              <w:t>深入了解深圳地区精品店销售情况</w:t>
            </w:r>
          </w:p>
        </w:tc>
      </w:tr>
      <w:tr>
        <w:trPr>
          <w:trHeight w:val="25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2010.3.23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18"/>
                <w:szCs w:val="18"/>
              </w:rPr>
            </w:pPr>
            <w:r>
              <w:rPr>
                <w:rFonts w:ascii="Times New Roman"/>
                <w:sz w:val="18"/>
              </w:rPr>
              <w:t>SAC</w:t>
            </w:r>
            <w:r>
              <w:rPr>
                <w:rFonts w:ascii="Times New Roman"/>
                <w:spacing w:val="-1"/>
                <w:sz w:val="18"/>
              </w:rPr>
              <w:t> </w:t>
            </w:r>
            <w:r>
              <w:rPr>
                <w:rFonts w:ascii="Times New Roman"/>
                <w:sz w:val="18"/>
              </w:rPr>
              <w:t>Capital</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了解公司的基本面情况</w:t>
            </w:r>
          </w:p>
        </w:tc>
      </w:tr>
      <w:tr>
        <w:trPr>
          <w:trHeight w:val="25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2010.4.9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分公司会议室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斯坦福大学、润晖投资</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了解北京地区的发展状况</w:t>
            </w:r>
          </w:p>
        </w:tc>
      </w:tr>
      <w:tr>
        <w:trPr>
          <w:trHeight w:val="49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2010.4.15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分公司会议室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美国圣母大学基金会、润晖</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18"/>
                <w:szCs w:val="18"/>
              </w:rPr>
            </w:pPr>
            <w:r>
              <w:rPr>
                <w:rFonts w:ascii="宋体" w:hAnsi="宋体" w:cs="宋体" w:eastAsia="宋体" w:hint="default"/>
                <w:sz w:val="18"/>
                <w:szCs w:val="18"/>
              </w:rPr>
              <w:t>了解北京地区的发展状况</w:t>
            </w:r>
          </w:p>
        </w:tc>
      </w:tr>
      <w:tr>
        <w:trPr>
          <w:trHeight w:val="25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2010.4.15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台湾富邦证券等</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了解南京地区主要店面销售情况</w:t>
            </w:r>
          </w:p>
        </w:tc>
      </w:tr>
      <w:tr>
        <w:trPr>
          <w:trHeight w:val="25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2010.4.19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诺安基金</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了解公司的最新的业绩经营状况</w:t>
            </w:r>
          </w:p>
        </w:tc>
      </w:tr>
      <w:tr>
        <w:trPr>
          <w:trHeight w:val="49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2010.5.9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未来资产</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宋体" w:hAnsi="宋体" w:cs="宋体" w:eastAsia="宋体" w:hint="default"/>
                <w:sz w:val="18"/>
                <w:szCs w:val="18"/>
              </w:rPr>
              <w:t>了解公司最新的发展情况及家电行业态</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势</w:t>
            </w:r>
          </w:p>
        </w:tc>
      </w:tr>
      <w:tr>
        <w:trPr>
          <w:trHeight w:val="49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2010.5.10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富国基金</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86"/>
              <w:jc w:val="left"/>
              <w:rPr>
                <w:rFonts w:ascii="宋体" w:hAnsi="宋体" w:cs="宋体" w:eastAsia="宋体" w:hint="default"/>
                <w:sz w:val="18"/>
                <w:szCs w:val="18"/>
              </w:rPr>
            </w:pPr>
            <w:r>
              <w:rPr>
                <w:rFonts w:ascii="宋体" w:hAnsi="宋体" w:cs="宋体" w:eastAsia="宋体" w:hint="default"/>
                <w:sz w:val="18"/>
                <w:szCs w:val="18"/>
              </w:rPr>
              <w:t>深入了解公司的连锁发展情况和销售状 况</w:t>
            </w:r>
          </w:p>
        </w:tc>
      </w:tr>
      <w:tr>
        <w:trPr>
          <w:trHeight w:val="25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2010.5.11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瑞士信贷</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了解公司最新的发展经营状况</w:t>
            </w:r>
          </w:p>
        </w:tc>
      </w:tr>
      <w:tr>
        <w:trPr>
          <w:trHeight w:val="25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2010.5.11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18"/>
                <w:szCs w:val="18"/>
              </w:rPr>
            </w:pPr>
            <w:r>
              <w:rPr>
                <w:rFonts w:ascii="Times New Roman"/>
                <w:sz w:val="18"/>
              </w:rPr>
              <w:t>Kylin</w:t>
            </w:r>
            <w:r>
              <w:rPr>
                <w:rFonts w:ascii="Times New Roman"/>
                <w:spacing w:val="-3"/>
                <w:sz w:val="18"/>
              </w:rPr>
              <w:t> </w:t>
            </w:r>
            <w:r>
              <w:rPr>
                <w:rFonts w:ascii="Times New Roman"/>
                <w:sz w:val="18"/>
              </w:rPr>
              <w:t>Capital</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宋体" w:hAnsi="宋体" w:cs="宋体" w:eastAsia="宋体" w:hint="default"/>
                <w:sz w:val="18"/>
                <w:szCs w:val="18"/>
              </w:rPr>
              <w:t>了解公司的基本面情况</w:t>
            </w:r>
          </w:p>
        </w:tc>
      </w:tr>
      <w:tr>
        <w:trPr>
          <w:trHeight w:val="49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2010.5.13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富达资产</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86"/>
              <w:jc w:val="left"/>
              <w:rPr>
                <w:rFonts w:ascii="宋体" w:hAnsi="宋体" w:cs="宋体" w:eastAsia="宋体" w:hint="default"/>
                <w:sz w:val="18"/>
                <w:szCs w:val="18"/>
              </w:rPr>
            </w:pPr>
            <w:r>
              <w:rPr>
                <w:rFonts w:ascii="宋体" w:hAnsi="宋体" w:cs="宋体" w:eastAsia="宋体" w:hint="default"/>
                <w:sz w:val="18"/>
                <w:szCs w:val="18"/>
              </w:rPr>
              <w:t>了解国内行业现状及公司实际发展状况 以作投资决策</w:t>
            </w:r>
          </w:p>
        </w:tc>
      </w:tr>
      <w:tr>
        <w:trPr>
          <w:trHeight w:val="49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2010.5.13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4"/>
              <w:ind w:left="22" w:right="565"/>
              <w:jc w:val="left"/>
              <w:rPr>
                <w:rFonts w:ascii="Times New Roman" w:hAnsi="Times New Roman" w:cs="Times New Roman" w:eastAsia="Times New Roman" w:hint="default"/>
                <w:sz w:val="18"/>
                <w:szCs w:val="18"/>
              </w:rPr>
            </w:pPr>
            <w:r>
              <w:rPr>
                <w:rFonts w:ascii="Times New Roman"/>
                <w:sz w:val="18"/>
              </w:rPr>
              <w:t>Mondrian</w:t>
            </w:r>
            <w:r>
              <w:rPr>
                <w:rFonts w:ascii="Times New Roman"/>
                <w:spacing w:val="-1"/>
                <w:sz w:val="18"/>
              </w:rPr>
              <w:t> </w:t>
            </w:r>
            <w:r>
              <w:rPr>
                <w:rFonts w:ascii="Times New Roman"/>
                <w:sz w:val="18"/>
              </w:rPr>
              <w:t>Investment</w:t>
            </w:r>
            <w:r>
              <w:rPr>
                <w:rFonts w:ascii="Times New Roman"/>
                <w:w w:val="99"/>
                <w:sz w:val="18"/>
              </w:rPr>
              <w:t> </w:t>
            </w:r>
            <w:r>
              <w:rPr>
                <w:rFonts w:ascii="Times New Roman"/>
                <w:sz w:val="18"/>
              </w:rPr>
              <w:t>Partners</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了解公司的基本面情况</w:t>
            </w:r>
          </w:p>
        </w:tc>
      </w:tr>
      <w:tr>
        <w:trPr>
          <w:trHeight w:val="25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2010.5.14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汇添富基金等</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3" w:right="0"/>
              <w:jc w:val="left"/>
              <w:rPr>
                <w:rFonts w:ascii="宋体" w:hAnsi="宋体" w:cs="宋体" w:eastAsia="宋体" w:hint="default"/>
                <w:sz w:val="18"/>
                <w:szCs w:val="18"/>
              </w:rPr>
            </w:pPr>
            <w:r>
              <w:rPr>
                <w:rFonts w:ascii="宋体" w:hAnsi="宋体" w:cs="宋体" w:eastAsia="宋体" w:hint="default"/>
                <w:sz w:val="18"/>
                <w:szCs w:val="18"/>
              </w:rPr>
              <w:t>考察公司经营状况及家电行业现状</w:t>
            </w:r>
          </w:p>
        </w:tc>
      </w:tr>
      <w:tr>
        <w:trPr>
          <w:trHeight w:val="25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2010.5.14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18"/>
                <w:szCs w:val="18"/>
              </w:rPr>
            </w:pPr>
            <w:r>
              <w:rPr>
                <w:rFonts w:ascii="Times New Roman"/>
                <w:sz w:val="18"/>
              </w:rPr>
              <w:t>Principal</w:t>
            </w:r>
            <w:r>
              <w:rPr>
                <w:rFonts w:ascii="Times New Roman"/>
                <w:spacing w:val="-14"/>
                <w:sz w:val="18"/>
              </w:rPr>
              <w:t> </w:t>
            </w:r>
            <w:r>
              <w:rPr>
                <w:rFonts w:ascii="Times New Roman"/>
                <w:sz w:val="18"/>
              </w:rPr>
              <w:t>Global</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了解公司的基本面情况</w:t>
            </w:r>
          </w:p>
        </w:tc>
      </w:tr>
      <w:tr>
        <w:trPr>
          <w:trHeight w:val="49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2010.5.15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中信证券</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86"/>
              <w:jc w:val="left"/>
              <w:rPr>
                <w:rFonts w:ascii="宋体" w:hAnsi="宋体" w:cs="宋体" w:eastAsia="宋体" w:hint="default"/>
                <w:sz w:val="18"/>
                <w:szCs w:val="18"/>
              </w:rPr>
            </w:pPr>
            <w:r>
              <w:rPr>
                <w:rFonts w:ascii="宋体" w:hAnsi="宋体" w:cs="宋体" w:eastAsia="宋体" w:hint="default"/>
                <w:sz w:val="18"/>
                <w:szCs w:val="18"/>
              </w:rPr>
              <w:t>深入了解公司的连锁发展、物流建设情 况</w:t>
            </w:r>
          </w:p>
        </w:tc>
      </w:tr>
      <w:tr>
        <w:trPr>
          <w:trHeight w:val="49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2010.5.18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Turiya</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Capital</w:t>
            </w:r>
            <w:r>
              <w:rPr>
                <w:rFonts w:ascii="宋体" w:hAnsi="宋体" w:cs="宋体" w:eastAsia="宋体" w:hint="default"/>
                <w:sz w:val="18"/>
                <w:szCs w:val="18"/>
              </w:rPr>
              <w:t>、</w:t>
            </w:r>
            <w:r>
              <w:rPr>
                <w:rFonts w:ascii="Times New Roman" w:hAnsi="Times New Roman" w:cs="Times New Roman" w:eastAsia="Times New Roman" w:hint="default"/>
                <w:sz w:val="18"/>
                <w:szCs w:val="18"/>
              </w:rPr>
              <w:t>Aviate</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Global</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18"/>
                <w:szCs w:val="18"/>
              </w:rPr>
            </w:pPr>
            <w:r>
              <w:rPr>
                <w:rFonts w:ascii="宋体" w:hAnsi="宋体" w:cs="宋体" w:eastAsia="宋体" w:hint="default"/>
                <w:sz w:val="18"/>
                <w:szCs w:val="18"/>
              </w:rPr>
              <w:t>了解公司的基本面情况</w:t>
            </w:r>
          </w:p>
        </w:tc>
      </w:tr>
      <w:tr>
        <w:trPr>
          <w:trHeight w:val="25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2010.5.25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美林国际等</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了解南京地区主要店面销售情况</w:t>
            </w:r>
          </w:p>
        </w:tc>
      </w:tr>
      <w:tr>
        <w:trPr>
          <w:trHeight w:val="49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2010.5.25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银华基金</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86"/>
              <w:jc w:val="left"/>
              <w:rPr>
                <w:rFonts w:ascii="宋体" w:hAnsi="宋体" w:cs="宋体" w:eastAsia="宋体" w:hint="default"/>
                <w:sz w:val="18"/>
                <w:szCs w:val="18"/>
              </w:rPr>
            </w:pPr>
            <w:r>
              <w:rPr>
                <w:rFonts w:ascii="宋体" w:hAnsi="宋体" w:cs="宋体" w:eastAsia="宋体" w:hint="default"/>
                <w:sz w:val="18"/>
                <w:szCs w:val="18"/>
              </w:rPr>
              <w:t>深入了解公司最新的业务进展情况及下 半年规划</w:t>
            </w:r>
          </w:p>
        </w:tc>
      </w:tr>
      <w:tr>
        <w:trPr>
          <w:trHeight w:val="42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 w:right="0"/>
              <w:jc w:val="left"/>
              <w:rPr>
                <w:rFonts w:ascii="Times New Roman" w:hAnsi="Times New Roman" w:cs="Times New Roman" w:eastAsia="Times New Roman" w:hint="default"/>
                <w:sz w:val="18"/>
                <w:szCs w:val="18"/>
              </w:rPr>
            </w:pPr>
            <w:r>
              <w:rPr>
                <w:rFonts w:ascii="Times New Roman"/>
                <w:sz w:val="18"/>
              </w:rPr>
              <w:t>2010.6.1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兴业证券</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了解公司的连锁发展及后台建设情况</w:t>
            </w:r>
          </w:p>
        </w:tc>
      </w:tr>
    </w:tbl>
    <w:p>
      <w:pPr>
        <w:spacing w:after="0" w:line="240" w:lineRule="auto"/>
        <w:jc w:val="left"/>
        <w:rPr>
          <w:rFonts w:ascii="宋体" w:hAnsi="宋体" w:cs="宋体" w:eastAsia="宋体" w:hint="default"/>
          <w:sz w:val="18"/>
          <w:szCs w:val="18"/>
        </w:rPr>
        <w:sectPr>
          <w:pgSz w:w="11910" w:h="16840"/>
          <w:pgMar w:header="748" w:footer="714" w:top="980" w:bottom="900" w:left="1140" w:right="1140"/>
        </w:sectPr>
      </w:pPr>
    </w:p>
    <w:p>
      <w:pPr>
        <w:spacing w:line="240" w:lineRule="auto" w:before="0"/>
        <w:rPr>
          <w:rFonts w:ascii="宋体" w:hAnsi="宋体" w:cs="宋体" w:eastAsia="宋体" w:hint="default"/>
          <w:sz w:val="20"/>
          <w:szCs w:val="20"/>
        </w:rPr>
      </w:pPr>
      <w:r>
        <w:rPr/>
        <w:pict>
          <v:group style="position:absolute;margin-left:62.339996pt;margin-top:71.759956pt;width:470.7pt;height:716.3pt;mso-position-horizontal-relative:page;mso-position-vertical-relative:page;z-index:-1004824" coordorigin="1247,1435" coordsize="9414,14326">
            <v:group style="position:absolute;left:2386;top:1450;width:2;height:480" coordorigin="2386,1450" coordsize="2,480">
              <v:shape style="position:absolute;left:2386;top:1450;width:2;height:480" coordorigin="2386,1450" coordsize="0,480" path="m2386,1450l2386,1930e" filled="false" stroked="true" strokeweight=".48001pt" strokecolor="#000000">
                <v:path arrowok="t"/>
              </v:shape>
            </v:group>
            <v:group style="position:absolute;left:2386;top:1939;width:2;height:242" coordorigin="2386,1939" coordsize="2,242">
              <v:shape style="position:absolute;left:2386;top:1939;width:2;height:242" coordorigin="2386,1939" coordsize="0,242" path="m2386,1939l2386,2180e" filled="false" stroked="true" strokeweight=".48001pt" strokecolor="#000000">
                <v:path arrowok="t"/>
              </v:shape>
            </v:group>
            <v:group style="position:absolute;left:2386;top:2190;width:2;height:480" coordorigin="2386,2190" coordsize="2,480">
              <v:shape style="position:absolute;left:2386;top:2190;width:2;height:480" coordorigin="2386,2190" coordsize="0,480" path="m2386,2190l2386,2670e" filled="false" stroked="true" strokeweight=".48001pt" strokecolor="#000000">
                <v:path arrowok="t"/>
              </v:shape>
            </v:group>
            <v:group style="position:absolute;left:2386;top:2680;width:2;height:240" coordorigin="2386,2680" coordsize="2,240">
              <v:shape style="position:absolute;left:2386;top:2680;width:2;height:240" coordorigin="2386,2680" coordsize="0,240" path="m2386,2680l2386,2920e" filled="false" stroked="true" strokeweight=".48001pt" strokecolor="#000000">
                <v:path arrowok="t"/>
              </v:shape>
            </v:group>
            <v:group style="position:absolute;left:2386;top:2929;width:2;height:242" coordorigin="2386,2929" coordsize="2,242">
              <v:shape style="position:absolute;left:2386;top:2929;width:2;height:242" coordorigin="2386,2929" coordsize="0,242" path="m2386,2929l2386,3170e" filled="false" stroked="true" strokeweight=".48001pt" strokecolor="#000000">
                <v:path arrowok="t"/>
              </v:shape>
            </v:group>
            <v:group style="position:absolute;left:2386;top:3180;width:2;height:240" coordorigin="2386,3180" coordsize="2,240">
              <v:shape style="position:absolute;left:2386;top:3180;width:2;height:240" coordorigin="2386,3180" coordsize="0,240" path="m2386,3180l2386,3420e" filled="false" stroked="true" strokeweight=".48001pt" strokecolor="#000000">
                <v:path arrowok="t"/>
              </v:shape>
            </v:group>
            <v:group style="position:absolute;left:2386;top:3430;width:2;height:240" coordorigin="2386,3430" coordsize="2,240">
              <v:shape style="position:absolute;left:2386;top:3430;width:2;height:240" coordorigin="2386,3430" coordsize="0,240" path="m2386,3430l2386,3670e" filled="false" stroked="true" strokeweight=".48001pt" strokecolor="#000000">
                <v:path arrowok="t"/>
              </v:shape>
            </v:group>
            <v:group style="position:absolute;left:2386;top:3679;width:2;height:242" coordorigin="2386,3679" coordsize="2,242">
              <v:shape style="position:absolute;left:2386;top:3679;width:2;height:242" coordorigin="2386,3679" coordsize="0,242" path="m2386,3679l2386,3920e" filled="false" stroked="true" strokeweight=".48001pt" strokecolor="#000000">
                <v:path arrowok="t"/>
              </v:shape>
            </v:group>
            <v:group style="position:absolute;left:2386;top:3930;width:2;height:240" coordorigin="2386,3930" coordsize="2,240">
              <v:shape style="position:absolute;left:2386;top:3930;width:2;height:240" coordorigin="2386,3930" coordsize="0,240" path="m2386,3930l2386,4170e" filled="false" stroked="true" strokeweight=".48001pt" strokecolor="#000000">
                <v:path arrowok="t"/>
              </v:shape>
            </v:group>
            <v:group style="position:absolute;left:2386;top:4180;width:2;height:240" coordorigin="2386,4180" coordsize="2,240">
              <v:shape style="position:absolute;left:2386;top:4180;width:2;height:240" coordorigin="2386,4180" coordsize="0,240" path="m2386,4180l2386,4420e" filled="false" stroked="true" strokeweight=".48001pt" strokecolor="#000000">
                <v:path arrowok="t"/>
              </v:shape>
            </v:group>
            <v:group style="position:absolute;left:2386;top:4429;width:2;height:242" coordorigin="2386,4429" coordsize="2,242">
              <v:shape style="position:absolute;left:2386;top:4429;width:2;height:242" coordorigin="2386,4429" coordsize="0,242" path="m2386,4429l2386,4670e" filled="false" stroked="true" strokeweight=".48001pt" strokecolor="#000000">
                <v:path arrowok="t"/>
              </v:shape>
            </v:group>
            <v:group style="position:absolute;left:2386;top:4680;width:2;height:240" coordorigin="2386,4680" coordsize="2,240">
              <v:shape style="position:absolute;left:2386;top:4680;width:2;height:240" coordorigin="2386,4680" coordsize="0,240" path="m2386,4680l2386,4920e" filled="false" stroked="true" strokeweight=".48001pt" strokecolor="#000000">
                <v:path arrowok="t"/>
              </v:shape>
            </v:group>
            <v:group style="position:absolute;left:2386;top:4930;width:2;height:240" coordorigin="2386,4930" coordsize="2,240">
              <v:shape style="position:absolute;left:2386;top:4930;width:2;height:240" coordorigin="2386,4930" coordsize="0,240" path="m2386,4930l2386,5170e" filled="false" stroked="true" strokeweight=".48001pt" strokecolor="#000000">
                <v:path arrowok="t"/>
              </v:shape>
            </v:group>
            <v:group style="position:absolute;left:2386;top:5179;width:2;height:242" coordorigin="2386,5179" coordsize="2,242">
              <v:shape style="position:absolute;left:2386;top:5179;width:2;height:242" coordorigin="2386,5179" coordsize="0,242" path="m2386,5179l2386,5420e" filled="false" stroked="true" strokeweight=".48001pt" strokecolor="#000000">
                <v:path arrowok="t"/>
              </v:shape>
            </v:group>
            <v:group style="position:absolute;left:4008;top:1450;width:2;height:480" coordorigin="4008,1450" coordsize="2,480">
              <v:shape style="position:absolute;left:4008;top:1450;width:2;height:480" coordorigin="4008,1450" coordsize="0,480" path="m4008,1450l4008,1930e" filled="false" stroked="true" strokeweight=".48pt" strokecolor="#000000">
                <v:path arrowok="t"/>
              </v:shape>
            </v:group>
            <v:group style="position:absolute;left:4008;top:1939;width:2;height:242" coordorigin="4008,1939" coordsize="2,242">
              <v:shape style="position:absolute;left:4008;top:1939;width:2;height:242" coordorigin="4008,1939" coordsize="0,242" path="m4008,1939l4008,2180e" filled="false" stroked="true" strokeweight=".48pt" strokecolor="#000000">
                <v:path arrowok="t"/>
              </v:shape>
            </v:group>
            <v:group style="position:absolute;left:4008;top:2190;width:2;height:480" coordorigin="4008,2190" coordsize="2,480">
              <v:shape style="position:absolute;left:4008;top:2190;width:2;height:480" coordorigin="4008,2190" coordsize="0,480" path="m4008,2190l4008,2670e" filled="false" stroked="true" strokeweight=".48pt" strokecolor="#000000">
                <v:path arrowok="t"/>
              </v:shape>
            </v:group>
            <v:group style="position:absolute;left:4008;top:2680;width:2;height:240" coordorigin="4008,2680" coordsize="2,240">
              <v:shape style="position:absolute;left:4008;top:2680;width:2;height:240" coordorigin="4008,2680" coordsize="0,240" path="m4008,2680l4008,2920e" filled="false" stroked="true" strokeweight=".48pt" strokecolor="#000000">
                <v:path arrowok="t"/>
              </v:shape>
            </v:group>
            <v:group style="position:absolute;left:4008;top:2929;width:2;height:242" coordorigin="4008,2929" coordsize="2,242">
              <v:shape style="position:absolute;left:4008;top:2929;width:2;height:242" coordorigin="4008,2929" coordsize="0,242" path="m4008,2929l4008,3170e" filled="false" stroked="true" strokeweight=".48pt" strokecolor="#000000">
                <v:path arrowok="t"/>
              </v:shape>
            </v:group>
            <v:group style="position:absolute;left:4008;top:3180;width:2;height:240" coordorigin="4008,3180" coordsize="2,240">
              <v:shape style="position:absolute;left:4008;top:3180;width:2;height:240" coordorigin="4008,3180" coordsize="0,240" path="m4008,3180l4008,3420e" filled="false" stroked="true" strokeweight=".48pt" strokecolor="#000000">
                <v:path arrowok="t"/>
              </v:shape>
            </v:group>
            <v:group style="position:absolute;left:4008;top:3430;width:2;height:240" coordorigin="4008,3430" coordsize="2,240">
              <v:shape style="position:absolute;left:4008;top:3430;width:2;height:240" coordorigin="4008,3430" coordsize="0,240" path="m4008,3430l4008,3670e" filled="false" stroked="true" strokeweight=".48pt" strokecolor="#000000">
                <v:path arrowok="t"/>
              </v:shape>
            </v:group>
            <v:group style="position:absolute;left:4008;top:3679;width:2;height:242" coordorigin="4008,3679" coordsize="2,242">
              <v:shape style="position:absolute;left:4008;top:3679;width:2;height:242" coordorigin="4008,3679" coordsize="0,242" path="m4008,3679l4008,3920e" filled="false" stroked="true" strokeweight=".48pt" strokecolor="#000000">
                <v:path arrowok="t"/>
              </v:shape>
            </v:group>
            <v:group style="position:absolute;left:4008;top:3930;width:2;height:240" coordorigin="4008,3930" coordsize="2,240">
              <v:shape style="position:absolute;left:4008;top:3930;width:2;height:240" coordorigin="4008,3930" coordsize="0,240" path="m4008,3930l4008,4170e" filled="false" stroked="true" strokeweight=".48pt" strokecolor="#000000">
                <v:path arrowok="t"/>
              </v:shape>
            </v:group>
            <v:group style="position:absolute;left:4008;top:4180;width:2;height:240" coordorigin="4008,4180" coordsize="2,240">
              <v:shape style="position:absolute;left:4008;top:4180;width:2;height:240" coordorigin="4008,4180" coordsize="0,240" path="m4008,4180l4008,4420e" filled="false" stroked="true" strokeweight=".48pt" strokecolor="#000000">
                <v:path arrowok="t"/>
              </v:shape>
            </v:group>
            <v:group style="position:absolute;left:4008;top:4429;width:2;height:242" coordorigin="4008,4429" coordsize="2,242">
              <v:shape style="position:absolute;left:4008;top:4429;width:2;height:242" coordorigin="4008,4429" coordsize="0,242" path="m4008,4429l4008,4670e" filled="false" stroked="true" strokeweight=".48pt" strokecolor="#000000">
                <v:path arrowok="t"/>
              </v:shape>
            </v:group>
            <v:group style="position:absolute;left:4008;top:4680;width:2;height:240" coordorigin="4008,4680" coordsize="2,240">
              <v:shape style="position:absolute;left:4008;top:4680;width:2;height:240" coordorigin="4008,4680" coordsize="0,240" path="m4008,4680l4008,4920e" filled="false" stroked="true" strokeweight=".48pt" strokecolor="#000000">
                <v:path arrowok="t"/>
              </v:shape>
            </v:group>
            <v:group style="position:absolute;left:4008;top:4930;width:2;height:240" coordorigin="4008,4930" coordsize="2,240">
              <v:shape style="position:absolute;left:4008;top:4930;width:2;height:240" coordorigin="4008,4930" coordsize="0,240" path="m4008,4930l4008,5170e" filled="false" stroked="true" strokeweight=".48pt" strokecolor="#000000">
                <v:path arrowok="t"/>
              </v:shape>
            </v:group>
            <v:group style="position:absolute;left:4008;top:5179;width:2;height:242" coordorigin="4008,5179" coordsize="2,242">
              <v:shape style="position:absolute;left:4008;top:5179;width:2;height:242" coordorigin="4008,5179" coordsize="0,242" path="m4008,5179l4008,5420e" filled="false" stroked="true" strokeweight=".48pt" strokecolor="#000000">
                <v:path arrowok="t"/>
              </v:shape>
            </v:group>
            <v:group style="position:absolute;left:5314;top:1450;width:2;height:480" coordorigin="5314,1450" coordsize="2,480">
              <v:shape style="position:absolute;left:5314;top:1450;width:2;height:480" coordorigin="5314,1450" coordsize="0,480" path="m5314,1450l5314,1930e" filled="false" stroked="true" strokeweight=".48001pt" strokecolor="#000000">
                <v:path arrowok="t"/>
              </v:shape>
            </v:group>
            <v:group style="position:absolute;left:5314;top:1939;width:2;height:242" coordorigin="5314,1939" coordsize="2,242">
              <v:shape style="position:absolute;left:5314;top:1939;width:2;height:242" coordorigin="5314,1939" coordsize="0,242" path="m5314,1939l5314,2180e" filled="false" stroked="true" strokeweight=".48001pt" strokecolor="#000000">
                <v:path arrowok="t"/>
              </v:shape>
            </v:group>
            <v:group style="position:absolute;left:5314;top:2190;width:2;height:480" coordorigin="5314,2190" coordsize="2,480">
              <v:shape style="position:absolute;left:5314;top:2190;width:2;height:480" coordorigin="5314,2190" coordsize="0,480" path="m5314,2190l5314,2670e" filled="false" stroked="true" strokeweight=".48001pt" strokecolor="#000000">
                <v:path arrowok="t"/>
              </v:shape>
            </v:group>
            <v:group style="position:absolute;left:5314;top:2680;width:2;height:240" coordorigin="5314,2680" coordsize="2,240">
              <v:shape style="position:absolute;left:5314;top:2680;width:2;height:240" coordorigin="5314,2680" coordsize="0,240" path="m5314,2680l5314,2920e" filled="false" stroked="true" strokeweight=".48001pt" strokecolor="#000000">
                <v:path arrowok="t"/>
              </v:shape>
            </v:group>
            <v:group style="position:absolute;left:5314;top:2929;width:2;height:242" coordorigin="5314,2929" coordsize="2,242">
              <v:shape style="position:absolute;left:5314;top:2929;width:2;height:242" coordorigin="5314,2929" coordsize="0,242" path="m5314,2929l5314,3170e" filled="false" stroked="true" strokeweight=".48001pt" strokecolor="#000000">
                <v:path arrowok="t"/>
              </v:shape>
            </v:group>
            <v:group style="position:absolute;left:5314;top:3180;width:2;height:240" coordorigin="5314,3180" coordsize="2,240">
              <v:shape style="position:absolute;left:5314;top:3180;width:2;height:240" coordorigin="5314,3180" coordsize="0,240" path="m5314,3180l5314,3420e" filled="false" stroked="true" strokeweight=".48001pt" strokecolor="#000000">
                <v:path arrowok="t"/>
              </v:shape>
            </v:group>
            <v:group style="position:absolute;left:5314;top:3430;width:2;height:240" coordorigin="5314,3430" coordsize="2,240">
              <v:shape style="position:absolute;left:5314;top:3430;width:2;height:240" coordorigin="5314,3430" coordsize="0,240" path="m5314,3430l5314,3670e" filled="false" stroked="true" strokeweight=".48001pt" strokecolor="#000000">
                <v:path arrowok="t"/>
              </v:shape>
            </v:group>
            <v:group style="position:absolute;left:5314;top:3679;width:2;height:242" coordorigin="5314,3679" coordsize="2,242">
              <v:shape style="position:absolute;left:5314;top:3679;width:2;height:242" coordorigin="5314,3679" coordsize="0,242" path="m5314,3679l5314,3920e" filled="false" stroked="true" strokeweight=".48001pt" strokecolor="#000000">
                <v:path arrowok="t"/>
              </v:shape>
            </v:group>
            <v:group style="position:absolute;left:5314;top:3930;width:2;height:240" coordorigin="5314,3930" coordsize="2,240">
              <v:shape style="position:absolute;left:5314;top:3930;width:2;height:240" coordorigin="5314,3930" coordsize="0,240" path="m5314,3930l5314,4170e" filled="false" stroked="true" strokeweight=".48001pt" strokecolor="#000000">
                <v:path arrowok="t"/>
              </v:shape>
            </v:group>
            <v:group style="position:absolute;left:5314;top:4180;width:2;height:240" coordorigin="5314,4180" coordsize="2,240">
              <v:shape style="position:absolute;left:5314;top:4180;width:2;height:240" coordorigin="5314,4180" coordsize="0,240" path="m5314,4180l5314,4420e" filled="false" stroked="true" strokeweight=".48001pt" strokecolor="#000000">
                <v:path arrowok="t"/>
              </v:shape>
            </v:group>
            <v:group style="position:absolute;left:5314;top:4429;width:2;height:242" coordorigin="5314,4429" coordsize="2,242">
              <v:shape style="position:absolute;left:5314;top:4429;width:2;height:242" coordorigin="5314,4429" coordsize="0,242" path="m5314,4429l5314,4670e" filled="false" stroked="true" strokeweight=".48001pt" strokecolor="#000000">
                <v:path arrowok="t"/>
              </v:shape>
            </v:group>
            <v:group style="position:absolute;left:5314;top:4680;width:2;height:240" coordorigin="5314,4680" coordsize="2,240">
              <v:shape style="position:absolute;left:5314;top:4680;width:2;height:240" coordorigin="5314,4680" coordsize="0,240" path="m5314,4680l5314,4920e" filled="false" stroked="true" strokeweight=".48001pt" strokecolor="#000000">
                <v:path arrowok="t"/>
              </v:shape>
            </v:group>
            <v:group style="position:absolute;left:5314;top:4930;width:2;height:240" coordorigin="5314,4930" coordsize="2,240">
              <v:shape style="position:absolute;left:5314;top:4930;width:2;height:240" coordorigin="5314,4930" coordsize="0,240" path="m5314,4930l5314,5170e" filled="false" stroked="true" strokeweight=".48001pt" strokecolor="#000000">
                <v:path arrowok="t"/>
              </v:shape>
            </v:group>
            <v:group style="position:absolute;left:5314;top:5179;width:2;height:242" coordorigin="5314,5179" coordsize="2,242">
              <v:shape style="position:absolute;left:5314;top:5179;width:2;height:242" coordorigin="5314,5179" coordsize="0,242" path="m5314,5179l5314,5420e" filled="false" stroked="true" strokeweight=".48001pt" strokecolor="#000000">
                <v:path arrowok="t"/>
              </v:shape>
            </v:group>
            <v:group style="position:absolute;left:7469;top:1450;width:2;height:480" coordorigin="7469,1450" coordsize="2,480">
              <v:shape style="position:absolute;left:7469;top:1450;width:2;height:480" coordorigin="7469,1450" coordsize="0,480" path="m7469,1450l7469,1930e" filled="false" stroked="true" strokeweight=".48001pt" strokecolor="#000000">
                <v:path arrowok="t"/>
              </v:shape>
            </v:group>
            <v:group style="position:absolute;left:7469;top:1939;width:2;height:242" coordorigin="7469,1939" coordsize="2,242">
              <v:shape style="position:absolute;left:7469;top:1939;width:2;height:242" coordorigin="7469,1939" coordsize="0,242" path="m7469,1939l7469,2180e" filled="false" stroked="true" strokeweight=".48001pt" strokecolor="#000000">
                <v:path arrowok="t"/>
              </v:shape>
            </v:group>
            <v:group style="position:absolute;left:7469;top:2190;width:2;height:480" coordorigin="7469,2190" coordsize="2,480">
              <v:shape style="position:absolute;left:7469;top:2190;width:2;height:480" coordorigin="7469,2190" coordsize="0,480" path="m7469,2190l7469,2670e" filled="false" stroked="true" strokeweight=".48001pt" strokecolor="#000000">
                <v:path arrowok="t"/>
              </v:shape>
            </v:group>
            <v:group style="position:absolute;left:7469;top:2680;width:2;height:240" coordorigin="7469,2680" coordsize="2,240">
              <v:shape style="position:absolute;left:7469;top:2680;width:2;height:240" coordorigin="7469,2680" coordsize="0,240" path="m7469,2680l7469,2920e" filled="false" stroked="true" strokeweight=".48001pt" strokecolor="#000000">
                <v:path arrowok="t"/>
              </v:shape>
            </v:group>
            <v:group style="position:absolute;left:7469;top:2929;width:2;height:242" coordorigin="7469,2929" coordsize="2,242">
              <v:shape style="position:absolute;left:7469;top:2929;width:2;height:242" coordorigin="7469,2929" coordsize="0,242" path="m7469,2929l7469,3170e" filled="false" stroked="true" strokeweight=".48001pt" strokecolor="#000000">
                <v:path arrowok="t"/>
              </v:shape>
            </v:group>
            <v:group style="position:absolute;left:7469;top:3180;width:2;height:240" coordorigin="7469,3180" coordsize="2,240">
              <v:shape style="position:absolute;left:7469;top:3180;width:2;height:240" coordorigin="7469,3180" coordsize="0,240" path="m7469,3180l7469,3420e" filled="false" stroked="true" strokeweight=".48001pt" strokecolor="#000000">
                <v:path arrowok="t"/>
              </v:shape>
            </v:group>
            <v:group style="position:absolute;left:7469;top:3430;width:2;height:240" coordorigin="7469,3430" coordsize="2,240">
              <v:shape style="position:absolute;left:7469;top:3430;width:2;height:240" coordorigin="7469,3430" coordsize="0,240" path="m7469,3430l7469,3670e" filled="false" stroked="true" strokeweight=".48001pt" strokecolor="#000000">
                <v:path arrowok="t"/>
              </v:shape>
            </v:group>
            <v:group style="position:absolute;left:7469;top:3679;width:2;height:242" coordorigin="7469,3679" coordsize="2,242">
              <v:shape style="position:absolute;left:7469;top:3679;width:2;height:242" coordorigin="7469,3679" coordsize="0,242" path="m7469,3679l7469,3920e" filled="false" stroked="true" strokeweight=".48001pt" strokecolor="#000000">
                <v:path arrowok="t"/>
              </v:shape>
            </v:group>
            <v:group style="position:absolute;left:7469;top:3930;width:2;height:240" coordorigin="7469,3930" coordsize="2,240">
              <v:shape style="position:absolute;left:7469;top:3930;width:2;height:240" coordorigin="7469,3930" coordsize="0,240" path="m7469,3930l7469,4170e" filled="false" stroked="true" strokeweight=".48001pt" strokecolor="#000000">
                <v:path arrowok="t"/>
              </v:shape>
            </v:group>
            <v:group style="position:absolute;left:7469;top:4180;width:2;height:240" coordorigin="7469,4180" coordsize="2,240">
              <v:shape style="position:absolute;left:7469;top:4180;width:2;height:240" coordorigin="7469,4180" coordsize="0,240" path="m7469,4180l7469,4420e" filled="false" stroked="true" strokeweight=".48001pt" strokecolor="#000000">
                <v:path arrowok="t"/>
              </v:shape>
            </v:group>
            <v:group style="position:absolute;left:7469;top:4429;width:2;height:242" coordorigin="7469,4429" coordsize="2,242">
              <v:shape style="position:absolute;left:7469;top:4429;width:2;height:242" coordorigin="7469,4429" coordsize="0,242" path="m7469,4429l7469,4670e" filled="false" stroked="true" strokeweight=".48001pt" strokecolor="#000000">
                <v:path arrowok="t"/>
              </v:shape>
            </v:group>
            <v:group style="position:absolute;left:7469;top:4680;width:2;height:240" coordorigin="7469,4680" coordsize="2,240">
              <v:shape style="position:absolute;left:7469;top:4680;width:2;height:240" coordorigin="7469,4680" coordsize="0,240" path="m7469,4680l7469,4920e" filled="false" stroked="true" strokeweight=".48001pt" strokecolor="#000000">
                <v:path arrowok="t"/>
              </v:shape>
            </v:group>
            <v:group style="position:absolute;left:7469;top:4930;width:2;height:240" coordorigin="7469,4930" coordsize="2,240">
              <v:shape style="position:absolute;left:7469;top:4930;width:2;height:240" coordorigin="7469,4930" coordsize="0,240" path="m7469,4930l7469,5170e" filled="false" stroked="true" strokeweight=".48001pt" strokecolor="#000000">
                <v:path arrowok="t"/>
              </v:shape>
            </v:group>
            <v:group style="position:absolute;left:7469;top:5179;width:2;height:242" coordorigin="7469,5179" coordsize="2,242">
              <v:shape style="position:absolute;left:7469;top:5179;width:2;height:242" coordorigin="7469,5179" coordsize="0,242" path="m7469,5179l7469,5420e" filled="false" stroked="true" strokeweight=".48001pt" strokecolor="#000000">
                <v:path arrowok="t"/>
              </v:shape>
            </v:group>
            <v:group style="position:absolute;left:1252;top:5425;width:9405;height:2" coordorigin="1252,5425" coordsize="9405,2">
              <v:shape style="position:absolute;left:1252;top:5425;width:9405;height:2" coordorigin="1252,5425" coordsize="9405,0" path="m1252,5425l10656,5425e" filled="false" stroked="true" strokeweight=".47998pt" strokecolor="#000000">
                <v:path arrowok="t"/>
              </v:shape>
            </v:group>
            <v:group style="position:absolute;left:2386;top:5430;width:2;height:1872" coordorigin="2386,5430" coordsize="2,1872">
              <v:shape style="position:absolute;left:2386;top:5430;width:2;height:1872" coordorigin="2386,5430" coordsize="0,1872" path="m2386,5430l2386,7302e" filled="false" stroked="true" strokeweight=".48001pt" strokecolor="#000000">
                <v:path arrowok="t"/>
              </v:shape>
            </v:group>
            <v:group style="position:absolute;left:4008;top:5430;width:2;height:1872" coordorigin="4008,5430" coordsize="2,1872">
              <v:shape style="position:absolute;left:4008;top:5430;width:2;height:1872" coordorigin="4008,5430" coordsize="0,1872" path="m4008,5430l4008,7302e" filled="false" stroked="true" strokeweight=".48pt" strokecolor="#000000">
                <v:path arrowok="t"/>
              </v:shape>
            </v:group>
            <v:group style="position:absolute;left:5314;top:5430;width:2;height:1872" coordorigin="5314,5430" coordsize="2,1872">
              <v:shape style="position:absolute;left:5314;top:5430;width:2;height:1872" coordorigin="5314,5430" coordsize="0,1872" path="m5314,5430l5314,7302e" filled="false" stroked="true" strokeweight=".48001pt" strokecolor="#000000">
                <v:path arrowok="t"/>
              </v:shape>
            </v:group>
            <v:group style="position:absolute;left:7469;top:5430;width:2;height:1872" coordorigin="7469,5430" coordsize="2,1872">
              <v:shape style="position:absolute;left:7469;top:5430;width:2;height:1872" coordorigin="7469,5430" coordsize="0,1872" path="m7469,5430l7469,7302e" filled="false" stroked="true" strokeweight=".48001pt" strokecolor="#000000">
                <v:path arrowok="t"/>
              </v:shape>
            </v:group>
            <v:group style="position:absolute;left:2386;top:7312;width:2;height:240" coordorigin="2386,7312" coordsize="2,240">
              <v:shape style="position:absolute;left:2386;top:7312;width:2;height:240" coordorigin="2386,7312" coordsize="0,240" path="m2386,7312l2386,7552e" filled="false" stroked="true" strokeweight=".48001pt" strokecolor="#000000">
                <v:path arrowok="t"/>
              </v:shape>
            </v:group>
            <v:group style="position:absolute;left:4008;top:7312;width:2;height:240" coordorigin="4008,7312" coordsize="2,240">
              <v:shape style="position:absolute;left:4008;top:7312;width:2;height:240" coordorigin="4008,7312" coordsize="0,240" path="m4008,7312l4008,7552e" filled="false" stroked="true" strokeweight=".48pt" strokecolor="#000000">
                <v:path arrowok="t"/>
              </v:shape>
            </v:group>
            <v:group style="position:absolute;left:5314;top:7312;width:2;height:240" coordorigin="5314,7312" coordsize="2,240">
              <v:shape style="position:absolute;left:5314;top:7312;width:2;height:240" coordorigin="5314,7312" coordsize="0,240" path="m5314,7312l5314,7552e" filled="false" stroked="true" strokeweight=".48001pt" strokecolor="#000000">
                <v:path arrowok="t"/>
              </v:shape>
            </v:group>
            <v:group style="position:absolute;left:7469;top:7312;width:2;height:240" coordorigin="7469,7312" coordsize="2,240">
              <v:shape style="position:absolute;left:7469;top:7312;width:2;height:240" coordorigin="7469,7312" coordsize="0,240" path="m7469,7312l7469,7552e" filled="false" stroked="true" strokeweight=".48001pt" strokecolor="#000000">
                <v:path arrowok="t"/>
              </v:shape>
            </v:group>
            <v:group style="position:absolute;left:2386;top:7561;width:2;height:482" coordorigin="2386,7561" coordsize="2,482">
              <v:shape style="position:absolute;left:2386;top:7561;width:2;height:482" coordorigin="2386,7561" coordsize="0,482" path="m2386,7561l2386,8042e" filled="false" stroked="true" strokeweight=".48001pt" strokecolor="#000000">
                <v:path arrowok="t"/>
              </v:shape>
            </v:group>
            <v:group style="position:absolute;left:4008;top:7561;width:2;height:482" coordorigin="4008,7561" coordsize="2,482">
              <v:shape style="position:absolute;left:4008;top:7561;width:2;height:482" coordorigin="4008,7561" coordsize="0,482" path="m4008,7561l4008,8042e" filled="false" stroked="true" strokeweight=".48pt" strokecolor="#000000">
                <v:path arrowok="t"/>
              </v:shape>
            </v:group>
            <v:group style="position:absolute;left:5314;top:7561;width:2;height:482" coordorigin="5314,7561" coordsize="2,482">
              <v:shape style="position:absolute;left:5314;top:7561;width:2;height:482" coordorigin="5314,7561" coordsize="0,482" path="m5314,7561l5314,8042e" filled="false" stroked="true" strokeweight=".48001pt" strokecolor="#000000">
                <v:path arrowok="t"/>
              </v:shape>
            </v:group>
            <v:group style="position:absolute;left:7469;top:7561;width:2;height:482" coordorigin="7469,7561" coordsize="2,482">
              <v:shape style="position:absolute;left:7469;top:7561;width:2;height:482" coordorigin="7469,7561" coordsize="0,482" path="m7469,7561l7469,8042e" filled="false" stroked="true" strokeweight=".48001pt" strokecolor="#000000">
                <v:path arrowok="t"/>
              </v:shape>
            </v:group>
            <v:group style="position:absolute;left:2386;top:8052;width:2;height:240" coordorigin="2386,8052" coordsize="2,240">
              <v:shape style="position:absolute;left:2386;top:8052;width:2;height:240" coordorigin="2386,8052" coordsize="0,240" path="m2386,8052l2386,8292e" filled="false" stroked="true" strokeweight=".48001pt" strokecolor="#000000">
                <v:path arrowok="t"/>
              </v:shape>
            </v:group>
            <v:group style="position:absolute;left:4008;top:8052;width:2;height:240" coordorigin="4008,8052" coordsize="2,240">
              <v:shape style="position:absolute;left:4008;top:8052;width:2;height:240" coordorigin="4008,8052" coordsize="0,240" path="m4008,8052l4008,8292e" filled="false" stroked="true" strokeweight=".48pt" strokecolor="#000000">
                <v:path arrowok="t"/>
              </v:shape>
            </v:group>
            <v:group style="position:absolute;left:5314;top:8052;width:2;height:240" coordorigin="5314,8052" coordsize="2,240">
              <v:shape style="position:absolute;left:5314;top:8052;width:2;height:240" coordorigin="5314,8052" coordsize="0,240" path="m5314,8052l5314,8292e" filled="false" stroked="true" strokeweight=".48001pt" strokecolor="#000000">
                <v:path arrowok="t"/>
              </v:shape>
            </v:group>
            <v:group style="position:absolute;left:7469;top:8052;width:2;height:240" coordorigin="7469,8052" coordsize="2,240">
              <v:shape style="position:absolute;left:7469;top:8052;width:2;height:240" coordorigin="7469,8052" coordsize="0,240" path="m7469,8052l7469,8292e" filled="false" stroked="true" strokeweight=".48001pt" strokecolor="#000000">
                <v:path arrowok="t"/>
              </v:shape>
            </v:group>
            <v:group style="position:absolute;left:2386;top:8302;width:2;height:702" coordorigin="2386,8302" coordsize="2,702">
              <v:shape style="position:absolute;left:2386;top:8302;width:2;height:702" coordorigin="2386,8302" coordsize="0,702" path="m2386,8302l2386,9004e" filled="false" stroked="true" strokeweight=".48001pt" strokecolor="#000000">
                <v:path arrowok="t"/>
              </v:shape>
            </v:group>
            <v:group style="position:absolute;left:4008;top:8302;width:2;height:702" coordorigin="4008,8302" coordsize="2,702">
              <v:shape style="position:absolute;left:4008;top:8302;width:2;height:702" coordorigin="4008,8302" coordsize="0,702" path="m4008,8302l4008,9004e" filled="false" stroked="true" strokeweight=".48pt" strokecolor="#000000">
                <v:path arrowok="t"/>
              </v:shape>
            </v:group>
            <v:group style="position:absolute;left:5314;top:8302;width:2;height:702" coordorigin="5314,8302" coordsize="2,702">
              <v:shape style="position:absolute;left:5314;top:8302;width:2;height:702" coordorigin="5314,8302" coordsize="0,702" path="m5314,8302l5314,9004e" filled="false" stroked="true" strokeweight=".48001pt" strokecolor="#000000">
                <v:path arrowok="t"/>
              </v:shape>
            </v:group>
            <v:group style="position:absolute;left:7469;top:8302;width:2;height:702" coordorigin="7469,8302" coordsize="2,702">
              <v:shape style="position:absolute;left:7469;top:8302;width:2;height:702" coordorigin="7469,8302" coordsize="0,702" path="m7469,8302l7469,9004e" filled="false" stroked="true" strokeweight=".48001pt" strokecolor="#000000">
                <v:path arrowok="t"/>
              </v:shape>
            </v:group>
            <v:group style="position:absolute;left:2386;top:9013;width:2;height:242" coordorigin="2386,9013" coordsize="2,242">
              <v:shape style="position:absolute;left:2386;top:9013;width:2;height:242" coordorigin="2386,9013" coordsize="0,242" path="m2386,9013l2386,9254e" filled="false" stroked="true" strokeweight=".48001pt" strokecolor="#000000">
                <v:path arrowok="t"/>
              </v:shape>
            </v:group>
            <v:group style="position:absolute;left:4008;top:9013;width:2;height:242" coordorigin="4008,9013" coordsize="2,242">
              <v:shape style="position:absolute;left:4008;top:9013;width:2;height:242" coordorigin="4008,9013" coordsize="0,242" path="m4008,9013l4008,9254e" filled="false" stroked="true" strokeweight=".48pt" strokecolor="#000000">
                <v:path arrowok="t"/>
              </v:shape>
            </v:group>
            <v:group style="position:absolute;left:5314;top:9013;width:2;height:242" coordorigin="5314,9013" coordsize="2,242">
              <v:shape style="position:absolute;left:5314;top:9013;width:2;height:242" coordorigin="5314,9013" coordsize="0,242" path="m5314,9013l5314,9254e" filled="false" stroked="true" strokeweight=".48001pt" strokecolor="#000000">
                <v:path arrowok="t"/>
              </v:shape>
            </v:group>
            <v:group style="position:absolute;left:7469;top:9013;width:2;height:242" coordorigin="7469,9013" coordsize="2,242">
              <v:shape style="position:absolute;left:7469;top:9013;width:2;height:242" coordorigin="7469,9013" coordsize="0,242" path="m7469,9013l7469,9254e" filled="false" stroked="true" strokeweight=".48001pt" strokecolor="#000000">
                <v:path arrowok="t"/>
              </v:shape>
            </v:group>
            <v:group style="position:absolute;left:2386;top:9264;width:2;height:480" coordorigin="2386,9264" coordsize="2,480">
              <v:shape style="position:absolute;left:2386;top:9264;width:2;height:480" coordorigin="2386,9264" coordsize="0,480" path="m2386,9264l2386,9744e" filled="false" stroked="true" strokeweight=".48001pt" strokecolor="#000000">
                <v:path arrowok="t"/>
              </v:shape>
            </v:group>
            <v:group style="position:absolute;left:4008;top:9264;width:2;height:480" coordorigin="4008,9264" coordsize="2,480">
              <v:shape style="position:absolute;left:4008;top:9264;width:2;height:480" coordorigin="4008,9264" coordsize="0,480" path="m4008,9264l4008,9744e" filled="false" stroked="true" strokeweight=".48pt" strokecolor="#000000">
                <v:path arrowok="t"/>
              </v:shape>
            </v:group>
            <v:group style="position:absolute;left:5314;top:9264;width:2;height:480" coordorigin="5314,9264" coordsize="2,480">
              <v:shape style="position:absolute;left:5314;top:9264;width:2;height:480" coordorigin="5314,9264" coordsize="0,480" path="m5314,9264l5314,9744e" filled="false" stroked="true" strokeweight=".48001pt" strokecolor="#000000">
                <v:path arrowok="t"/>
              </v:shape>
            </v:group>
            <v:group style="position:absolute;left:7469;top:9264;width:2;height:480" coordorigin="7469,9264" coordsize="2,480">
              <v:shape style="position:absolute;left:7469;top:9264;width:2;height:480" coordorigin="7469,9264" coordsize="0,480" path="m7469,9264l7469,9744e" filled="false" stroked="true" strokeweight=".48001pt" strokecolor="#000000">
                <v:path arrowok="t"/>
              </v:shape>
            </v:group>
            <v:group style="position:absolute;left:2386;top:9754;width:2;height:480" coordorigin="2386,9754" coordsize="2,480">
              <v:shape style="position:absolute;left:2386;top:9754;width:2;height:480" coordorigin="2386,9754" coordsize="0,480" path="m2386,9754l2386,10234e" filled="false" stroked="true" strokeweight=".48001pt" strokecolor="#000000">
                <v:path arrowok="t"/>
              </v:shape>
            </v:group>
            <v:group style="position:absolute;left:4008;top:9754;width:2;height:480" coordorigin="4008,9754" coordsize="2,480">
              <v:shape style="position:absolute;left:4008;top:9754;width:2;height:480" coordorigin="4008,9754" coordsize="0,480" path="m4008,9754l4008,10234e" filled="false" stroked="true" strokeweight=".48pt" strokecolor="#000000">
                <v:path arrowok="t"/>
              </v:shape>
            </v:group>
            <v:group style="position:absolute;left:5314;top:9754;width:2;height:480" coordorigin="5314,9754" coordsize="2,480">
              <v:shape style="position:absolute;left:5314;top:9754;width:2;height:480" coordorigin="5314,9754" coordsize="0,480" path="m5314,9754l5314,10234e" filled="false" stroked="true" strokeweight=".48001pt" strokecolor="#000000">
                <v:path arrowok="t"/>
              </v:shape>
            </v:group>
            <v:group style="position:absolute;left:7469;top:9754;width:2;height:480" coordorigin="7469,9754" coordsize="2,480">
              <v:shape style="position:absolute;left:7469;top:9754;width:2;height:480" coordorigin="7469,9754" coordsize="0,480" path="m7469,9754l7469,10234e" filled="false" stroked="true" strokeweight=".48001pt" strokecolor="#000000">
                <v:path arrowok="t"/>
              </v:shape>
            </v:group>
            <v:group style="position:absolute;left:2386;top:10243;width:2;height:482" coordorigin="2386,10243" coordsize="2,482">
              <v:shape style="position:absolute;left:2386;top:10243;width:2;height:482" coordorigin="2386,10243" coordsize="0,482" path="m2386,10243l2386,10724e" filled="false" stroked="true" strokeweight=".48001pt" strokecolor="#000000">
                <v:path arrowok="t"/>
              </v:shape>
            </v:group>
            <v:group style="position:absolute;left:4008;top:10243;width:2;height:482" coordorigin="4008,10243" coordsize="2,482">
              <v:shape style="position:absolute;left:4008;top:10243;width:2;height:482" coordorigin="4008,10243" coordsize="0,482" path="m4008,10243l4008,10724e" filled="false" stroked="true" strokeweight=".48pt" strokecolor="#000000">
                <v:path arrowok="t"/>
              </v:shape>
            </v:group>
            <v:group style="position:absolute;left:5314;top:10243;width:2;height:482" coordorigin="5314,10243" coordsize="2,482">
              <v:shape style="position:absolute;left:5314;top:10243;width:2;height:482" coordorigin="5314,10243" coordsize="0,482" path="m5314,10243l5314,10724e" filled="false" stroked="true" strokeweight=".48001pt" strokecolor="#000000">
                <v:path arrowok="t"/>
              </v:shape>
            </v:group>
            <v:group style="position:absolute;left:7469;top:10243;width:2;height:482" coordorigin="7469,10243" coordsize="2,482">
              <v:shape style="position:absolute;left:7469;top:10243;width:2;height:482" coordorigin="7469,10243" coordsize="0,482" path="m7469,10243l7469,10724e" filled="false" stroked="true" strokeweight=".48001pt" strokecolor="#000000">
                <v:path arrowok="t"/>
              </v:shape>
            </v:group>
            <v:group style="position:absolute;left:2386;top:10734;width:2;height:240" coordorigin="2386,10734" coordsize="2,240">
              <v:shape style="position:absolute;left:2386;top:10734;width:2;height:240" coordorigin="2386,10734" coordsize="0,240" path="m2386,10734l2386,10974e" filled="false" stroked="true" strokeweight=".48001pt" strokecolor="#000000">
                <v:path arrowok="t"/>
              </v:shape>
            </v:group>
            <v:group style="position:absolute;left:4008;top:10734;width:2;height:240" coordorigin="4008,10734" coordsize="2,240">
              <v:shape style="position:absolute;left:4008;top:10734;width:2;height:240" coordorigin="4008,10734" coordsize="0,240" path="m4008,10734l4008,10974e" filled="false" stroked="true" strokeweight=".48pt" strokecolor="#000000">
                <v:path arrowok="t"/>
              </v:shape>
            </v:group>
            <v:group style="position:absolute;left:5314;top:10734;width:2;height:240" coordorigin="5314,10734" coordsize="2,240">
              <v:shape style="position:absolute;left:5314;top:10734;width:2;height:240" coordorigin="5314,10734" coordsize="0,240" path="m5314,10734l5314,10974e" filled="false" stroked="true" strokeweight=".48001pt" strokecolor="#000000">
                <v:path arrowok="t"/>
              </v:shape>
            </v:group>
            <v:group style="position:absolute;left:7469;top:10734;width:2;height:240" coordorigin="7469,10734" coordsize="2,240">
              <v:shape style="position:absolute;left:7469;top:10734;width:2;height:240" coordorigin="7469,10734" coordsize="0,240" path="m7469,10734l7469,10974e" filled="false" stroked="true" strokeweight=".48001pt" strokecolor="#000000">
                <v:path arrowok="t"/>
              </v:shape>
            </v:group>
            <v:group style="position:absolute;left:2386;top:10984;width:2;height:414" coordorigin="2386,10984" coordsize="2,414">
              <v:shape style="position:absolute;left:2386;top:10984;width:2;height:414" coordorigin="2386,10984" coordsize="0,414" path="m2386,10984l2386,11398e" filled="false" stroked="true" strokeweight=".48001pt" strokecolor="#000000">
                <v:path arrowok="t"/>
              </v:shape>
            </v:group>
            <v:group style="position:absolute;left:4008;top:10984;width:2;height:414" coordorigin="4008,10984" coordsize="2,414">
              <v:shape style="position:absolute;left:4008;top:10984;width:2;height:414" coordorigin="4008,10984" coordsize="0,414" path="m4008,10984l4008,11398e" filled="false" stroked="true" strokeweight=".48pt" strokecolor="#000000">
                <v:path arrowok="t"/>
              </v:shape>
            </v:group>
            <v:group style="position:absolute;left:5314;top:10984;width:2;height:414" coordorigin="5314,10984" coordsize="2,414">
              <v:shape style="position:absolute;left:5314;top:10984;width:2;height:414" coordorigin="5314,10984" coordsize="0,414" path="m5314,10984l5314,11398e" filled="false" stroked="true" strokeweight=".48001pt" strokecolor="#000000">
                <v:path arrowok="t"/>
              </v:shape>
            </v:group>
            <v:group style="position:absolute;left:7469;top:10984;width:2;height:414" coordorigin="7469,10984" coordsize="2,414">
              <v:shape style="position:absolute;left:7469;top:10984;width:2;height:414" coordorigin="7469,10984" coordsize="0,414" path="m7469,10984l7469,11398e" filled="false" stroked="true" strokeweight=".48001pt" strokecolor="#000000">
                <v:path arrowok="t"/>
              </v:shape>
            </v:group>
            <v:group style="position:absolute;left:1252;top:11402;width:9405;height:2" coordorigin="1252,11402" coordsize="9405,2">
              <v:shape style="position:absolute;left:1252;top:11402;width:9405;height:2" coordorigin="1252,11402" coordsize="9405,0" path="m1252,11402l10656,11402e" filled="false" stroked="true" strokeweight=".48001pt" strokecolor="#000000">
                <v:path arrowok="t"/>
              </v:shape>
            </v:group>
            <v:group style="position:absolute;left:2386;top:11407;width:2;height:1638" coordorigin="2386,11407" coordsize="2,1638">
              <v:shape style="position:absolute;left:2386;top:11407;width:2;height:1638" coordorigin="2386,11407" coordsize="0,1638" path="m2386,11407l2386,13045e" filled="false" stroked="true" strokeweight=".48001pt" strokecolor="#000000">
                <v:path arrowok="t"/>
              </v:shape>
            </v:group>
            <v:group style="position:absolute;left:4008;top:11407;width:2;height:1638" coordorigin="4008,11407" coordsize="2,1638">
              <v:shape style="position:absolute;left:4008;top:11407;width:2;height:1638" coordorigin="4008,11407" coordsize="0,1638" path="m4008,11407l4008,13045e" filled="false" stroked="true" strokeweight=".48pt" strokecolor="#000000">
                <v:path arrowok="t"/>
              </v:shape>
            </v:group>
            <v:group style="position:absolute;left:5314;top:11407;width:2;height:1638" coordorigin="5314,11407" coordsize="2,1638">
              <v:shape style="position:absolute;left:5314;top:11407;width:2;height:1638" coordorigin="5314,11407" coordsize="0,1638" path="m5314,11407l5314,13045e" filled="false" stroked="true" strokeweight=".48001pt" strokecolor="#000000">
                <v:path arrowok="t"/>
              </v:shape>
            </v:group>
            <v:group style="position:absolute;left:7469;top:11407;width:2;height:1638" coordorigin="7469,11407" coordsize="2,1638">
              <v:shape style="position:absolute;left:7469;top:11407;width:2;height:1638" coordorigin="7469,11407" coordsize="0,1638" path="m7469,11407l7469,13045e" filled="false" stroked="true" strokeweight=".48001pt" strokecolor="#000000">
                <v:path arrowok="t"/>
              </v:shape>
            </v:group>
            <v:group style="position:absolute;left:1252;top:13050;width:9405;height:2" coordorigin="1252,13050" coordsize="9405,2">
              <v:shape style="position:absolute;left:1252;top:13050;width:9405;height:2" coordorigin="1252,13050" coordsize="9405,0" path="m1252,13050l10656,13050e" filled="false" stroked="true" strokeweight=".48pt" strokecolor="#000000">
                <v:path arrowok="t"/>
              </v:shape>
            </v:group>
            <v:group style="position:absolute;left:2386;top:13055;width:2;height:482" coordorigin="2386,13055" coordsize="2,482">
              <v:shape style="position:absolute;left:2386;top:13055;width:2;height:482" coordorigin="2386,13055" coordsize="0,482" path="m2386,13055l2386,13536e" filled="false" stroked="true" strokeweight=".48001pt" strokecolor="#000000">
                <v:path arrowok="t"/>
              </v:shape>
            </v:group>
            <v:group style="position:absolute;left:4008;top:13055;width:2;height:482" coordorigin="4008,13055" coordsize="2,482">
              <v:shape style="position:absolute;left:4008;top:13055;width:2;height:482" coordorigin="4008,13055" coordsize="0,482" path="m4008,13055l4008,13536e" filled="false" stroked="true" strokeweight=".48pt" strokecolor="#000000">
                <v:path arrowok="t"/>
              </v:shape>
            </v:group>
            <v:group style="position:absolute;left:5314;top:13055;width:2;height:482" coordorigin="5314,13055" coordsize="2,482">
              <v:shape style="position:absolute;left:5314;top:13055;width:2;height:482" coordorigin="5314,13055" coordsize="0,482" path="m5314,13055l5314,13536e" filled="false" stroked="true" strokeweight=".48001pt" strokecolor="#000000">
                <v:path arrowok="t"/>
              </v:shape>
            </v:group>
            <v:group style="position:absolute;left:7469;top:13055;width:2;height:482" coordorigin="7469,13055" coordsize="2,482">
              <v:shape style="position:absolute;left:7469;top:13055;width:2;height:482" coordorigin="7469,13055" coordsize="0,482" path="m7469,13055l7469,13536e" filled="false" stroked="true" strokeweight=".48001pt" strokecolor="#000000">
                <v:path arrowok="t"/>
              </v:shape>
            </v:group>
            <v:group style="position:absolute;left:1252;top:13541;width:9405;height:2" coordorigin="1252,13541" coordsize="9405,2">
              <v:shape style="position:absolute;left:1252;top:13541;width:9405;height:2" coordorigin="1252,13541" coordsize="9405,0" path="m1252,13541l10656,13541e" filled="false" stroked="true" strokeweight=".48001pt" strokecolor="#000000">
                <v:path arrowok="t"/>
              </v:shape>
            </v:group>
            <v:group style="position:absolute;left:2386;top:13546;width:2;height:480" coordorigin="2386,13546" coordsize="2,480">
              <v:shape style="position:absolute;left:2386;top:13546;width:2;height:480" coordorigin="2386,13546" coordsize="0,480" path="m2386,13546l2386,14026e" filled="false" stroked="true" strokeweight=".48001pt" strokecolor="#000000">
                <v:path arrowok="t"/>
              </v:shape>
            </v:group>
            <v:group style="position:absolute;left:4008;top:13546;width:2;height:480" coordorigin="4008,13546" coordsize="2,480">
              <v:shape style="position:absolute;left:4008;top:13546;width:2;height:480" coordorigin="4008,13546" coordsize="0,480" path="m4008,13546l4008,14026e" filled="false" stroked="true" strokeweight=".48pt" strokecolor="#000000">
                <v:path arrowok="t"/>
              </v:shape>
            </v:group>
            <v:group style="position:absolute;left:5314;top:13546;width:2;height:480" coordorigin="5314,13546" coordsize="2,480">
              <v:shape style="position:absolute;left:5314;top:13546;width:2;height:480" coordorigin="5314,13546" coordsize="0,480" path="m5314,13546l5314,14026e" filled="false" stroked="true" strokeweight=".48001pt" strokecolor="#000000">
                <v:path arrowok="t"/>
              </v:shape>
            </v:group>
            <v:group style="position:absolute;left:7469;top:13546;width:2;height:480" coordorigin="7469,13546" coordsize="2,480">
              <v:shape style="position:absolute;left:7469;top:13546;width:2;height:480" coordorigin="7469,13546" coordsize="0,480" path="m7469,13546l7469,14026e" filled="false" stroked="true" strokeweight=".48001pt" strokecolor="#000000">
                <v:path arrowok="t"/>
              </v:shape>
            </v:group>
            <v:group style="position:absolute;left:1252;top:14030;width:9405;height:2" coordorigin="1252,14030" coordsize="9405,2">
              <v:shape style="position:absolute;left:1252;top:14030;width:9405;height:2" coordorigin="1252,14030" coordsize="9405,0" path="m1252,14030l10656,14030e" filled="false" stroked="true" strokeweight=".48001pt" strokecolor="#000000">
                <v:path arrowok="t"/>
              </v:shape>
            </v:group>
            <v:group style="position:absolute;left:2386;top:14035;width:2;height:480" coordorigin="2386,14035" coordsize="2,480">
              <v:shape style="position:absolute;left:2386;top:14035;width:2;height:480" coordorigin="2386,14035" coordsize="0,480" path="m2386,14035l2386,14515e" filled="false" stroked="true" strokeweight=".48001pt" strokecolor="#000000">
                <v:path arrowok="t"/>
              </v:shape>
            </v:group>
            <v:group style="position:absolute;left:4008;top:14035;width:2;height:480" coordorigin="4008,14035" coordsize="2,480">
              <v:shape style="position:absolute;left:4008;top:14035;width:2;height:480" coordorigin="4008,14035" coordsize="0,480" path="m4008,14035l4008,14515e" filled="false" stroked="true" strokeweight=".48pt" strokecolor="#000000">
                <v:path arrowok="t"/>
              </v:shape>
            </v:group>
            <v:group style="position:absolute;left:5314;top:14035;width:2;height:480" coordorigin="5314,14035" coordsize="2,480">
              <v:shape style="position:absolute;left:5314;top:14035;width:2;height:480" coordorigin="5314,14035" coordsize="0,480" path="m5314,14035l5314,14515e" filled="false" stroked="true" strokeweight=".48001pt" strokecolor="#000000">
                <v:path arrowok="t"/>
              </v:shape>
            </v:group>
            <v:group style="position:absolute;left:7469;top:14035;width:2;height:480" coordorigin="7469,14035" coordsize="2,480">
              <v:shape style="position:absolute;left:7469;top:14035;width:2;height:480" coordorigin="7469,14035" coordsize="0,480" path="m7469,14035l7469,14515e" filled="false" stroked="true" strokeweight=".48001pt" strokecolor="#000000">
                <v:path arrowok="t"/>
              </v:shape>
            </v:group>
            <v:group style="position:absolute;left:1252;top:14520;width:9405;height:2" coordorigin="1252,14520" coordsize="9405,2">
              <v:shape style="position:absolute;left:1252;top:14520;width:9405;height:2" coordorigin="1252,14520" coordsize="9405,0" path="m1252,14520l10656,14520e" filled="false" stroked="true" strokeweight=".47998pt" strokecolor="#000000">
                <v:path arrowok="t"/>
              </v:shape>
            </v:group>
            <v:group style="position:absolute;left:2386;top:14525;width:2;height:242" coordorigin="2386,14525" coordsize="2,242">
              <v:shape style="position:absolute;left:2386;top:14525;width:2;height:242" coordorigin="2386,14525" coordsize="0,242" path="m2386,14525l2386,14766e" filled="false" stroked="true" strokeweight=".48001pt" strokecolor="#000000">
                <v:path arrowok="t"/>
              </v:shape>
            </v:group>
            <v:group style="position:absolute;left:4008;top:14525;width:2;height:242" coordorigin="4008,14525" coordsize="2,242">
              <v:shape style="position:absolute;left:4008;top:14525;width:2;height:242" coordorigin="4008,14525" coordsize="0,242" path="m4008,14525l4008,14766e" filled="false" stroked="true" strokeweight=".48pt" strokecolor="#000000">
                <v:path arrowok="t"/>
              </v:shape>
            </v:group>
            <v:group style="position:absolute;left:5314;top:14525;width:2;height:242" coordorigin="5314,14525" coordsize="2,242">
              <v:shape style="position:absolute;left:5314;top:14525;width:2;height:242" coordorigin="5314,14525" coordsize="0,242" path="m5314,14525l5314,14766e" filled="false" stroked="true" strokeweight=".48001pt" strokecolor="#000000">
                <v:path arrowok="t"/>
              </v:shape>
            </v:group>
            <v:group style="position:absolute;left:7469;top:14525;width:2;height:242" coordorigin="7469,14525" coordsize="2,242">
              <v:shape style="position:absolute;left:7469;top:14525;width:2;height:242" coordorigin="7469,14525" coordsize="0,242" path="m7469,14525l7469,14766e" filled="false" stroked="true" strokeweight=".48001pt" strokecolor="#000000">
                <v:path arrowok="t"/>
              </v:shape>
            </v:group>
            <v:group style="position:absolute;left:1252;top:14771;width:9405;height:2" coordorigin="1252,14771" coordsize="9405,2">
              <v:shape style="position:absolute;left:1252;top:14771;width:9405;height:2" coordorigin="1252,14771" coordsize="9405,0" path="m1252,14771l10656,14771e" filled="false" stroked="true" strokeweight=".48001pt" strokecolor="#000000">
                <v:path arrowok="t"/>
              </v:shape>
            </v:group>
            <v:group style="position:absolute;left:2386;top:14776;width:2;height:480" coordorigin="2386,14776" coordsize="2,480">
              <v:shape style="position:absolute;left:2386;top:14776;width:2;height:480" coordorigin="2386,14776" coordsize="0,480" path="m2386,14776l2386,15256e" filled="false" stroked="true" strokeweight=".48001pt" strokecolor="#000000">
                <v:path arrowok="t"/>
              </v:shape>
            </v:group>
            <v:group style="position:absolute;left:4008;top:14776;width:2;height:480" coordorigin="4008,14776" coordsize="2,480">
              <v:shape style="position:absolute;left:4008;top:14776;width:2;height:480" coordorigin="4008,14776" coordsize="0,480" path="m4008,14776l4008,15256e" filled="false" stroked="true" strokeweight=".48pt" strokecolor="#000000">
                <v:path arrowok="t"/>
              </v:shape>
            </v:group>
            <v:group style="position:absolute;left:5314;top:14776;width:2;height:480" coordorigin="5314,14776" coordsize="2,480">
              <v:shape style="position:absolute;left:5314;top:14776;width:2;height:480" coordorigin="5314,14776" coordsize="0,480" path="m5314,14776l5314,15256e" filled="false" stroked="true" strokeweight=".48001pt" strokecolor="#000000">
                <v:path arrowok="t"/>
              </v:shape>
            </v:group>
            <v:group style="position:absolute;left:7469;top:14776;width:2;height:480" coordorigin="7469,14776" coordsize="2,480">
              <v:shape style="position:absolute;left:7469;top:14776;width:2;height:480" coordorigin="7469,14776" coordsize="0,480" path="m7469,14776l7469,15256e" filled="false" stroked="true" strokeweight=".48001pt" strokecolor="#000000">
                <v:path arrowok="t"/>
              </v:shape>
            </v:group>
            <v:group style="position:absolute;left:1256;top:1440;width:2;height:14316" coordorigin="1256,1440" coordsize="2,14316">
              <v:shape style="position:absolute;left:1256;top:1440;width:2;height:14316" coordorigin="1256,1440" coordsize="0,14316" path="m1256,1440l1256,15756e" filled="false" stroked="true" strokeweight=".48pt" strokecolor="#000000">
                <v:path arrowok="t"/>
              </v:shape>
            </v:group>
            <v:group style="position:absolute;left:2386;top:15265;width:2;height:491" coordorigin="2386,15265" coordsize="2,491">
              <v:shape style="position:absolute;left:2386;top:15265;width:2;height:491" coordorigin="2386,15265" coordsize="0,491" path="m2386,15265l2386,15756e" filled="false" stroked="true" strokeweight=".48001pt" strokecolor="#000000">
                <v:path arrowok="t"/>
              </v:shape>
            </v:group>
            <v:group style="position:absolute;left:4008;top:15265;width:2;height:491" coordorigin="4008,15265" coordsize="2,491">
              <v:shape style="position:absolute;left:4008;top:15265;width:2;height:491" coordorigin="4008,15265" coordsize="0,491" path="m4008,15265l4008,15756e" filled="false" stroked="true" strokeweight=".48pt" strokecolor="#000000">
                <v:path arrowok="t"/>
              </v:shape>
            </v:group>
            <v:group style="position:absolute;left:5314;top:15265;width:2;height:491" coordorigin="5314,15265" coordsize="2,491">
              <v:shape style="position:absolute;left:5314;top:15265;width:2;height:491" coordorigin="5314,15265" coordsize="0,491" path="m5314,15265l5314,15756e" filled="false" stroked="true" strokeweight=".48001pt" strokecolor="#000000">
                <v:path arrowok="t"/>
              </v:shape>
            </v:group>
            <v:group style="position:absolute;left:7469;top:15265;width:2;height:491" coordorigin="7469,15265" coordsize="2,491">
              <v:shape style="position:absolute;left:7469;top:15265;width:2;height:491" coordorigin="7469,15265" coordsize="0,491" path="m7469,15265l7469,15756e" filled="false" stroked="true" strokeweight=".48001pt" strokecolor="#000000">
                <v:path arrowok="t"/>
              </v:shape>
            </v:group>
            <v:group style="position:absolute;left:10651;top:1440;width:2;height:14316" coordorigin="10651,1440" coordsize="2,14316">
              <v:shape style="position:absolute;left:10651;top:1440;width:2;height:14316" coordorigin="10651,1440" coordsize="0,14316" path="m10651,1440l10651,15756e" filled="false" stroked="true" strokeweight=".47998pt" strokecolor="#000000">
                <v:path arrowok="t"/>
              </v:shape>
            </v:group>
            <w10:wrap type="none"/>
          </v:group>
        </w:pict>
      </w:r>
      <w:r>
        <w:rPr/>
        <w:pict>
          <v:shape style="position:absolute;margin-left:61.669998pt;margin-top:72.239983pt;width:470.9pt;height:715.8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52"/>
                    <w:gridCol w:w="1622"/>
                    <w:gridCol w:w="1306"/>
                    <w:gridCol w:w="2155"/>
                    <w:gridCol w:w="3182"/>
                  </w:tblGrid>
                  <w:tr>
                    <w:trPr>
                      <w:trHeight w:val="490"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left="51" w:right="0"/>
                          <w:jc w:val="left"/>
                          <w:rPr>
                            <w:rFonts w:ascii="Times New Roman" w:hAnsi="Times New Roman" w:cs="Times New Roman" w:eastAsia="Times New Roman" w:hint="default"/>
                            <w:sz w:val="18"/>
                            <w:szCs w:val="18"/>
                          </w:rPr>
                        </w:pPr>
                        <w:r>
                          <w:rPr>
                            <w:rFonts w:ascii="Times New Roman"/>
                            <w:sz w:val="18"/>
                          </w:rPr>
                          <w:t>2010.6.1</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left="27" w:right="0"/>
                          <w:jc w:val="left"/>
                          <w:rPr>
                            <w:rFonts w:ascii="宋体" w:hAnsi="宋体" w:cs="宋体" w:eastAsia="宋体" w:hint="default"/>
                            <w:sz w:val="18"/>
                            <w:szCs w:val="18"/>
                          </w:rPr>
                        </w:pPr>
                        <w:r>
                          <w:rPr>
                            <w:rFonts w:ascii="宋体" w:hAnsi="宋体" w:cs="宋体" w:eastAsia="宋体" w:hint="default"/>
                            <w:sz w:val="18"/>
                            <w:szCs w:val="18"/>
                          </w:rPr>
                          <w:t>大成基金</w:t>
                        </w:r>
                      </w:p>
                    </w:tc>
                    <w:tc>
                      <w:tcPr>
                        <w:tcW w:w="3182"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8" w:right="91"/>
                          <w:jc w:val="left"/>
                          <w:rPr>
                            <w:rFonts w:ascii="宋体" w:hAnsi="宋体" w:cs="宋体" w:eastAsia="宋体" w:hint="default"/>
                            <w:sz w:val="18"/>
                            <w:szCs w:val="18"/>
                          </w:rPr>
                        </w:pPr>
                        <w:r>
                          <w:rPr>
                            <w:rFonts w:ascii="宋体" w:hAnsi="宋体" w:cs="宋体" w:eastAsia="宋体" w:hint="default"/>
                            <w:sz w:val="18"/>
                            <w:szCs w:val="18"/>
                          </w:rPr>
                          <w:t>了解公司上半年总体业绩增长状况及下 半年经营目标</w:t>
                        </w:r>
                      </w:p>
                    </w:tc>
                  </w:tr>
                  <w:tr>
                    <w:trPr>
                      <w:trHeight w:val="251"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51" w:right="0"/>
                          <w:jc w:val="left"/>
                          <w:rPr>
                            <w:rFonts w:ascii="Times New Roman" w:hAnsi="Times New Roman" w:cs="Times New Roman" w:eastAsia="Times New Roman" w:hint="default"/>
                            <w:sz w:val="18"/>
                            <w:szCs w:val="18"/>
                          </w:rPr>
                        </w:pPr>
                        <w:r>
                          <w:rPr>
                            <w:rFonts w:ascii="Times New Roman"/>
                            <w:sz w:val="18"/>
                          </w:rPr>
                          <w:t>2010.6.8</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27" w:right="0"/>
                          <w:jc w:val="left"/>
                          <w:rPr>
                            <w:rFonts w:ascii="Times New Roman" w:hAnsi="Times New Roman" w:cs="Times New Roman" w:eastAsia="Times New Roman" w:hint="default"/>
                            <w:sz w:val="18"/>
                            <w:szCs w:val="18"/>
                          </w:rPr>
                        </w:pPr>
                        <w:r>
                          <w:rPr>
                            <w:rFonts w:ascii="Times New Roman"/>
                            <w:sz w:val="18"/>
                          </w:rPr>
                          <w:t>APS Asset</w:t>
                        </w:r>
                        <w:r>
                          <w:rPr>
                            <w:rFonts w:ascii="Times New Roman"/>
                            <w:spacing w:val="-27"/>
                            <w:sz w:val="18"/>
                          </w:rPr>
                          <w:t> </w:t>
                        </w:r>
                        <w:r>
                          <w:rPr>
                            <w:rFonts w:ascii="Times New Roman"/>
                            <w:sz w:val="18"/>
                          </w:rPr>
                          <w:t>Management</w:t>
                        </w:r>
                      </w:p>
                    </w:tc>
                    <w:tc>
                      <w:tcPr>
                        <w:tcW w:w="3182"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进一步深入探讨公司的未来发展战略</w:t>
                        </w:r>
                      </w:p>
                    </w:tc>
                  </w:tr>
                  <w:tr>
                    <w:trPr>
                      <w:trHeight w:val="311" w:hRule="exact"/>
                    </w:trPr>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51" w:right="0"/>
                          <w:jc w:val="left"/>
                          <w:rPr>
                            <w:rFonts w:ascii="Times New Roman" w:hAnsi="Times New Roman" w:cs="Times New Roman" w:eastAsia="Times New Roman" w:hint="default"/>
                            <w:sz w:val="18"/>
                            <w:szCs w:val="18"/>
                          </w:rPr>
                        </w:pPr>
                        <w:r>
                          <w:rPr>
                            <w:rFonts w:ascii="Times New Roman"/>
                            <w:sz w:val="18"/>
                          </w:rPr>
                          <w:t>2010.6.10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8"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7" w:right="0"/>
                          <w:jc w:val="left"/>
                          <w:rPr>
                            <w:rFonts w:ascii="宋体" w:hAnsi="宋体" w:cs="宋体" w:eastAsia="宋体" w:hint="default"/>
                            <w:sz w:val="18"/>
                            <w:szCs w:val="18"/>
                          </w:rPr>
                        </w:pPr>
                        <w:r>
                          <w:rPr>
                            <w:rFonts w:ascii="宋体" w:hAnsi="宋体" w:cs="宋体" w:eastAsia="宋体" w:hint="default"/>
                            <w:sz w:val="18"/>
                            <w:szCs w:val="18"/>
                          </w:rPr>
                          <w:t>里昂证券</w:t>
                        </w:r>
                      </w:p>
                    </w:tc>
                    <w:tc>
                      <w:tcPr>
                        <w:tcW w:w="3182" w:type="dxa"/>
                        <w:tcBorders>
                          <w:top w:val="nil" w:sz="6" w:space="0" w:color="auto"/>
                          <w:left w:val="nil" w:sz="6" w:space="0" w:color="auto"/>
                          <w:bottom w:val="nil" w:sz="6" w:space="0" w:color="auto"/>
                          <w:right w:val="nil" w:sz="6" w:space="0" w:color="auto"/>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了解公司最新的经营状况以作出初步预</w:t>
                        </w:r>
                      </w:p>
                    </w:tc>
                  </w:tr>
                  <w:tr>
                    <w:trPr>
                      <w:trHeight w:val="179" w:hRule="exact"/>
                    </w:trPr>
                    <w:tc>
                      <w:tcPr>
                        <w:tcW w:w="1152" w:type="dxa"/>
                        <w:tcBorders>
                          <w:top w:val="nil" w:sz="6" w:space="0" w:color="auto"/>
                          <w:left w:val="nil" w:sz="6" w:space="0" w:color="auto"/>
                          <w:bottom w:val="single" w:sz="4" w:space="0" w:color="000000"/>
                          <w:right w:val="nil" w:sz="6" w:space="0" w:color="auto"/>
                        </w:tcBorders>
                      </w:tcPr>
                      <w:p>
                        <w:pPr/>
                      </w:p>
                    </w:tc>
                    <w:tc>
                      <w:tcPr>
                        <w:tcW w:w="1622" w:type="dxa"/>
                        <w:tcBorders>
                          <w:top w:val="nil" w:sz="6" w:space="0" w:color="auto"/>
                          <w:left w:val="nil" w:sz="6" w:space="0" w:color="auto"/>
                          <w:bottom w:val="single" w:sz="4" w:space="0" w:color="000000"/>
                          <w:right w:val="nil" w:sz="6" w:space="0" w:color="auto"/>
                        </w:tcBorders>
                      </w:tcPr>
                      <w:p>
                        <w:pPr/>
                      </w:p>
                    </w:tc>
                    <w:tc>
                      <w:tcPr>
                        <w:tcW w:w="1306" w:type="dxa"/>
                        <w:tcBorders>
                          <w:top w:val="nil" w:sz="6" w:space="0" w:color="auto"/>
                          <w:left w:val="nil" w:sz="6" w:space="0" w:color="auto"/>
                          <w:bottom w:val="single" w:sz="4" w:space="0" w:color="000000"/>
                          <w:right w:val="nil" w:sz="6" w:space="0" w:color="auto"/>
                        </w:tcBorders>
                      </w:tcPr>
                      <w:p>
                        <w:pPr/>
                      </w:p>
                    </w:tc>
                    <w:tc>
                      <w:tcPr>
                        <w:tcW w:w="2155" w:type="dxa"/>
                        <w:tcBorders>
                          <w:top w:val="nil" w:sz="6" w:space="0" w:color="auto"/>
                          <w:left w:val="nil" w:sz="6" w:space="0" w:color="auto"/>
                          <w:bottom w:val="single" w:sz="4" w:space="0" w:color="000000"/>
                          <w:right w:val="nil" w:sz="6" w:space="0" w:color="auto"/>
                        </w:tcBorders>
                      </w:tcPr>
                      <w:p>
                        <w:pPr/>
                      </w:p>
                    </w:tc>
                    <w:tc>
                      <w:tcPr>
                        <w:tcW w:w="3182" w:type="dxa"/>
                        <w:tcBorders>
                          <w:top w:val="nil" w:sz="6" w:space="0" w:color="auto"/>
                          <w:left w:val="nil" w:sz="6" w:space="0" w:color="auto"/>
                          <w:bottom w:val="single" w:sz="4" w:space="0" w:color="000000"/>
                          <w:right w:val="nil" w:sz="6" w:space="0" w:color="auto"/>
                        </w:tcBorders>
                      </w:tcPr>
                      <w:p>
                        <w:pPr>
                          <w:pStyle w:val="TableParagraph"/>
                          <w:spacing w:line="151" w:lineRule="exact"/>
                          <w:ind w:left="28" w:right="0"/>
                          <w:jc w:val="left"/>
                          <w:rPr>
                            <w:rFonts w:ascii="宋体" w:hAnsi="宋体" w:cs="宋体" w:eastAsia="宋体" w:hint="default"/>
                            <w:sz w:val="18"/>
                            <w:szCs w:val="18"/>
                          </w:rPr>
                        </w:pPr>
                        <w:r>
                          <w:rPr>
                            <w:rFonts w:ascii="宋体" w:hAnsi="宋体" w:cs="宋体" w:eastAsia="宋体" w:hint="default"/>
                            <w:sz w:val="18"/>
                            <w:szCs w:val="18"/>
                          </w:rPr>
                          <w:t>期</w:t>
                        </w:r>
                      </w:p>
                    </w:tc>
                  </w:tr>
                  <w:tr>
                    <w:trPr>
                      <w:trHeight w:val="250"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51" w:right="0"/>
                          <w:jc w:val="left"/>
                          <w:rPr>
                            <w:rFonts w:ascii="Times New Roman" w:hAnsi="Times New Roman" w:cs="Times New Roman" w:eastAsia="Times New Roman" w:hint="default"/>
                            <w:sz w:val="18"/>
                            <w:szCs w:val="18"/>
                          </w:rPr>
                        </w:pPr>
                        <w:r>
                          <w:rPr>
                            <w:rFonts w:ascii="Times New Roman"/>
                            <w:sz w:val="18"/>
                          </w:rPr>
                          <w:t>2010.6.11</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7" w:right="0"/>
                          <w:jc w:val="left"/>
                          <w:rPr>
                            <w:rFonts w:ascii="宋体" w:hAnsi="宋体" w:cs="宋体" w:eastAsia="宋体" w:hint="default"/>
                            <w:sz w:val="18"/>
                            <w:szCs w:val="18"/>
                          </w:rPr>
                        </w:pPr>
                        <w:r>
                          <w:rPr>
                            <w:rFonts w:ascii="宋体" w:hAnsi="宋体" w:cs="宋体" w:eastAsia="宋体" w:hint="default"/>
                            <w:sz w:val="18"/>
                            <w:szCs w:val="18"/>
                          </w:rPr>
                          <w:t>霸菱资产</w:t>
                        </w:r>
                      </w:p>
                    </w:tc>
                    <w:tc>
                      <w:tcPr>
                        <w:tcW w:w="3182"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了解公司的基本面情况</w:t>
                        </w:r>
                      </w:p>
                    </w:tc>
                  </w:tr>
                  <w:tr>
                    <w:trPr>
                      <w:trHeight w:val="251"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51" w:right="0"/>
                          <w:jc w:val="left"/>
                          <w:rPr>
                            <w:rFonts w:ascii="Times New Roman" w:hAnsi="Times New Roman" w:cs="Times New Roman" w:eastAsia="Times New Roman" w:hint="default"/>
                            <w:sz w:val="18"/>
                            <w:szCs w:val="18"/>
                          </w:rPr>
                        </w:pPr>
                        <w:r>
                          <w:rPr>
                            <w:rFonts w:ascii="Times New Roman"/>
                            <w:sz w:val="18"/>
                          </w:rPr>
                          <w:t>2010.6.17</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27" w:right="0"/>
                          <w:jc w:val="left"/>
                          <w:rPr>
                            <w:rFonts w:ascii="Times New Roman" w:hAnsi="Times New Roman" w:cs="Times New Roman" w:eastAsia="Times New Roman" w:hint="default"/>
                            <w:sz w:val="18"/>
                            <w:szCs w:val="18"/>
                          </w:rPr>
                        </w:pPr>
                        <w:r>
                          <w:rPr>
                            <w:rFonts w:ascii="Times New Roman"/>
                            <w:sz w:val="18"/>
                          </w:rPr>
                          <w:t>Kingdon</w:t>
                        </w:r>
                        <w:r>
                          <w:rPr>
                            <w:rFonts w:ascii="Times New Roman"/>
                            <w:spacing w:val="-13"/>
                            <w:sz w:val="18"/>
                          </w:rPr>
                          <w:t> </w:t>
                        </w:r>
                        <w:r>
                          <w:rPr>
                            <w:rFonts w:ascii="Times New Roman"/>
                            <w:sz w:val="18"/>
                          </w:rPr>
                          <w:t>Capital</w:t>
                        </w:r>
                      </w:p>
                    </w:tc>
                    <w:tc>
                      <w:tcPr>
                        <w:tcW w:w="3182"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了解公司最新的经营发展状况</w:t>
                        </w:r>
                      </w:p>
                    </w:tc>
                  </w:tr>
                  <w:tr>
                    <w:trPr>
                      <w:trHeight w:val="250"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51" w:right="0"/>
                          <w:jc w:val="left"/>
                          <w:rPr>
                            <w:rFonts w:ascii="Times New Roman" w:hAnsi="Times New Roman" w:cs="Times New Roman" w:eastAsia="Times New Roman" w:hint="default"/>
                            <w:sz w:val="18"/>
                            <w:szCs w:val="18"/>
                          </w:rPr>
                        </w:pPr>
                        <w:r>
                          <w:rPr>
                            <w:rFonts w:ascii="Times New Roman"/>
                            <w:sz w:val="18"/>
                          </w:rPr>
                          <w:t>2010.6.19</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27" w:right="0"/>
                          <w:jc w:val="left"/>
                          <w:rPr>
                            <w:rFonts w:ascii="Times New Roman" w:hAnsi="Times New Roman" w:cs="Times New Roman" w:eastAsia="Times New Roman" w:hint="default"/>
                            <w:sz w:val="18"/>
                            <w:szCs w:val="18"/>
                          </w:rPr>
                        </w:pPr>
                        <w:r>
                          <w:rPr>
                            <w:rFonts w:ascii="Times New Roman"/>
                            <w:sz w:val="18"/>
                          </w:rPr>
                          <w:t>Kylin</w:t>
                        </w:r>
                        <w:r>
                          <w:rPr>
                            <w:rFonts w:ascii="Times New Roman"/>
                            <w:spacing w:val="-3"/>
                            <w:sz w:val="18"/>
                          </w:rPr>
                          <w:t> </w:t>
                        </w:r>
                        <w:r>
                          <w:rPr>
                            <w:rFonts w:ascii="Times New Roman"/>
                            <w:sz w:val="18"/>
                          </w:rPr>
                          <w:t>Capital</w:t>
                        </w:r>
                      </w:p>
                    </w:tc>
                    <w:tc>
                      <w:tcPr>
                        <w:tcW w:w="3182"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了解北京地区主要门店的销售情况</w:t>
                        </w:r>
                      </w:p>
                    </w:tc>
                  </w:tr>
                  <w:tr>
                    <w:trPr>
                      <w:trHeight w:val="250"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51" w:right="0"/>
                          <w:jc w:val="left"/>
                          <w:rPr>
                            <w:rFonts w:ascii="Times New Roman" w:hAnsi="Times New Roman" w:cs="Times New Roman" w:eastAsia="Times New Roman" w:hint="default"/>
                            <w:sz w:val="18"/>
                            <w:szCs w:val="18"/>
                          </w:rPr>
                        </w:pPr>
                        <w:r>
                          <w:rPr>
                            <w:rFonts w:ascii="Times New Roman"/>
                            <w:sz w:val="18"/>
                          </w:rPr>
                          <w:t>2010.6.20</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7" w:right="0"/>
                          <w:jc w:val="left"/>
                          <w:rPr>
                            <w:rFonts w:ascii="宋体" w:hAnsi="宋体" w:cs="宋体" w:eastAsia="宋体" w:hint="default"/>
                            <w:sz w:val="18"/>
                            <w:szCs w:val="18"/>
                          </w:rPr>
                        </w:pPr>
                        <w:r>
                          <w:rPr>
                            <w:rFonts w:ascii="宋体" w:hAnsi="宋体" w:cs="宋体" w:eastAsia="宋体" w:hint="default"/>
                            <w:sz w:val="18"/>
                            <w:szCs w:val="18"/>
                          </w:rPr>
                          <w:t>大华资产管理公司</w:t>
                        </w:r>
                      </w:p>
                    </w:tc>
                    <w:tc>
                      <w:tcPr>
                        <w:tcW w:w="3182"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了解上海地区主要门店的销售情况</w:t>
                        </w:r>
                      </w:p>
                    </w:tc>
                  </w:tr>
                  <w:tr>
                    <w:trPr>
                      <w:trHeight w:val="251"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51" w:right="0"/>
                          <w:jc w:val="left"/>
                          <w:rPr>
                            <w:rFonts w:ascii="Times New Roman" w:hAnsi="Times New Roman" w:cs="Times New Roman" w:eastAsia="Times New Roman" w:hint="default"/>
                            <w:sz w:val="18"/>
                            <w:szCs w:val="18"/>
                          </w:rPr>
                        </w:pPr>
                        <w:r>
                          <w:rPr>
                            <w:rFonts w:ascii="Times New Roman"/>
                            <w:sz w:val="18"/>
                          </w:rPr>
                          <w:t>2010.6.23</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27" w:right="0"/>
                          <w:jc w:val="left"/>
                          <w:rPr>
                            <w:rFonts w:ascii="Times New Roman" w:hAnsi="Times New Roman" w:cs="Times New Roman" w:eastAsia="Times New Roman" w:hint="default"/>
                            <w:sz w:val="18"/>
                            <w:szCs w:val="18"/>
                          </w:rPr>
                        </w:pPr>
                        <w:r>
                          <w:rPr>
                            <w:rFonts w:ascii="Times New Roman"/>
                            <w:sz w:val="18"/>
                          </w:rPr>
                          <w:t>ISI</w:t>
                        </w:r>
                        <w:r>
                          <w:rPr>
                            <w:rFonts w:ascii="Times New Roman"/>
                            <w:spacing w:val="-7"/>
                            <w:sz w:val="18"/>
                          </w:rPr>
                          <w:t> </w:t>
                        </w:r>
                        <w:r>
                          <w:rPr>
                            <w:rFonts w:ascii="Times New Roman"/>
                            <w:sz w:val="18"/>
                          </w:rPr>
                          <w:t>Group</w:t>
                        </w:r>
                      </w:p>
                    </w:tc>
                    <w:tc>
                      <w:tcPr>
                        <w:tcW w:w="3182"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了解上海地区主要门店的销售情况</w:t>
                        </w:r>
                      </w:p>
                    </w:tc>
                  </w:tr>
                  <w:tr>
                    <w:trPr>
                      <w:trHeight w:val="250"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51" w:right="0"/>
                          <w:jc w:val="left"/>
                          <w:rPr>
                            <w:rFonts w:ascii="Times New Roman" w:hAnsi="Times New Roman" w:cs="Times New Roman" w:eastAsia="Times New Roman" w:hint="default"/>
                            <w:sz w:val="18"/>
                            <w:szCs w:val="18"/>
                          </w:rPr>
                        </w:pPr>
                        <w:r>
                          <w:rPr>
                            <w:rFonts w:ascii="Times New Roman"/>
                            <w:sz w:val="18"/>
                          </w:rPr>
                          <w:t>2010.6.24</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27" w:right="0"/>
                          <w:jc w:val="left"/>
                          <w:rPr>
                            <w:rFonts w:ascii="Times New Roman" w:hAnsi="Times New Roman" w:cs="Times New Roman" w:eastAsia="Times New Roman" w:hint="default"/>
                            <w:sz w:val="18"/>
                            <w:szCs w:val="18"/>
                          </w:rPr>
                        </w:pPr>
                        <w:r>
                          <w:rPr>
                            <w:rFonts w:ascii="Times New Roman"/>
                            <w:sz w:val="18"/>
                          </w:rPr>
                          <w:t>Kylin</w:t>
                        </w:r>
                        <w:r>
                          <w:rPr>
                            <w:rFonts w:ascii="Times New Roman"/>
                            <w:spacing w:val="-3"/>
                            <w:sz w:val="18"/>
                          </w:rPr>
                          <w:t> </w:t>
                        </w:r>
                        <w:r>
                          <w:rPr>
                            <w:rFonts w:ascii="Times New Roman"/>
                            <w:sz w:val="18"/>
                          </w:rPr>
                          <w:t>Capital</w:t>
                        </w:r>
                      </w:p>
                    </w:tc>
                    <w:tc>
                      <w:tcPr>
                        <w:tcW w:w="3182"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了解上海地区主要门店的销售情况</w:t>
                        </w:r>
                      </w:p>
                    </w:tc>
                  </w:tr>
                  <w:tr>
                    <w:trPr>
                      <w:trHeight w:val="250"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51" w:right="0"/>
                          <w:jc w:val="left"/>
                          <w:rPr>
                            <w:rFonts w:ascii="Times New Roman" w:hAnsi="Times New Roman" w:cs="Times New Roman" w:eastAsia="Times New Roman" w:hint="default"/>
                            <w:sz w:val="18"/>
                            <w:szCs w:val="18"/>
                          </w:rPr>
                        </w:pPr>
                        <w:r>
                          <w:rPr>
                            <w:rFonts w:ascii="Times New Roman"/>
                            <w:sz w:val="18"/>
                          </w:rPr>
                          <w:t>2010.6.23</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7" w:right="0"/>
                          <w:jc w:val="left"/>
                          <w:rPr>
                            <w:rFonts w:ascii="宋体" w:hAnsi="宋体" w:cs="宋体" w:eastAsia="宋体" w:hint="default"/>
                            <w:sz w:val="18"/>
                            <w:szCs w:val="18"/>
                          </w:rPr>
                        </w:pPr>
                        <w:r>
                          <w:rPr>
                            <w:rFonts w:ascii="宋体" w:hAnsi="宋体" w:cs="宋体" w:eastAsia="宋体" w:hint="default"/>
                            <w:sz w:val="18"/>
                            <w:szCs w:val="18"/>
                          </w:rPr>
                          <w:t>华岩资本、湧金资产</w:t>
                        </w:r>
                      </w:p>
                    </w:tc>
                    <w:tc>
                      <w:tcPr>
                        <w:tcW w:w="3182"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了解公司的基本面情况</w:t>
                        </w:r>
                      </w:p>
                    </w:tc>
                  </w:tr>
                  <w:tr>
                    <w:trPr>
                      <w:trHeight w:val="251"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51" w:right="0"/>
                          <w:jc w:val="left"/>
                          <w:rPr>
                            <w:rFonts w:ascii="Times New Roman" w:hAnsi="Times New Roman" w:cs="Times New Roman" w:eastAsia="Times New Roman" w:hint="default"/>
                            <w:sz w:val="18"/>
                            <w:szCs w:val="18"/>
                          </w:rPr>
                        </w:pPr>
                        <w:r>
                          <w:rPr>
                            <w:rFonts w:ascii="Times New Roman"/>
                            <w:sz w:val="18"/>
                          </w:rPr>
                          <w:t>2010.6.29</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nil" w:sz="6" w:space="0" w:color="auto"/>
                          <w:bottom w:val="single" w:sz="4" w:space="0" w:color="000000"/>
                          <w:right w:val="nil" w:sz="6" w:space="0" w:color="auto"/>
                        </w:tcBorders>
                      </w:tcPr>
                      <w:p>
                        <w:pPr>
                          <w:pStyle w:val="TableParagraph"/>
                          <w:spacing w:line="221" w:lineRule="exact"/>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美国</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ACQ</w:t>
                        </w:r>
                      </w:p>
                    </w:tc>
                    <w:tc>
                      <w:tcPr>
                        <w:tcW w:w="3182"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了解南京地区主要门店的销售情况</w:t>
                        </w:r>
                      </w:p>
                    </w:tc>
                  </w:tr>
                  <w:tr>
                    <w:trPr>
                      <w:trHeight w:val="250"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51" w:right="0"/>
                          <w:jc w:val="left"/>
                          <w:rPr>
                            <w:rFonts w:ascii="Times New Roman" w:hAnsi="Times New Roman" w:cs="Times New Roman" w:eastAsia="Times New Roman" w:hint="default"/>
                            <w:sz w:val="18"/>
                            <w:szCs w:val="18"/>
                          </w:rPr>
                        </w:pPr>
                        <w:r>
                          <w:rPr>
                            <w:rFonts w:ascii="Times New Roman"/>
                            <w:sz w:val="18"/>
                          </w:rPr>
                          <w:t>2010.6.30</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29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2155"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7" w:right="0"/>
                          <w:jc w:val="left"/>
                          <w:rPr>
                            <w:rFonts w:ascii="宋体" w:hAnsi="宋体" w:cs="宋体" w:eastAsia="宋体" w:hint="default"/>
                            <w:sz w:val="18"/>
                            <w:szCs w:val="18"/>
                          </w:rPr>
                        </w:pPr>
                        <w:r>
                          <w:rPr>
                            <w:rFonts w:ascii="宋体" w:hAnsi="宋体" w:cs="宋体" w:eastAsia="宋体" w:hint="default"/>
                            <w:sz w:val="18"/>
                            <w:szCs w:val="18"/>
                          </w:rPr>
                          <w:t>德盛安联基金</w:t>
                        </w:r>
                      </w:p>
                    </w:tc>
                    <w:tc>
                      <w:tcPr>
                        <w:tcW w:w="3182"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了解公司下半年发展规划</w:t>
                        </w:r>
                      </w:p>
                    </w:tc>
                  </w:tr>
                  <w:tr>
                    <w:trPr>
                      <w:trHeight w:val="250"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51" w:right="0"/>
                          <w:jc w:val="left"/>
                          <w:rPr>
                            <w:rFonts w:ascii="Times New Roman" w:hAnsi="Times New Roman" w:cs="Times New Roman" w:eastAsia="Times New Roman" w:hint="default"/>
                            <w:sz w:val="18"/>
                            <w:szCs w:val="18"/>
                          </w:rPr>
                        </w:pPr>
                        <w:r>
                          <w:rPr>
                            <w:rFonts w:ascii="Times New Roman"/>
                            <w:sz w:val="18"/>
                          </w:rPr>
                          <w:t>2010.7.7</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29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215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27" w:right="0"/>
                          <w:jc w:val="left"/>
                          <w:rPr>
                            <w:rFonts w:ascii="Times New Roman" w:hAnsi="Times New Roman" w:cs="Times New Roman" w:eastAsia="Times New Roman" w:hint="default"/>
                            <w:sz w:val="18"/>
                            <w:szCs w:val="18"/>
                          </w:rPr>
                        </w:pPr>
                        <w:r>
                          <w:rPr>
                            <w:rFonts w:ascii="Times New Roman"/>
                            <w:sz w:val="18"/>
                          </w:rPr>
                          <w:t>Matrix</w:t>
                        </w:r>
                        <w:r>
                          <w:rPr>
                            <w:rFonts w:ascii="Times New Roman"/>
                            <w:spacing w:val="-1"/>
                            <w:sz w:val="18"/>
                          </w:rPr>
                          <w:t> </w:t>
                        </w:r>
                        <w:r>
                          <w:rPr>
                            <w:rFonts w:ascii="Times New Roman"/>
                            <w:sz w:val="18"/>
                          </w:rPr>
                          <w:t>group</w:t>
                        </w:r>
                      </w:p>
                    </w:tc>
                    <w:tc>
                      <w:tcPr>
                        <w:tcW w:w="3182"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深入了解公司上半年业绩情况</w:t>
                        </w:r>
                      </w:p>
                    </w:tc>
                  </w:tr>
                  <w:tr>
                    <w:trPr>
                      <w:trHeight w:val="222" w:hRule="exact"/>
                    </w:trPr>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51" w:right="0"/>
                          <w:jc w:val="left"/>
                          <w:rPr>
                            <w:rFonts w:ascii="Times New Roman" w:hAnsi="Times New Roman" w:cs="Times New Roman" w:eastAsia="Times New Roman" w:hint="default"/>
                            <w:sz w:val="18"/>
                            <w:szCs w:val="18"/>
                          </w:rPr>
                        </w:pPr>
                        <w:r>
                          <w:rPr>
                            <w:rFonts w:ascii="Times New Roman"/>
                            <w:sz w:val="18"/>
                          </w:rPr>
                          <w:t>2010.7.9</w:t>
                        </w:r>
                      </w:p>
                    </w:tc>
                    <w:tc>
                      <w:tcPr>
                        <w:tcW w:w="1622" w:type="dxa"/>
                        <w:tcBorders>
                          <w:top w:val="single" w:sz="4" w:space="0" w:color="000000"/>
                          <w:left w:val="nil" w:sz="6" w:space="0" w:color="auto"/>
                          <w:bottom w:val="nil" w:sz="6" w:space="0" w:color="auto"/>
                          <w:right w:val="nil" w:sz="6" w:space="0" w:color="auto"/>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nil" w:sz="6" w:space="0" w:color="auto"/>
                          <w:bottom w:val="nil" w:sz="6" w:space="0" w:color="auto"/>
                          <w:right w:val="nil" w:sz="6" w:space="0" w:color="auto"/>
                        </w:tcBorders>
                      </w:tcPr>
                      <w:p>
                        <w:pPr>
                          <w:pStyle w:val="TableParagraph"/>
                          <w:spacing w:line="208" w:lineRule="exact"/>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nil" w:sz="6" w:space="0" w:color="auto"/>
                          <w:bottom w:val="nil" w:sz="6" w:space="0" w:color="auto"/>
                          <w:right w:val="nil" w:sz="6" w:space="0" w:color="auto"/>
                        </w:tcBorders>
                      </w:tcPr>
                      <w:p>
                        <w:pPr>
                          <w:pStyle w:val="TableParagraph"/>
                          <w:spacing w:line="208" w:lineRule="exact"/>
                          <w:ind w:left="27" w:right="0"/>
                          <w:jc w:val="left"/>
                          <w:rPr>
                            <w:rFonts w:ascii="宋体" w:hAnsi="宋体" w:cs="宋体" w:eastAsia="宋体" w:hint="default"/>
                            <w:sz w:val="18"/>
                            <w:szCs w:val="18"/>
                          </w:rPr>
                        </w:pPr>
                        <w:r>
                          <w:rPr>
                            <w:rFonts w:ascii="宋体" w:hAnsi="宋体" w:cs="宋体" w:eastAsia="宋体" w:hint="default"/>
                            <w:sz w:val="18"/>
                            <w:szCs w:val="18"/>
                          </w:rPr>
                          <w:t>光大证券</w:t>
                        </w:r>
                      </w:p>
                    </w:tc>
                    <w:tc>
                      <w:tcPr>
                        <w:tcW w:w="3182" w:type="dxa"/>
                        <w:tcBorders>
                          <w:top w:val="single" w:sz="4" w:space="0" w:color="000000"/>
                          <w:left w:val="nil" w:sz="6" w:space="0" w:color="auto"/>
                          <w:bottom w:val="nil" w:sz="6" w:space="0" w:color="auto"/>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了解公司空调旺销备货情况及促销政策</w:t>
                        </w:r>
                      </w:p>
                    </w:tc>
                  </w:tr>
                  <w:tr>
                    <w:trPr>
                      <w:trHeight w:val="1697" w:hRule="exact"/>
                    </w:trPr>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1" w:right="0"/>
                          <w:jc w:val="left"/>
                          <w:rPr>
                            <w:rFonts w:ascii="Times New Roman" w:hAnsi="Times New Roman" w:cs="Times New Roman" w:eastAsia="Times New Roman" w:hint="default"/>
                            <w:sz w:val="18"/>
                            <w:szCs w:val="18"/>
                          </w:rPr>
                        </w:pPr>
                        <w:r>
                          <w:rPr>
                            <w:rFonts w:ascii="Times New Roman"/>
                            <w:sz w:val="18"/>
                          </w:rPr>
                          <w:t>2010.7.9</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8" w:right="25"/>
                          <w:jc w:val="left"/>
                          <w:rPr>
                            <w:rFonts w:ascii="宋体" w:hAnsi="宋体" w:cs="宋体" w:eastAsia="宋体" w:hint="default"/>
                            <w:sz w:val="18"/>
                            <w:szCs w:val="18"/>
                          </w:rPr>
                        </w:pPr>
                        <w:r>
                          <w:rPr>
                            <w:rFonts w:ascii="宋体" w:hAnsi="宋体" w:cs="宋体" w:eastAsia="宋体" w:hint="default"/>
                            <w:spacing w:val="-6"/>
                            <w:sz w:val="18"/>
                            <w:szCs w:val="18"/>
                          </w:rPr>
                          <w:t>公司会议室、分公司</w:t>
                        </w:r>
                        <w:r>
                          <w:rPr>
                            <w:rFonts w:ascii="宋体" w:hAnsi="宋体" w:cs="宋体" w:eastAsia="宋体" w:hint="default"/>
                            <w:sz w:val="18"/>
                            <w:szCs w:val="18"/>
                          </w:rPr>
                          <w:t> 门店</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53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27" w:right="3148"/>
                          <w:jc w:val="left"/>
                          <w:rPr>
                            <w:rFonts w:ascii="宋体" w:hAnsi="宋体" w:cs="宋体" w:eastAsia="宋体" w:hint="default"/>
                            <w:sz w:val="18"/>
                            <w:szCs w:val="18"/>
                          </w:rPr>
                        </w:pPr>
                        <w:r>
                          <w:rPr>
                            <w:rFonts w:ascii="宋体" w:hAnsi="宋体" w:cs="宋体" w:eastAsia="宋体" w:hint="default"/>
                            <w:sz w:val="18"/>
                            <w:szCs w:val="18"/>
                          </w:rPr>
                          <w:t>南方基金、兴业全球基金、 </w:t>
                        </w:r>
                        <w:r>
                          <w:rPr>
                            <w:rFonts w:ascii="宋体" w:hAnsi="宋体" w:cs="宋体" w:eastAsia="宋体" w:hint="default"/>
                            <w:spacing w:val="-5"/>
                            <w:sz w:val="18"/>
                            <w:szCs w:val="18"/>
                          </w:rPr>
                          <w:t>国海富兰克林基金、交银施</w:t>
                        </w:r>
                        <w:r>
                          <w:rPr>
                            <w:rFonts w:ascii="宋体" w:hAnsi="宋体" w:cs="宋体" w:eastAsia="宋体" w:hint="default"/>
                            <w:sz w:val="18"/>
                            <w:szCs w:val="18"/>
                          </w:rPr>
                          <w:t> 罗德基金、哥伦比亚基金、</w:t>
                        </w:r>
                      </w:p>
                      <w:p>
                        <w:pPr>
                          <w:pStyle w:val="TableParagraph"/>
                          <w:spacing w:line="228" w:lineRule="exact" w:before="32"/>
                          <w:ind w:left="27" w:right="21"/>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BEA</w:t>
                        </w:r>
                        <w:r>
                          <w:rPr>
                            <w:rFonts w:ascii="宋体" w:hAnsi="宋体" w:cs="宋体" w:eastAsia="宋体" w:hint="default"/>
                            <w:position w:val="1"/>
                            <w:sz w:val="18"/>
                            <w:szCs w:val="18"/>
                          </w:rPr>
                          <w:t>、</w:t>
                        </w:r>
                        <w:r>
                          <w:rPr>
                            <w:rFonts w:ascii="Times New Roman" w:hAnsi="Times New Roman" w:cs="Times New Roman" w:eastAsia="Times New Roman" w:hint="default"/>
                            <w:position w:val="1"/>
                            <w:sz w:val="18"/>
                            <w:szCs w:val="18"/>
                          </w:rPr>
                          <w:t>Martin Currie</w:t>
                        </w:r>
                        <w:r>
                          <w:rPr>
                            <w:rFonts w:ascii="宋体" w:hAnsi="宋体" w:cs="宋体" w:eastAsia="宋体" w:hint="default"/>
                            <w:position w:val="1"/>
                            <w:sz w:val="18"/>
                            <w:szCs w:val="18"/>
                          </w:rPr>
                          <w:t>、银华</w:t>
                        </w:r>
                        <w:r>
                          <w:rPr>
                            <w:rFonts w:ascii="宋体" w:hAnsi="宋体" w:cs="宋体" w:eastAsia="宋体" w:hint="default"/>
                            <w:spacing w:val="-52"/>
                            <w:position w:val="1"/>
                            <w:sz w:val="18"/>
                            <w:szCs w:val="18"/>
                          </w:rPr>
                          <w:t> </w:t>
                        </w:r>
                        <w:r>
                          <w:rPr>
                            <w:rFonts w:ascii="宋体" w:hAnsi="宋体" w:cs="宋体" w:eastAsia="宋体" w:hint="default"/>
                            <w:spacing w:val="3"/>
                            <w:sz w:val="18"/>
                            <w:szCs w:val="18"/>
                          </w:rPr>
                          <w:t>了解公司半年度业绩状况及下半年发展</w:t>
                        </w:r>
                        <w:r>
                          <w:rPr>
                            <w:rFonts w:ascii="宋体" w:hAnsi="宋体" w:cs="宋体" w:eastAsia="宋体" w:hint="default"/>
                            <w:spacing w:val="3"/>
                            <w:w w:val="99"/>
                            <w:sz w:val="18"/>
                            <w:szCs w:val="18"/>
                          </w:rPr>
                          <w:t> </w:t>
                        </w:r>
                        <w:r>
                          <w:rPr>
                            <w:rFonts w:ascii="宋体" w:hAnsi="宋体" w:cs="宋体" w:eastAsia="宋体" w:hint="default"/>
                            <w:spacing w:val="-15"/>
                            <w:w w:val="99"/>
                            <w:sz w:val="18"/>
                            <w:szCs w:val="18"/>
                          </w:rPr>
                          <w:t>基金、中金公司、长盛基金、</w:t>
                        </w:r>
                        <w:r>
                          <w:rPr>
                            <w:rFonts w:ascii="宋体" w:hAnsi="宋体" w:cs="宋体" w:eastAsia="宋体" w:hint="default"/>
                            <w:sz w:val="18"/>
                            <w:szCs w:val="18"/>
                          </w:rPr>
                        </w:r>
                      </w:p>
                      <w:p>
                        <w:pPr>
                          <w:pStyle w:val="TableParagraph"/>
                          <w:spacing w:line="234" w:lineRule="exact" w:before="1"/>
                          <w:ind w:left="27" w:right="3119"/>
                          <w:jc w:val="left"/>
                          <w:rPr>
                            <w:rFonts w:ascii="宋体" w:hAnsi="宋体" w:cs="宋体" w:eastAsia="宋体" w:hint="default"/>
                            <w:sz w:val="18"/>
                            <w:szCs w:val="18"/>
                          </w:rPr>
                        </w:pPr>
                        <w:r>
                          <w:rPr>
                            <w:rFonts w:ascii="宋体" w:hAnsi="宋体" w:cs="宋体" w:eastAsia="宋体" w:hint="default"/>
                            <w:spacing w:val="-5"/>
                            <w:sz w:val="18"/>
                            <w:szCs w:val="18"/>
                          </w:rPr>
                          <w:t>东方基金、泰达基金、定成</w:t>
                        </w:r>
                        <w:r>
                          <w:rPr>
                            <w:rFonts w:ascii="宋体" w:hAnsi="宋体" w:cs="宋体" w:eastAsia="宋体" w:hint="default"/>
                            <w:sz w:val="18"/>
                            <w:szCs w:val="18"/>
                          </w:rPr>
                          <w:t> </w:t>
                        </w:r>
                        <w:r>
                          <w:rPr>
                            <w:rFonts w:ascii="宋体" w:hAnsi="宋体" w:cs="宋体" w:eastAsia="宋体" w:hint="default"/>
                            <w:spacing w:val="-12"/>
                            <w:sz w:val="18"/>
                            <w:szCs w:val="18"/>
                          </w:rPr>
                          <w:t>基金、国泰基金、英成投资、</w:t>
                        </w:r>
                      </w:p>
                    </w:tc>
                  </w:tr>
                  <w:tr>
                    <w:trPr>
                      <w:trHeight w:val="213" w:hRule="exact"/>
                    </w:trPr>
                    <w:tc>
                      <w:tcPr>
                        <w:tcW w:w="1152" w:type="dxa"/>
                        <w:tcBorders>
                          <w:top w:val="nil" w:sz="6" w:space="0" w:color="auto"/>
                          <w:left w:val="nil" w:sz="6" w:space="0" w:color="auto"/>
                          <w:bottom w:val="single" w:sz="4" w:space="0" w:color="000000"/>
                          <w:right w:val="nil" w:sz="6" w:space="0" w:color="auto"/>
                        </w:tcBorders>
                      </w:tcPr>
                      <w:p>
                        <w:pPr/>
                      </w:p>
                    </w:tc>
                    <w:tc>
                      <w:tcPr>
                        <w:tcW w:w="1622" w:type="dxa"/>
                        <w:tcBorders>
                          <w:top w:val="nil" w:sz="6" w:space="0" w:color="auto"/>
                          <w:left w:val="nil" w:sz="6" w:space="0" w:color="auto"/>
                          <w:bottom w:val="single" w:sz="4" w:space="0" w:color="000000"/>
                          <w:right w:val="nil" w:sz="6" w:space="0" w:color="auto"/>
                        </w:tcBorders>
                      </w:tcPr>
                      <w:p>
                        <w:pPr/>
                      </w:p>
                    </w:tc>
                    <w:tc>
                      <w:tcPr>
                        <w:tcW w:w="1306" w:type="dxa"/>
                        <w:tcBorders>
                          <w:top w:val="nil" w:sz="6" w:space="0" w:color="auto"/>
                          <w:left w:val="nil" w:sz="6" w:space="0" w:color="auto"/>
                          <w:bottom w:val="single" w:sz="4" w:space="0" w:color="000000"/>
                          <w:right w:val="nil" w:sz="6" w:space="0" w:color="auto"/>
                        </w:tcBorders>
                      </w:tcPr>
                      <w:p>
                        <w:pPr/>
                      </w:p>
                    </w:tc>
                    <w:tc>
                      <w:tcPr>
                        <w:tcW w:w="5338" w:type="dxa"/>
                        <w:gridSpan w:val="2"/>
                        <w:tcBorders>
                          <w:top w:val="nil" w:sz="6" w:space="0" w:color="auto"/>
                          <w:left w:val="nil" w:sz="6" w:space="0" w:color="auto"/>
                          <w:bottom w:val="single" w:sz="4" w:space="0" w:color="000000"/>
                          <w:right w:val="nil" w:sz="6" w:space="0" w:color="auto"/>
                        </w:tcBorders>
                      </w:tcPr>
                      <w:p>
                        <w:pPr>
                          <w:pStyle w:val="TableParagraph"/>
                          <w:spacing w:line="180" w:lineRule="exact"/>
                          <w:ind w:left="27" w:right="0"/>
                          <w:jc w:val="left"/>
                          <w:rPr>
                            <w:rFonts w:ascii="宋体" w:hAnsi="宋体" w:cs="宋体" w:eastAsia="宋体" w:hint="default"/>
                            <w:sz w:val="18"/>
                            <w:szCs w:val="18"/>
                          </w:rPr>
                        </w:pPr>
                        <w:r>
                          <w:rPr>
                            <w:rFonts w:ascii="宋体" w:hAnsi="宋体" w:cs="宋体" w:eastAsia="宋体" w:hint="default"/>
                            <w:sz w:val="18"/>
                            <w:szCs w:val="18"/>
                          </w:rPr>
                          <w:t>博时基金等</w:t>
                        </w:r>
                      </w:p>
                    </w:tc>
                  </w:tr>
                  <w:tr>
                    <w:trPr>
                      <w:trHeight w:val="250"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51" w:right="0"/>
                          <w:jc w:val="left"/>
                          <w:rPr>
                            <w:rFonts w:ascii="Times New Roman" w:hAnsi="Times New Roman" w:cs="Times New Roman" w:eastAsia="Times New Roman" w:hint="default"/>
                            <w:sz w:val="18"/>
                            <w:szCs w:val="18"/>
                          </w:rPr>
                        </w:pPr>
                        <w:r>
                          <w:rPr>
                            <w:rFonts w:ascii="Times New Roman"/>
                            <w:sz w:val="18"/>
                          </w:rPr>
                          <w:t>2010.7.9</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5338" w:type="dxa"/>
                        <w:gridSpan w:val="2"/>
                        <w:tcBorders>
                          <w:top w:val="single" w:sz="4" w:space="0" w:color="000000"/>
                          <w:left w:val="nil" w:sz="6" w:space="0" w:color="auto"/>
                          <w:bottom w:val="single" w:sz="4" w:space="0" w:color="000000"/>
                          <w:right w:val="nil" w:sz="6" w:space="0" w:color="auto"/>
                        </w:tcBorders>
                      </w:tcPr>
                      <w:p>
                        <w:pPr>
                          <w:pStyle w:val="TableParagraph"/>
                          <w:tabs>
                            <w:tab w:pos="2183" w:val="left" w:leader="none"/>
                          </w:tabs>
                          <w:spacing w:line="217" w:lineRule="exact"/>
                          <w:ind w:left="27" w:right="0"/>
                          <w:jc w:val="left"/>
                          <w:rPr>
                            <w:rFonts w:ascii="宋体" w:hAnsi="宋体" w:cs="宋体" w:eastAsia="宋体" w:hint="default"/>
                            <w:sz w:val="18"/>
                            <w:szCs w:val="18"/>
                          </w:rPr>
                        </w:pPr>
                        <w:r>
                          <w:rPr>
                            <w:rFonts w:ascii="宋体" w:hAnsi="宋体" w:cs="宋体" w:eastAsia="宋体" w:hint="default"/>
                            <w:position w:val="1"/>
                            <w:sz w:val="18"/>
                            <w:szCs w:val="18"/>
                          </w:rPr>
                          <w:t>百仕通集团、中投公司</w:t>
                          <w:tab/>
                        </w:r>
                        <w:r>
                          <w:rPr>
                            <w:rFonts w:ascii="宋体" w:hAnsi="宋体" w:cs="宋体" w:eastAsia="宋体" w:hint="default"/>
                            <w:sz w:val="18"/>
                            <w:szCs w:val="18"/>
                          </w:rPr>
                          <w:t>了解公司基本面情况及物流基地规划</w:t>
                        </w:r>
                      </w:p>
                    </w:tc>
                  </w:tr>
                  <w:tr>
                    <w:trPr>
                      <w:trHeight w:val="491"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left="51" w:right="0"/>
                          <w:jc w:val="left"/>
                          <w:rPr>
                            <w:rFonts w:ascii="Times New Roman" w:hAnsi="Times New Roman" w:cs="Times New Roman" w:eastAsia="Times New Roman" w:hint="default"/>
                            <w:sz w:val="18"/>
                            <w:szCs w:val="18"/>
                          </w:rPr>
                        </w:pPr>
                        <w:r>
                          <w:rPr>
                            <w:rFonts w:ascii="Times New Roman"/>
                            <w:sz w:val="18"/>
                          </w:rPr>
                          <w:t>2010.7.11</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29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5338" w:type="dxa"/>
                        <w:gridSpan w:val="2"/>
                        <w:tcBorders>
                          <w:top w:val="single" w:sz="4" w:space="0" w:color="000000"/>
                          <w:left w:val="nil" w:sz="6" w:space="0" w:color="auto"/>
                          <w:bottom w:val="single" w:sz="4" w:space="0" w:color="000000"/>
                          <w:right w:val="nil" w:sz="6" w:space="0" w:color="auto"/>
                        </w:tcBorders>
                      </w:tcPr>
                      <w:p>
                        <w:pPr>
                          <w:pStyle w:val="TableParagraph"/>
                          <w:tabs>
                            <w:tab w:pos="2183" w:val="left" w:leader="none"/>
                          </w:tabs>
                          <w:spacing w:line="327" w:lineRule="exact"/>
                          <w:ind w:left="27" w:right="0"/>
                          <w:jc w:val="left"/>
                          <w:rPr>
                            <w:rFonts w:ascii="宋体" w:hAnsi="宋体" w:cs="宋体" w:eastAsia="宋体" w:hint="default"/>
                            <w:sz w:val="18"/>
                            <w:szCs w:val="18"/>
                          </w:rPr>
                        </w:pPr>
                        <w:r>
                          <w:rPr>
                            <w:rFonts w:ascii="宋体" w:hAnsi="宋体" w:cs="宋体" w:eastAsia="宋体" w:hint="default"/>
                            <w:position w:val="-10"/>
                            <w:sz w:val="18"/>
                            <w:szCs w:val="18"/>
                          </w:rPr>
                          <w:t>里昂证券</w:t>
                          <w:tab/>
                        </w:r>
                        <w:r>
                          <w:rPr>
                            <w:rFonts w:ascii="宋体" w:hAnsi="宋体" w:cs="宋体" w:eastAsia="宋体" w:hint="default"/>
                            <w:spacing w:val="-4"/>
                            <w:sz w:val="18"/>
                            <w:szCs w:val="18"/>
                          </w:rPr>
                          <w:t>深入了解公司业绩发展情况，了解</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行</w:t>
                        </w:r>
                      </w:p>
                    </w:tc>
                  </w:tr>
                  <w:tr>
                    <w:trPr>
                      <w:trHeight w:val="250"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51" w:right="0"/>
                          <w:jc w:val="left"/>
                          <w:rPr>
                            <w:rFonts w:ascii="Times New Roman" w:hAnsi="Times New Roman" w:cs="Times New Roman" w:eastAsia="Times New Roman" w:hint="default"/>
                            <w:sz w:val="18"/>
                            <w:szCs w:val="18"/>
                          </w:rPr>
                        </w:pPr>
                        <w:r>
                          <w:rPr>
                            <w:rFonts w:ascii="Times New Roman"/>
                            <w:sz w:val="18"/>
                          </w:rPr>
                          <w:t>2010.7.11</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5338" w:type="dxa"/>
                        <w:gridSpan w:val="2"/>
                        <w:tcBorders>
                          <w:top w:val="single" w:sz="4" w:space="0" w:color="000000"/>
                          <w:left w:val="nil" w:sz="6" w:space="0" w:color="auto"/>
                          <w:bottom w:val="single" w:sz="4" w:space="0" w:color="000000"/>
                          <w:right w:val="nil" w:sz="6" w:space="0" w:color="auto"/>
                        </w:tcBorders>
                      </w:tcPr>
                      <w:p>
                        <w:pPr>
                          <w:pStyle w:val="TableParagraph"/>
                          <w:tabs>
                            <w:tab w:pos="2183" w:val="left" w:leader="none"/>
                          </w:tabs>
                          <w:spacing w:line="217" w:lineRule="exact"/>
                          <w:ind w:left="27" w:right="0"/>
                          <w:jc w:val="left"/>
                          <w:rPr>
                            <w:rFonts w:ascii="宋体" w:hAnsi="宋体" w:cs="宋体" w:eastAsia="宋体" w:hint="default"/>
                            <w:sz w:val="18"/>
                            <w:szCs w:val="18"/>
                          </w:rPr>
                        </w:pPr>
                        <w:r>
                          <w:rPr>
                            <w:rFonts w:ascii="宋体" w:hAnsi="宋体" w:cs="宋体" w:eastAsia="宋体" w:hint="default"/>
                            <w:position w:val="1"/>
                            <w:sz w:val="18"/>
                            <w:szCs w:val="18"/>
                          </w:rPr>
                          <w:t>未来资产集团</w:t>
                          <w:tab/>
                        </w:r>
                        <w:r>
                          <w:rPr>
                            <w:rFonts w:ascii="宋体" w:hAnsi="宋体" w:cs="宋体" w:eastAsia="宋体" w:hint="default"/>
                            <w:sz w:val="18"/>
                            <w:szCs w:val="18"/>
                          </w:rPr>
                          <w:t>了解长春地区主要店面销售情况</w:t>
                        </w:r>
                      </w:p>
                    </w:tc>
                  </w:tr>
                  <w:tr>
                    <w:trPr>
                      <w:trHeight w:val="264" w:hRule="exact"/>
                    </w:trPr>
                    <w:tc>
                      <w:tcPr>
                        <w:tcW w:w="1152" w:type="dxa"/>
                        <w:tcBorders>
                          <w:top w:val="single" w:sz="4" w:space="0" w:color="000000"/>
                          <w:left w:val="nil" w:sz="6" w:space="0" w:color="auto"/>
                          <w:bottom w:val="nil" w:sz="6" w:space="0" w:color="auto"/>
                          <w:right w:val="nil" w:sz="6" w:space="0" w:color="auto"/>
                        </w:tcBorders>
                      </w:tcPr>
                      <w:p>
                        <w:pPr/>
                      </w:p>
                    </w:tc>
                    <w:tc>
                      <w:tcPr>
                        <w:tcW w:w="1622" w:type="dxa"/>
                        <w:tcBorders>
                          <w:top w:val="single" w:sz="4" w:space="0" w:color="000000"/>
                          <w:left w:val="nil" w:sz="6" w:space="0" w:color="auto"/>
                          <w:bottom w:val="nil" w:sz="6" w:space="0" w:color="auto"/>
                          <w:right w:val="nil" w:sz="6" w:space="0" w:color="auto"/>
                        </w:tcBorders>
                      </w:tcPr>
                      <w:p>
                        <w:pPr/>
                      </w:p>
                    </w:tc>
                    <w:tc>
                      <w:tcPr>
                        <w:tcW w:w="1306" w:type="dxa"/>
                        <w:tcBorders>
                          <w:top w:val="single" w:sz="4" w:space="0" w:color="000000"/>
                          <w:left w:val="nil" w:sz="6" w:space="0" w:color="auto"/>
                          <w:bottom w:val="nil" w:sz="6" w:space="0" w:color="auto"/>
                          <w:right w:val="nil" w:sz="6" w:space="0" w:color="auto"/>
                        </w:tcBorders>
                      </w:tcPr>
                      <w:p>
                        <w:pPr/>
                      </w:p>
                    </w:tc>
                    <w:tc>
                      <w:tcPr>
                        <w:tcW w:w="5338" w:type="dxa"/>
                        <w:gridSpan w:val="2"/>
                        <w:tcBorders>
                          <w:top w:val="single" w:sz="4" w:space="0" w:color="000000"/>
                          <w:left w:val="nil" w:sz="6" w:space="0" w:color="auto"/>
                          <w:bottom w:val="nil" w:sz="6" w:space="0" w:color="auto"/>
                          <w:right w:val="nil" w:sz="6" w:space="0" w:color="auto"/>
                        </w:tcBorders>
                      </w:tcPr>
                      <w:p>
                        <w:pPr>
                          <w:pStyle w:val="TableParagraph"/>
                          <w:spacing w:line="219" w:lineRule="exact"/>
                          <w:ind w:left="27" w:right="0"/>
                          <w:jc w:val="left"/>
                          <w:rPr>
                            <w:rFonts w:ascii="Times New Roman" w:hAnsi="Times New Roman" w:cs="Times New Roman" w:eastAsia="Times New Roman" w:hint="default"/>
                            <w:sz w:val="18"/>
                            <w:szCs w:val="18"/>
                          </w:rPr>
                        </w:pPr>
                        <w:r>
                          <w:rPr>
                            <w:rFonts w:ascii="宋体" w:hAnsi="宋体" w:cs="宋体" w:eastAsia="宋体" w:hint="default"/>
                            <w:spacing w:val="44"/>
                            <w:sz w:val="18"/>
                            <w:szCs w:val="18"/>
                          </w:rPr>
                          <w:t>复华投信资产、</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Sofaer</w:t>
                        </w:r>
                      </w:p>
                    </w:tc>
                  </w:tr>
                  <w:tr>
                    <w:trPr>
                      <w:trHeight w:val="234" w:hRule="exact"/>
                    </w:trPr>
                    <w:tc>
                      <w:tcPr>
                        <w:tcW w:w="1152" w:type="dxa"/>
                        <w:tcBorders>
                          <w:top w:val="nil" w:sz="6" w:space="0" w:color="auto"/>
                          <w:left w:val="nil" w:sz="6" w:space="0" w:color="auto"/>
                          <w:bottom w:val="nil" w:sz="6" w:space="0" w:color="auto"/>
                          <w:right w:val="nil" w:sz="6" w:space="0" w:color="auto"/>
                        </w:tcBorders>
                      </w:tcPr>
                      <w:p>
                        <w:pPr>
                          <w:pStyle w:val="TableParagraph"/>
                          <w:spacing w:line="190" w:lineRule="exact"/>
                          <w:ind w:left="51" w:right="0"/>
                          <w:jc w:val="left"/>
                          <w:rPr>
                            <w:rFonts w:ascii="Times New Roman" w:hAnsi="Times New Roman" w:cs="Times New Roman" w:eastAsia="Times New Roman" w:hint="default"/>
                            <w:sz w:val="18"/>
                            <w:szCs w:val="18"/>
                          </w:rPr>
                        </w:pPr>
                        <w:r>
                          <w:rPr>
                            <w:rFonts w:ascii="Times New Roman"/>
                            <w:sz w:val="18"/>
                          </w:rPr>
                          <w:t>2010.7.12</w:t>
                        </w:r>
                      </w:p>
                    </w:tc>
                    <w:tc>
                      <w:tcPr>
                        <w:tcW w:w="1622" w:type="dxa"/>
                        <w:tcBorders>
                          <w:top w:val="nil" w:sz="6" w:space="0" w:color="auto"/>
                          <w:left w:val="nil" w:sz="6" w:space="0" w:color="auto"/>
                          <w:bottom w:val="nil" w:sz="6" w:space="0" w:color="auto"/>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6643" w:type="dxa"/>
                        <w:gridSpan w:val="3"/>
                        <w:tcBorders>
                          <w:top w:val="nil" w:sz="6" w:space="0" w:color="auto"/>
                          <w:left w:val="nil" w:sz="6" w:space="0" w:color="auto"/>
                          <w:bottom w:val="nil" w:sz="6" w:space="0" w:color="auto"/>
                          <w:right w:val="nil" w:sz="6" w:space="0" w:color="auto"/>
                        </w:tcBorders>
                      </w:tcPr>
                      <w:p>
                        <w:pPr>
                          <w:pStyle w:val="TableParagraph"/>
                          <w:tabs>
                            <w:tab w:pos="1333" w:val="left" w:leader="none"/>
                          </w:tabs>
                          <w:spacing w:line="194" w:lineRule="exact"/>
                          <w:ind w:left="291" w:right="0"/>
                          <w:jc w:val="left"/>
                          <w:rPr>
                            <w:rFonts w:ascii="宋体" w:hAnsi="宋体" w:cs="宋体" w:eastAsia="宋体" w:hint="default"/>
                            <w:sz w:val="18"/>
                            <w:szCs w:val="18"/>
                          </w:rPr>
                        </w:pPr>
                        <w:r>
                          <w:rPr>
                            <w:rFonts w:ascii="宋体" w:hAnsi="宋体" w:cs="宋体" w:eastAsia="宋体" w:hint="default"/>
                            <w:sz w:val="18"/>
                            <w:szCs w:val="18"/>
                          </w:rPr>
                          <w:t>实地调研</w:t>
                          <w:tab/>
                        </w:r>
                        <w:r>
                          <w:rPr>
                            <w:rFonts w:ascii="Times New Roman" w:hAnsi="Times New Roman" w:cs="Times New Roman" w:eastAsia="Times New Roman" w:hint="default"/>
                            <w:sz w:val="18"/>
                            <w:szCs w:val="18"/>
                          </w:rPr>
                          <w:t>Capital</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资产</w:t>
                        </w:r>
                        <w:r>
                          <w:rPr>
                            <w:rFonts w:ascii="宋体" w:hAnsi="宋体" w:cs="宋体" w:eastAsia="宋体" w:hint="default"/>
                            <w:spacing w:val="-86"/>
                            <w:sz w:val="18"/>
                            <w:szCs w:val="18"/>
                          </w:rPr>
                          <w:t>、</w:t>
                        </w:r>
                        <w:r>
                          <w:rPr>
                            <w:rFonts w:ascii="宋体" w:hAnsi="宋体" w:cs="宋体" w:eastAsia="宋体" w:hint="default"/>
                            <w:spacing w:val="-2"/>
                            <w:sz w:val="18"/>
                            <w:szCs w:val="18"/>
                          </w:rPr>
                          <w:t>香</w:t>
                        </w:r>
                        <w:r>
                          <w:rPr>
                            <w:rFonts w:ascii="宋体" w:hAnsi="宋体" w:cs="宋体" w:eastAsia="宋体" w:hint="default"/>
                            <w:sz w:val="18"/>
                            <w:szCs w:val="18"/>
                          </w:rPr>
                          <w:t>港国泰君安</w:t>
                        </w:r>
                        <w:r>
                          <w:rPr>
                            <w:rFonts w:ascii="宋体" w:hAnsi="宋体" w:cs="宋体" w:eastAsia="宋体" w:hint="default"/>
                            <w:spacing w:val="-34"/>
                            <w:sz w:val="18"/>
                            <w:szCs w:val="18"/>
                          </w:rPr>
                          <w:t> </w:t>
                        </w:r>
                        <w:r>
                          <w:rPr>
                            <w:rFonts w:ascii="宋体" w:hAnsi="宋体" w:cs="宋体" w:eastAsia="宋体" w:hint="default"/>
                            <w:spacing w:val="3"/>
                            <w:position w:val="11"/>
                            <w:sz w:val="18"/>
                            <w:szCs w:val="18"/>
                          </w:rPr>
                          <w:t>了解</w:t>
                        </w:r>
                        <w:r>
                          <w:rPr>
                            <w:rFonts w:ascii="宋体" w:hAnsi="宋体" w:cs="宋体" w:eastAsia="宋体" w:hint="default"/>
                            <w:spacing w:val="4"/>
                            <w:position w:val="11"/>
                            <w:sz w:val="18"/>
                            <w:szCs w:val="18"/>
                          </w:rPr>
                          <w:t>公</w:t>
                        </w:r>
                        <w:r>
                          <w:rPr>
                            <w:rFonts w:ascii="宋体" w:hAnsi="宋体" w:cs="宋体" w:eastAsia="宋体" w:hint="default"/>
                            <w:spacing w:val="3"/>
                            <w:position w:val="11"/>
                            <w:sz w:val="18"/>
                            <w:szCs w:val="18"/>
                          </w:rPr>
                          <w:t>司</w:t>
                        </w:r>
                        <w:r>
                          <w:rPr>
                            <w:rFonts w:ascii="宋体" w:hAnsi="宋体" w:cs="宋体" w:eastAsia="宋体" w:hint="default"/>
                            <w:spacing w:val="4"/>
                            <w:position w:val="11"/>
                            <w:sz w:val="18"/>
                            <w:szCs w:val="18"/>
                          </w:rPr>
                          <w:t>基本</w:t>
                        </w:r>
                        <w:r>
                          <w:rPr>
                            <w:rFonts w:ascii="宋体" w:hAnsi="宋体" w:cs="宋体" w:eastAsia="宋体" w:hint="default"/>
                            <w:spacing w:val="3"/>
                            <w:position w:val="11"/>
                            <w:sz w:val="18"/>
                            <w:szCs w:val="18"/>
                          </w:rPr>
                          <w:t>面情</w:t>
                        </w:r>
                        <w:r>
                          <w:rPr>
                            <w:rFonts w:ascii="宋体" w:hAnsi="宋体" w:cs="宋体" w:eastAsia="宋体" w:hint="default"/>
                            <w:spacing w:val="4"/>
                            <w:position w:val="11"/>
                            <w:sz w:val="18"/>
                            <w:szCs w:val="18"/>
                          </w:rPr>
                          <w:t>况</w:t>
                        </w:r>
                        <w:r>
                          <w:rPr>
                            <w:rFonts w:ascii="宋体" w:hAnsi="宋体" w:cs="宋体" w:eastAsia="宋体" w:hint="default"/>
                            <w:spacing w:val="3"/>
                            <w:position w:val="11"/>
                            <w:sz w:val="18"/>
                            <w:szCs w:val="18"/>
                          </w:rPr>
                          <w:t>及</w:t>
                        </w:r>
                        <w:r>
                          <w:rPr>
                            <w:rFonts w:ascii="宋体" w:hAnsi="宋体" w:cs="宋体" w:eastAsia="宋体" w:hint="default"/>
                            <w:spacing w:val="4"/>
                            <w:position w:val="11"/>
                            <w:sz w:val="18"/>
                            <w:szCs w:val="18"/>
                          </w:rPr>
                          <w:t>中国</w:t>
                        </w:r>
                        <w:r>
                          <w:rPr>
                            <w:rFonts w:ascii="宋体" w:hAnsi="宋体" w:cs="宋体" w:eastAsia="宋体" w:hint="default"/>
                            <w:spacing w:val="3"/>
                            <w:position w:val="11"/>
                            <w:sz w:val="18"/>
                            <w:szCs w:val="18"/>
                          </w:rPr>
                          <w:t>家电</w:t>
                        </w:r>
                        <w:r>
                          <w:rPr>
                            <w:rFonts w:ascii="宋体" w:hAnsi="宋体" w:cs="宋体" w:eastAsia="宋体" w:hint="default"/>
                            <w:spacing w:val="4"/>
                            <w:position w:val="11"/>
                            <w:sz w:val="18"/>
                            <w:szCs w:val="18"/>
                          </w:rPr>
                          <w:t>行</w:t>
                        </w:r>
                        <w:r>
                          <w:rPr>
                            <w:rFonts w:ascii="宋体" w:hAnsi="宋体" w:cs="宋体" w:eastAsia="宋体" w:hint="default"/>
                            <w:spacing w:val="3"/>
                            <w:position w:val="11"/>
                            <w:sz w:val="18"/>
                            <w:szCs w:val="18"/>
                          </w:rPr>
                          <w:t>业发</w:t>
                        </w:r>
                        <w:r>
                          <w:rPr>
                            <w:rFonts w:ascii="宋体" w:hAnsi="宋体" w:cs="宋体" w:eastAsia="宋体" w:hint="default"/>
                            <w:sz w:val="18"/>
                            <w:szCs w:val="18"/>
                          </w:rPr>
                        </w:r>
                      </w:p>
                    </w:tc>
                  </w:tr>
                  <w:tr>
                    <w:trPr>
                      <w:trHeight w:val="213" w:hRule="exact"/>
                    </w:trPr>
                    <w:tc>
                      <w:tcPr>
                        <w:tcW w:w="1152" w:type="dxa"/>
                        <w:tcBorders>
                          <w:top w:val="nil" w:sz="6" w:space="0" w:color="auto"/>
                          <w:left w:val="nil" w:sz="6" w:space="0" w:color="auto"/>
                          <w:bottom w:val="single" w:sz="4" w:space="0" w:color="000000"/>
                          <w:right w:val="nil" w:sz="6" w:space="0" w:color="auto"/>
                        </w:tcBorders>
                      </w:tcPr>
                      <w:p>
                        <w:pPr/>
                      </w:p>
                    </w:tc>
                    <w:tc>
                      <w:tcPr>
                        <w:tcW w:w="1622" w:type="dxa"/>
                        <w:tcBorders>
                          <w:top w:val="nil" w:sz="6" w:space="0" w:color="auto"/>
                          <w:left w:val="nil" w:sz="6" w:space="0" w:color="auto"/>
                          <w:bottom w:val="single" w:sz="4" w:space="0" w:color="000000"/>
                          <w:right w:val="nil" w:sz="6" w:space="0" w:color="auto"/>
                        </w:tcBorders>
                      </w:tcPr>
                      <w:p>
                        <w:pPr/>
                      </w:p>
                    </w:tc>
                    <w:tc>
                      <w:tcPr>
                        <w:tcW w:w="1306" w:type="dxa"/>
                        <w:tcBorders>
                          <w:top w:val="nil" w:sz="6" w:space="0" w:color="auto"/>
                          <w:left w:val="nil" w:sz="6" w:space="0" w:color="auto"/>
                          <w:bottom w:val="single" w:sz="4" w:space="0" w:color="000000"/>
                          <w:right w:val="nil" w:sz="6" w:space="0" w:color="auto"/>
                        </w:tcBorders>
                      </w:tcPr>
                      <w:p>
                        <w:pPr/>
                      </w:p>
                    </w:tc>
                    <w:tc>
                      <w:tcPr>
                        <w:tcW w:w="5338" w:type="dxa"/>
                        <w:gridSpan w:val="2"/>
                        <w:tcBorders>
                          <w:top w:val="nil" w:sz="6" w:space="0" w:color="auto"/>
                          <w:left w:val="nil" w:sz="6" w:space="0" w:color="auto"/>
                          <w:bottom w:val="single" w:sz="4" w:space="0" w:color="000000"/>
                          <w:right w:val="nil" w:sz="6" w:space="0" w:color="auto"/>
                        </w:tcBorders>
                      </w:tcPr>
                      <w:p>
                        <w:pPr>
                          <w:pStyle w:val="TableParagraph"/>
                          <w:tabs>
                            <w:tab w:pos="2183" w:val="left" w:leader="none"/>
                          </w:tabs>
                          <w:spacing w:line="184" w:lineRule="exact"/>
                          <w:ind w:left="27" w:right="0"/>
                          <w:jc w:val="left"/>
                          <w:rPr>
                            <w:rFonts w:ascii="宋体" w:hAnsi="宋体" w:cs="宋体" w:eastAsia="宋体" w:hint="default"/>
                            <w:sz w:val="18"/>
                            <w:szCs w:val="18"/>
                          </w:rPr>
                        </w:pPr>
                        <w:r>
                          <w:rPr>
                            <w:rFonts w:ascii="宋体" w:hAnsi="宋体" w:cs="宋体" w:eastAsia="宋体" w:hint="default"/>
                            <w:position w:val="-10"/>
                            <w:sz w:val="18"/>
                            <w:szCs w:val="18"/>
                          </w:rPr>
                          <w:t>证券</w:t>
                          <w:tab/>
                        </w:r>
                        <w:r>
                          <w:rPr>
                            <w:rFonts w:ascii="宋体" w:hAnsi="宋体" w:cs="宋体" w:eastAsia="宋体" w:hint="default"/>
                            <w:sz w:val="18"/>
                            <w:szCs w:val="18"/>
                          </w:rPr>
                          <w:t>展现状</w:t>
                        </w:r>
                      </w:p>
                    </w:tc>
                  </w:tr>
                  <w:tr>
                    <w:trPr>
                      <w:trHeight w:val="251"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51" w:right="0"/>
                          <w:jc w:val="left"/>
                          <w:rPr>
                            <w:rFonts w:ascii="Times New Roman" w:hAnsi="Times New Roman" w:cs="Times New Roman" w:eastAsia="Times New Roman" w:hint="default"/>
                            <w:sz w:val="18"/>
                            <w:szCs w:val="18"/>
                          </w:rPr>
                        </w:pPr>
                        <w:r>
                          <w:rPr>
                            <w:rFonts w:ascii="Times New Roman"/>
                            <w:sz w:val="18"/>
                          </w:rPr>
                          <w:t>2010.7.14</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5338" w:type="dxa"/>
                        <w:gridSpan w:val="2"/>
                        <w:tcBorders>
                          <w:top w:val="single" w:sz="4" w:space="0" w:color="000000"/>
                          <w:left w:val="nil" w:sz="6" w:space="0" w:color="auto"/>
                          <w:bottom w:val="single" w:sz="4" w:space="0" w:color="000000"/>
                          <w:right w:val="nil" w:sz="6" w:space="0" w:color="auto"/>
                        </w:tcBorders>
                      </w:tcPr>
                      <w:p>
                        <w:pPr>
                          <w:pStyle w:val="TableParagraph"/>
                          <w:tabs>
                            <w:tab w:pos="2183" w:val="left" w:leader="none"/>
                          </w:tabs>
                          <w:spacing w:line="217" w:lineRule="exact"/>
                          <w:ind w:left="27" w:right="0"/>
                          <w:jc w:val="left"/>
                          <w:rPr>
                            <w:rFonts w:ascii="宋体" w:hAnsi="宋体" w:cs="宋体" w:eastAsia="宋体" w:hint="default"/>
                            <w:sz w:val="18"/>
                            <w:szCs w:val="18"/>
                          </w:rPr>
                        </w:pPr>
                        <w:r>
                          <w:rPr>
                            <w:rFonts w:ascii="宋体" w:hAnsi="宋体" w:cs="宋体" w:eastAsia="宋体" w:hint="default"/>
                            <w:position w:val="1"/>
                            <w:sz w:val="18"/>
                            <w:szCs w:val="18"/>
                          </w:rPr>
                          <w:t>富国基金、华安基金</w:t>
                          <w:tab/>
                        </w:r>
                        <w:r>
                          <w:rPr>
                            <w:rFonts w:ascii="宋体" w:hAnsi="宋体" w:cs="宋体" w:eastAsia="宋体" w:hint="default"/>
                            <w:sz w:val="18"/>
                            <w:szCs w:val="18"/>
                          </w:rPr>
                          <w:t>了解长沙地区主要店面销售情况</w:t>
                        </w:r>
                      </w:p>
                    </w:tc>
                  </w:tr>
                  <w:tr>
                    <w:trPr>
                      <w:trHeight w:val="490"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left="51" w:right="0"/>
                          <w:jc w:val="left"/>
                          <w:rPr>
                            <w:rFonts w:ascii="Times New Roman" w:hAnsi="Times New Roman" w:cs="Times New Roman" w:eastAsia="Times New Roman" w:hint="default"/>
                            <w:sz w:val="18"/>
                            <w:szCs w:val="18"/>
                          </w:rPr>
                        </w:pPr>
                        <w:r>
                          <w:rPr>
                            <w:rFonts w:ascii="Times New Roman"/>
                            <w:sz w:val="18"/>
                          </w:rPr>
                          <w:t>2010.7.21</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5338" w:type="dxa"/>
                        <w:gridSpan w:val="2"/>
                        <w:tcBorders>
                          <w:top w:val="single" w:sz="4" w:space="0" w:color="000000"/>
                          <w:left w:val="nil" w:sz="6" w:space="0" w:color="auto"/>
                          <w:bottom w:val="single" w:sz="4" w:space="0" w:color="000000"/>
                          <w:right w:val="nil" w:sz="6" w:space="0" w:color="auto"/>
                        </w:tcBorders>
                      </w:tcPr>
                      <w:p>
                        <w:pPr>
                          <w:pStyle w:val="TableParagraph"/>
                          <w:tabs>
                            <w:tab w:pos="2183" w:val="left" w:leader="none"/>
                          </w:tabs>
                          <w:spacing w:line="327" w:lineRule="exact"/>
                          <w:ind w:left="27" w:right="0"/>
                          <w:jc w:val="left"/>
                          <w:rPr>
                            <w:rFonts w:ascii="Times New Roman" w:hAnsi="Times New Roman" w:cs="Times New Roman" w:eastAsia="Times New Roman" w:hint="default"/>
                            <w:sz w:val="18"/>
                            <w:szCs w:val="18"/>
                          </w:rPr>
                        </w:pPr>
                        <w:r>
                          <w:rPr>
                            <w:rFonts w:ascii="宋体" w:hAnsi="宋体" w:cs="宋体" w:eastAsia="宋体" w:hint="default"/>
                            <w:position w:val="-10"/>
                            <w:sz w:val="18"/>
                            <w:szCs w:val="18"/>
                          </w:rPr>
                          <w:t>大和投資管理有限公司</w:t>
                          <w:tab/>
                        </w:r>
                        <w:r>
                          <w:rPr>
                            <w:rFonts w:ascii="宋体" w:hAnsi="宋体" w:cs="宋体" w:eastAsia="宋体" w:hint="default"/>
                            <w:sz w:val="18"/>
                            <w:szCs w:val="18"/>
                          </w:rPr>
                          <w:t>了解公司最新销售情况及传统家电、</w:t>
                        </w:r>
                        <w:r>
                          <w:rPr>
                            <w:rFonts w:ascii="Times New Roman" w:hAnsi="Times New Roman" w:cs="Times New Roman" w:eastAsia="Times New Roman" w:hint="default"/>
                            <w:sz w:val="18"/>
                            <w:szCs w:val="18"/>
                          </w:rPr>
                          <w:t>3C</w:t>
                        </w:r>
                      </w:p>
                    </w:tc>
                  </w:tr>
                  <w:tr>
                    <w:trPr>
                      <w:trHeight w:val="490"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left="51" w:right="0"/>
                          <w:jc w:val="left"/>
                          <w:rPr>
                            <w:rFonts w:ascii="Times New Roman" w:hAnsi="Times New Roman" w:cs="Times New Roman" w:eastAsia="Times New Roman" w:hint="default"/>
                            <w:sz w:val="18"/>
                            <w:szCs w:val="18"/>
                          </w:rPr>
                        </w:pPr>
                        <w:r>
                          <w:rPr>
                            <w:rFonts w:ascii="Times New Roman"/>
                            <w:sz w:val="18"/>
                          </w:rPr>
                          <w:t>2010.7.21</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5338" w:type="dxa"/>
                        <w:gridSpan w:val="2"/>
                        <w:tcBorders>
                          <w:top w:val="single" w:sz="4" w:space="0" w:color="000000"/>
                          <w:left w:val="nil" w:sz="6" w:space="0" w:color="auto"/>
                          <w:bottom w:val="single" w:sz="4" w:space="0" w:color="000000"/>
                          <w:right w:val="nil" w:sz="6" w:space="0" w:color="auto"/>
                        </w:tcBorders>
                      </w:tcPr>
                      <w:p>
                        <w:pPr>
                          <w:pStyle w:val="TableParagraph"/>
                          <w:tabs>
                            <w:tab w:pos="2183" w:val="left" w:leader="none"/>
                          </w:tabs>
                          <w:spacing w:line="327" w:lineRule="exact"/>
                          <w:ind w:left="27" w:right="0"/>
                          <w:jc w:val="left"/>
                          <w:rPr>
                            <w:rFonts w:ascii="宋体" w:hAnsi="宋体" w:cs="宋体" w:eastAsia="宋体" w:hint="default"/>
                            <w:sz w:val="18"/>
                            <w:szCs w:val="18"/>
                          </w:rPr>
                        </w:pPr>
                        <w:r>
                          <w:rPr>
                            <w:rFonts w:ascii="宋体" w:hAnsi="宋体" w:cs="宋体" w:eastAsia="宋体" w:hint="default"/>
                            <w:position w:val="-10"/>
                            <w:sz w:val="18"/>
                            <w:szCs w:val="18"/>
                          </w:rPr>
                          <w:t>润辉投资</w:t>
                          <w:tab/>
                        </w:r>
                        <w:r>
                          <w:rPr>
                            <w:rFonts w:ascii="宋体" w:hAnsi="宋体" w:cs="宋体" w:eastAsia="宋体" w:hint="default"/>
                            <w:spacing w:val="3"/>
                            <w:sz w:val="18"/>
                            <w:szCs w:val="18"/>
                          </w:rPr>
                          <w:t>深入了解公司上半年业绩情况及下半年</w:t>
                        </w:r>
                        <w:r>
                          <w:rPr>
                            <w:rFonts w:ascii="宋体" w:hAnsi="宋体" w:cs="宋体" w:eastAsia="宋体" w:hint="default"/>
                            <w:sz w:val="18"/>
                            <w:szCs w:val="18"/>
                          </w:rPr>
                        </w:r>
                      </w:p>
                    </w:tc>
                  </w:tr>
                  <w:tr>
                    <w:trPr>
                      <w:trHeight w:val="491"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left="51" w:right="0"/>
                          <w:jc w:val="left"/>
                          <w:rPr>
                            <w:rFonts w:ascii="Times New Roman" w:hAnsi="Times New Roman" w:cs="Times New Roman" w:eastAsia="Times New Roman" w:hint="default"/>
                            <w:sz w:val="18"/>
                            <w:szCs w:val="18"/>
                          </w:rPr>
                        </w:pPr>
                        <w:r>
                          <w:rPr>
                            <w:rFonts w:ascii="Times New Roman"/>
                            <w:sz w:val="18"/>
                          </w:rPr>
                          <w:t>2010.7.21</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5338" w:type="dxa"/>
                        <w:gridSpan w:val="2"/>
                        <w:tcBorders>
                          <w:top w:val="single" w:sz="4" w:space="0" w:color="000000"/>
                          <w:left w:val="nil" w:sz="6" w:space="0" w:color="auto"/>
                          <w:bottom w:val="single" w:sz="4" w:space="0" w:color="000000"/>
                          <w:right w:val="nil" w:sz="6" w:space="0" w:color="auto"/>
                        </w:tcBorders>
                      </w:tcPr>
                      <w:p>
                        <w:pPr>
                          <w:pStyle w:val="TableParagraph"/>
                          <w:tabs>
                            <w:tab w:pos="2183" w:val="left" w:leader="none"/>
                          </w:tabs>
                          <w:spacing w:line="327" w:lineRule="exact"/>
                          <w:ind w:left="27" w:right="0"/>
                          <w:jc w:val="left"/>
                          <w:rPr>
                            <w:rFonts w:ascii="宋体" w:hAnsi="宋体" w:cs="宋体" w:eastAsia="宋体" w:hint="default"/>
                            <w:sz w:val="18"/>
                            <w:szCs w:val="18"/>
                          </w:rPr>
                        </w:pPr>
                        <w:r>
                          <w:rPr>
                            <w:rFonts w:ascii="宋体" w:hAnsi="宋体" w:cs="宋体" w:eastAsia="宋体" w:hint="default"/>
                            <w:position w:val="-10"/>
                            <w:sz w:val="18"/>
                            <w:szCs w:val="18"/>
                          </w:rPr>
                          <w:t>摩根大通</w:t>
                          <w:tab/>
                        </w:r>
                        <w:r>
                          <w:rPr>
                            <w:rFonts w:ascii="宋体" w:hAnsi="宋体" w:cs="宋体" w:eastAsia="宋体" w:hint="default"/>
                            <w:spacing w:val="3"/>
                            <w:sz w:val="18"/>
                            <w:szCs w:val="18"/>
                          </w:rPr>
                          <w:t>了解公司基本面情况及中国家电连锁行</w:t>
                        </w:r>
                        <w:r>
                          <w:rPr>
                            <w:rFonts w:ascii="宋体" w:hAnsi="宋体" w:cs="宋体" w:eastAsia="宋体" w:hint="default"/>
                            <w:sz w:val="18"/>
                            <w:szCs w:val="18"/>
                          </w:rPr>
                        </w:r>
                      </w:p>
                    </w:tc>
                  </w:tr>
                  <w:tr>
                    <w:trPr>
                      <w:trHeight w:val="250" w:hRule="exact"/>
                    </w:trPr>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51" w:right="0"/>
                          <w:jc w:val="left"/>
                          <w:rPr>
                            <w:rFonts w:ascii="Times New Roman" w:hAnsi="Times New Roman" w:cs="Times New Roman" w:eastAsia="Times New Roman" w:hint="default"/>
                            <w:sz w:val="18"/>
                            <w:szCs w:val="18"/>
                          </w:rPr>
                        </w:pPr>
                        <w:r>
                          <w:rPr>
                            <w:rFonts w:ascii="Times New Roman"/>
                            <w:sz w:val="18"/>
                          </w:rPr>
                          <w:t>2010.7.23</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29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5338" w:type="dxa"/>
                        <w:gridSpan w:val="2"/>
                        <w:tcBorders>
                          <w:top w:val="single" w:sz="4" w:space="0" w:color="000000"/>
                          <w:left w:val="nil" w:sz="6" w:space="0" w:color="auto"/>
                          <w:bottom w:val="single" w:sz="4" w:space="0" w:color="000000"/>
                          <w:right w:val="nil" w:sz="6" w:space="0" w:color="auto"/>
                        </w:tcBorders>
                      </w:tcPr>
                      <w:p>
                        <w:pPr>
                          <w:pStyle w:val="TableParagraph"/>
                          <w:tabs>
                            <w:tab w:pos="2183" w:val="left" w:leader="none"/>
                          </w:tabs>
                          <w:spacing w:line="217" w:lineRule="exact"/>
                          <w:ind w:left="27" w:right="0"/>
                          <w:jc w:val="left"/>
                          <w:rPr>
                            <w:rFonts w:ascii="宋体" w:hAnsi="宋体" w:cs="宋体" w:eastAsia="宋体" w:hint="default"/>
                            <w:sz w:val="18"/>
                            <w:szCs w:val="18"/>
                          </w:rPr>
                        </w:pPr>
                        <w:r>
                          <w:rPr>
                            <w:rFonts w:ascii="宋体" w:hAnsi="宋体" w:cs="宋体" w:eastAsia="宋体" w:hint="default"/>
                            <w:position w:val="1"/>
                            <w:sz w:val="18"/>
                            <w:szCs w:val="18"/>
                          </w:rPr>
                          <w:t>中金公司</w:t>
                          <w:tab/>
                        </w:r>
                        <w:r>
                          <w:rPr>
                            <w:rFonts w:ascii="宋体" w:hAnsi="宋体" w:cs="宋体" w:eastAsia="宋体" w:hint="default"/>
                            <w:sz w:val="18"/>
                            <w:szCs w:val="18"/>
                          </w:rPr>
                          <w:t>了解西安地区主要店面销售情况</w:t>
                        </w:r>
                      </w:p>
                    </w:tc>
                  </w:tr>
                  <w:tr>
                    <w:trPr>
                      <w:trHeight w:val="306" w:hRule="exact"/>
                    </w:trPr>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51" w:right="0"/>
                          <w:jc w:val="left"/>
                          <w:rPr>
                            <w:rFonts w:ascii="Times New Roman" w:hAnsi="Times New Roman" w:cs="Times New Roman" w:eastAsia="Times New Roman" w:hint="default"/>
                            <w:sz w:val="18"/>
                            <w:szCs w:val="18"/>
                          </w:rPr>
                        </w:pPr>
                        <w:r>
                          <w:rPr>
                            <w:rFonts w:ascii="Times New Roman"/>
                            <w:sz w:val="18"/>
                          </w:rPr>
                          <w:t>2010.7.23</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6643" w:type="dxa"/>
                        <w:gridSpan w:val="3"/>
                        <w:tcBorders>
                          <w:top w:val="nil" w:sz="6" w:space="0" w:color="auto"/>
                          <w:left w:val="nil" w:sz="6" w:space="0" w:color="auto"/>
                          <w:bottom w:val="nil" w:sz="6" w:space="0" w:color="auto"/>
                          <w:right w:val="nil" w:sz="6" w:space="0" w:color="auto"/>
                        </w:tcBorders>
                      </w:tcPr>
                      <w:p>
                        <w:pPr>
                          <w:pStyle w:val="TableParagraph"/>
                          <w:tabs>
                            <w:tab w:pos="1333" w:val="left" w:leader="none"/>
                            <w:tab w:pos="2005" w:val="left" w:leader="none"/>
                            <w:tab w:pos="2632" w:val="left" w:leader="none"/>
                          </w:tabs>
                          <w:spacing w:line="240" w:lineRule="auto"/>
                          <w:ind w:left="291" w:right="0"/>
                          <w:jc w:val="left"/>
                          <w:rPr>
                            <w:rFonts w:ascii="Times New Roman" w:hAnsi="Times New Roman" w:cs="Times New Roman" w:eastAsia="Times New Roman" w:hint="default"/>
                            <w:sz w:val="18"/>
                            <w:szCs w:val="18"/>
                          </w:rPr>
                        </w:pPr>
                        <w:r>
                          <w:rPr>
                            <w:rFonts w:ascii="宋体" w:hAnsi="宋体" w:cs="宋体" w:eastAsia="宋体" w:hint="default"/>
                            <w:position w:val="-10"/>
                            <w:sz w:val="18"/>
                            <w:szCs w:val="18"/>
                          </w:rPr>
                          <w:t>实地调研</w:t>
                          <w:tab/>
                        </w:r>
                        <w:r>
                          <w:rPr>
                            <w:rFonts w:ascii="Times New Roman" w:hAnsi="Times New Roman" w:cs="Times New Roman" w:eastAsia="Times New Roman" w:hint="default"/>
                            <w:sz w:val="18"/>
                            <w:szCs w:val="18"/>
                          </w:rPr>
                          <w:t>Boyer</w:t>
                          <w:tab/>
                        </w:r>
                        <w:r>
                          <w:rPr>
                            <w:rFonts w:ascii="Times New Roman" w:hAnsi="Times New Roman" w:cs="Times New Roman" w:eastAsia="Times New Roman" w:hint="default"/>
                            <w:spacing w:val="-1"/>
                            <w:sz w:val="18"/>
                            <w:szCs w:val="18"/>
                          </w:rPr>
                          <w:t>Allan</w:t>
                          <w:tab/>
                        </w:r>
                        <w:r>
                          <w:rPr>
                            <w:rFonts w:ascii="Times New Roman" w:hAnsi="Times New Roman" w:cs="Times New Roman" w:eastAsia="Times New Roman" w:hint="default"/>
                            <w:sz w:val="18"/>
                            <w:szCs w:val="18"/>
                          </w:rPr>
                          <w:t>Investment</w:t>
                        </w:r>
                      </w:p>
                    </w:tc>
                  </w:tr>
                  <w:tr>
                    <w:trPr>
                      <w:trHeight w:val="849" w:hRule="exact"/>
                    </w:trPr>
                    <w:tc>
                      <w:tcPr>
                        <w:tcW w:w="1152"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66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2"/>
                          <w:ind w:left="1333" w:right="3508"/>
                          <w:jc w:val="both"/>
                          <w:rPr>
                            <w:rFonts w:ascii="宋体" w:hAnsi="宋体" w:cs="宋体" w:eastAsia="宋体" w:hint="default"/>
                            <w:sz w:val="18"/>
                            <w:szCs w:val="18"/>
                          </w:rPr>
                        </w:pPr>
                        <w:r>
                          <w:rPr>
                            <w:rFonts w:ascii="宋体" w:hAnsi="宋体" w:cs="宋体" w:eastAsia="宋体" w:hint="default"/>
                            <w:sz w:val="18"/>
                            <w:szCs w:val="18"/>
                          </w:rPr>
                          <w:t>天冶基金、中银基金、 国民信托、华岩资本、 纽伯格伯曼投资、</w:t>
                        </w:r>
                      </w:p>
                    </w:tc>
                  </w:tr>
                  <w:tr>
                    <w:trPr>
                      <w:trHeight w:val="915" w:hRule="exact"/>
                    </w:trPr>
                    <w:tc>
                      <w:tcPr>
                        <w:tcW w:w="1152" w:type="dxa"/>
                        <w:tcBorders>
                          <w:top w:val="nil" w:sz="6" w:space="0" w:color="auto"/>
                          <w:left w:val="nil" w:sz="6" w:space="0" w:color="auto"/>
                          <w:bottom w:val="nil" w:sz="6" w:space="0" w:color="auto"/>
                          <w:right w:val="nil" w:sz="6" w:space="0" w:color="auto"/>
                        </w:tcBorders>
                      </w:tcPr>
                      <w:p>
                        <w:pPr>
                          <w:pStyle w:val="TableParagraph"/>
                          <w:spacing w:line="190" w:lineRule="exact"/>
                          <w:ind w:left="51" w:right="0"/>
                          <w:jc w:val="left"/>
                          <w:rPr>
                            <w:rFonts w:ascii="Times New Roman" w:hAnsi="Times New Roman" w:cs="Times New Roman" w:eastAsia="Times New Roman" w:hint="default"/>
                            <w:sz w:val="18"/>
                            <w:szCs w:val="18"/>
                          </w:rPr>
                        </w:pPr>
                        <w:r>
                          <w:rPr>
                            <w:rFonts w:ascii="Times New Roman"/>
                            <w:sz w:val="18"/>
                          </w:rPr>
                          <w:t>2010.7.23</w:t>
                        </w:r>
                      </w:p>
                    </w:tc>
                    <w:tc>
                      <w:tcPr>
                        <w:tcW w:w="1622" w:type="dxa"/>
                        <w:tcBorders>
                          <w:top w:val="nil" w:sz="6" w:space="0" w:color="auto"/>
                          <w:left w:val="nil" w:sz="6" w:space="0" w:color="auto"/>
                          <w:bottom w:val="nil" w:sz="6" w:space="0" w:color="auto"/>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6643" w:type="dxa"/>
                        <w:gridSpan w:val="3"/>
                        <w:tcBorders>
                          <w:top w:val="nil" w:sz="6" w:space="0" w:color="auto"/>
                          <w:left w:val="nil" w:sz="6" w:space="0" w:color="auto"/>
                          <w:bottom w:val="nil" w:sz="6" w:space="0" w:color="auto"/>
                          <w:right w:val="nil" w:sz="6" w:space="0" w:color="auto"/>
                        </w:tcBorders>
                      </w:tcPr>
                      <w:p>
                        <w:pPr>
                          <w:pStyle w:val="TableParagraph"/>
                          <w:tabs>
                            <w:tab w:pos="1333" w:val="left" w:leader="none"/>
                          </w:tabs>
                          <w:spacing w:line="178" w:lineRule="exact"/>
                          <w:ind w:left="291" w:right="0"/>
                          <w:jc w:val="left"/>
                          <w:rPr>
                            <w:rFonts w:ascii="宋体" w:hAnsi="宋体" w:cs="宋体" w:eastAsia="宋体" w:hint="default"/>
                            <w:sz w:val="18"/>
                            <w:szCs w:val="18"/>
                          </w:rPr>
                        </w:pPr>
                        <w:r>
                          <w:rPr>
                            <w:rFonts w:ascii="宋体" w:hAnsi="宋体" w:cs="宋体" w:eastAsia="宋体" w:hint="default"/>
                            <w:position w:val="-10"/>
                            <w:sz w:val="18"/>
                            <w:szCs w:val="18"/>
                          </w:rPr>
                          <w:t>实地调研</w:t>
                          <w:tab/>
                        </w:r>
                        <w:r>
                          <w:rPr>
                            <w:rFonts w:ascii="宋体" w:hAnsi="宋体" w:cs="宋体" w:eastAsia="宋体" w:hint="default"/>
                            <w:spacing w:val="-5"/>
                            <w:position w:val="-10"/>
                            <w:sz w:val="18"/>
                            <w:szCs w:val="18"/>
                          </w:rPr>
                          <w:t>名禹投资、德丰化投资、深</w:t>
                        </w:r>
                        <w:r>
                          <w:rPr>
                            <w:rFonts w:ascii="宋体" w:hAnsi="宋体" w:cs="宋体" w:eastAsia="宋体" w:hint="default"/>
                            <w:spacing w:val="-28"/>
                            <w:position w:val="-10"/>
                            <w:sz w:val="18"/>
                            <w:szCs w:val="18"/>
                          </w:rPr>
                          <w:t> </w:t>
                        </w:r>
                        <w:r>
                          <w:rPr>
                            <w:rFonts w:ascii="宋体" w:hAnsi="宋体" w:cs="宋体" w:eastAsia="宋体" w:hint="default"/>
                            <w:spacing w:val="3"/>
                            <w:sz w:val="18"/>
                            <w:szCs w:val="18"/>
                          </w:rPr>
                          <w:t>了解公司上半年发展情况及旺季促销具</w:t>
                        </w:r>
                        <w:r>
                          <w:rPr>
                            <w:rFonts w:ascii="宋体" w:hAnsi="宋体" w:cs="宋体" w:eastAsia="宋体" w:hint="default"/>
                            <w:sz w:val="18"/>
                            <w:szCs w:val="18"/>
                          </w:rPr>
                        </w:r>
                      </w:p>
                      <w:p>
                        <w:pPr>
                          <w:pStyle w:val="TableParagraph"/>
                          <w:spacing w:line="240" w:lineRule="auto" w:before="234"/>
                          <w:ind w:left="1333" w:right="3148"/>
                          <w:jc w:val="left"/>
                          <w:rPr>
                            <w:rFonts w:ascii="宋体" w:hAnsi="宋体" w:cs="宋体" w:eastAsia="宋体" w:hint="default"/>
                            <w:sz w:val="18"/>
                            <w:szCs w:val="18"/>
                          </w:rPr>
                        </w:pPr>
                        <w:r>
                          <w:rPr>
                            <w:rFonts w:ascii="宋体" w:hAnsi="宋体" w:cs="宋体" w:eastAsia="宋体" w:hint="default"/>
                            <w:sz w:val="18"/>
                            <w:szCs w:val="18"/>
                          </w:rPr>
                          <w:t>资、景林投资、长信基金、 中信证券等</w:t>
                        </w:r>
                      </w:p>
                    </w:tc>
                  </w:tr>
                  <w:tr>
                    <w:trPr>
                      <w:trHeight w:val="491" w:hRule="exact"/>
                    </w:trPr>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51" w:right="0"/>
                          <w:jc w:val="left"/>
                          <w:rPr>
                            <w:rFonts w:ascii="Times New Roman" w:hAnsi="Times New Roman" w:cs="Times New Roman" w:eastAsia="Times New Roman" w:hint="default"/>
                            <w:sz w:val="18"/>
                            <w:szCs w:val="18"/>
                          </w:rPr>
                        </w:pPr>
                        <w:r>
                          <w:rPr>
                            <w:rFonts w:ascii="Times New Roman"/>
                            <w:sz w:val="18"/>
                          </w:rPr>
                          <w:t>2010.7.28</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8"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6643" w:type="dxa"/>
                        <w:gridSpan w:val="3"/>
                        <w:tcBorders>
                          <w:top w:val="nil" w:sz="6" w:space="0" w:color="auto"/>
                          <w:left w:val="nil" w:sz="6" w:space="0" w:color="auto"/>
                          <w:bottom w:val="nil" w:sz="6" w:space="0" w:color="auto"/>
                          <w:right w:val="nil" w:sz="6" w:space="0" w:color="auto"/>
                        </w:tcBorders>
                      </w:tcPr>
                      <w:p>
                        <w:pPr>
                          <w:pStyle w:val="TableParagraph"/>
                          <w:tabs>
                            <w:tab w:pos="3489" w:val="left" w:leader="none"/>
                          </w:tabs>
                          <w:spacing w:line="240" w:lineRule="exact" w:before="4"/>
                          <w:ind w:left="3489" w:right="21" w:hanging="3198"/>
                          <w:jc w:val="left"/>
                          <w:rPr>
                            <w:rFonts w:ascii="宋体" w:hAnsi="宋体" w:cs="宋体" w:eastAsia="宋体" w:hint="default"/>
                            <w:sz w:val="18"/>
                            <w:szCs w:val="18"/>
                          </w:rPr>
                        </w:pPr>
                        <w:r>
                          <w:rPr>
                            <w:rFonts w:ascii="宋体" w:hAnsi="宋体" w:cs="宋体" w:eastAsia="宋体" w:hint="default"/>
                            <w:position w:val="1"/>
                            <w:sz w:val="18"/>
                            <w:szCs w:val="18"/>
                          </w:rPr>
                          <w:t>电话沟通</w:t>
                          <w:tab/>
                        </w:r>
                        <w:r>
                          <w:rPr>
                            <w:rFonts w:ascii="宋体" w:hAnsi="宋体" w:cs="宋体" w:eastAsia="宋体" w:hint="default"/>
                            <w:spacing w:val="3"/>
                            <w:sz w:val="18"/>
                            <w:szCs w:val="18"/>
                          </w:rPr>
                          <w:t>了解公司基本面情况及国内行业发展概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况</w:t>
                        </w:r>
                      </w:p>
                    </w:tc>
                  </w:tr>
                  <w:tr>
                    <w:trPr>
                      <w:trHeight w:val="490" w:hRule="exact"/>
                    </w:trPr>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51" w:right="0"/>
                          <w:jc w:val="left"/>
                          <w:rPr>
                            <w:rFonts w:ascii="Times New Roman" w:hAnsi="Times New Roman" w:cs="Times New Roman" w:eastAsia="Times New Roman" w:hint="default"/>
                            <w:sz w:val="18"/>
                            <w:szCs w:val="18"/>
                          </w:rPr>
                        </w:pPr>
                        <w:r>
                          <w:rPr>
                            <w:rFonts w:ascii="Times New Roman"/>
                            <w:sz w:val="18"/>
                          </w:rPr>
                          <w:t>2010.8.3</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8"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6643" w:type="dxa"/>
                        <w:gridSpan w:val="3"/>
                        <w:tcBorders>
                          <w:top w:val="nil" w:sz="6" w:space="0" w:color="auto"/>
                          <w:left w:val="nil" w:sz="6" w:space="0" w:color="auto"/>
                          <w:bottom w:val="nil" w:sz="6" w:space="0" w:color="auto"/>
                          <w:right w:val="nil" w:sz="6" w:space="0" w:color="auto"/>
                        </w:tcBorders>
                      </w:tcPr>
                      <w:p>
                        <w:pPr>
                          <w:pStyle w:val="TableParagraph"/>
                          <w:tabs>
                            <w:tab w:pos="3489" w:val="left" w:leader="none"/>
                          </w:tabs>
                          <w:spacing w:line="240" w:lineRule="exact" w:before="4"/>
                          <w:ind w:left="3489" w:right="21" w:hanging="3198"/>
                          <w:jc w:val="left"/>
                          <w:rPr>
                            <w:rFonts w:ascii="宋体" w:hAnsi="宋体" w:cs="宋体" w:eastAsia="宋体" w:hint="default"/>
                            <w:sz w:val="18"/>
                            <w:szCs w:val="18"/>
                          </w:rPr>
                        </w:pPr>
                        <w:r>
                          <w:rPr>
                            <w:rFonts w:ascii="宋体" w:hAnsi="宋体" w:cs="宋体" w:eastAsia="宋体" w:hint="default"/>
                            <w:position w:val="1"/>
                            <w:sz w:val="18"/>
                            <w:szCs w:val="18"/>
                          </w:rPr>
                          <w:t>电话沟通</w:t>
                          <w:tab/>
                        </w:r>
                        <w:r>
                          <w:rPr>
                            <w:rFonts w:ascii="宋体" w:hAnsi="宋体" w:cs="宋体" w:eastAsia="宋体" w:hint="default"/>
                            <w:spacing w:val="3"/>
                            <w:sz w:val="18"/>
                            <w:szCs w:val="18"/>
                          </w:rPr>
                          <w:t>了解公司最新发展状况及国内家电行业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概况</w:t>
                        </w:r>
                      </w:p>
                    </w:tc>
                  </w:tr>
                  <w:tr>
                    <w:trPr>
                      <w:trHeight w:val="490" w:hRule="exact"/>
                    </w:trPr>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51" w:right="0"/>
                          <w:jc w:val="left"/>
                          <w:rPr>
                            <w:rFonts w:ascii="Times New Roman" w:hAnsi="Times New Roman" w:cs="Times New Roman" w:eastAsia="Times New Roman" w:hint="default"/>
                            <w:sz w:val="18"/>
                            <w:szCs w:val="18"/>
                          </w:rPr>
                        </w:pPr>
                        <w:r>
                          <w:rPr>
                            <w:rFonts w:ascii="Times New Roman"/>
                            <w:sz w:val="18"/>
                          </w:rPr>
                          <w:t>2010.8.4</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8"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6643" w:type="dxa"/>
                        <w:gridSpan w:val="3"/>
                        <w:tcBorders>
                          <w:top w:val="nil" w:sz="6" w:space="0" w:color="auto"/>
                          <w:left w:val="nil" w:sz="6" w:space="0" w:color="auto"/>
                          <w:bottom w:val="nil" w:sz="6" w:space="0" w:color="auto"/>
                          <w:right w:val="nil" w:sz="6" w:space="0" w:color="auto"/>
                        </w:tcBorders>
                      </w:tcPr>
                      <w:p>
                        <w:pPr>
                          <w:pStyle w:val="TableParagraph"/>
                          <w:tabs>
                            <w:tab w:pos="1333" w:val="left" w:leader="none"/>
                            <w:tab w:pos="3489" w:val="left" w:leader="none"/>
                          </w:tabs>
                          <w:spacing w:line="346" w:lineRule="exact"/>
                          <w:ind w:left="291" w:right="0"/>
                          <w:jc w:val="left"/>
                          <w:rPr>
                            <w:rFonts w:ascii="宋体" w:hAnsi="宋体" w:cs="宋体" w:eastAsia="宋体" w:hint="default"/>
                            <w:sz w:val="18"/>
                            <w:szCs w:val="18"/>
                          </w:rPr>
                        </w:pPr>
                        <w:r>
                          <w:rPr>
                            <w:rFonts w:ascii="宋体" w:hAnsi="宋体" w:cs="宋体" w:eastAsia="宋体" w:hint="default"/>
                            <w:position w:val="-10"/>
                            <w:sz w:val="18"/>
                            <w:szCs w:val="18"/>
                          </w:rPr>
                          <w:t>实地调研</w:t>
                          <w:tab/>
                        </w:r>
                        <w:r>
                          <w:rPr>
                            <w:rFonts w:ascii="Times New Roman" w:hAnsi="Times New Roman" w:cs="Times New Roman" w:eastAsia="Times New Roman" w:hint="default"/>
                            <w:position w:val="-10"/>
                            <w:sz w:val="18"/>
                            <w:szCs w:val="18"/>
                          </w:rPr>
                          <w:t>UG</w:t>
                        </w:r>
                        <w:r>
                          <w:rPr>
                            <w:rFonts w:ascii="Times New Roman" w:hAnsi="Times New Roman" w:cs="Times New Roman" w:eastAsia="Times New Roman" w:hint="default"/>
                            <w:spacing w:val="-5"/>
                            <w:position w:val="-10"/>
                            <w:sz w:val="18"/>
                            <w:szCs w:val="18"/>
                          </w:rPr>
                          <w:t> </w:t>
                        </w:r>
                        <w:r>
                          <w:rPr>
                            <w:rFonts w:ascii="Times New Roman" w:hAnsi="Times New Roman" w:cs="Times New Roman" w:eastAsia="Times New Roman" w:hint="default"/>
                            <w:position w:val="-10"/>
                            <w:sz w:val="18"/>
                            <w:szCs w:val="18"/>
                          </w:rPr>
                          <w:t>FUNDS</w:t>
                          <w:tab/>
                        </w:r>
                        <w:r>
                          <w:rPr>
                            <w:rFonts w:ascii="宋体" w:hAnsi="宋体" w:cs="宋体" w:eastAsia="宋体" w:hint="default"/>
                            <w:spacing w:val="3"/>
                            <w:sz w:val="18"/>
                            <w:szCs w:val="18"/>
                          </w:rPr>
                          <w:t>了解公司基本面情况及国内传统家电行</w:t>
                        </w:r>
                        <w:r>
                          <w:rPr>
                            <w:rFonts w:ascii="宋体" w:hAnsi="宋体" w:cs="宋体" w:eastAsia="宋体" w:hint="default"/>
                            <w:sz w:val="18"/>
                            <w:szCs w:val="18"/>
                          </w:rPr>
                        </w:r>
                      </w:p>
                    </w:tc>
                  </w:tr>
                  <w:tr>
                    <w:trPr>
                      <w:trHeight w:val="251" w:hRule="exact"/>
                    </w:trPr>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1" w:right="0"/>
                          <w:jc w:val="left"/>
                          <w:rPr>
                            <w:rFonts w:ascii="Times New Roman" w:hAnsi="Times New Roman" w:cs="Times New Roman" w:eastAsia="Times New Roman" w:hint="default"/>
                            <w:sz w:val="18"/>
                            <w:szCs w:val="18"/>
                          </w:rPr>
                        </w:pPr>
                        <w:r>
                          <w:rPr>
                            <w:rFonts w:ascii="Times New Roman"/>
                            <w:sz w:val="18"/>
                          </w:rPr>
                          <w:t>2010.8.6</w:t>
                        </w:r>
                      </w:p>
                    </w:tc>
                    <w:tc>
                      <w:tcPr>
                        <w:tcW w:w="1622" w:type="dxa"/>
                        <w:tcBorders>
                          <w:top w:val="nil" w:sz="6" w:space="0" w:color="auto"/>
                          <w:left w:val="nil" w:sz="6" w:space="0" w:color="auto"/>
                          <w:bottom w:val="nil" w:sz="6" w:space="0" w:color="auto"/>
                          <w:right w:val="nil" w:sz="6" w:space="0" w:color="auto"/>
                        </w:tcBorders>
                      </w:tcPr>
                      <w:p>
                        <w:pPr>
                          <w:pStyle w:val="TableParagraph"/>
                          <w:spacing w:line="213" w:lineRule="exact"/>
                          <w:ind w:left="28"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6643" w:type="dxa"/>
                        <w:gridSpan w:val="3"/>
                        <w:tcBorders>
                          <w:top w:val="nil" w:sz="6" w:space="0" w:color="auto"/>
                          <w:left w:val="nil" w:sz="6" w:space="0" w:color="auto"/>
                          <w:bottom w:val="nil" w:sz="6" w:space="0" w:color="auto"/>
                          <w:right w:val="nil" w:sz="6" w:space="0" w:color="auto"/>
                        </w:tcBorders>
                      </w:tcPr>
                      <w:p>
                        <w:pPr>
                          <w:pStyle w:val="TableParagraph"/>
                          <w:tabs>
                            <w:tab w:pos="1333" w:val="left" w:leader="none"/>
                            <w:tab w:pos="3489" w:val="left" w:leader="none"/>
                          </w:tabs>
                          <w:spacing w:line="226" w:lineRule="exact"/>
                          <w:ind w:left="291" w:right="0"/>
                          <w:jc w:val="left"/>
                          <w:rPr>
                            <w:rFonts w:ascii="宋体" w:hAnsi="宋体" w:cs="宋体" w:eastAsia="宋体" w:hint="default"/>
                            <w:sz w:val="18"/>
                            <w:szCs w:val="18"/>
                          </w:rPr>
                        </w:pPr>
                        <w:r>
                          <w:rPr>
                            <w:rFonts w:ascii="宋体" w:hAnsi="宋体" w:cs="宋体" w:eastAsia="宋体" w:hint="default"/>
                            <w:position w:val="1"/>
                            <w:sz w:val="18"/>
                            <w:szCs w:val="18"/>
                          </w:rPr>
                          <w:t>实地调研</w:t>
                          <w:tab/>
                        </w:r>
                        <w:r>
                          <w:rPr>
                            <w:rFonts w:ascii="Times New Roman" w:hAnsi="Times New Roman" w:cs="Times New Roman" w:eastAsia="Times New Roman" w:hint="default"/>
                            <w:position w:val="1"/>
                            <w:sz w:val="18"/>
                            <w:szCs w:val="18"/>
                          </w:rPr>
                          <w:t>Standard Life</w:t>
                        </w:r>
                        <w:r>
                          <w:rPr>
                            <w:rFonts w:ascii="Times New Roman" w:hAnsi="Times New Roman" w:cs="Times New Roman" w:eastAsia="Times New Roman" w:hint="default"/>
                            <w:spacing w:val="-8"/>
                            <w:position w:val="1"/>
                            <w:sz w:val="18"/>
                            <w:szCs w:val="18"/>
                          </w:rPr>
                          <w:t> </w:t>
                        </w:r>
                        <w:r>
                          <w:rPr>
                            <w:rFonts w:ascii="Times New Roman" w:hAnsi="Times New Roman" w:cs="Times New Roman" w:eastAsia="Times New Roman" w:hint="default"/>
                            <w:position w:val="1"/>
                            <w:sz w:val="18"/>
                            <w:szCs w:val="18"/>
                          </w:rPr>
                          <w:t>Investments</w:t>
                          <w:tab/>
                        </w:r>
                        <w:r>
                          <w:rPr>
                            <w:rFonts w:ascii="宋体" w:hAnsi="宋体" w:cs="宋体" w:eastAsia="宋体" w:hint="default"/>
                            <w:sz w:val="18"/>
                            <w:szCs w:val="18"/>
                          </w:rPr>
                          <w:t>了解上海地区主要店面销售情况</w:t>
                        </w:r>
                      </w:p>
                    </w:tc>
                  </w:tr>
                  <w:tr>
                    <w:trPr>
                      <w:trHeight w:val="305" w:hRule="exact"/>
                    </w:trPr>
                    <w:tc>
                      <w:tcPr>
                        <w:tcW w:w="9418" w:type="dxa"/>
                        <w:gridSpan w:val="5"/>
                        <w:tcBorders>
                          <w:top w:val="nil" w:sz="6" w:space="0" w:color="auto"/>
                          <w:left w:val="nil" w:sz="6" w:space="0" w:color="auto"/>
                          <w:bottom w:val="nil" w:sz="6" w:space="0" w:color="auto"/>
                          <w:right w:val="nil" w:sz="6" w:space="0" w:color="auto"/>
                        </w:tcBorders>
                      </w:tcPr>
                      <w:p>
                        <w:pPr>
                          <w:pStyle w:val="TableParagraph"/>
                          <w:tabs>
                            <w:tab w:pos="1180" w:val="left" w:leader="none"/>
                            <w:tab w:pos="3066" w:val="left" w:leader="none"/>
                            <w:tab w:pos="4107" w:val="left" w:leader="none"/>
                          </w:tabs>
                          <w:spacing w:line="345" w:lineRule="exact"/>
                          <w:ind w:left="51" w:right="0"/>
                          <w:jc w:val="left"/>
                          <w:rPr>
                            <w:rFonts w:ascii="宋体" w:hAnsi="宋体" w:cs="宋体" w:eastAsia="宋体" w:hint="default"/>
                            <w:sz w:val="18"/>
                            <w:szCs w:val="18"/>
                          </w:rPr>
                        </w:pPr>
                        <w:r>
                          <w:rPr>
                            <w:rFonts w:ascii="Times New Roman" w:hAnsi="Times New Roman" w:cs="Times New Roman" w:eastAsia="Times New Roman" w:hint="default"/>
                            <w:position w:val="-10"/>
                            <w:sz w:val="18"/>
                            <w:szCs w:val="18"/>
                          </w:rPr>
                          <w:t>2010.8.31</w:t>
                          <w:tab/>
                        </w:r>
                        <w:r>
                          <w:rPr>
                            <w:rFonts w:ascii="宋体" w:hAnsi="宋体" w:cs="宋体" w:eastAsia="宋体" w:hint="default"/>
                            <w:position w:val="-10"/>
                            <w:sz w:val="18"/>
                            <w:szCs w:val="18"/>
                          </w:rPr>
                          <w:t>公司会议室</w:t>
                          <w:tab/>
                          <w:t>实地调研</w:t>
                          <w:tab/>
                        </w:r>
                        <w:r>
                          <w:rPr>
                            <w:rFonts w:ascii="宋体" w:hAnsi="宋体" w:cs="宋体" w:eastAsia="宋体" w:hint="default"/>
                            <w:spacing w:val="10"/>
                            <w:position w:val="1"/>
                            <w:sz w:val="18"/>
                            <w:szCs w:val="18"/>
                          </w:rPr>
                          <w:t>新加坡主权投资基金淡马 </w:t>
                        </w:r>
                        <w:r>
                          <w:rPr>
                            <w:rFonts w:ascii="宋体" w:hAnsi="宋体" w:cs="宋体" w:eastAsia="宋体" w:hint="default"/>
                            <w:sz w:val="18"/>
                            <w:szCs w:val="18"/>
                          </w:rPr>
                          <w:t>了解公司基本面情况及未来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年的发</w:t>
                        </w:r>
                      </w:p>
                    </w:tc>
                  </w:tr>
                  <w:tr>
                    <w:trPr>
                      <w:trHeight w:val="185" w:hRule="exact"/>
                    </w:trPr>
                    <w:tc>
                      <w:tcPr>
                        <w:tcW w:w="6235" w:type="dxa"/>
                        <w:gridSpan w:val="4"/>
                        <w:tcBorders>
                          <w:top w:val="nil" w:sz="6" w:space="0" w:color="auto"/>
                          <w:left w:val="nil" w:sz="6" w:space="0" w:color="auto"/>
                          <w:bottom w:val="single" w:sz="4" w:space="0" w:color="000000"/>
                          <w:right w:val="nil" w:sz="6" w:space="0" w:color="auto"/>
                        </w:tcBorders>
                      </w:tcPr>
                      <w:p>
                        <w:pPr>
                          <w:pStyle w:val="TableParagraph"/>
                          <w:spacing w:line="145" w:lineRule="exact"/>
                          <w:ind w:left="4107" w:right="0"/>
                          <w:jc w:val="left"/>
                          <w:rPr>
                            <w:rFonts w:ascii="宋体" w:hAnsi="宋体" w:cs="宋体" w:eastAsia="宋体" w:hint="default"/>
                            <w:sz w:val="18"/>
                            <w:szCs w:val="18"/>
                          </w:rPr>
                        </w:pPr>
                        <w:r>
                          <w:rPr>
                            <w:rFonts w:ascii="宋体" w:hAnsi="宋体" w:cs="宋体" w:eastAsia="宋体" w:hint="default"/>
                            <w:sz w:val="18"/>
                            <w:szCs w:val="18"/>
                          </w:rPr>
                          <w:t>锡控股</w:t>
                        </w:r>
                      </w:p>
                    </w:tc>
                    <w:tc>
                      <w:tcPr>
                        <w:tcW w:w="3182" w:type="dxa"/>
                        <w:tcBorders>
                          <w:top w:val="nil" w:sz="6" w:space="0" w:color="auto"/>
                          <w:left w:val="nil" w:sz="6" w:space="0" w:color="auto"/>
                          <w:bottom w:val="single" w:sz="4" w:space="0" w:color="000000"/>
                          <w:right w:val="nil" w:sz="6" w:space="0" w:color="auto"/>
                        </w:tcBorders>
                      </w:tcPr>
                      <w:p>
                        <w:pPr>
                          <w:pStyle w:val="TableParagraph"/>
                          <w:spacing w:line="157" w:lineRule="exact"/>
                          <w:ind w:left="28" w:right="0"/>
                          <w:jc w:val="left"/>
                          <w:rPr>
                            <w:rFonts w:ascii="宋体" w:hAnsi="宋体" w:cs="宋体" w:eastAsia="宋体" w:hint="default"/>
                            <w:sz w:val="18"/>
                            <w:szCs w:val="18"/>
                          </w:rPr>
                        </w:pPr>
                        <w:r>
                          <w:rPr>
                            <w:rFonts w:ascii="宋体" w:hAnsi="宋体" w:cs="宋体" w:eastAsia="宋体" w:hint="default"/>
                            <w:sz w:val="18"/>
                            <w:szCs w:val="18"/>
                          </w:rPr>
                          <w:t>展策略、经营目标</w:t>
                        </w:r>
                      </w:p>
                    </w:tc>
                  </w:tr>
                  <w:tr>
                    <w:trPr>
                      <w:trHeight w:val="305" w:hRule="exact"/>
                    </w:trPr>
                    <w:tc>
                      <w:tcPr>
                        <w:tcW w:w="9418" w:type="dxa"/>
                        <w:gridSpan w:val="5"/>
                        <w:tcBorders>
                          <w:top w:val="nil" w:sz="6" w:space="0" w:color="auto"/>
                          <w:left w:val="nil" w:sz="6" w:space="0" w:color="auto"/>
                          <w:bottom w:val="nil" w:sz="6" w:space="0" w:color="auto"/>
                          <w:right w:val="nil" w:sz="6" w:space="0" w:color="auto"/>
                        </w:tcBorders>
                      </w:tcPr>
                      <w:p>
                        <w:pPr>
                          <w:pStyle w:val="TableParagraph"/>
                          <w:tabs>
                            <w:tab w:pos="1180" w:val="left" w:leader="none"/>
                            <w:tab w:pos="3066" w:val="left" w:leader="none"/>
                            <w:tab w:pos="4107" w:val="left" w:leader="none"/>
                          </w:tabs>
                          <w:spacing w:line="345" w:lineRule="exact"/>
                          <w:ind w:left="51" w:right="0"/>
                          <w:jc w:val="left"/>
                          <w:rPr>
                            <w:rFonts w:ascii="宋体" w:hAnsi="宋体" w:cs="宋体" w:eastAsia="宋体" w:hint="default"/>
                            <w:sz w:val="18"/>
                            <w:szCs w:val="18"/>
                          </w:rPr>
                        </w:pPr>
                        <w:r>
                          <w:rPr>
                            <w:rFonts w:ascii="Times New Roman" w:hAnsi="Times New Roman" w:cs="Times New Roman" w:eastAsia="Times New Roman" w:hint="default"/>
                            <w:position w:val="-10"/>
                            <w:sz w:val="18"/>
                            <w:szCs w:val="18"/>
                          </w:rPr>
                          <w:t>2010.9.2</w:t>
                          <w:tab/>
                        </w:r>
                        <w:r>
                          <w:rPr>
                            <w:rFonts w:ascii="宋体" w:hAnsi="宋体" w:cs="宋体" w:eastAsia="宋体" w:hint="default"/>
                            <w:position w:val="-10"/>
                            <w:sz w:val="18"/>
                            <w:szCs w:val="18"/>
                          </w:rPr>
                          <w:t>公司会议室</w:t>
                          <w:tab/>
                          <w:t>实地调研</w:t>
                          <w:tab/>
                        </w:r>
                        <w:r>
                          <w:rPr>
                            <w:rFonts w:ascii="宋体" w:hAnsi="宋体" w:cs="宋体" w:eastAsia="宋体" w:hint="default"/>
                            <w:spacing w:val="-5"/>
                            <w:position w:val="1"/>
                            <w:sz w:val="18"/>
                            <w:szCs w:val="18"/>
                          </w:rPr>
                          <w:t>中再保险、万家基金、光大</w:t>
                        </w:r>
                        <w:r>
                          <w:rPr>
                            <w:rFonts w:ascii="宋体" w:hAnsi="宋体" w:cs="宋体" w:eastAsia="宋体" w:hint="default"/>
                            <w:spacing w:val="-28"/>
                            <w:position w:val="1"/>
                            <w:sz w:val="18"/>
                            <w:szCs w:val="18"/>
                          </w:rPr>
                          <w:t> </w:t>
                        </w:r>
                        <w:r>
                          <w:rPr>
                            <w:rFonts w:ascii="宋体" w:hAnsi="宋体" w:cs="宋体" w:eastAsia="宋体" w:hint="default"/>
                            <w:spacing w:val="3"/>
                            <w:sz w:val="18"/>
                            <w:szCs w:val="18"/>
                          </w:rPr>
                          <w:t>了解公司面对未来宏观环境的预计与应</w:t>
                        </w:r>
                        <w:r>
                          <w:rPr>
                            <w:rFonts w:ascii="宋体" w:hAnsi="宋体" w:cs="宋体" w:eastAsia="宋体" w:hint="default"/>
                            <w:sz w:val="18"/>
                            <w:szCs w:val="18"/>
                          </w:rPr>
                        </w:r>
                      </w:p>
                    </w:tc>
                  </w:tr>
                  <w:tr>
                    <w:trPr>
                      <w:trHeight w:val="186" w:hRule="exact"/>
                    </w:trPr>
                    <w:tc>
                      <w:tcPr>
                        <w:tcW w:w="6235" w:type="dxa"/>
                        <w:gridSpan w:val="4"/>
                        <w:tcBorders>
                          <w:top w:val="nil" w:sz="6" w:space="0" w:color="auto"/>
                          <w:left w:val="nil" w:sz="6" w:space="0" w:color="auto"/>
                          <w:bottom w:val="single" w:sz="4" w:space="0" w:color="000000"/>
                          <w:right w:val="nil" w:sz="6" w:space="0" w:color="auto"/>
                        </w:tcBorders>
                      </w:tcPr>
                      <w:p>
                        <w:pPr>
                          <w:pStyle w:val="TableParagraph"/>
                          <w:spacing w:line="145" w:lineRule="exact"/>
                          <w:ind w:left="4107" w:right="0"/>
                          <w:jc w:val="left"/>
                          <w:rPr>
                            <w:rFonts w:ascii="宋体" w:hAnsi="宋体" w:cs="宋体" w:eastAsia="宋体" w:hint="default"/>
                            <w:sz w:val="18"/>
                            <w:szCs w:val="18"/>
                          </w:rPr>
                        </w:pPr>
                        <w:r>
                          <w:rPr>
                            <w:rFonts w:ascii="宋体" w:hAnsi="宋体" w:cs="宋体" w:eastAsia="宋体" w:hint="default"/>
                            <w:sz w:val="18"/>
                            <w:szCs w:val="18"/>
                          </w:rPr>
                          <w:t>证券</w:t>
                        </w:r>
                      </w:p>
                    </w:tc>
                    <w:tc>
                      <w:tcPr>
                        <w:tcW w:w="3182" w:type="dxa"/>
                        <w:tcBorders>
                          <w:top w:val="nil" w:sz="6" w:space="0" w:color="auto"/>
                          <w:left w:val="nil" w:sz="6" w:space="0" w:color="auto"/>
                          <w:bottom w:val="single" w:sz="4" w:space="0" w:color="000000"/>
                          <w:right w:val="nil" w:sz="6" w:space="0" w:color="auto"/>
                        </w:tcBorders>
                      </w:tcPr>
                      <w:p>
                        <w:pPr>
                          <w:pStyle w:val="TableParagraph"/>
                          <w:spacing w:line="157" w:lineRule="exact"/>
                          <w:ind w:left="28" w:right="0"/>
                          <w:jc w:val="left"/>
                          <w:rPr>
                            <w:rFonts w:ascii="宋体" w:hAnsi="宋体" w:cs="宋体" w:eastAsia="宋体" w:hint="default"/>
                            <w:sz w:val="18"/>
                            <w:szCs w:val="18"/>
                          </w:rPr>
                        </w:pPr>
                        <w:r>
                          <w:rPr>
                            <w:rFonts w:ascii="宋体" w:hAnsi="宋体" w:cs="宋体" w:eastAsia="宋体" w:hint="default"/>
                            <w:sz w:val="18"/>
                            <w:szCs w:val="18"/>
                          </w:rPr>
                          <w:t>对措施，各品类销售情况</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44"/>
        <w:ind w:left="6377" w:right="0" w:firstLine="0"/>
        <w:jc w:val="left"/>
        <w:rPr>
          <w:rFonts w:ascii="宋体" w:hAnsi="宋体" w:cs="宋体" w:eastAsia="宋体" w:hint="default"/>
          <w:sz w:val="18"/>
          <w:szCs w:val="18"/>
        </w:rPr>
      </w:pPr>
      <w:r>
        <w:rPr>
          <w:rFonts w:ascii="宋体" w:hAnsi="宋体" w:cs="宋体" w:eastAsia="宋体" w:hint="default"/>
          <w:sz w:val="18"/>
          <w:szCs w:val="18"/>
        </w:rPr>
        <w:t>规划，探索行业未来发展前景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44"/>
        <w:ind w:left="6377" w:right="0" w:firstLine="0"/>
        <w:jc w:val="left"/>
        <w:rPr>
          <w:rFonts w:ascii="宋体" w:hAnsi="宋体" w:cs="宋体" w:eastAsia="宋体" w:hint="default"/>
          <w:sz w:val="18"/>
          <w:szCs w:val="18"/>
        </w:rPr>
      </w:pPr>
      <w:r>
        <w:rPr>
          <w:rFonts w:ascii="宋体" w:hAnsi="宋体" w:cs="宋体" w:eastAsia="宋体" w:hint="default"/>
          <w:sz w:val="18"/>
          <w:szCs w:val="18"/>
        </w:rPr>
        <w:t>业竞争渠道情况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44"/>
        <w:ind w:left="6377" w:right="0" w:firstLine="0"/>
        <w:jc w:val="left"/>
        <w:rPr>
          <w:rFonts w:ascii="宋体" w:hAnsi="宋体" w:cs="宋体" w:eastAsia="宋体" w:hint="default"/>
          <w:sz w:val="18"/>
          <w:szCs w:val="18"/>
        </w:rPr>
      </w:pPr>
      <w:r>
        <w:rPr>
          <w:rFonts w:ascii="宋体" w:hAnsi="宋体" w:cs="宋体" w:eastAsia="宋体" w:hint="default"/>
          <w:sz w:val="18"/>
          <w:szCs w:val="18"/>
        </w:rPr>
        <w:t>家电行业发展情况</w:t>
      </w:r>
    </w:p>
    <w:p>
      <w:pPr>
        <w:spacing w:line="240" w:lineRule="auto" w:before="0"/>
        <w:rPr>
          <w:rFonts w:ascii="宋体" w:hAnsi="宋体" w:cs="宋体" w:eastAsia="宋体" w:hint="default"/>
          <w:sz w:val="16"/>
          <w:szCs w:val="16"/>
        </w:rPr>
      </w:pPr>
    </w:p>
    <w:p>
      <w:pPr>
        <w:spacing w:before="44"/>
        <w:ind w:left="6377" w:right="0" w:firstLine="0"/>
        <w:jc w:val="left"/>
        <w:rPr>
          <w:rFonts w:ascii="宋体" w:hAnsi="宋体" w:cs="宋体" w:eastAsia="宋体" w:hint="default"/>
          <w:sz w:val="18"/>
          <w:szCs w:val="18"/>
        </w:rPr>
      </w:pPr>
      <w:r>
        <w:rPr>
          <w:rFonts w:ascii="宋体" w:hAnsi="宋体" w:cs="宋体" w:eastAsia="宋体" w:hint="default"/>
          <w:sz w:val="18"/>
          <w:szCs w:val="18"/>
        </w:rPr>
        <w:t>具体规划、渠道下沉进展情况</w:t>
      </w:r>
    </w:p>
    <w:p>
      <w:pPr>
        <w:spacing w:line="240" w:lineRule="auto" w:before="0"/>
        <w:rPr>
          <w:rFonts w:ascii="宋体" w:hAnsi="宋体" w:cs="宋体" w:eastAsia="宋体" w:hint="default"/>
          <w:sz w:val="16"/>
          <w:szCs w:val="16"/>
        </w:rPr>
      </w:pPr>
    </w:p>
    <w:p>
      <w:pPr>
        <w:spacing w:before="44"/>
        <w:ind w:left="6377" w:right="0" w:firstLine="0"/>
        <w:jc w:val="left"/>
        <w:rPr>
          <w:rFonts w:ascii="宋体" w:hAnsi="宋体" w:cs="宋体" w:eastAsia="宋体" w:hint="default"/>
          <w:sz w:val="18"/>
          <w:szCs w:val="18"/>
        </w:rPr>
      </w:pPr>
      <w:r>
        <w:rPr>
          <w:rFonts w:ascii="宋体" w:hAnsi="宋体" w:cs="宋体" w:eastAsia="宋体" w:hint="default"/>
          <w:sz w:val="18"/>
          <w:szCs w:val="18"/>
        </w:rPr>
        <w:t>业发展现况及竞争状况</w:t>
      </w:r>
    </w:p>
    <w:p>
      <w:pPr>
        <w:spacing w:line="240" w:lineRule="auto" w:before="6"/>
        <w:rPr>
          <w:rFonts w:ascii="宋体" w:hAnsi="宋体" w:cs="宋体" w:eastAsia="宋体" w:hint="default"/>
          <w:sz w:val="23"/>
          <w:szCs w:val="23"/>
        </w:rPr>
      </w:pPr>
    </w:p>
    <w:p>
      <w:pPr>
        <w:tabs>
          <w:tab w:pos="6377" w:val="left" w:leader="none"/>
        </w:tabs>
        <w:spacing w:before="44"/>
        <w:ind w:left="4221" w:right="0" w:firstLine="0"/>
        <w:jc w:val="left"/>
        <w:rPr>
          <w:rFonts w:ascii="宋体" w:hAnsi="宋体" w:cs="宋体" w:eastAsia="宋体" w:hint="default"/>
          <w:sz w:val="18"/>
          <w:szCs w:val="18"/>
        </w:rPr>
      </w:pPr>
      <w:r>
        <w:rPr>
          <w:rFonts w:ascii="Times New Roman" w:hAnsi="Times New Roman" w:cs="Times New Roman" w:eastAsia="Times New Roman" w:hint="default"/>
          <w:w w:val="95"/>
          <w:position w:val="-8"/>
          <w:sz w:val="18"/>
          <w:szCs w:val="18"/>
        </w:rPr>
        <w:t>Management</w:t>
        <w:tab/>
      </w:r>
      <w:r>
        <w:rPr>
          <w:rFonts w:ascii="宋体" w:hAnsi="宋体" w:cs="宋体" w:eastAsia="宋体" w:hint="default"/>
          <w:sz w:val="18"/>
          <w:szCs w:val="18"/>
        </w:rPr>
        <w:t>了解长沙地区主要店面销售情况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before="44"/>
        <w:ind w:left="4221" w:right="0" w:firstLine="0"/>
        <w:jc w:val="left"/>
        <w:rPr>
          <w:rFonts w:ascii="宋体" w:hAnsi="宋体" w:cs="宋体" w:eastAsia="宋体" w:hint="default"/>
          <w:sz w:val="18"/>
          <w:szCs w:val="18"/>
        </w:rPr>
      </w:pPr>
      <w:r>
        <w:rPr>
          <w:rFonts w:ascii="宋体" w:hAnsi="宋体" w:cs="宋体" w:eastAsia="宋体" w:hint="default"/>
          <w:spacing w:val="10"/>
          <w:position w:val="-10"/>
          <w:sz w:val="18"/>
          <w:szCs w:val="18"/>
        </w:rPr>
        <w:t>圳麦达投资、深圳麦达投</w:t>
      </w:r>
      <w:r>
        <w:rPr>
          <w:rFonts w:ascii="宋体" w:hAnsi="宋体" w:cs="宋体" w:eastAsia="宋体" w:hint="default"/>
          <w:spacing w:val="-25"/>
          <w:position w:val="-10"/>
          <w:sz w:val="18"/>
          <w:szCs w:val="18"/>
        </w:rPr>
        <w:t> </w:t>
      </w:r>
      <w:r>
        <w:rPr>
          <w:rFonts w:ascii="宋体" w:hAnsi="宋体" w:cs="宋体" w:eastAsia="宋体" w:hint="default"/>
          <w:sz w:val="18"/>
          <w:szCs w:val="18"/>
        </w:rPr>
        <w:t>体情况，了解公司网上商城发展情况</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76"/>
        <w:ind w:left="4132" w:right="4336" w:firstLine="0"/>
        <w:jc w:val="center"/>
        <w:rPr>
          <w:rFonts w:ascii="Times New Roman" w:hAnsi="Times New Roman" w:cs="Times New Roman" w:eastAsia="Times New Roman" w:hint="default"/>
          <w:sz w:val="18"/>
          <w:szCs w:val="18"/>
        </w:rPr>
      </w:pPr>
      <w:r>
        <w:rPr>
          <w:rFonts w:ascii="Times New Roman"/>
          <w:sz w:val="18"/>
        </w:rPr>
        <w:t>BGC</w:t>
      </w:r>
      <w:r>
        <w:rPr>
          <w:rFonts w:ascii="Times New Roman"/>
          <w:spacing w:val="-1"/>
          <w:sz w:val="18"/>
        </w:rPr>
        <w:t> </w:t>
      </w:r>
      <w:r>
        <w:rPr>
          <w:rFonts w:ascii="Times New Roman"/>
          <w:sz w:val="18"/>
        </w:rPr>
        <w:t>partners</w:t>
      </w:r>
    </w:p>
    <w:p>
      <w:pPr>
        <w:spacing w:line="240" w:lineRule="auto" w:before="0"/>
        <w:rPr>
          <w:rFonts w:ascii="Times New Roman" w:hAnsi="Times New Roman" w:cs="Times New Roman" w:eastAsia="Times New Roman" w:hint="default"/>
          <w:sz w:val="18"/>
          <w:szCs w:val="18"/>
        </w:rPr>
      </w:pPr>
    </w:p>
    <w:p>
      <w:pPr>
        <w:spacing w:before="76"/>
        <w:ind w:left="4203" w:right="4336" w:firstLine="0"/>
        <w:jc w:val="center"/>
        <w:rPr>
          <w:rFonts w:ascii="Times New Roman" w:hAnsi="Times New Roman" w:cs="Times New Roman" w:eastAsia="Times New Roman" w:hint="default"/>
          <w:sz w:val="18"/>
          <w:szCs w:val="18"/>
        </w:rPr>
      </w:pPr>
      <w:r>
        <w:rPr>
          <w:rFonts w:ascii="Times New Roman"/>
          <w:sz w:val="18"/>
        </w:rPr>
        <w:t>Inmost</w:t>
      </w:r>
      <w:r>
        <w:rPr>
          <w:rFonts w:ascii="Times New Roman"/>
          <w:spacing w:val="-1"/>
          <w:sz w:val="18"/>
        </w:rPr>
        <w:t> </w:t>
      </w:r>
      <w:r>
        <w:rPr>
          <w:rFonts w:ascii="Times New Roman"/>
          <w:sz w:val="18"/>
        </w:rPr>
        <w:t>Partner</w:t>
      </w:r>
    </w:p>
    <w:p>
      <w:pPr>
        <w:spacing w:line="240" w:lineRule="auto" w:before="6"/>
        <w:rPr>
          <w:rFonts w:ascii="Times New Roman" w:hAnsi="Times New Roman" w:cs="Times New Roman" w:eastAsia="Times New Roman" w:hint="default"/>
          <w:sz w:val="28"/>
          <w:szCs w:val="28"/>
        </w:rPr>
      </w:pPr>
    </w:p>
    <w:p>
      <w:pPr>
        <w:spacing w:before="44"/>
        <w:ind w:left="6377" w:right="0" w:firstLine="0"/>
        <w:jc w:val="left"/>
        <w:rPr>
          <w:rFonts w:ascii="宋体" w:hAnsi="宋体" w:cs="宋体" w:eastAsia="宋体" w:hint="default"/>
          <w:sz w:val="18"/>
          <w:szCs w:val="18"/>
        </w:rPr>
      </w:pPr>
      <w:r>
        <w:rPr>
          <w:rFonts w:ascii="宋体" w:hAnsi="宋体" w:cs="宋体" w:eastAsia="宋体" w:hint="default"/>
          <w:sz w:val="18"/>
          <w:szCs w:val="18"/>
        </w:rPr>
        <w:t>业发展概况，与上游厂商的合作情况</w:t>
      </w:r>
    </w:p>
    <w:p>
      <w:pPr>
        <w:spacing w:after="0"/>
        <w:jc w:val="left"/>
        <w:rPr>
          <w:rFonts w:ascii="宋体" w:hAnsi="宋体" w:cs="宋体" w:eastAsia="宋体" w:hint="default"/>
          <w:sz w:val="18"/>
          <w:szCs w:val="18"/>
        </w:rPr>
        <w:sectPr>
          <w:pgSz w:w="11910" w:h="16840"/>
          <w:pgMar w:header="748" w:footer="714" w:top="980" w:bottom="900" w:left="112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1" w:type="dxa"/>
        <w:tblLayout w:type="fixed"/>
        <w:tblCellMar>
          <w:top w:w="0" w:type="dxa"/>
          <w:left w:w="0" w:type="dxa"/>
          <w:bottom w:w="0" w:type="dxa"/>
          <w:right w:w="0" w:type="dxa"/>
        </w:tblCellMar>
        <w:tblLook w:val="01E0"/>
      </w:tblPr>
      <w:tblGrid>
        <w:gridCol w:w="1129"/>
        <w:gridCol w:w="1622"/>
        <w:gridCol w:w="1306"/>
        <w:gridCol w:w="2155"/>
        <w:gridCol w:w="3182"/>
      </w:tblGrid>
      <w:tr>
        <w:trPr>
          <w:trHeight w:val="268"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Times New Roman" w:hAnsi="Times New Roman" w:cs="Times New Roman" w:eastAsia="Times New Roman" w:hint="default"/>
                <w:sz w:val="18"/>
                <w:szCs w:val="18"/>
              </w:rPr>
            </w:pPr>
            <w:r>
              <w:rPr>
                <w:rFonts w:ascii="Times New Roman"/>
                <w:sz w:val="18"/>
              </w:rPr>
              <w:t>2010.9.7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Times New Roman"/>
                <w:sz w:val="18"/>
              </w:rPr>
              <w:t>Clairvoyance</w:t>
            </w:r>
            <w:r>
              <w:rPr>
                <w:rFonts w:ascii="Times New Roman"/>
                <w:spacing w:val="-5"/>
                <w:sz w:val="18"/>
              </w:rPr>
              <w:t> </w:t>
            </w:r>
            <w:r>
              <w:rPr>
                <w:rFonts w:ascii="Times New Roman"/>
                <w:sz w:val="18"/>
              </w:rPr>
              <w:t>Capital</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26"/>
              <w:jc w:val="right"/>
              <w:rPr>
                <w:rFonts w:ascii="宋体" w:hAnsi="宋体" w:cs="宋体" w:eastAsia="宋体" w:hint="default"/>
                <w:sz w:val="18"/>
                <w:szCs w:val="18"/>
              </w:rPr>
            </w:pPr>
            <w:r>
              <w:rPr>
                <w:rFonts w:ascii="宋体" w:hAnsi="宋体" w:cs="宋体" w:eastAsia="宋体" w:hint="default"/>
                <w:sz w:val="18"/>
                <w:szCs w:val="18"/>
              </w:rPr>
              <w:t>了解深圳地区主要店面销售情况</w:t>
            </w:r>
          </w:p>
        </w:tc>
      </w:tr>
      <w:tr>
        <w:trPr>
          <w:trHeight w:val="49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2010.9.8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pacing w:val="12"/>
                <w:sz w:val="18"/>
                <w:szCs w:val="18"/>
              </w:rPr>
              <w:t>宏利保险资产管理、美国</w:t>
            </w:r>
            <w:r>
              <w:rPr>
                <w:rFonts w:ascii="宋体" w:hAnsi="宋体" w:cs="宋体" w:eastAsia="宋体" w:hint="default"/>
                <w:sz w:val="18"/>
                <w:szCs w:val="18"/>
              </w:rPr>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EMIC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资产管理公司</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7"/>
              <w:jc w:val="left"/>
              <w:rPr>
                <w:rFonts w:ascii="宋体" w:hAnsi="宋体" w:cs="宋体" w:eastAsia="宋体" w:hint="default"/>
                <w:sz w:val="18"/>
                <w:szCs w:val="18"/>
              </w:rPr>
            </w:pPr>
            <w:r>
              <w:rPr>
                <w:rFonts w:ascii="宋体" w:hAnsi="宋体" w:cs="宋体" w:eastAsia="宋体" w:hint="default"/>
                <w:spacing w:val="3"/>
                <w:sz w:val="18"/>
                <w:szCs w:val="18"/>
              </w:rPr>
              <w:t>了解公司空调旺季销售情况及未来长远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发展规划</w:t>
            </w:r>
          </w:p>
        </w:tc>
      </w:tr>
      <w:tr>
        <w:trPr>
          <w:trHeight w:val="73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2010.9.10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
              <w:ind w:left="22" w:right="8"/>
              <w:jc w:val="both"/>
              <w:rPr>
                <w:rFonts w:ascii="宋体" w:hAnsi="宋体" w:cs="宋体" w:eastAsia="宋体" w:hint="default"/>
                <w:sz w:val="18"/>
                <w:szCs w:val="18"/>
              </w:rPr>
            </w:pPr>
            <w:r>
              <w:rPr>
                <w:rFonts w:ascii="宋体" w:hAnsi="宋体" w:cs="宋体" w:eastAsia="宋体" w:hint="default"/>
                <w:spacing w:val="12"/>
                <w:sz w:val="18"/>
                <w:szCs w:val="18"/>
              </w:rPr>
              <w:t>韩国邮政局、韩国农业银 </w:t>
            </w:r>
            <w:r>
              <w:rPr>
                <w:rFonts w:ascii="宋体" w:hAnsi="宋体" w:cs="宋体" w:eastAsia="宋体" w:hint="default"/>
                <w:spacing w:val="-5"/>
                <w:sz w:val="18"/>
                <w:szCs w:val="18"/>
              </w:rPr>
              <w:t>行、未来资产证券、未来资</w:t>
            </w:r>
            <w:r>
              <w:rPr>
                <w:rFonts w:ascii="宋体" w:hAnsi="宋体" w:cs="宋体" w:eastAsia="宋体" w:hint="default"/>
                <w:sz w:val="18"/>
                <w:szCs w:val="18"/>
              </w:rPr>
              <w:t> 产基金</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7"/>
              <w:jc w:val="both"/>
              <w:rPr>
                <w:rFonts w:ascii="宋体" w:hAnsi="宋体" w:cs="宋体" w:eastAsia="宋体" w:hint="default"/>
                <w:sz w:val="18"/>
                <w:szCs w:val="18"/>
              </w:rPr>
            </w:pPr>
            <w:r>
              <w:rPr>
                <w:rFonts w:ascii="宋体" w:hAnsi="宋体" w:cs="宋体" w:eastAsia="宋体" w:hint="default"/>
                <w:spacing w:val="3"/>
                <w:sz w:val="18"/>
                <w:szCs w:val="18"/>
              </w:rPr>
              <w:t>了解公司彩电、手机的销售情况及未来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发展趋势，了解国内家电行业市场竞争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情况</w:t>
            </w:r>
          </w:p>
        </w:tc>
      </w:tr>
      <w:tr>
        <w:trPr>
          <w:trHeight w:val="25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2010.9.17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18"/>
                <w:szCs w:val="18"/>
              </w:rPr>
            </w:pPr>
            <w:r>
              <w:rPr>
                <w:rFonts w:ascii="Times New Roman"/>
                <w:sz w:val="18"/>
              </w:rPr>
              <w:t>MFSInvestmentManagement</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626"/>
              <w:jc w:val="right"/>
              <w:rPr>
                <w:rFonts w:ascii="宋体" w:hAnsi="宋体" w:cs="宋体" w:eastAsia="宋体" w:hint="default"/>
                <w:sz w:val="18"/>
                <w:szCs w:val="18"/>
              </w:rPr>
            </w:pPr>
            <w:r>
              <w:rPr>
                <w:rFonts w:ascii="宋体" w:hAnsi="宋体" w:cs="宋体" w:eastAsia="宋体" w:hint="default"/>
                <w:sz w:val="18"/>
                <w:szCs w:val="18"/>
              </w:rPr>
              <w:t>了解上海地区主要店面销售情况</w:t>
            </w:r>
          </w:p>
        </w:tc>
      </w:tr>
      <w:tr>
        <w:trPr>
          <w:trHeight w:val="25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2010.9.18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里昂证券</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626"/>
              <w:jc w:val="right"/>
              <w:rPr>
                <w:rFonts w:ascii="宋体" w:hAnsi="宋体" w:cs="宋体" w:eastAsia="宋体" w:hint="default"/>
                <w:sz w:val="18"/>
                <w:szCs w:val="18"/>
              </w:rPr>
            </w:pPr>
            <w:r>
              <w:rPr>
                <w:rFonts w:ascii="宋体" w:hAnsi="宋体" w:cs="宋体" w:eastAsia="宋体" w:hint="default"/>
                <w:sz w:val="18"/>
                <w:szCs w:val="18"/>
              </w:rPr>
              <w:t>了解西安地区主要店面销售情况</w:t>
            </w:r>
          </w:p>
        </w:tc>
      </w:tr>
      <w:tr>
        <w:trPr>
          <w:trHeight w:val="49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2010.9.19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润晖投资</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7"/>
              <w:jc w:val="left"/>
              <w:rPr>
                <w:rFonts w:ascii="宋体" w:hAnsi="宋体" w:cs="宋体" w:eastAsia="宋体" w:hint="default"/>
                <w:sz w:val="18"/>
                <w:szCs w:val="18"/>
              </w:rPr>
            </w:pPr>
            <w:r>
              <w:rPr>
                <w:rFonts w:ascii="宋体" w:hAnsi="宋体" w:cs="宋体" w:eastAsia="宋体" w:hint="default"/>
                <w:spacing w:val="3"/>
                <w:sz w:val="18"/>
                <w:szCs w:val="18"/>
              </w:rPr>
              <w:t>了解今年空调旺季的销售情况及网上商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城发展规划</w:t>
            </w:r>
          </w:p>
        </w:tc>
      </w:tr>
      <w:tr>
        <w:trPr>
          <w:trHeight w:val="25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2010.9.21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GMO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投资集团</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626"/>
              <w:jc w:val="right"/>
              <w:rPr>
                <w:rFonts w:ascii="宋体" w:hAnsi="宋体" w:cs="宋体" w:eastAsia="宋体" w:hint="default"/>
                <w:sz w:val="18"/>
                <w:szCs w:val="18"/>
              </w:rPr>
            </w:pPr>
            <w:r>
              <w:rPr>
                <w:rFonts w:ascii="宋体" w:hAnsi="宋体" w:cs="宋体" w:eastAsia="宋体" w:hint="default"/>
                <w:sz w:val="18"/>
                <w:szCs w:val="18"/>
              </w:rPr>
              <w:t>了解北京地区主要店面销售情况</w:t>
            </w:r>
          </w:p>
        </w:tc>
      </w:tr>
      <w:tr>
        <w:trPr>
          <w:trHeight w:val="49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2010.9.21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华夏基金</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8"/>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产品销售现状及网上商城</w:t>
            </w:r>
            <w:r>
              <w:rPr>
                <w:rFonts w:ascii="宋体" w:hAnsi="宋体" w:cs="宋体" w:eastAsia="宋体" w:hint="default"/>
                <w:spacing w:val="-88"/>
                <w:sz w:val="18"/>
                <w:szCs w:val="18"/>
              </w:rPr>
              <w:t> </w:t>
            </w:r>
            <w:r>
              <w:rPr>
                <w:rFonts w:ascii="宋体" w:hAnsi="宋体" w:cs="宋体" w:eastAsia="宋体" w:hint="default"/>
                <w:sz w:val="18"/>
                <w:szCs w:val="18"/>
              </w:rPr>
              <w:t>的发展规划</w:t>
            </w:r>
          </w:p>
        </w:tc>
      </w:tr>
      <w:tr>
        <w:trPr>
          <w:trHeight w:val="49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2010.9.29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Kylin  Fund </w:t>
            </w:r>
            <w:r>
              <w:rPr>
                <w:rFonts w:ascii="Times New Roman" w:hAnsi="Times New Roman" w:cs="Times New Roman" w:eastAsia="Times New Roman" w:hint="default"/>
                <w:spacing w:val="20"/>
                <w:sz w:val="18"/>
                <w:szCs w:val="18"/>
              </w:rPr>
              <w:t> </w:t>
            </w:r>
            <w:r>
              <w:rPr>
                <w:rFonts w:ascii="宋体" w:hAnsi="宋体" w:cs="宋体" w:eastAsia="宋体" w:hint="default"/>
                <w:spacing w:val="7"/>
                <w:sz w:val="18"/>
                <w:szCs w:val="18"/>
              </w:rPr>
              <w:t>麒麟资产管理</w:t>
            </w:r>
            <w:r>
              <w:rPr>
                <w:rFonts w:ascii="宋体" w:hAnsi="宋体" w:cs="宋体" w:eastAsia="宋体" w:hint="default"/>
                <w:sz w:val="18"/>
                <w:szCs w:val="18"/>
              </w:rPr>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7"/>
              <w:jc w:val="left"/>
              <w:rPr>
                <w:rFonts w:ascii="宋体" w:hAnsi="宋体" w:cs="宋体" w:eastAsia="宋体" w:hint="default"/>
                <w:sz w:val="18"/>
                <w:szCs w:val="18"/>
              </w:rPr>
            </w:pPr>
            <w:r>
              <w:rPr>
                <w:rFonts w:ascii="宋体" w:hAnsi="宋体" w:cs="宋体" w:eastAsia="宋体" w:hint="default"/>
                <w:spacing w:val="3"/>
                <w:sz w:val="18"/>
                <w:szCs w:val="18"/>
              </w:rPr>
              <w:t>了解公司基本面情况及渠道下沉的进展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情况</w:t>
            </w:r>
          </w:p>
        </w:tc>
      </w:tr>
      <w:tr>
        <w:trPr>
          <w:trHeight w:val="49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2010.9.29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pacing w:val="12"/>
                <w:sz w:val="18"/>
                <w:szCs w:val="18"/>
              </w:rPr>
              <w:t>大和国泰证券股份有限公</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7"/>
              <w:jc w:val="left"/>
              <w:rPr>
                <w:rFonts w:ascii="宋体" w:hAnsi="宋体" w:cs="宋体" w:eastAsia="宋体" w:hint="default"/>
                <w:sz w:val="18"/>
                <w:szCs w:val="18"/>
              </w:rPr>
            </w:pPr>
            <w:r>
              <w:rPr>
                <w:rFonts w:ascii="宋体" w:hAnsi="宋体" w:cs="宋体" w:eastAsia="宋体" w:hint="default"/>
                <w:spacing w:val="22"/>
                <w:sz w:val="18"/>
                <w:szCs w:val="18"/>
              </w:rPr>
              <w:t>了解公司</w:t>
            </w:r>
            <w:r>
              <w:rPr>
                <w:rFonts w:ascii="宋体" w:hAnsi="宋体" w:cs="宋体" w:eastAsia="宋体" w:hint="default"/>
                <w:spacing w:val="-58"/>
                <w:sz w:val="18"/>
                <w:szCs w:val="18"/>
              </w:rPr>
              <w:t> </w:t>
            </w:r>
            <w:r>
              <w:rPr>
                <w:rFonts w:ascii="宋体" w:hAnsi="宋体" w:cs="宋体" w:eastAsia="宋体" w:hint="default"/>
                <w:sz w:val="18"/>
                <w:szCs w:val="18"/>
              </w:rPr>
              <w:t>国</w:t>
            </w:r>
            <w:r>
              <w:rPr>
                <w:rFonts w:ascii="宋体" w:hAnsi="宋体" w:cs="宋体" w:eastAsia="宋体" w:hint="default"/>
                <w:spacing w:val="-58"/>
                <w:sz w:val="18"/>
                <w:szCs w:val="18"/>
              </w:rPr>
              <w:t> </w:t>
            </w:r>
            <w:r>
              <w:rPr>
                <w:rFonts w:ascii="宋体" w:hAnsi="宋体" w:cs="宋体" w:eastAsia="宋体" w:hint="default"/>
                <w:spacing w:val="22"/>
                <w:sz w:val="18"/>
                <w:szCs w:val="18"/>
              </w:rPr>
              <w:t>庆旺销准</w:t>
            </w:r>
            <w:r>
              <w:rPr>
                <w:rFonts w:ascii="宋体" w:hAnsi="宋体" w:cs="宋体" w:eastAsia="宋体" w:hint="default"/>
                <w:spacing w:val="-58"/>
                <w:sz w:val="18"/>
                <w:szCs w:val="18"/>
              </w:rPr>
              <w:t> </w:t>
            </w:r>
            <w:r>
              <w:rPr>
                <w:rFonts w:ascii="宋体" w:hAnsi="宋体" w:cs="宋体" w:eastAsia="宋体" w:hint="default"/>
                <w:sz w:val="18"/>
                <w:szCs w:val="18"/>
              </w:rPr>
              <w:t>备</w:t>
            </w:r>
            <w:r>
              <w:rPr>
                <w:rFonts w:ascii="宋体" w:hAnsi="宋体" w:cs="宋体" w:eastAsia="宋体" w:hint="default"/>
                <w:spacing w:val="-58"/>
                <w:sz w:val="18"/>
                <w:szCs w:val="18"/>
              </w:rPr>
              <w:t> </w:t>
            </w:r>
            <w:r>
              <w:rPr>
                <w:rFonts w:ascii="宋体" w:hAnsi="宋体" w:cs="宋体" w:eastAsia="宋体" w:hint="default"/>
                <w:spacing w:val="24"/>
                <w:sz w:val="18"/>
                <w:szCs w:val="18"/>
              </w:rPr>
              <w:t>情况及日本</w:t>
            </w:r>
            <w:r>
              <w:rPr>
                <w:rFonts w:ascii="宋体" w:hAnsi="宋体" w:cs="宋体" w:eastAsia="宋体" w:hint="default"/>
                <w:spacing w:val="-60"/>
                <w:sz w:val="18"/>
                <w:szCs w:val="18"/>
              </w:rPr>
              <w:t> </w:t>
            </w:r>
            <w:r>
              <w:rPr>
                <w:rFonts w:ascii="宋体" w:hAnsi="宋体" w:cs="宋体" w:eastAsia="宋体" w:hint="default"/>
                <w:sz w:val="18"/>
                <w:szCs w:val="18"/>
              </w:rPr>
            </w:r>
          </w:p>
          <w:p>
            <w:pPr>
              <w:pStyle w:val="TableParagraph"/>
              <w:spacing w:line="240" w:lineRule="auto" w:before="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LAOX</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公司的后期发展规划</w:t>
            </w:r>
          </w:p>
        </w:tc>
      </w:tr>
      <w:tr>
        <w:trPr>
          <w:trHeight w:val="25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2010.10.10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18"/>
                <w:szCs w:val="18"/>
              </w:rPr>
            </w:pPr>
            <w:r>
              <w:rPr>
                <w:rFonts w:ascii="Times New Roman"/>
                <w:sz w:val="18"/>
              </w:rPr>
              <w:t>UG Investment</w:t>
            </w:r>
            <w:r>
              <w:rPr>
                <w:rFonts w:ascii="Times New Roman"/>
                <w:spacing w:val="-30"/>
                <w:sz w:val="18"/>
              </w:rPr>
              <w:t> </w:t>
            </w:r>
            <w:r>
              <w:rPr>
                <w:rFonts w:ascii="Times New Roman"/>
                <w:sz w:val="18"/>
              </w:rPr>
              <w:t>Advisers</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626"/>
              <w:jc w:val="right"/>
              <w:rPr>
                <w:rFonts w:ascii="宋体" w:hAnsi="宋体" w:cs="宋体" w:eastAsia="宋体" w:hint="default"/>
                <w:sz w:val="18"/>
                <w:szCs w:val="18"/>
              </w:rPr>
            </w:pPr>
            <w:r>
              <w:rPr>
                <w:rFonts w:ascii="宋体" w:hAnsi="宋体" w:cs="宋体" w:eastAsia="宋体" w:hint="default"/>
                <w:sz w:val="18"/>
                <w:szCs w:val="18"/>
              </w:rPr>
              <w:t>了解上海地区主要店面销售情况</w:t>
            </w:r>
          </w:p>
        </w:tc>
      </w:tr>
      <w:tr>
        <w:trPr>
          <w:trHeight w:val="684"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2010.10.12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before="10"/>
              <w:ind w:left="22"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Dragonomics</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Research</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Advisory</w:t>
            </w:r>
            <w:r>
              <w:rPr>
                <w:rFonts w:ascii="宋体" w:hAnsi="宋体" w:cs="宋体" w:eastAsia="宋体" w:hint="default"/>
                <w:sz w:val="18"/>
                <w:szCs w:val="18"/>
              </w:rPr>
              <w:t>（</w:t>
            </w:r>
            <w:r>
              <w:rPr>
                <w:rFonts w:ascii="Times New Roman" w:hAnsi="Times New Roman" w:cs="Times New Roman" w:eastAsia="Times New Roman" w:hint="default"/>
                <w:sz w:val="18"/>
                <w:szCs w:val="18"/>
              </w:rPr>
              <w:t>Fathom</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z w:val="18"/>
                <w:szCs w:val="18"/>
              </w:rPr>
              <w:t>China</w:t>
            </w: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龙洲经讯</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9"/>
              <w:ind w:left="23" w:right="17"/>
              <w:jc w:val="left"/>
              <w:rPr>
                <w:rFonts w:ascii="宋体" w:hAnsi="宋体" w:cs="宋体" w:eastAsia="宋体" w:hint="default"/>
                <w:sz w:val="18"/>
                <w:szCs w:val="18"/>
              </w:rPr>
            </w:pPr>
            <w:r>
              <w:rPr>
                <w:rFonts w:ascii="宋体" w:hAnsi="宋体" w:cs="宋体" w:eastAsia="宋体" w:hint="default"/>
                <w:spacing w:val="3"/>
                <w:sz w:val="18"/>
                <w:szCs w:val="18"/>
              </w:rPr>
              <w:t>了解公司基本面情况及公司前台店面的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类型、分布区域及未来发展规划</w:t>
            </w:r>
          </w:p>
        </w:tc>
      </w:tr>
      <w:tr>
        <w:trPr>
          <w:trHeight w:val="25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2010.10.15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Western</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Assets</w:t>
            </w:r>
            <w:r>
              <w:rPr>
                <w:rFonts w:ascii="宋体" w:hAnsi="宋体" w:cs="宋体" w:eastAsia="宋体" w:hint="default"/>
                <w:sz w:val="18"/>
                <w:szCs w:val="18"/>
              </w:rPr>
              <w:t>（西通资产</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42" w:right="626"/>
              <w:jc w:val="right"/>
              <w:rPr>
                <w:rFonts w:ascii="宋体" w:hAnsi="宋体" w:cs="宋体" w:eastAsia="宋体" w:hint="default"/>
                <w:sz w:val="18"/>
                <w:szCs w:val="18"/>
              </w:rPr>
            </w:pPr>
            <w:r>
              <w:rPr>
                <w:rFonts w:ascii="宋体" w:hAnsi="宋体" w:cs="宋体" w:eastAsia="宋体" w:hint="default"/>
                <w:spacing w:val="-1"/>
                <w:position w:val="1"/>
                <w:sz w:val="18"/>
                <w:szCs w:val="18"/>
              </w:rPr>
              <w:t>）</w:t>
            </w:r>
            <w:r>
              <w:rPr>
                <w:rFonts w:ascii="宋体" w:hAnsi="宋体" w:cs="宋体" w:eastAsia="宋体" w:hint="default"/>
                <w:spacing w:val="-1"/>
                <w:sz w:val="18"/>
                <w:szCs w:val="18"/>
              </w:rPr>
              <w:t>了解上海地区主要店面销售情况</w:t>
            </w:r>
          </w:p>
        </w:tc>
      </w:tr>
      <w:tr>
        <w:trPr>
          <w:trHeight w:val="25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2010.10.27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18"/>
                <w:szCs w:val="18"/>
              </w:rPr>
            </w:pPr>
            <w:r>
              <w:rPr>
                <w:rFonts w:ascii="Times New Roman"/>
                <w:sz w:val="18"/>
              </w:rPr>
              <w:t>UG Investment</w:t>
            </w:r>
            <w:r>
              <w:rPr>
                <w:rFonts w:ascii="Times New Roman"/>
                <w:spacing w:val="-30"/>
                <w:sz w:val="18"/>
              </w:rPr>
              <w:t> </w:t>
            </w:r>
            <w:r>
              <w:rPr>
                <w:rFonts w:ascii="Times New Roman"/>
                <w:sz w:val="18"/>
              </w:rPr>
              <w:t>Advisers</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626"/>
              <w:jc w:val="right"/>
              <w:rPr>
                <w:rFonts w:ascii="宋体" w:hAnsi="宋体" w:cs="宋体" w:eastAsia="宋体" w:hint="default"/>
                <w:sz w:val="18"/>
                <w:szCs w:val="18"/>
              </w:rPr>
            </w:pPr>
            <w:r>
              <w:rPr>
                <w:rFonts w:ascii="宋体" w:hAnsi="宋体" w:cs="宋体" w:eastAsia="宋体" w:hint="default"/>
                <w:sz w:val="18"/>
                <w:szCs w:val="18"/>
              </w:rPr>
              <w:t>了解上海地区主要店面销售情况</w:t>
            </w:r>
          </w:p>
        </w:tc>
      </w:tr>
      <w:tr>
        <w:trPr>
          <w:trHeight w:val="49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2010.10.27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富达基金</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7"/>
              <w:jc w:val="left"/>
              <w:rPr>
                <w:rFonts w:ascii="宋体" w:hAnsi="宋体" w:cs="宋体" w:eastAsia="宋体" w:hint="default"/>
                <w:sz w:val="18"/>
                <w:szCs w:val="18"/>
              </w:rPr>
            </w:pPr>
            <w:r>
              <w:rPr>
                <w:rFonts w:ascii="宋体" w:hAnsi="宋体" w:cs="宋体" w:eastAsia="宋体" w:hint="default"/>
                <w:spacing w:val="3"/>
                <w:sz w:val="18"/>
                <w:szCs w:val="18"/>
              </w:rPr>
              <w:t>了解公司三四级市场及自建店的开发情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况，了解公司自营模式的未来规划</w:t>
            </w:r>
          </w:p>
        </w:tc>
      </w:tr>
      <w:tr>
        <w:trPr>
          <w:trHeight w:val="49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2010.11.3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Wedge</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Asia</w:t>
            </w:r>
            <w:r>
              <w:rPr>
                <w:rFonts w:ascii="宋体" w:hAnsi="宋体" w:cs="宋体" w:eastAsia="宋体" w:hint="default"/>
                <w:sz w:val="18"/>
                <w:szCs w:val="18"/>
              </w:rPr>
              <w:t>（伟奇资本）</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7"/>
              <w:jc w:val="left"/>
              <w:rPr>
                <w:rFonts w:ascii="宋体" w:hAnsi="宋体" w:cs="宋体" w:eastAsia="宋体" w:hint="default"/>
                <w:sz w:val="18"/>
                <w:szCs w:val="18"/>
              </w:rPr>
            </w:pPr>
            <w:r>
              <w:rPr>
                <w:rFonts w:ascii="宋体" w:hAnsi="宋体" w:cs="宋体" w:eastAsia="宋体" w:hint="default"/>
                <w:spacing w:val="3"/>
                <w:sz w:val="18"/>
                <w:szCs w:val="18"/>
              </w:rPr>
              <w:t>了解公司总体经营模式及战略布局，了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解公司与供应商的合作关系</w:t>
            </w:r>
          </w:p>
        </w:tc>
      </w:tr>
      <w:tr>
        <w:trPr>
          <w:trHeight w:val="49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2010.11.5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TRIVEST   ADVISORS </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禾</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其投资</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7"/>
              <w:jc w:val="left"/>
              <w:rPr>
                <w:rFonts w:ascii="宋体" w:hAnsi="宋体" w:cs="宋体" w:eastAsia="宋体" w:hint="default"/>
                <w:sz w:val="18"/>
                <w:szCs w:val="18"/>
              </w:rPr>
            </w:pPr>
            <w:r>
              <w:rPr>
                <w:rFonts w:ascii="宋体" w:hAnsi="宋体" w:cs="宋体" w:eastAsia="宋体" w:hint="default"/>
                <w:spacing w:val="3"/>
                <w:sz w:val="18"/>
                <w:szCs w:val="18"/>
              </w:rPr>
              <w:t>了解公司网上商城的发展近况及物流基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地的建设情况</w:t>
            </w:r>
          </w:p>
        </w:tc>
      </w:tr>
      <w:tr>
        <w:trPr>
          <w:trHeight w:val="25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2010.11.12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英国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Newton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投资管理公司</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626"/>
              <w:jc w:val="right"/>
              <w:rPr>
                <w:rFonts w:ascii="宋体" w:hAnsi="宋体" w:cs="宋体" w:eastAsia="宋体" w:hint="default"/>
                <w:sz w:val="18"/>
                <w:szCs w:val="18"/>
              </w:rPr>
            </w:pPr>
            <w:r>
              <w:rPr>
                <w:rFonts w:ascii="宋体" w:hAnsi="宋体" w:cs="宋体" w:eastAsia="宋体" w:hint="default"/>
                <w:sz w:val="18"/>
                <w:szCs w:val="18"/>
              </w:rPr>
              <w:t>了解南京地区主要店面销售情况</w:t>
            </w:r>
          </w:p>
        </w:tc>
      </w:tr>
      <w:tr>
        <w:trPr>
          <w:trHeight w:val="49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2010.11.15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齐鲁证券、海通证券</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7"/>
              <w:jc w:val="left"/>
              <w:rPr>
                <w:rFonts w:ascii="宋体" w:hAnsi="宋体" w:cs="宋体" w:eastAsia="宋体" w:hint="default"/>
                <w:sz w:val="18"/>
                <w:szCs w:val="18"/>
              </w:rPr>
            </w:pPr>
            <w:r>
              <w:rPr>
                <w:rFonts w:ascii="宋体" w:hAnsi="宋体" w:cs="宋体" w:eastAsia="宋体" w:hint="default"/>
                <w:spacing w:val="3"/>
                <w:sz w:val="18"/>
                <w:szCs w:val="18"/>
              </w:rPr>
              <w:t>了解公司网上商城的发展近况及以旧换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新、家电下乡的进展情况</w:t>
            </w:r>
          </w:p>
        </w:tc>
      </w:tr>
      <w:tr>
        <w:trPr>
          <w:trHeight w:val="73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2010.11.17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Soros Fund</w:t>
            </w:r>
            <w:r>
              <w:rPr>
                <w:rFonts w:ascii="Times New Roman"/>
                <w:spacing w:val="-16"/>
                <w:sz w:val="18"/>
              </w:rPr>
              <w:t> </w:t>
            </w:r>
            <w:r>
              <w:rPr>
                <w:rFonts w:ascii="Times New Roman"/>
                <w:sz w:val="18"/>
              </w:rPr>
              <w:t>Managemnt</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7"/>
              <w:jc w:val="both"/>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产品的销售现状及营销创</w:t>
            </w:r>
            <w:r>
              <w:rPr>
                <w:rFonts w:ascii="宋体" w:hAnsi="宋体" w:cs="宋体" w:eastAsia="宋体" w:hint="default"/>
                <w:spacing w:val="-88"/>
                <w:sz w:val="18"/>
                <w:szCs w:val="18"/>
              </w:rPr>
              <w:t> </w:t>
            </w:r>
            <w:r>
              <w:rPr>
                <w:rFonts w:ascii="宋体" w:hAnsi="宋体" w:cs="宋体" w:eastAsia="宋体" w:hint="default"/>
                <w:spacing w:val="3"/>
                <w:sz w:val="18"/>
                <w:szCs w:val="18"/>
              </w:rPr>
              <w:t>新变革的具体措施及与供应商的合作情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况</w:t>
            </w:r>
          </w:p>
        </w:tc>
      </w:tr>
      <w:tr>
        <w:trPr>
          <w:trHeight w:val="49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2010.11.25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TRIVEST   ADVISORS </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禾</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其投资</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20"/>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产品的市场占比、坪效及销</w:t>
            </w:r>
            <w:r>
              <w:rPr>
                <w:rFonts w:ascii="宋体" w:hAnsi="宋体" w:cs="宋体" w:eastAsia="宋体" w:hint="default"/>
                <w:sz w:val="18"/>
                <w:szCs w:val="18"/>
              </w:rPr>
              <w:t> 售提升措施</w:t>
            </w:r>
          </w:p>
        </w:tc>
      </w:tr>
      <w:tr>
        <w:trPr>
          <w:trHeight w:val="25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2010.11.25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18"/>
                <w:szCs w:val="18"/>
              </w:rPr>
            </w:pPr>
            <w:r>
              <w:rPr>
                <w:rFonts w:ascii="Times New Roman"/>
                <w:sz w:val="18"/>
              </w:rPr>
              <w:t>Excel</w:t>
            </w:r>
            <w:r>
              <w:rPr>
                <w:rFonts w:ascii="Times New Roman"/>
                <w:spacing w:val="-1"/>
                <w:sz w:val="18"/>
              </w:rPr>
              <w:t> </w:t>
            </w:r>
            <w:r>
              <w:rPr>
                <w:rFonts w:ascii="Times New Roman"/>
                <w:sz w:val="18"/>
              </w:rPr>
              <w:t>Funds</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626"/>
              <w:jc w:val="right"/>
              <w:rPr>
                <w:rFonts w:ascii="宋体" w:hAnsi="宋体" w:cs="宋体" w:eastAsia="宋体" w:hint="default"/>
                <w:sz w:val="18"/>
                <w:szCs w:val="18"/>
              </w:rPr>
            </w:pPr>
            <w:r>
              <w:rPr>
                <w:rFonts w:ascii="宋体" w:hAnsi="宋体" w:cs="宋体" w:eastAsia="宋体" w:hint="default"/>
                <w:sz w:val="18"/>
                <w:szCs w:val="18"/>
              </w:rPr>
              <w:t>了解南京地区主要店面销售情况</w:t>
            </w:r>
          </w:p>
        </w:tc>
      </w:tr>
      <w:tr>
        <w:trPr>
          <w:trHeight w:val="45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z w:val="18"/>
              </w:rPr>
              <w:t>2010.12.1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2"/>
                <w:sz w:val="18"/>
                <w:szCs w:val="18"/>
              </w:rPr>
              <w:t>施罗德投资、野村投资、</w:t>
            </w:r>
            <w:r>
              <w:rPr>
                <w:rFonts w:ascii="宋体" w:hAnsi="宋体" w:cs="宋体" w:eastAsia="宋体" w:hint="default"/>
                <w:sz w:val="18"/>
                <w:szCs w:val="18"/>
              </w:rPr>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New Smith</w:t>
            </w:r>
            <w:r>
              <w:rPr>
                <w:rFonts w:ascii="Times New Roman"/>
                <w:spacing w:val="-3"/>
                <w:sz w:val="18"/>
              </w:rPr>
              <w:t> </w:t>
            </w:r>
            <w:r>
              <w:rPr>
                <w:rFonts w:ascii="Times New Roman"/>
                <w:sz w:val="18"/>
              </w:rPr>
              <w:t>Capital</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26"/>
              <w:jc w:val="right"/>
              <w:rPr>
                <w:rFonts w:ascii="宋体" w:hAnsi="宋体" w:cs="宋体" w:eastAsia="宋体" w:hint="default"/>
                <w:sz w:val="18"/>
                <w:szCs w:val="18"/>
              </w:rPr>
            </w:pPr>
            <w:r>
              <w:rPr>
                <w:rFonts w:ascii="宋体" w:hAnsi="宋体" w:cs="宋体" w:eastAsia="宋体" w:hint="default"/>
                <w:sz w:val="18"/>
                <w:szCs w:val="18"/>
              </w:rPr>
              <w:t>了解南京地区主要店面销售情况</w:t>
            </w:r>
          </w:p>
        </w:tc>
      </w:tr>
      <w:tr>
        <w:trPr>
          <w:trHeight w:val="491"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2010.12.8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22" w:right="20"/>
              <w:jc w:val="left"/>
              <w:rPr>
                <w:rFonts w:ascii="Times New Roman" w:hAnsi="Times New Roman" w:cs="Times New Roman" w:eastAsia="Times New Roman" w:hint="default"/>
                <w:sz w:val="18"/>
                <w:szCs w:val="18"/>
              </w:rPr>
            </w:pPr>
            <w:r>
              <w:rPr>
                <w:rFonts w:ascii="宋体" w:hAnsi="宋体" w:cs="宋体" w:eastAsia="宋体" w:hint="default"/>
                <w:spacing w:val="38"/>
                <w:sz w:val="18"/>
                <w:szCs w:val="18"/>
              </w:rPr>
              <w:t>法国巴黎银行、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Capital Group</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了解公司的发展历程和基本概况及未来</w:t>
            </w:r>
            <w:r>
              <w:rPr>
                <w:rFonts w:ascii="宋体" w:hAnsi="宋体" w:cs="宋体" w:eastAsia="宋体" w:hint="default"/>
                <w:sz w:val="18"/>
                <w:szCs w:val="18"/>
              </w:rPr>
            </w:r>
          </w:p>
          <w:p>
            <w:pPr>
              <w:pStyle w:val="TableParagraph"/>
              <w:spacing w:line="240" w:lineRule="auto" w:before="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年的发展战略规划</w:t>
            </w:r>
          </w:p>
        </w:tc>
      </w:tr>
      <w:tr>
        <w:trPr>
          <w:trHeight w:val="73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2010.12.8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Oppenheimer</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基金管理公司</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7"/>
              <w:jc w:val="left"/>
              <w:rPr>
                <w:rFonts w:ascii="宋体" w:hAnsi="宋体" w:cs="宋体" w:eastAsia="宋体" w:hint="default"/>
                <w:sz w:val="18"/>
                <w:szCs w:val="18"/>
              </w:rPr>
            </w:pPr>
            <w:r>
              <w:rPr>
                <w:rFonts w:ascii="宋体" w:hAnsi="宋体" w:cs="宋体" w:eastAsia="宋体" w:hint="default"/>
                <w:spacing w:val="3"/>
                <w:sz w:val="18"/>
                <w:szCs w:val="18"/>
              </w:rPr>
              <w:t>了解公司整体概况和全年经营业绩预测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及后台平台建设情况</w:t>
            </w:r>
            <w:r>
              <w:rPr>
                <w:rFonts w:ascii="宋体" w:hAnsi="宋体" w:cs="宋体" w:eastAsia="宋体" w:hint="default"/>
                <w:sz w:val="18"/>
                <w:szCs w:val="18"/>
              </w:rPr>
              <w:t> 了解公司明年的发展规划</w:t>
            </w:r>
          </w:p>
        </w:tc>
      </w:tr>
      <w:tr>
        <w:trPr>
          <w:trHeight w:val="25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Times New Roman"/>
                <w:sz w:val="18"/>
              </w:rPr>
              <w:t>2010.12.9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德意志银行证券研究部</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626"/>
              <w:jc w:val="right"/>
              <w:rPr>
                <w:rFonts w:ascii="宋体" w:hAnsi="宋体" w:cs="宋体" w:eastAsia="宋体" w:hint="default"/>
                <w:sz w:val="18"/>
                <w:szCs w:val="18"/>
              </w:rPr>
            </w:pPr>
            <w:r>
              <w:rPr>
                <w:rFonts w:ascii="宋体" w:hAnsi="宋体" w:cs="宋体" w:eastAsia="宋体" w:hint="default"/>
                <w:sz w:val="18"/>
                <w:szCs w:val="18"/>
              </w:rPr>
              <w:t>了解上海地区主要店面销售情况</w:t>
            </w:r>
          </w:p>
        </w:tc>
      </w:tr>
      <w:tr>
        <w:trPr>
          <w:trHeight w:val="479"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Times New Roman" w:hAnsi="Times New Roman" w:cs="Times New Roman" w:eastAsia="Times New Roman" w:hint="default"/>
                <w:sz w:val="18"/>
                <w:szCs w:val="18"/>
              </w:rPr>
            </w:pPr>
            <w:r>
              <w:rPr>
                <w:rFonts w:ascii="Times New Roman"/>
                <w:sz w:val="18"/>
              </w:rPr>
              <w:t>2010.12.15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87"/>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台湾群益证券、台湾富邦人</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寿保险股份有限公司</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626"/>
              <w:jc w:val="right"/>
              <w:rPr>
                <w:rFonts w:ascii="宋体" w:hAnsi="宋体" w:cs="宋体" w:eastAsia="宋体" w:hint="default"/>
                <w:sz w:val="18"/>
                <w:szCs w:val="18"/>
              </w:rPr>
            </w:pPr>
            <w:r>
              <w:rPr>
                <w:rFonts w:ascii="宋体" w:hAnsi="宋体" w:cs="宋体" w:eastAsia="宋体" w:hint="default"/>
                <w:sz w:val="18"/>
                <w:szCs w:val="18"/>
              </w:rPr>
              <w:t>了解上海地区主要店面销售情况</w:t>
            </w:r>
          </w:p>
        </w:tc>
      </w:tr>
      <w:tr>
        <w:trPr>
          <w:trHeight w:val="73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2010.12.29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Tiger Asia</w:t>
            </w:r>
            <w:r>
              <w:rPr>
                <w:rFonts w:ascii="Times New Roman"/>
                <w:spacing w:val="-26"/>
                <w:sz w:val="18"/>
              </w:rPr>
              <w:t> </w:t>
            </w:r>
            <w:r>
              <w:rPr>
                <w:rFonts w:ascii="Times New Roman"/>
                <w:sz w:val="18"/>
              </w:rPr>
              <w:t>Fund</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7"/>
              <w:jc w:val="both"/>
              <w:rPr>
                <w:rFonts w:ascii="宋体" w:hAnsi="宋体" w:cs="宋体" w:eastAsia="宋体" w:hint="default"/>
                <w:sz w:val="18"/>
                <w:szCs w:val="18"/>
              </w:rPr>
            </w:pPr>
            <w:r>
              <w:rPr>
                <w:rFonts w:ascii="宋体" w:hAnsi="宋体" w:cs="宋体" w:eastAsia="宋体" w:hint="default"/>
                <w:spacing w:val="3"/>
                <w:sz w:val="18"/>
                <w:szCs w:val="18"/>
              </w:rPr>
              <w:t>了解公司前台店面的网络布局及未来</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3"/>
                <w:sz w:val="18"/>
                <w:szCs w:val="18"/>
              </w:rPr>
              <w:t>年规划，公司第四季度业绩情况及元旦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备货情况</w:t>
            </w:r>
          </w:p>
        </w:tc>
      </w:tr>
    </w:tbl>
    <w:p>
      <w:pPr>
        <w:spacing w:after="0" w:line="240" w:lineRule="exact"/>
        <w:jc w:val="both"/>
        <w:rPr>
          <w:rFonts w:ascii="宋体" w:hAnsi="宋体" w:cs="宋体" w:eastAsia="宋体" w:hint="default"/>
          <w:sz w:val="18"/>
          <w:szCs w:val="18"/>
        </w:rPr>
        <w:sectPr>
          <w:pgSz w:w="11910" w:h="16840"/>
          <w:pgMar w:header="748" w:footer="714" w:top="980" w:bottom="900" w:left="1140" w:right="1140"/>
        </w:sectPr>
      </w:pPr>
    </w:p>
    <w:p>
      <w:pPr>
        <w:spacing w:line="240" w:lineRule="auto" w:before="0"/>
        <w:rPr>
          <w:rFonts w:ascii="Times New Roman" w:hAnsi="Times New Roman" w:cs="Times New Roman" w:eastAsia="Times New Roman" w:hint="default"/>
          <w:sz w:val="20"/>
          <w:szCs w:val="20"/>
        </w:rPr>
      </w:pPr>
      <w:r>
        <w:rPr/>
        <w:pict>
          <v:group style="position:absolute;margin-left:62.340012pt;margin-top:87.360023pt;width:470.7pt;height:648.85pt;mso-position-horizontal-relative:page;mso-position-vertical-relative:page;z-index:-1004776" coordorigin="1247,1747" coordsize="9414,12977">
            <v:group style="position:absolute;left:2479;top:1762;width:2;height:633" coordorigin="2479,1762" coordsize="2,633">
              <v:shape style="position:absolute;left:2479;top:1762;width:2;height:633" coordorigin="2479,1762" coordsize="0,633" path="m2479,1762l2479,2394e" filled="false" stroked="true" strokeweight=".48pt" strokecolor="#000000">
                <v:path arrowok="t"/>
              </v:shape>
            </v:group>
            <v:group style="position:absolute;left:2479;top:2404;width:2;height:480" coordorigin="2479,2404" coordsize="2,480">
              <v:shape style="position:absolute;left:2479;top:2404;width:2;height:480" coordorigin="2479,2404" coordsize="0,480" path="m2479,2404l2479,2884e" filled="false" stroked="true" strokeweight=".48pt" strokecolor="#000000">
                <v:path arrowok="t"/>
              </v:shape>
            </v:group>
            <v:group style="position:absolute;left:2479;top:2893;width:2;height:242" coordorigin="2479,2893" coordsize="2,242">
              <v:shape style="position:absolute;left:2479;top:2893;width:2;height:242" coordorigin="2479,2893" coordsize="0,242" path="m2479,2893l2479,3134e" filled="false" stroked="true" strokeweight=".48pt" strokecolor="#000000">
                <v:path arrowok="t"/>
              </v:shape>
            </v:group>
            <v:group style="position:absolute;left:2479;top:3144;width:2;height:480" coordorigin="2479,3144" coordsize="2,480">
              <v:shape style="position:absolute;left:2479;top:3144;width:2;height:480" coordorigin="2479,3144" coordsize="0,480" path="m2479,3144l2479,3624e" filled="false" stroked="true" strokeweight=".48pt" strokecolor="#000000">
                <v:path arrowok="t"/>
              </v:shape>
            </v:group>
            <v:group style="position:absolute;left:2479;top:3634;width:2;height:702" coordorigin="2479,3634" coordsize="2,702">
              <v:shape style="position:absolute;left:2479;top:3634;width:2;height:702" coordorigin="2479,3634" coordsize="0,702" path="m2479,3634l2479,4336e" filled="false" stroked="true" strokeweight=".48pt" strokecolor="#000000">
                <v:path arrowok="t"/>
              </v:shape>
            </v:group>
            <v:group style="position:absolute;left:2479;top:4345;width:2;height:242" coordorigin="2479,4345" coordsize="2,242">
              <v:shape style="position:absolute;left:2479;top:4345;width:2;height:242" coordorigin="2479,4345" coordsize="0,242" path="m2479,4345l2479,4586e" filled="false" stroked="true" strokeweight=".48pt" strokecolor="#000000">
                <v:path arrowok="t"/>
              </v:shape>
            </v:group>
            <v:group style="position:absolute;left:2479;top:4596;width:2;height:414" coordorigin="2479,4596" coordsize="2,414">
              <v:shape style="position:absolute;left:2479;top:4596;width:2;height:414" coordorigin="2479,4596" coordsize="0,414" path="m2479,4596l2479,5010e" filled="false" stroked="true" strokeweight=".48pt" strokecolor="#000000">
                <v:path arrowok="t"/>
              </v:shape>
            </v:group>
            <v:group style="position:absolute;left:2479;top:5020;width:2;height:480" coordorigin="2479,5020" coordsize="2,480">
              <v:shape style="position:absolute;left:2479;top:5020;width:2;height:480" coordorigin="2479,5020" coordsize="0,480" path="m2479,5020l2479,5500e" filled="false" stroked="true" strokeweight=".48pt" strokecolor="#000000">
                <v:path arrowok="t"/>
              </v:shape>
            </v:group>
            <v:group style="position:absolute;left:2479;top:5509;width:2;height:240" coordorigin="2479,5509" coordsize="2,240">
              <v:shape style="position:absolute;left:2479;top:5509;width:2;height:240" coordorigin="2479,5509" coordsize="0,240" path="m2479,5509l2479,5749e" filled="false" stroked="true" strokeweight=".48pt" strokecolor="#000000">
                <v:path arrowok="t"/>
              </v:shape>
            </v:group>
            <v:group style="position:absolute;left:2479;top:5759;width:2;height:938" coordorigin="2479,5759" coordsize="2,938">
              <v:shape style="position:absolute;left:2479;top:5759;width:2;height:938" coordorigin="2479,5759" coordsize="0,938" path="m2479,5759l2479,6696e" filled="false" stroked="true" strokeweight=".48pt" strokecolor="#000000">
                <v:path arrowok="t"/>
              </v:shape>
            </v:group>
            <v:group style="position:absolute;left:2479;top:6706;width:2;height:240" coordorigin="2479,6706" coordsize="2,240">
              <v:shape style="position:absolute;left:2479;top:6706;width:2;height:240" coordorigin="2479,6706" coordsize="0,240" path="m2479,6706l2479,6946e" filled="false" stroked="true" strokeweight=".48pt" strokecolor="#000000">
                <v:path arrowok="t"/>
              </v:shape>
            </v:group>
            <v:group style="position:absolute;left:2479;top:6955;width:2;height:720" coordorigin="2479,6955" coordsize="2,720">
              <v:shape style="position:absolute;left:2479;top:6955;width:2;height:720" coordorigin="2479,6955" coordsize="0,720" path="m2479,6955l2479,7675e" filled="false" stroked="true" strokeweight=".48pt" strokecolor="#000000">
                <v:path arrowok="t"/>
              </v:shape>
            </v:group>
            <v:group style="position:absolute;left:2479;top:7685;width:2;height:470" coordorigin="2479,7685" coordsize="2,470">
              <v:shape style="position:absolute;left:2479;top:7685;width:2;height:470" coordorigin="2479,7685" coordsize="0,470" path="m2479,7685l2479,8154e" filled="false" stroked="true" strokeweight=".48pt" strokecolor="#000000">
                <v:path arrowok="t"/>
              </v:shape>
            </v:group>
            <v:group style="position:absolute;left:2479;top:8164;width:2;height:480" coordorigin="2479,8164" coordsize="2,480">
              <v:shape style="position:absolute;left:2479;top:8164;width:2;height:480" coordorigin="2479,8164" coordsize="0,480" path="m2479,8164l2479,8644e" filled="false" stroked="true" strokeweight=".48pt" strokecolor="#000000">
                <v:path arrowok="t"/>
              </v:shape>
            </v:group>
            <v:group style="position:absolute;left:2479;top:8653;width:2;height:480" coordorigin="2479,8653" coordsize="2,480">
              <v:shape style="position:absolute;left:2479;top:8653;width:2;height:480" coordorigin="2479,8653" coordsize="0,480" path="m2479,8653l2479,9133e" filled="false" stroked="true" strokeweight=".48pt" strokecolor="#000000">
                <v:path arrowok="t"/>
              </v:shape>
            </v:group>
            <v:group style="position:absolute;left:2479;top:9143;width:2;height:938" coordorigin="2479,9143" coordsize="2,938">
              <v:shape style="position:absolute;left:2479;top:9143;width:2;height:938" coordorigin="2479,9143" coordsize="0,938" path="m2479,9143l2479,10080e" filled="false" stroked="true" strokeweight=".48pt" strokecolor="#000000">
                <v:path arrowok="t"/>
              </v:shape>
            </v:group>
            <v:group style="position:absolute;left:2479;top:10090;width:2;height:720" coordorigin="2479,10090" coordsize="2,720">
              <v:shape style="position:absolute;left:2479;top:10090;width:2;height:720" coordorigin="2479,10090" coordsize="0,720" path="m2479,10090l2479,10810e" filled="false" stroked="true" strokeweight=".48pt" strokecolor="#000000">
                <v:path arrowok="t"/>
              </v:shape>
            </v:group>
            <v:group style="position:absolute;left:2479;top:10819;width:2;height:720" coordorigin="2479,10819" coordsize="2,720">
              <v:shape style="position:absolute;left:2479;top:10819;width:2;height:720" coordorigin="2479,10819" coordsize="0,720" path="m2479,10819l2479,11539e" filled="false" stroked="true" strokeweight=".48pt" strokecolor="#000000">
                <v:path arrowok="t"/>
              </v:shape>
            </v:group>
            <v:group style="position:absolute;left:2479;top:11549;width:2;height:722" coordorigin="2479,11549" coordsize="2,722">
              <v:shape style="position:absolute;left:2479;top:11549;width:2;height:722" coordorigin="2479,11549" coordsize="0,722" path="m2479,11549l2479,12270e" filled="false" stroked="true" strokeweight=".48pt" strokecolor="#000000">
                <v:path arrowok="t"/>
              </v:shape>
            </v:group>
            <v:group style="position:absolute;left:2479;top:12280;width:2;height:720" coordorigin="2479,12280" coordsize="2,720">
              <v:shape style="position:absolute;left:2479;top:12280;width:2;height:720" coordorigin="2479,12280" coordsize="0,720" path="m2479,12280l2479,13000e" filled="false" stroked="true" strokeweight=".48pt" strokecolor="#000000">
                <v:path arrowok="t"/>
              </v:shape>
            </v:group>
            <v:group style="position:absolute;left:2479;top:13009;width:2;height:960" coordorigin="2479,13009" coordsize="2,960">
              <v:shape style="position:absolute;left:2479;top:13009;width:2;height:960" coordorigin="2479,13009" coordsize="0,960" path="m2479,13009l2479,13969e" filled="false" stroked="true" strokeweight=".48pt" strokecolor="#000000">
                <v:path arrowok="t"/>
              </v:shape>
            </v:group>
            <v:group style="position:absolute;left:2479;top:13979;width:2;height:242" coordorigin="2479,13979" coordsize="2,242">
              <v:shape style="position:absolute;left:2479;top:13979;width:2;height:242" coordorigin="2479,13979" coordsize="0,242" path="m2479,13979l2479,14220e" filled="false" stroked="true" strokeweight=".48pt" strokecolor="#000000">
                <v:path arrowok="t"/>
              </v:shape>
            </v:group>
            <v:group style="position:absolute;left:4193;top:1762;width:2;height:633" coordorigin="4193,1762" coordsize="2,633">
              <v:shape style="position:absolute;left:4193;top:1762;width:2;height:633" coordorigin="4193,1762" coordsize="0,633" path="m4193,1762l4193,2394e" filled="false" stroked="true" strokeweight=".48pt" strokecolor="#000000">
                <v:path arrowok="t"/>
              </v:shape>
            </v:group>
            <v:group style="position:absolute;left:4193;top:2404;width:2;height:480" coordorigin="4193,2404" coordsize="2,480">
              <v:shape style="position:absolute;left:4193;top:2404;width:2;height:480" coordorigin="4193,2404" coordsize="0,480" path="m4193,2404l4193,2884e" filled="false" stroked="true" strokeweight=".48pt" strokecolor="#000000">
                <v:path arrowok="t"/>
              </v:shape>
            </v:group>
            <v:group style="position:absolute;left:4193;top:2893;width:2;height:242" coordorigin="4193,2893" coordsize="2,242">
              <v:shape style="position:absolute;left:4193;top:2893;width:2;height:242" coordorigin="4193,2893" coordsize="0,242" path="m4193,2893l4193,3134e" filled="false" stroked="true" strokeweight=".48pt" strokecolor="#000000">
                <v:path arrowok="t"/>
              </v:shape>
            </v:group>
            <v:group style="position:absolute;left:4193;top:3144;width:2;height:480" coordorigin="4193,3144" coordsize="2,480">
              <v:shape style="position:absolute;left:4193;top:3144;width:2;height:480" coordorigin="4193,3144" coordsize="0,480" path="m4193,3144l4193,3624e" filled="false" stroked="true" strokeweight=".48pt" strokecolor="#000000">
                <v:path arrowok="t"/>
              </v:shape>
            </v:group>
            <v:group style="position:absolute;left:4193;top:3634;width:2;height:702" coordorigin="4193,3634" coordsize="2,702">
              <v:shape style="position:absolute;left:4193;top:3634;width:2;height:702" coordorigin="4193,3634" coordsize="0,702" path="m4193,3634l4193,4336e" filled="false" stroked="true" strokeweight=".48pt" strokecolor="#000000">
                <v:path arrowok="t"/>
              </v:shape>
            </v:group>
            <v:group style="position:absolute;left:4193;top:4345;width:2;height:242" coordorigin="4193,4345" coordsize="2,242">
              <v:shape style="position:absolute;left:4193;top:4345;width:2;height:242" coordorigin="4193,4345" coordsize="0,242" path="m4193,4345l4193,4586e" filled="false" stroked="true" strokeweight=".48pt" strokecolor="#000000">
                <v:path arrowok="t"/>
              </v:shape>
            </v:group>
            <v:group style="position:absolute;left:4193;top:4596;width:2;height:414" coordorigin="4193,4596" coordsize="2,414">
              <v:shape style="position:absolute;left:4193;top:4596;width:2;height:414" coordorigin="4193,4596" coordsize="0,414" path="m4193,4596l4193,5010e" filled="false" stroked="true" strokeweight=".48pt" strokecolor="#000000">
                <v:path arrowok="t"/>
              </v:shape>
            </v:group>
            <v:group style="position:absolute;left:4193;top:5020;width:2;height:480" coordorigin="4193,5020" coordsize="2,480">
              <v:shape style="position:absolute;left:4193;top:5020;width:2;height:480" coordorigin="4193,5020" coordsize="0,480" path="m4193,5020l4193,5500e" filled="false" stroked="true" strokeweight=".48pt" strokecolor="#000000">
                <v:path arrowok="t"/>
              </v:shape>
            </v:group>
            <v:group style="position:absolute;left:4193;top:5509;width:2;height:240" coordorigin="4193,5509" coordsize="2,240">
              <v:shape style="position:absolute;left:4193;top:5509;width:2;height:240" coordorigin="4193,5509" coordsize="0,240" path="m4193,5509l4193,5749e" filled="false" stroked="true" strokeweight=".48pt" strokecolor="#000000">
                <v:path arrowok="t"/>
              </v:shape>
            </v:group>
            <v:group style="position:absolute;left:4193;top:5759;width:2;height:938" coordorigin="4193,5759" coordsize="2,938">
              <v:shape style="position:absolute;left:4193;top:5759;width:2;height:938" coordorigin="4193,5759" coordsize="0,938" path="m4193,5759l4193,6696e" filled="false" stroked="true" strokeweight=".48pt" strokecolor="#000000">
                <v:path arrowok="t"/>
              </v:shape>
            </v:group>
            <v:group style="position:absolute;left:4193;top:6706;width:2;height:240" coordorigin="4193,6706" coordsize="2,240">
              <v:shape style="position:absolute;left:4193;top:6706;width:2;height:240" coordorigin="4193,6706" coordsize="0,240" path="m4193,6706l4193,6946e" filled="false" stroked="true" strokeweight=".48pt" strokecolor="#000000">
                <v:path arrowok="t"/>
              </v:shape>
            </v:group>
            <v:group style="position:absolute;left:4193;top:6955;width:2;height:720" coordorigin="4193,6955" coordsize="2,720">
              <v:shape style="position:absolute;left:4193;top:6955;width:2;height:720" coordorigin="4193,6955" coordsize="0,720" path="m4193,6955l4193,7675e" filled="false" stroked="true" strokeweight=".48pt" strokecolor="#000000">
                <v:path arrowok="t"/>
              </v:shape>
            </v:group>
            <v:group style="position:absolute;left:4193;top:7685;width:2;height:470" coordorigin="4193,7685" coordsize="2,470">
              <v:shape style="position:absolute;left:4193;top:7685;width:2;height:470" coordorigin="4193,7685" coordsize="0,470" path="m4193,7685l4193,8154e" filled="false" stroked="true" strokeweight=".48pt" strokecolor="#000000">
                <v:path arrowok="t"/>
              </v:shape>
            </v:group>
            <v:group style="position:absolute;left:4193;top:8164;width:2;height:480" coordorigin="4193,8164" coordsize="2,480">
              <v:shape style="position:absolute;left:4193;top:8164;width:2;height:480" coordorigin="4193,8164" coordsize="0,480" path="m4193,8164l4193,8644e" filled="false" stroked="true" strokeweight=".48pt" strokecolor="#000000">
                <v:path arrowok="t"/>
              </v:shape>
            </v:group>
            <v:group style="position:absolute;left:4193;top:8653;width:2;height:480" coordorigin="4193,8653" coordsize="2,480">
              <v:shape style="position:absolute;left:4193;top:8653;width:2;height:480" coordorigin="4193,8653" coordsize="0,480" path="m4193,8653l4193,9133e" filled="false" stroked="true" strokeweight=".48pt" strokecolor="#000000">
                <v:path arrowok="t"/>
              </v:shape>
            </v:group>
            <v:group style="position:absolute;left:4193;top:9143;width:2;height:938" coordorigin="4193,9143" coordsize="2,938">
              <v:shape style="position:absolute;left:4193;top:9143;width:2;height:938" coordorigin="4193,9143" coordsize="0,938" path="m4193,9143l4193,10080e" filled="false" stroked="true" strokeweight=".48pt" strokecolor="#000000">
                <v:path arrowok="t"/>
              </v:shape>
            </v:group>
            <v:group style="position:absolute;left:4193;top:10090;width:2;height:720" coordorigin="4193,10090" coordsize="2,720">
              <v:shape style="position:absolute;left:4193;top:10090;width:2;height:720" coordorigin="4193,10090" coordsize="0,720" path="m4193,10090l4193,10810e" filled="false" stroked="true" strokeweight=".48pt" strokecolor="#000000">
                <v:path arrowok="t"/>
              </v:shape>
            </v:group>
            <v:group style="position:absolute;left:4193;top:10819;width:2;height:720" coordorigin="4193,10819" coordsize="2,720">
              <v:shape style="position:absolute;left:4193;top:10819;width:2;height:720" coordorigin="4193,10819" coordsize="0,720" path="m4193,10819l4193,11539e" filled="false" stroked="true" strokeweight=".48pt" strokecolor="#000000">
                <v:path arrowok="t"/>
              </v:shape>
            </v:group>
            <v:group style="position:absolute;left:4193;top:11549;width:2;height:722" coordorigin="4193,11549" coordsize="2,722">
              <v:shape style="position:absolute;left:4193;top:11549;width:2;height:722" coordorigin="4193,11549" coordsize="0,722" path="m4193,11549l4193,12270e" filled="false" stroked="true" strokeweight=".48pt" strokecolor="#000000">
                <v:path arrowok="t"/>
              </v:shape>
            </v:group>
            <v:group style="position:absolute;left:4193;top:12280;width:2;height:720" coordorigin="4193,12280" coordsize="2,720">
              <v:shape style="position:absolute;left:4193;top:12280;width:2;height:720" coordorigin="4193,12280" coordsize="0,720" path="m4193,12280l4193,13000e" filled="false" stroked="true" strokeweight=".48pt" strokecolor="#000000">
                <v:path arrowok="t"/>
              </v:shape>
            </v:group>
            <v:group style="position:absolute;left:4193;top:13009;width:2;height:960" coordorigin="4193,13009" coordsize="2,960">
              <v:shape style="position:absolute;left:4193;top:13009;width:2;height:960" coordorigin="4193,13009" coordsize="0,960" path="m4193,13009l4193,13969e" filled="false" stroked="true" strokeweight=".48pt" strokecolor="#000000">
                <v:path arrowok="t"/>
              </v:shape>
            </v:group>
            <v:group style="position:absolute;left:4193;top:13979;width:2;height:242" coordorigin="4193,13979" coordsize="2,242">
              <v:shape style="position:absolute;left:4193;top:13979;width:2;height:242" coordorigin="4193,13979" coordsize="0,242" path="m4193,13979l4193,14220e" filled="false" stroked="true" strokeweight=".48pt" strokecolor="#000000">
                <v:path arrowok="t"/>
              </v:shape>
            </v:group>
            <v:group style="position:absolute;left:5590;top:1762;width:2;height:633" coordorigin="5590,1762" coordsize="2,633">
              <v:shape style="position:absolute;left:5590;top:1762;width:2;height:633" coordorigin="5590,1762" coordsize="0,633" path="m5590,1762l5590,2394e" filled="false" stroked="true" strokeweight=".47998pt" strokecolor="#000000">
                <v:path arrowok="t"/>
              </v:shape>
            </v:group>
            <v:group style="position:absolute;left:5590;top:2404;width:2;height:480" coordorigin="5590,2404" coordsize="2,480">
              <v:shape style="position:absolute;left:5590;top:2404;width:2;height:480" coordorigin="5590,2404" coordsize="0,480" path="m5590,2404l5590,2884e" filled="false" stroked="true" strokeweight=".47998pt" strokecolor="#000000">
                <v:path arrowok="t"/>
              </v:shape>
            </v:group>
            <v:group style="position:absolute;left:5590;top:2893;width:2;height:242" coordorigin="5590,2893" coordsize="2,242">
              <v:shape style="position:absolute;left:5590;top:2893;width:2;height:242" coordorigin="5590,2893" coordsize="0,242" path="m5590,2893l5590,3134e" filled="false" stroked="true" strokeweight=".47998pt" strokecolor="#000000">
                <v:path arrowok="t"/>
              </v:shape>
            </v:group>
            <v:group style="position:absolute;left:5590;top:3144;width:2;height:480" coordorigin="5590,3144" coordsize="2,480">
              <v:shape style="position:absolute;left:5590;top:3144;width:2;height:480" coordorigin="5590,3144" coordsize="0,480" path="m5590,3144l5590,3624e" filled="false" stroked="true" strokeweight=".47998pt" strokecolor="#000000">
                <v:path arrowok="t"/>
              </v:shape>
            </v:group>
            <v:group style="position:absolute;left:5590;top:3634;width:2;height:702" coordorigin="5590,3634" coordsize="2,702">
              <v:shape style="position:absolute;left:5590;top:3634;width:2;height:702" coordorigin="5590,3634" coordsize="0,702" path="m5590,3634l5590,4336e" filled="false" stroked="true" strokeweight=".47998pt" strokecolor="#000000">
                <v:path arrowok="t"/>
              </v:shape>
            </v:group>
            <v:group style="position:absolute;left:5590;top:4345;width:2;height:242" coordorigin="5590,4345" coordsize="2,242">
              <v:shape style="position:absolute;left:5590;top:4345;width:2;height:242" coordorigin="5590,4345" coordsize="0,242" path="m5590,4345l5590,4586e" filled="false" stroked="true" strokeweight=".47998pt" strokecolor="#000000">
                <v:path arrowok="t"/>
              </v:shape>
            </v:group>
            <v:group style="position:absolute;left:5590;top:4596;width:2;height:414" coordorigin="5590,4596" coordsize="2,414">
              <v:shape style="position:absolute;left:5590;top:4596;width:2;height:414" coordorigin="5590,4596" coordsize="0,414" path="m5590,4596l5590,5010e" filled="false" stroked="true" strokeweight=".47998pt" strokecolor="#000000">
                <v:path arrowok="t"/>
              </v:shape>
            </v:group>
            <v:group style="position:absolute;left:5590;top:5020;width:2;height:480" coordorigin="5590,5020" coordsize="2,480">
              <v:shape style="position:absolute;left:5590;top:5020;width:2;height:480" coordorigin="5590,5020" coordsize="0,480" path="m5590,5020l5590,5500e" filled="false" stroked="true" strokeweight=".47998pt" strokecolor="#000000">
                <v:path arrowok="t"/>
              </v:shape>
            </v:group>
            <v:group style="position:absolute;left:5590;top:5509;width:2;height:240" coordorigin="5590,5509" coordsize="2,240">
              <v:shape style="position:absolute;left:5590;top:5509;width:2;height:240" coordorigin="5590,5509" coordsize="0,240" path="m5590,5509l5590,5749e" filled="false" stroked="true" strokeweight=".47998pt" strokecolor="#000000">
                <v:path arrowok="t"/>
              </v:shape>
            </v:group>
            <v:group style="position:absolute;left:5590;top:5759;width:2;height:938" coordorigin="5590,5759" coordsize="2,938">
              <v:shape style="position:absolute;left:5590;top:5759;width:2;height:938" coordorigin="5590,5759" coordsize="0,938" path="m5590,5759l5590,6696e" filled="false" stroked="true" strokeweight=".47998pt" strokecolor="#000000">
                <v:path arrowok="t"/>
              </v:shape>
            </v:group>
            <v:group style="position:absolute;left:5590;top:6706;width:2;height:240" coordorigin="5590,6706" coordsize="2,240">
              <v:shape style="position:absolute;left:5590;top:6706;width:2;height:240" coordorigin="5590,6706" coordsize="0,240" path="m5590,6706l5590,6946e" filled="false" stroked="true" strokeweight=".47998pt" strokecolor="#000000">
                <v:path arrowok="t"/>
              </v:shape>
            </v:group>
            <v:group style="position:absolute;left:5590;top:6955;width:2;height:720" coordorigin="5590,6955" coordsize="2,720">
              <v:shape style="position:absolute;left:5590;top:6955;width:2;height:720" coordorigin="5590,6955" coordsize="0,720" path="m5590,6955l5590,7675e" filled="false" stroked="true" strokeweight=".47998pt" strokecolor="#000000">
                <v:path arrowok="t"/>
              </v:shape>
            </v:group>
            <v:group style="position:absolute;left:5590;top:7685;width:2;height:470" coordorigin="5590,7685" coordsize="2,470">
              <v:shape style="position:absolute;left:5590;top:7685;width:2;height:470" coordorigin="5590,7685" coordsize="0,470" path="m5590,7685l5590,8154e" filled="false" stroked="true" strokeweight=".47998pt" strokecolor="#000000">
                <v:path arrowok="t"/>
              </v:shape>
            </v:group>
            <v:group style="position:absolute;left:5590;top:8164;width:2;height:480" coordorigin="5590,8164" coordsize="2,480">
              <v:shape style="position:absolute;left:5590;top:8164;width:2;height:480" coordorigin="5590,8164" coordsize="0,480" path="m5590,8164l5590,8644e" filled="false" stroked="true" strokeweight=".47998pt" strokecolor="#000000">
                <v:path arrowok="t"/>
              </v:shape>
            </v:group>
            <v:group style="position:absolute;left:5590;top:8653;width:2;height:480" coordorigin="5590,8653" coordsize="2,480">
              <v:shape style="position:absolute;left:5590;top:8653;width:2;height:480" coordorigin="5590,8653" coordsize="0,480" path="m5590,8653l5590,9133e" filled="false" stroked="true" strokeweight=".47998pt" strokecolor="#000000">
                <v:path arrowok="t"/>
              </v:shape>
            </v:group>
            <v:group style="position:absolute;left:5590;top:9143;width:2;height:938" coordorigin="5590,9143" coordsize="2,938">
              <v:shape style="position:absolute;left:5590;top:9143;width:2;height:938" coordorigin="5590,9143" coordsize="0,938" path="m5590,9143l5590,10080e" filled="false" stroked="true" strokeweight=".47998pt" strokecolor="#000000">
                <v:path arrowok="t"/>
              </v:shape>
            </v:group>
            <v:group style="position:absolute;left:5590;top:10090;width:2;height:720" coordorigin="5590,10090" coordsize="2,720">
              <v:shape style="position:absolute;left:5590;top:10090;width:2;height:720" coordorigin="5590,10090" coordsize="0,720" path="m5590,10090l5590,10810e" filled="false" stroked="true" strokeweight=".47998pt" strokecolor="#000000">
                <v:path arrowok="t"/>
              </v:shape>
            </v:group>
            <v:group style="position:absolute;left:5590;top:10819;width:2;height:720" coordorigin="5590,10819" coordsize="2,720">
              <v:shape style="position:absolute;left:5590;top:10819;width:2;height:720" coordorigin="5590,10819" coordsize="0,720" path="m5590,10819l5590,11539e" filled="false" stroked="true" strokeweight=".47998pt" strokecolor="#000000">
                <v:path arrowok="t"/>
              </v:shape>
            </v:group>
            <v:group style="position:absolute;left:5590;top:11549;width:2;height:722" coordorigin="5590,11549" coordsize="2,722">
              <v:shape style="position:absolute;left:5590;top:11549;width:2;height:722" coordorigin="5590,11549" coordsize="0,722" path="m5590,11549l5590,12270e" filled="false" stroked="true" strokeweight=".47998pt" strokecolor="#000000">
                <v:path arrowok="t"/>
              </v:shape>
            </v:group>
            <v:group style="position:absolute;left:5590;top:12280;width:2;height:720" coordorigin="5590,12280" coordsize="2,720">
              <v:shape style="position:absolute;left:5590;top:12280;width:2;height:720" coordorigin="5590,12280" coordsize="0,720" path="m5590,12280l5590,13000e" filled="false" stroked="true" strokeweight=".47998pt" strokecolor="#000000">
                <v:path arrowok="t"/>
              </v:shape>
            </v:group>
            <v:group style="position:absolute;left:5590;top:13009;width:2;height:960" coordorigin="5590,13009" coordsize="2,960">
              <v:shape style="position:absolute;left:5590;top:13009;width:2;height:960" coordorigin="5590,13009" coordsize="0,960" path="m5590,13009l5590,13969e" filled="false" stroked="true" strokeweight=".47998pt" strokecolor="#000000">
                <v:path arrowok="t"/>
              </v:shape>
            </v:group>
            <v:group style="position:absolute;left:5590;top:13979;width:2;height:242" coordorigin="5590,13979" coordsize="2,242">
              <v:shape style="position:absolute;left:5590;top:13979;width:2;height:242" coordorigin="5590,13979" coordsize="0,242" path="m5590,13979l5590,14220e" filled="false" stroked="true" strokeweight=".47998pt" strokecolor="#000000">
                <v:path arrowok="t"/>
              </v:shape>
            </v:group>
            <v:group style="position:absolute;left:7378;top:1762;width:2;height:633" coordorigin="7378,1762" coordsize="2,633">
              <v:shape style="position:absolute;left:7378;top:1762;width:2;height:633" coordorigin="7378,1762" coordsize="0,633" path="m7378,1762l7378,2394e" filled="false" stroked="true" strokeweight=".48001pt" strokecolor="#000000">
                <v:path arrowok="t"/>
              </v:shape>
            </v:group>
            <v:group style="position:absolute;left:7378;top:2404;width:2;height:480" coordorigin="7378,2404" coordsize="2,480">
              <v:shape style="position:absolute;left:7378;top:2404;width:2;height:480" coordorigin="7378,2404" coordsize="0,480" path="m7378,2404l7378,2884e" filled="false" stroked="true" strokeweight=".48001pt" strokecolor="#000000">
                <v:path arrowok="t"/>
              </v:shape>
            </v:group>
            <v:group style="position:absolute;left:7378;top:2893;width:2;height:242" coordorigin="7378,2893" coordsize="2,242">
              <v:shape style="position:absolute;left:7378;top:2893;width:2;height:242" coordorigin="7378,2893" coordsize="0,242" path="m7378,2893l7378,3134e" filled="false" stroked="true" strokeweight=".48001pt" strokecolor="#000000">
                <v:path arrowok="t"/>
              </v:shape>
            </v:group>
            <v:group style="position:absolute;left:7378;top:3144;width:2;height:480" coordorigin="7378,3144" coordsize="2,480">
              <v:shape style="position:absolute;left:7378;top:3144;width:2;height:480" coordorigin="7378,3144" coordsize="0,480" path="m7378,3144l7378,3624e" filled="false" stroked="true" strokeweight=".48001pt" strokecolor="#000000">
                <v:path arrowok="t"/>
              </v:shape>
            </v:group>
            <v:group style="position:absolute;left:7378;top:3634;width:2;height:702" coordorigin="7378,3634" coordsize="2,702">
              <v:shape style="position:absolute;left:7378;top:3634;width:2;height:702" coordorigin="7378,3634" coordsize="0,702" path="m7378,3634l7378,4336e" filled="false" stroked="true" strokeweight=".48001pt" strokecolor="#000000">
                <v:path arrowok="t"/>
              </v:shape>
            </v:group>
            <v:group style="position:absolute;left:7378;top:4345;width:2;height:242" coordorigin="7378,4345" coordsize="2,242">
              <v:shape style="position:absolute;left:7378;top:4345;width:2;height:242" coordorigin="7378,4345" coordsize="0,242" path="m7378,4345l7378,4586e" filled="false" stroked="true" strokeweight=".48001pt" strokecolor="#000000">
                <v:path arrowok="t"/>
              </v:shape>
            </v:group>
            <v:group style="position:absolute;left:7378;top:4596;width:2;height:414" coordorigin="7378,4596" coordsize="2,414">
              <v:shape style="position:absolute;left:7378;top:4596;width:2;height:414" coordorigin="7378,4596" coordsize="0,414" path="m7378,4596l7378,5010e" filled="false" stroked="true" strokeweight=".48001pt" strokecolor="#000000">
                <v:path arrowok="t"/>
              </v:shape>
            </v:group>
            <v:group style="position:absolute;left:7378;top:5020;width:2;height:480" coordorigin="7378,5020" coordsize="2,480">
              <v:shape style="position:absolute;left:7378;top:5020;width:2;height:480" coordorigin="7378,5020" coordsize="0,480" path="m7378,5020l7378,5500e" filled="false" stroked="true" strokeweight=".48001pt" strokecolor="#000000">
                <v:path arrowok="t"/>
              </v:shape>
            </v:group>
            <v:group style="position:absolute;left:7378;top:5509;width:2;height:240" coordorigin="7378,5509" coordsize="2,240">
              <v:shape style="position:absolute;left:7378;top:5509;width:2;height:240" coordorigin="7378,5509" coordsize="0,240" path="m7378,5509l7378,5749e" filled="false" stroked="true" strokeweight=".48001pt" strokecolor="#000000">
                <v:path arrowok="t"/>
              </v:shape>
            </v:group>
            <v:group style="position:absolute;left:7378;top:5759;width:2;height:938" coordorigin="7378,5759" coordsize="2,938">
              <v:shape style="position:absolute;left:7378;top:5759;width:2;height:938" coordorigin="7378,5759" coordsize="0,938" path="m7378,5759l7378,6696e" filled="false" stroked="true" strokeweight=".48001pt" strokecolor="#000000">
                <v:path arrowok="t"/>
              </v:shape>
            </v:group>
            <v:group style="position:absolute;left:7378;top:6706;width:2;height:240" coordorigin="7378,6706" coordsize="2,240">
              <v:shape style="position:absolute;left:7378;top:6706;width:2;height:240" coordorigin="7378,6706" coordsize="0,240" path="m7378,6706l7378,6946e" filled="false" stroked="true" strokeweight=".48001pt" strokecolor="#000000">
                <v:path arrowok="t"/>
              </v:shape>
            </v:group>
            <v:group style="position:absolute;left:7378;top:6955;width:2;height:720" coordorigin="7378,6955" coordsize="2,720">
              <v:shape style="position:absolute;left:7378;top:6955;width:2;height:720" coordorigin="7378,6955" coordsize="0,720" path="m7378,6955l7378,7675e" filled="false" stroked="true" strokeweight=".48001pt" strokecolor="#000000">
                <v:path arrowok="t"/>
              </v:shape>
            </v:group>
            <v:group style="position:absolute;left:7378;top:7685;width:2;height:470" coordorigin="7378,7685" coordsize="2,470">
              <v:shape style="position:absolute;left:7378;top:7685;width:2;height:470" coordorigin="7378,7685" coordsize="0,470" path="m7378,7685l7378,8154e" filled="false" stroked="true" strokeweight=".48001pt" strokecolor="#000000">
                <v:path arrowok="t"/>
              </v:shape>
            </v:group>
            <v:group style="position:absolute;left:7378;top:8164;width:2;height:480" coordorigin="7378,8164" coordsize="2,480">
              <v:shape style="position:absolute;left:7378;top:8164;width:2;height:480" coordorigin="7378,8164" coordsize="0,480" path="m7378,8164l7378,8644e" filled="false" stroked="true" strokeweight=".48001pt" strokecolor="#000000">
                <v:path arrowok="t"/>
              </v:shape>
            </v:group>
            <v:group style="position:absolute;left:7378;top:8653;width:2;height:480" coordorigin="7378,8653" coordsize="2,480">
              <v:shape style="position:absolute;left:7378;top:8653;width:2;height:480" coordorigin="7378,8653" coordsize="0,480" path="m7378,8653l7378,9133e" filled="false" stroked="true" strokeweight=".48001pt" strokecolor="#000000">
                <v:path arrowok="t"/>
              </v:shape>
            </v:group>
            <v:group style="position:absolute;left:7378;top:9143;width:2;height:938" coordorigin="7378,9143" coordsize="2,938">
              <v:shape style="position:absolute;left:7378;top:9143;width:2;height:938" coordorigin="7378,9143" coordsize="0,938" path="m7378,9143l7378,10080e" filled="false" stroked="true" strokeweight=".48001pt" strokecolor="#000000">
                <v:path arrowok="t"/>
              </v:shape>
            </v:group>
            <v:group style="position:absolute;left:7378;top:10090;width:2;height:720" coordorigin="7378,10090" coordsize="2,720">
              <v:shape style="position:absolute;left:7378;top:10090;width:2;height:720" coordorigin="7378,10090" coordsize="0,720" path="m7378,10090l7378,10810e" filled="false" stroked="true" strokeweight=".48001pt" strokecolor="#000000">
                <v:path arrowok="t"/>
              </v:shape>
            </v:group>
            <v:group style="position:absolute;left:7378;top:10819;width:2;height:720" coordorigin="7378,10819" coordsize="2,720">
              <v:shape style="position:absolute;left:7378;top:10819;width:2;height:720" coordorigin="7378,10819" coordsize="0,720" path="m7378,10819l7378,11539e" filled="false" stroked="true" strokeweight=".48001pt" strokecolor="#000000">
                <v:path arrowok="t"/>
              </v:shape>
            </v:group>
            <v:group style="position:absolute;left:7378;top:11549;width:2;height:722" coordorigin="7378,11549" coordsize="2,722">
              <v:shape style="position:absolute;left:7378;top:11549;width:2;height:722" coordorigin="7378,11549" coordsize="0,722" path="m7378,11549l7378,12270e" filled="false" stroked="true" strokeweight=".48001pt" strokecolor="#000000">
                <v:path arrowok="t"/>
              </v:shape>
            </v:group>
            <v:group style="position:absolute;left:7378;top:12280;width:2;height:720" coordorigin="7378,12280" coordsize="2,720">
              <v:shape style="position:absolute;left:7378;top:12280;width:2;height:720" coordorigin="7378,12280" coordsize="0,720" path="m7378,12280l7378,13000e" filled="false" stroked="true" strokeweight=".48001pt" strokecolor="#000000">
                <v:path arrowok="t"/>
              </v:shape>
            </v:group>
            <v:group style="position:absolute;left:7378;top:13009;width:2;height:960" coordorigin="7378,13009" coordsize="2,960">
              <v:shape style="position:absolute;left:7378;top:13009;width:2;height:960" coordorigin="7378,13009" coordsize="0,960" path="m7378,13009l7378,13969e" filled="false" stroked="true" strokeweight=".48001pt" strokecolor="#000000">
                <v:path arrowok="t"/>
              </v:shape>
            </v:group>
            <v:group style="position:absolute;left:7378;top:13979;width:2;height:242" coordorigin="7378,13979" coordsize="2,242">
              <v:shape style="position:absolute;left:7378;top:13979;width:2;height:242" coordorigin="7378,13979" coordsize="0,242" path="m7378,13979l7378,14220e" filled="false" stroked="true" strokeweight=".48001pt" strokecolor="#000000">
                <v:path arrowok="t"/>
              </v:shape>
            </v:group>
            <v:group style="position:absolute;left:1252;top:14225;width:9405;height:2" coordorigin="1252,14225" coordsize="9405,2">
              <v:shape style="position:absolute;left:1252;top:14225;width:9405;height:2" coordorigin="1252,14225" coordsize="9405,0" path="m1252,14225l10656,14225e" filled="false" stroked="true" strokeweight=".47998pt" strokecolor="#000000">
                <v:path arrowok="t"/>
              </v:shape>
            </v:group>
            <v:group style="position:absolute;left:1256;top:1752;width:2;height:12968" coordorigin="1256,1752" coordsize="2,12968">
              <v:shape style="position:absolute;left:1256;top:1752;width:2;height:12968" coordorigin="1256,1752" coordsize="0,12968" path="m1256,1752l1256,14719e" filled="false" stroked="true" strokeweight=".48pt" strokecolor="#000000">
                <v:path arrowok="t"/>
              </v:shape>
            </v:group>
            <v:group style="position:absolute;left:2479;top:14230;width:2;height:490" coordorigin="2479,14230" coordsize="2,490">
              <v:shape style="position:absolute;left:2479;top:14230;width:2;height:490" coordorigin="2479,14230" coordsize="0,490" path="m2479,14230l2479,14719e" filled="false" stroked="true" strokeweight=".48pt" strokecolor="#000000">
                <v:path arrowok="t"/>
              </v:shape>
            </v:group>
            <v:group style="position:absolute;left:4193;top:14230;width:2;height:490" coordorigin="4193,14230" coordsize="2,490">
              <v:shape style="position:absolute;left:4193;top:14230;width:2;height:490" coordorigin="4193,14230" coordsize="0,490" path="m4193,14230l4193,14719e" filled="false" stroked="true" strokeweight=".48pt" strokecolor="#000000">
                <v:path arrowok="t"/>
              </v:shape>
            </v:group>
            <v:group style="position:absolute;left:5590;top:14230;width:2;height:490" coordorigin="5590,14230" coordsize="2,490">
              <v:shape style="position:absolute;left:5590;top:14230;width:2;height:490" coordorigin="5590,14230" coordsize="0,490" path="m5590,14230l5590,14719e" filled="false" stroked="true" strokeweight=".47998pt" strokecolor="#000000">
                <v:path arrowok="t"/>
              </v:shape>
            </v:group>
            <v:group style="position:absolute;left:7378;top:14230;width:2;height:490" coordorigin="7378,14230" coordsize="2,490">
              <v:shape style="position:absolute;left:7378;top:14230;width:2;height:490" coordorigin="7378,14230" coordsize="0,490" path="m7378,14230l7378,14719e" filled="false" stroked="true" strokeweight=".48001pt" strokecolor="#000000">
                <v:path arrowok="t"/>
              </v:shape>
            </v:group>
            <v:group style="position:absolute;left:10651;top:1752;width:2;height:12968" coordorigin="10651,1752" coordsize="2,12968">
              <v:shape style="position:absolute;left:10651;top:1752;width:2;height:12968" coordorigin="10651,1752" coordsize="0,12968" path="m10651,1752l10651,14719e" filled="false" stroked="true" strokeweight=".47998pt" strokecolor="#000000">
                <v:path arrowok="t"/>
              </v:shape>
            </v:group>
            <w10:wrap type="none"/>
          </v:group>
        </w:pict>
      </w:r>
      <w:r>
        <w:rPr/>
        <w:pict>
          <v:shape style="position:absolute;margin-left:62.82pt;margin-top:68.747200pt;width:469.75pt;height:667.5pt;mso-position-horizontal-relative:page;mso-position-vertical-relative:page;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3"/>
                    <w:gridCol w:w="1714"/>
                    <w:gridCol w:w="1397"/>
                    <w:gridCol w:w="1788"/>
                    <w:gridCol w:w="3274"/>
                  </w:tblGrid>
                  <w:tr>
                    <w:trPr>
                      <w:trHeight w:val="382" w:hRule="exact"/>
                    </w:trPr>
                    <w:tc>
                      <w:tcPr>
                        <w:tcW w:w="9395"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6"/>
                          <w:ind w:left="183" w:right="0"/>
                          <w:jc w:val="left"/>
                          <w:rPr>
                            <w:rFonts w:ascii="宋体" w:hAnsi="宋体" w:cs="宋体" w:eastAsia="宋体" w:hint="default"/>
                            <w:sz w:val="24"/>
                            <w:szCs w:val="24"/>
                          </w:rPr>
                        </w:pPr>
                        <w:r>
                          <w:rPr>
                            <w:rFonts w:ascii="宋体" w:hAnsi="宋体" w:cs="宋体" w:eastAsia="宋体" w:hint="default"/>
                            <w:sz w:val="21"/>
                            <w:szCs w:val="21"/>
                          </w:rPr>
                          <w:t>十二、</w:t>
                        </w:r>
                        <w:r>
                          <w:rPr>
                            <w:rFonts w:ascii="宋体" w:hAnsi="宋体" w:cs="宋体" w:eastAsia="宋体" w:hint="default"/>
                            <w:sz w:val="24"/>
                            <w:szCs w:val="24"/>
                          </w:rPr>
                          <w:t>报告期末至披露日之间接待调研、沟通、采访等活动登记表</w:t>
                        </w:r>
                      </w:p>
                    </w:tc>
                  </w:tr>
                  <w:tr>
                    <w:trPr>
                      <w:trHeight w:val="642"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3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3274"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490"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left="28" w:right="0"/>
                          <w:jc w:val="left"/>
                          <w:rPr>
                            <w:rFonts w:ascii="Times New Roman" w:hAnsi="Times New Roman" w:cs="Times New Roman" w:eastAsia="Times New Roman" w:hint="default"/>
                            <w:sz w:val="18"/>
                            <w:szCs w:val="18"/>
                          </w:rPr>
                        </w:pPr>
                        <w:r>
                          <w:rPr>
                            <w:rFonts w:ascii="Times New Roman"/>
                            <w:sz w:val="18"/>
                          </w:rPr>
                          <w:t>2011.1.7</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left="27"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33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11" w:lineRule="exact"/>
                          <w:ind w:left="27" w:right="0"/>
                          <w:jc w:val="left"/>
                          <w:rPr>
                            <w:rFonts w:ascii="宋体" w:hAnsi="宋体" w:cs="宋体" w:eastAsia="宋体" w:hint="default"/>
                            <w:sz w:val="18"/>
                            <w:szCs w:val="18"/>
                          </w:rPr>
                        </w:pPr>
                        <w:r>
                          <w:rPr>
                            <w:rFonts w:ascii="宋体" w:hAnsi="宋体" w:cs="宋体" w:eastAsia="宋体" w:hint="default"/>
                            <w:sz w:val="18"/>
                            <w:szCs w:val="18"/>
                          </w:rPr>
                          <w:t>中国建银投资证券有</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限责任公司研究所</w:t>
                        </w:r>
                      </w:p>
                    </w:tc>
                    <w:tc>
                      <w:tcPr>
                        <w:tcW w:w="3274"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8" w:right="26"/>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年整体业绩情况及</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 元旦销售情况</w:t>
                        </w:r>
                      </w:p>
                    </w:tc>
                  </w:tr>
                  <w:tr>
                    <w:trPr>
                      <w:trHeight w:val="251"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28" w:right="0"/>
                          <w:jc w:val="left"/>
                          <w:rPr>
                            <w:rFonts w:ascii="Times New Roman" w:hAnsi="Times New Roman" w:cs="Times New Roman" w:eastAsia="Times New Roman" w:hint="default"/>
                            <w:sz w:val="18"/>
                            <w:szCs w:val="18"/>
                          </w:rPr>
                        </w:pPr>
                        <w:r>
                          <w:rPr>
                            <w:rFonts w:ascii="Times New Roman"/>
                            <w:sz w:val="18"/>
                          </w:rPr>
                          <w:t>2011.1.11</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7"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33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7" w:right="0"/>
                          <w:jc w:val="left"/>
                          <w:rPr>
                            <w:rFonts w:ascii="宋体" w:hAnsi="宋体" w:cs="宋体" w:eastAsia="宋体" w:hint="default"/>
                            <w:sz w:val="18"/>
                            <w:szCs w:val="18"/>
                          </w:rPr>
                        </w:pPr>
                        <w:r>
                          <w:rPr>
                            <w:rFonts w:ascii="宋体" w:hAnsi="宋体" w:cs="宋体" w:eastAsia="宋体" w:hint="default"/>
                            <w:sz w:val="18"/>
                            <w:szCs w:val="18"/>
                          </w:rPr>
                          <w:t>英国安本资产</w:t>
                        </w:r>
                      </w:p>
                    </w:tc>
                    <w:tc>
                      <w:tcPr>
                        <w:tcW w:w="3274"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了解南京地区主要店面销售情况</w:t>
                        </w:r>
                      </w:p>
                    </w:tc>
                  </w:tr>
                  <w:tr>
                    <w:trPr>
                      <w:trHeight w:val="490"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left="28" w:right="0"/>
                          <w:jc w:val="left"/>
                          <w:rPr>
                            <w:rFonts w:ascii="Times New Roman" w:hAnsi="Times New Roman" w:cs="Times New Roman" w:eastAsia="Times New Roman" w:hint="default"/>
                            <w:sz w:val="18"/>
                            <w:szCs w:val="18"/>
                          </w:rPr>
                        </w:pPr>
                        <w:r>
                          <w:rPr>
                            <w:rFonts w:ascii="Times New Roman"/>
                            <w:sz w:val="18"/>
                          </w:rPr>
                          <w:t>2011.1.12</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left="27"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336"/>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40" w:lineRule="auto" w:before="144"/>
                          <w:ind w:left="27" w:right="0"/>
                          <w:jc w:val="left"/>
                          <w:rPr>
                            <w:rFonts w:ascii="Times New Roman" w:hAnsi="Times New Roman" w:cs="Times New Roman" w:eastAsia="Times New Roman" w:hint="default"/>
                            <w:sz w:val="18"/>
                            <w:szCs w:val="18"/>
                          </w:rPr>
                        </w:pPr>
                        <w:r>
                          <w:rPr>
                            <w:rFonts w:ascii="Times New Roman"/>
                            <w:sz w:val="18"/>
                          </w:rPr>
                          <w:t>Broad Peak</w:t>
                        </w:r>
                        <w:r>
                          <w:rPr>
                            <w:rFonts w:ascii="Times New Roman"/>
                            <w:spacing w:val="-1"/>
                            <w:sz w:val="18"/>
                          </w:rPr>
                          <w:t> </w:t>
                        </w:r>
                        <w:r>
                          <w:rPr>
                            <w:rFonts w:ascii="Times New Roman"/>
                            <w:sz w:val="18"/>
                          </w:rPr>
                          <w:t>Investment</w:t>
                        </w:r>
                      </w:p>
                    </w:tc>
                    <w:tc>
                      <w:tcPr>
                        <w:tcW w:w="3274"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8" w:right="182"/>
                          <w:jc w:val="left"/>
                          <w:rPr>
                            <w:rFonts w:ascii="宋体" w:hAnsi="宋体" w:cs="宋体" w:eastAsia="宋体" w:hint="default"/>
                            <w:sz w:val="18"/>
                            <w:szCs w:val="18"/>
                          </w:rPr>
                        </w:pPr>
                        <w:r>
                          <w:rPr>
                            <w:rFonts w:ascii="宋体" w:hAnsi="宋体" w:cs="宋体" w:eastAsia="宋体" w:hint="default"/>
                            <w:sz w:val="18"/>
                            <w:szCs w:val="18"/>
                          </w:rPr>
                          <w:t>了解公司消费类电子产品的销售现状及 未来毛利提升的空间</w:t>
                        </w:r>
                      </w:p>
                    </w:tc>
                  </w:tr>
                  <w:tr>
                    <w:trPr>
                      <w:trHeight w:val="712"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2011.1.12</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5062" w:type="dxa"/>
                        <w:gridSpan w:val="2"/>
                        <w:tcBorders>
                          <w:top w:val="single" w:sz="4" w:space="0" w:color="000000"/>
                          <w:left w:val="nil" w:sz="6" w:space="0" w:color="auto"/>
                          <w:bottom w:val="single" w:sz="4" w:space="0" w:color="000000"/>
                          <w:right w:val="nil" w:sz="6" w:space="0" w:color="auto"/>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中信证券；长城基金；</w:t>
                        </w:r>
                      </w:p>
                      <w:p>
                        <w:pPr>
                          <w:pStyle w:val="TableParagraph"/>
                          <w:tabs>
                            <w:tab w:pos="1816" w:val="left" w:leader="none"/>
                          </w:tabs>
                          <w:spacing w:line="240" w:lineRule="auto" w:before="122"/>
                          <w:ind w:left="27" w:right="0"/>
                          <w:jc w:val="left"/>
                          <w:rPr>
                            <w:rFonts w:ascii="宋体" w:hAnsi="宋体" w:cs="宋体" w:eastAsia="宋体" w:hint="default"/>
                            <w:sz w:val="18"/>
                            <w:szCs w:val="18"/>
                          </w:rPr>
                        </w:pPr>
                        <w:r>
                          <w:rPr>
                            <w:rFonts w:ascii="宋体" w:hAnsi="宋体" w:cs="宋体" w:eastAsia="宋体" w:hint="default"/>
                            <w:sz w:val="18"/>
                            <w:szCs w:val="18"/>
                          </w:rPr>
                          <w:t>金；紫鑫投资</w:t>
                          <w:tab/>
                        </w:r>
                        <w:r>
                          <w:rPr>
                            <w:rFonts w:ascii="宋体" w:hAnsi="宋体" w:cs="宋体" w:eastAsia="宋体" w:hint="default"/>
                            <w:position w:val="11"/>
                            <w:sz w:val="18"/>
                            <w:szCs w:val="18"/>
                          </w:rPr>
                          <w:t>的合作情况</w:t>
                        </w:r>
                        <w:r>
                          <w:rPr>
                            <w:rFonts w:ascii="宋体" w:hAnsi="宋体" w:cs="宋体" w:eastAsia="宋体" w:hint="default"/>
                            <w:sz w:val="18"/>
                            <w:szCs w:val="18"/>
                          </w:rPr>
                        </w:r>
                      </w:p>
                    </w:tc>
                  </w:tr>
                  <w:tr>
                    <w:trPr>
                      <w:trHeight w:val="251"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28" w:right="0"/>
                          <w:jc w:val="left"/>
                          <w:rPr>
                            <w:rFonts w:ascii="Times New Roman" w:hAnsi="Times New Roman" w:cs="Times New Roman" w:eastAsia="Times New Roman" w:hint="default"/>
                            <w:sz w:val="18"/>
                            <w:szCs w:val="18"/>
                          </w:rPr>
                        </w:pPr>
                        <w:r>
                          <w:rPr>
                            <w:rFonts w:ascii="Times New Roman"/>
                            <w:sz w:val="18"/>
                          </w:rPr>
                          <w:t>2011.1.17</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7"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33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27" w:right="0"/>
                          <w:jc w:val="left"/>
                          <w:rPr>
                            <w:rFonts w:ascii="Times New Roman" w:hAnsi="Times New Roman" w:cs="Times New Roman" w:eastAsia="Times New Roman" w:hint="default"/>
                            <w:sz w:val="18"/>
                            <w:szCs w:val="18"/>
                          </w:rPr>
                        </w:pPr>
                        <w:r>
                          <w:rPr>
                            <w:rFonts w:ascii="Times New Roman"/>
                            <w:sz w:val="18"/>
                          </w:rPr>
                          <w:t>Waddell&amp;</w:t>
                        </w:r>
                        <w:r>
                          <w:rPr>
                            <w:rFonts w:ascii="Times New Roman"/>
                            <w:spacing w:val="-16"/>
                            <w:sz w:val="18"/>
                          </w:rPr>
                          <w:t> </w:t>
                        </w:r>
                        <w:r>
                          <w:rPr>
                            <w:rFonts w:ascii="Times New Roman"/>
                            <w:sz w:val="18"/>
                          </w:rPr>
                          <w:t>Reed</w:t>
                        </w:r>
                      </w:p>
                    </w:tc>
                    <w:tc>
                      <w:tcPr>
                        <w:tcW w:w="3274"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了解南京地区主要店面销售情况</w:t>
                        </w:r>
                      </w:p>
                    </w:tc>
                  </w:tr>
                  <w:tr>
                    <w:trPr>
                      <w:trHeight w:val="424"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28" w:right="0"/>
                          <w:jc w:val="left"/>
                          <w:rPr>
                            <w:rFonts w:ascii="Times New Roman" w:hAnsi="Times New Roman" w:cs="Times New Roman" w:eastAsia="Times New Roman" w:hint="default"/>
                            <w:sz w:val="18"/>
                            <w:szCs w:val="18"/>
                          </w:rPr>
                        </w:pPr>
                        <w:r>
                          <w:rPr>
                            <w:rFonts w:ascii="Times New Roman"/>
                            <w:sz w:val="18"/>
                          </w:rPr>
                          <w:t>2011.1.19</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27"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right="33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40" w:lineRule="auto"/>
                          <w:ind w:left="27" w:right="653"/>
                          <w:jc w:val="left"/>
                          <w:rPr>
                            <w:rFonts w:ascii="Times New Roman" w:hAnsi="Times New Roman" w:cs="Times New Roman" w:eastAsia="Times New Roman" w:hint="default"/>
                            <w:sz w:val="18"/>
                            <w:szCs w:val="18"/>
                          </w:rPr>
                        </w:pPr>
                        <w:r>
                          <w:rPr>
                            <w:rFonts w:ascii="Times New Roman"/>
                            <w:sz w:val="18"/>
                          </w:rPr>
                          <w:t>UG</w:t>
                        </w:r>
                        <w:r>
                          <w:rPr>
                            <w:rFonts w:ascii="Times New Roman"/>
                            <w:spacing w:val="-9"/>
                            <w:sz w:val="18"/>
                          </w:rPr>
                          <w:t> </w:t>
                        </w:r>
                        <w:r>
                          <w:rPr>
                            <w:rFonts w:ascii="Times New Roman"/>
                            <w:sz w:val="18"/>
                          </w:rPr>
                          <w:t>Investment</w:t>
                        </w:r>
                        <w:r>
                          <w:rPr>
                            <w:rFonts w:ascii="Times New Roman"/>
                            <w:spacing w:val="-1"/>
                            <w:sz w:val="18"/>
                          </w:rPr>
                          <w:t> </w:t>
                        </w:r>
                        <w:r>
                          <w:rPr>
                            <w:rFonts w:ascii="Times New Roman"/>
                            <w:sz w:val="18"/>
                          </w:rPr>
                          <w:t>Advisers</w:t>
                        </w:r>
                      </w:p>
                    </w:tc>
                    <w:tc>
                      <w:tcPr>
                        <w:tcW w:w="3274"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sz w:val="18"/>
                            <w:szCs w:val="18"/>
                          </w:rPr>
                          <w:t>了解上海地区主要店面销售情况</w:t>
                        </w:r>
                      </w:p>
                    </w:tc>
                  </w:tr>
                  <w:tr>
                    <w:trPr>
                      <w:trHeight w:val="490"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left="28" w:right="0"/>
                          <w:jc w:val="left"/>
                          <w:rPr>
                            <w:rFonts w:ascii="Times New Roman" w:hAnsi="Times New Roman" w:cs="Times New Roman" w:eastAsia="Times New Roman" w:hint="default"/>
                            <w:sz w:val="18"/>
                            <w:szCs w:val="18"/>
                          </w:rPr>
                        </w:pPr>
                        <w:r>
                          <w:rPr>
                            <w:rFonts w:ascii="Times New Roman"/>
                            <w:sz w:val="18"/>
                          </w:rPr>
                          <w:t>2011.1.19</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left="27"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336"/>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left="27" w:right="0"/>
                          <w:jc w:val="left"/>
                          <w:rPr>
                            <w:rFonts w:ascii="Times New Roman" w:hAnsi="Times New Roman" w:cs="Times New Roman" w:eastAsia="Times New Roman" w:hint="default"/>
                            <w:sz w:val="18"/>
                            <w:szCs w:val="18"/>
                          </w:rPr>
                        </w:pPr>
                        <w:r>
                          <w:rPr>
                            <w:rFonts w:ascii="Times New Roman"/>
                            <w:sz w:val="18"/>
                          </w:rPr>
                          <w:t>Auriga USA,</w:t>
                        </w:r>
                        <w:r>
                          <w:rPr>
                            <w:rFonts w:ascii="Times New Roman"/>
                            <w:spacing w:val="-11"/>
                            <w:sz w:val="18"/>
                          </w:rPr>
                          <w:t> </w:t>
                        </w:r>
                        <w:r>
                          <w:rPr>
                            <w:rFonts w:ascii="Times New Roman"/>
                            <w:sz w:val="18"/>
                          </w:rPr>
                          <w:t>LLC</w:t>
                        </w:r>
                      </w:p>
                    </w:tc>
                    <w:tc>
                      <w:tcPr>
                        <w:tcW w:w="3274"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8" w:right="182"/>
                          <w:jc w:val="left"/>
                          <w:rPr>
                            <w:rFonts w:ascii="宋体" w:hAnsi="宋体" w:cs="宋体" w:eastAsia="宋体" w:hint="default"/>
                            <w:sz w:val="18"/>
                            <w:szCs w:val="18"/>
                          </w:rPr>
                        </w:pPr>
                        <w:r>
                          <w:rPr>
                            <w:rFonts w:ascii="宋体" w:hAnsi="宋体" w:cs="宋体" w:eastAsia="宋体" w:hint="default"/>
                            <w:sz w:val="18"/>
                            <w:szCs w:val="18"/>
                          </w:rPr>
                          <w:t>了解公司基本面情况和公司后台物流基 地建设进度及未来规划</w:t>
                        </w:r>
                      </w:p>
                    </w:tc>
                  </w:tr>
                  <w:tr>
                    <w:trPr>
                      <w:trHeight w:val="250"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28" w:right="0"/>
                          <w:jc w:val="left"/>
                          <w:rPr>
                            <w:rFonts w:ascii="Times New Roman" w:hAnsi="Times New Roman" w:cs="Times New Roman" w:eastAsia="Times New Roman" w:hint="default"/>
                            <w:sz w:val="18"/>
                            <w:szCs w:val="18"/>
                          </w:rPr>
                        </w:pPr>
                        <w:r>
                          <w:rPr>
                            <w:rFonts w:ascii="Times New Roman"/>
                            <w:sz w:val="18"/>
                          </w:rPr>
                          <w:t>2011.1.20</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7"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33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27" w:right="0"/>
                          <w:jc w:val="left"/>
                          <w:rPr>
                            <w:rFonts w:ascii="Times New Roman" w:hAnsi="Times New Roman" w:cs="Times New Roman" w:eastAsia="Times New Roman" w:hint="default"/>
                            <w:sz w:val="18"/>
                            <w:szCs w:val="18"/>
                          </w:rPr>
                        </w:pPr>
                        <w:r>
                          <w:rPr>
                            <w:rFonts w:ascii="Times New Roman"/>
                            <w:sz w:val="18"/>
                          </w:rPr>
                          <w:t>First State</w:t>
                        </w:r>
                        <w:r>
                          <w:rPr>
                            <w:rFonts w:ascii="Times New Roman"/>
                            <w:spacing w:val="-22"/>
                            <w:sz w:val="18"/>
                          </w:rPr>
                          <w:t> </w:t>
                        </w:r>
                        <w:r>
                          <w:rPr>
                            <w:rFonts w:ascii="Times New Roman"/>
                            <w:sz w:val="18"/>
                          </w:rPr>
                          <w:t>Investment</w:t>
                        </w:r>
                      </w:p>
                    </w:tc>
                    <w:tc>
                      <w:tcPr>
                        <w:tcW w:w="3274"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了解青岛地区主要店面销售情况</w:t>
                        </w:r>
                      </w:p>
                    </w:tc>
                  </w:tr>
                  <w:tr>
                    <w:trPr>
                      <w:trHeight w:val="947"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8" w:right="0"/>
                          <w:jc w:val="left"/>
                          <w:rPr>
                            <w:rFonts w:ascii="Times New Roman" w:hAnsi="Times New Roman" w:cs="Times New Roman" w:eastAsia="Times New Roman" w:hint="default"/>
                            <w:sz w:val="18"/>
                            <w:szCs w:val="18"/>
                          </w:rPr>
                        </w:pPr>
                        <w:r>
                          <w:rPr>
                            <w:rFonts w:ascii="Times New Roman"/>
                            <w:sz w:val="18"/>
                          </w:rPr>
                          <w:t>2011.2.14</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27" w:right="0"/>
                          <w:jc w:val="both"/>
                          <w:rPr>
                            <w:rFonts w:ascii="宋体" w:hAnsi="宋体" w:cs="宋体" w:eastAsia="宋体" w:hint="default"/>
                            <w:sz w:val="18"/>
                            <w:szCs w:val="18"/>
                          </w:rPr>
                        </w:pPr>
                        <w:r>
                          <w:rPr>
                            <w:rFonts w:ascii="宋体" w:hAnsi="宋体" w:cs="宋体" w:eastAsia="宋体" w:hint="default"/>
                            <w:sz w:val="18"/>
                            <w:szCs w:val="18"/>
                          </w:rPr>
                          <w:t>新华人寿资产管理公</w:t>
                        </w:r>
                      </w:p>
                      <w:p>
                        <w:pPr>
                          <w:pStyle w:val="TableParagraph"/>
                          <w:spacing w:line="240" w:lineRule="auto"/>
                          <w:ind w:left="27" w:right="25"/>
                          <w:jc w:val="both"/>
                          <w:rPr>
                            <w:rFonts w:ascii="宋体" w:hAnsi="宋体" w:cs="宋体" w:eastAsia="宋体" w:hint="default"/>
                            <w:sz w:val="18"/>
                            <w:szCs w:val="18"/>
                          </w:rPr>
                        </w:pPr>
                        <w:r>
                          <w:rPr>
                            <w:rFonts w:ascii="宋体" w:hAnsi="宋体" w:cs="宋体" w:eastAsia="宋体" w:hint="default"/>
                            <w:spacing w:val="-7"/>
                            <w:sz w:val="18"/>
                            <w:szCs w:val="18"/>
                          </w:rPr>
                          <w:t>司；民生人寿资产管理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中心；深圳金瀛投资有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3274"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4" w:lineRule="auto"/>
                          <w:ind w:left="28" w:right="25"/>
                          <w:jc w:val="left"/>
                          <w:rPr>
                            <w:rFonts w:ascii="宋体" w:hAnsi="宋体" w:cs="宋体" w:eastAsia="宋体" w:hint="default"/>
                            <w:sz w:val="18"/>
                            <w:szCs w:val="18"/>
                          </w:rPr>
                        </w:pPr>
                        <w:r>
                          <w:rPr>
                            <w:rFonts w:ascii="宋体" w:hAnsi="宋体" w:cs="宋体" w:eastAsia="宋体" w:hint="default"/>
                            <w:spacing w:val="-2"/>
                            <w:sz w:val="18"/>
                            <w:szCs w:val="18"/>
                          </w:rPr>
                          <w:t>了解公司春节整体销售情况，结合行业现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状了解公司未来的发展空间</w:t>
                        </w:r>
                      </w:p>
                    </w:tc>
                  </w:tr>
                  <w:tr>
                    <w:trPr>
                      <w:trHeight w:val="250"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28" w:right="0"/>
                          <w:jc w:val="left"/>
                          <w:rPr>
                            <w:rFonts w:ascii="Times New Roman" w:hAnsi="Times New Roman" w:cs="Times New Roman" w:eastAsia="Times New Roman" w:hint="default"/>
                            <w:sz w:val="18"/>
                            <w:szCs w:val="18"/>
                          </w:rPr>
                        </w:pPr>
                        <w:r>
                          <w:rPr>
                            <w:rFonts w:ascii="Times New Roman"/>
                            <w:sz w:val="18"/>
                          </w:rPr>
                          <w:t>2011.2.15</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27"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33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27" w:right="0"/>
                          <w:jc w:val="left"/>
                          <w:rPr>
                            <w:rFonts w:ascii="Times New Roman" w:hAnsi="Times New Roman" w:cs="Times New Roman" w:eastAsia="Times New Roman" w:hint="default"/>
                            <w:sz w:val="18"/>
                            <w:szCs w:val="18"/>
                          </w:rPr>
                        </w:pPr>
                        <w:r>
                          <w:rPr>
                            <w:rFonts w:ascii="Times New Roman"/>
                            <w:sz w:val="18"/>
                          </w:rPr>
                          <w:t>Dodge &amp;</w:t>
                        </w:r>
                        <w:r>
                          <w:rPr>
                            <w:rFonts w:ascii="Times New Roman"/>
                            <w:spacing w:val="-1"/>
                            <w:sz w:val="18"/>
                          </w:rPr>
                          <w:t> </w:t>
                        </w:r>
                        <w:r>
                          <w:rPr>
                            <w:rFonts w:ascii="Times New Roman"/>
                            <w:sz w:val="18"/>
                          </w:rPr>
                          <w:t>Cox</w:t>
                        </w:r>
                      </w:p>
                    </w:tc>
                    <w:tc>
                      <w:tcPr>
                        <w:tcW w:w="3274"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了解深圳地区主要店面销售情况</w:t>
                        </w:r>
                      </w:p>
                    </w:tc>
                  </w:tr>
                  <w:tr>
                    <w:trPr>
                      <w:trHeight w:val="730"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2011.2.18</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506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exact"/>
                          <w:ind w:left="27" w:right="25"/>
                          <w:jc w:val="both"/>
                          <w:rPr>
                            <w:rFonts w:ascii="宋体" w:hAnsi="宋体" w:cs="宋体" w:eastAsia="宋体" w:hint="default"/>
                            <w:sz w:val="18"/>
                            <w:szCs w:val="18"/>
                          </w:rPr>
                        </w:pPr>
                        <w:r>
                          <w:rPr>
                            <w:rFonts w:ascii="宋体" w:hAnsi="宋体" w:cs="宋体" w:eastAsia="宋体" w:hint="default"/>
                            <w:spacing w:val="-2"/>
                            <w:sz w:val="18"/>
                            <w:szCs w:val="18"/>
                          </w:rPr>
                          <w:t>华岩时代咨询（北京）了解公司北京、上海等主要城市的市场占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7"/>
                            <w:position w:val="1"/>
                            <w:sz w:val="18"/>
                            <w:szCs w:val="18"/>
                          </w:rPr>
                          <w:t>有限公司；湧金资产管</w:t>
                        </w:r>
                        <w:r>
                          <w:rPr>
                            <w:rFonts w:ascii="宋体" w:hAnsi="宋体" w:cs="宋体" w:eastAsia="宋体" w:hint="default"/>
                            <w:spacing w:val="-54"/>
                            <w:position w:val="1"/>
                            <w:sz w:val="18"/>
                            <w:szCs w:val="18"/>
                          </w:rPr>
                          <w:t> </w:t>
                        </w:r>
                        <w:r>
                          <w:rPr>
                            <w:rFonts w:ascii="宋体" w:hAnsi="宋体" w:cs="宋体" w:eastAsia="宋体" w:hint="default"/>
                            <w:sz w:val="18"/>
                            <w:szCs w:val="18"/>
                          </w:rPr>
                          <w:t>比及竞争情况，了解公司网上商城的销售</w:t>
                        </w:r>
                        <w:r>
                          <w:rPr>
                            <w:rFonts w:ascii="宋体" w:hAnsi="宋体" w:cs="宋体" w:eastAsia="宋体" w:hint="default"/>
                            <w:sz w:val="18"/>
                            <w:szCs w:val="18"/>
                          </w:rPr>
                          <w:t> </w:t>
                        </w:r>
                        <w:r>
                          <w:rPr>
                            <w:rFonts w:ascii="宋体" w:hAnsi="宋体" w:cs="宋体" w:eastAsia="宋体" w:hint="default"/>
                            <w:position w:val="2"/>
                            <w:sz w:val="18"/>
                            <w:szCs w:val="18"/>
                          </w:rPr>
                          <w:t>理有限公司        </w:t>
                        </w:r>
                        <w:r>
                          <w:rPr>
                            <w:rFonts w:ascii="宋体" w:hAnsi="宋体" w:cs="宋体" w:eastAsia="宋体" w:hint="default"/>
                            <w:spacing w:val="79"/>
                            <w:position w:val="2"/>
                            <w:sz w:val="18"/>
                            <w:szCs w:val="18"/>
                          </w:rPr>
                          <w:t> </w:t>
                        </w:r>
                        <w:r>
                          <w:rPr>
                            <w:rFonts w:ascii="宋体" w:hAnsi="宋体" w:cs="宋体" w:eastAsia="宋体" w:hint="default"/>
                            <w:sz w:val="18"/>
                            <w:szCs w:val="18"/>
                          </w:rPr>
                          <w:t>增长情况及未来发展规划</w:t>
                        </w:r>
                      </w:p>
                    </w:tc>
                  </w:tr>
                  <w:tr>
                    <w:trPr>
                      <w:trHeight w:val="479"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left="28" w:right="0"/>
                          <w:jc w:val="left"/>
                          <w:rPr>
                            <w:rFonts w:ascii="Times New Roman" w:hAnsi="Times New Roman" w:cs="Times New Roman" w:eastAsia="Times New Roman" w:hint="default"/>
                            <w:sz w:val="18"/>
                            <w:szCs w:val="18"/>
                          </w:rPr>
                        </w:pPr>
                        <w:r>
                          <w:rPr>
                            <w:rFonts w:ascii="Times New Roman"/>
                            <w:sz w:val="18"/>
                          </w:rPr>
                          <w:t>2011.2.21</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86"/>
                          <w:ind w:left="27"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86"/>
                          <w:ind w:right="33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德意志银行证券研究</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部</w:t>
                        </w:r>
                      </w:p>
                    </w:tc>
                    <w:tc>
                      <w:tcPr>
                        <w:tcW w:w="3274" w:type="dxa"/>
                        <w:tcBorders>
                          <w:top w:val="single" w:sz="4" w:space="0" w:color="000000"/>
                          <w:left w:val="nil" w:sz="6" w:space="0" w:color="auto"/>
                          <w:bottom w:val="single" w:sz="4" w:space="0" w:color="000000"/>
                          <w:right w:val="nil" w:sz="6" w:space="0" w:color="auto"/>
                        </w:tcBorders>
                      </w:tcPr>
                      <w:p>
                        <w:pPr>
                          <w:pStyle w:val="TableParagraph"/>
                          <w:spacing w:line="240" w:lineRule="auto" w:before="95"/>
                          <w:ind w:left="28" w:right="0"/>
                          <w:jc w:val="left"/>
                          <w:rPr>
                            <w:rFonts w:ascii="宋体" w:hAnsi="宋体" w:cs="宋体" w:eastAsia="宋体" w:hint="default"/>
                            <w:sz w:val="18"/>
                            <w:szCs w:val="18"/>
                          </w:rPr>
                        </w:pPr>
                        <w:r>
                          <w:rPr>
                            <w:rFonts w:ascii="宋体" w:hAnsi="宋体" w:cs="宋体" w:eastAsia="宋体" w:hint="default"/>
                            <w:sz w:val="18"/>
                            <w:szCs w:val="18"/>
                          </w:rPr>
                          <w:t>了解沈阳地区主要店面销售情况</w:t>
                        </w:r>
                      </w:p>
                    </w:tc>
                  </w:tr>
                  <w:tr>
                    <w:trPr>
                      <w:trHeight w:val="490"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left="28" w:right="0"/>
                          <w:jc w:val="left"/>
                          <w:rPr>
                            <w:rFonts w:ascii="Times New Roman" w:hAnsi="Times New Roman" w:cs="Times New Roman" w:eastAsia="Times New Roman" w:hint="default"/>
                            <w:sz w:val="18"/>
                            <w:szCs w:val="18"/>
                          </w:rPr>
                        </w:pPr>
                        <w:r>
                          <w:rPr>
                            <w:rFonts w:ascii="Times New Roman"/>
                            <w:sz w:val="18"/>
                          </w:rPr>
                          <w:t>2011.2.21</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left="27"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33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531"/>
                          <w:jc w:val="left"/>
                          <w:rPr>
                            <w:rFonts w:ascii="Times New Roman" w:hAnsi="Times New Roman" w:cs="Times New Roman" w:eastAsia="Times New Roman" w:hint="default"/>
                            <w:sz w:val="18"/>
                            <w:szCs w:val="18"/>
                          </w:rPr>
                        </w:pPr>
                        <w:r>
                          <w:rPr>
                            <w:rFonts w:ascii="Times New Roman"/>
                            <w:sz w:val="18"/>
                          </w:rPr>
                          <w:t>Capital</w:t>
                        </w:r>
                        <w:r>
                          <w:rPr>
                            <w:rFonts w:ascii="Times New Roman"/>
                            <w:spacing w:val="-3"/>
                            <w:sz w:val="18"/>
                          </w:rPr>
                          <w:t> </w:t>
                        </w:r>
                        <w:r>
                          <w:rPr>
                            <w:rFonts w:ascii="Times New Roman"/>
                            <w:sz w:val="18"/>
                          </w:rPr>
                          <w:t>Research</w:t>
                        </w:r>
                        <w:r>
                          <w:rPr>
                            <w:rFonts w:ascii="Times New Roman"/>
                            <w:sz w:val="18"/>
                          </w:rPr>
                          <w:t> Global</w:t>
                        </w:r>
                        <w:r>
                          <w:rPr>
                            <w:rFonts w:ascii="Times New Roman"/>
                            <w:spacing w:val="-3"/>
                            <w:sz w:val="18"/>
                          </w:rPr>
                          <w:t> </w:t>
                        </w:r>
                        <w:r>
                          <w:rPr>
                            <w:rFonts w:ascii="Times New Roman"/>
                            <w:sz w:val="18"/>
                          </w:rPr>
                          <w:t>Investors</w:t>
                        </w:r>
                      </w:p>
                    </w:tc>
                    <w:tc>
                      <w:tcPr>
                        <w:tcW w:w="3274"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8" w:right="25"/>
                          <w:jc w:val="left"/>
                          <w:rPr>
                            <w:rFonts w:ascii="宋体" w:hAnsi="宋体" w:cs="宋体" w:eastAsia="宋体" w:hint="default"/>
                            <w:sz w:val="18"/>
                            <w:szCs w:val="18"/>
                          </w:rPr>
                        </w:pPr>
                        <w:r>
                          <w:rPr>
                            <w:rFonts w:ascii="宋体" w:hAnsi="宋体" w:cs="宋体" w:eastAsia="宋体" w:hint="default"/>
                            <w:spacing w:val="-2"/>
                            <w:sz w:val="18"/>
                            <w:szCs w:val="18"/>
                          </w:rPr>
                          <w:t>了解公司基本面情况、未来利润提升空间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和措施及中国家电行业发展现况</w:t>
                        </w:r>
                      </w:p>
                    </w:tc>
                  </w:tr>
                  <w:tr>
                    <w:trPr>
                      <w:trHeight w:val="490"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132"/>
                          <w:ind w:left="28" w:right="0"/>
                          <w:jc w:val="left"/>
                          <w:rPr>
                            <w:rFonts w:ascii="Times New Roman" w:hAnsi="Times New Roman" w:cs="Times New Roman" w:eastAsia="Times New Roman" w:hint="default"/>
                            <w:sz w:val="18"/>
                            <w:szCs w:val="18"/>
                          </w:rPr>
                        </w:pPr>
                        <w:r>
                          <w:rPr>
                            <w:rFonts w:ascii="Times New Roman"/>
                            <w:sz w:val="18"/>
                          </w:rPr>
                          <w:t>2011.2.23</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left="27"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33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11" w:lineRule="exact"/>
                          <w:ind w:left="27" w:right="0"/>
                          <w:jc w:val="left"/>
                          <w:rPr>
                            <w:rFonts w:ascii="宋体" w:hAnsi="宋体" w:cs="宋体" w:eastAsia="宋体" w:hint="default"/>
                            <w:sz w:val="18"/>
                            <w:szCs w:val="18"/>
                          </w:rPr>
                        </w:pPr>
                        <w:r>
                          <w:rPr>
                            <w:rFonts w:ascii="宋体" w:hAnsi="宋体" w:cs="宋体" w:eastAsia="宋体" w:hint="default"/>
                            <w:sz w:val="18"/>
                            <w:szCs w:val="18"/>
                          </w:rPr>
                          <w:t>上海新泉投资有限公</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司</w:t>
                        </w:r>
                      </w:p>
                    </w:tc>
                    <w:tc>
                      <w:tcPr>
                        <w:tcW w:w="3274"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8" w:right="25"/>
                          <w:jc w:val="left"/>
                          <w:rPr>
                            <w:rFonts w:ascii="宋体" w:hAnsi="宋体" w:cs="宋体" w:eastAsia="宋体" w:hint="default"/>
                            <w:sz w:val="18"/>
                            <w:szCs w:val="18"/>
                          </w:rPr>
                        </w:pPr>
                        <w:r>
                          <w:rPr>
                            <w:rFonts w:ascii="宋体" w:hAnsi="宋体" w:cs="宋体" w:eastAsia="宋体" w:hint="default"/>
                            <w:spacing w:val="-2"/>
                            <w:sz w:val="18"/>
                            <w:szCs w:val="18"/>
                          </w:rPr>
                          <w:t>了解公司三、四线城市的渠道下沉情况及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公司新型店面和国际市场竞争的问题</w:t>
                        </w:r>
                      </w:p>
                    </w:tc>
                  </w:tr>
                  <w:tr>
                    <w:trPr>
                      <w:trHeight w:val="947"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8" w:right="0"/>
                          <w:jc w:val="left"/>
                          <w:rPr>
                            <w:rFonts w:ascii="Times New Roman" w:hAnsi="Times New Roman" w:cs="Times New Roman" w:eastAsia="Times New Roman" w:hint="default"/>
                            <w:sz w:val="18"/>
                            <w:szCs w:val="18"/>
                          </w:rPr>
                        </w:pPr>
                        <w:r>
                          <w:rPr>
                            <w:rFonts w:ascii="Times New Roman"/>
                            <w:sz w:val="18"/>
                          </w:rPr>
                          <w:t>2011.2.25</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5062" w:type="dxa"/>
                        <w:gridSpan w:val="2"/>
                        <w:tcBorders>
                          <w:top w:val="single" w:sz="4" w:space="0" w:color="000000"/>
                          <w:left w:val="nil" w:sz="6" w:space="0" w:color="auto"/>
                          <w:bottom w:val="single" w:sz="4" w:space="0" w:color="000000"/>
                          <w:right w:val="nil" w:sz="6" w:space="0" w:color="auto"/>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华安基金、中海基金、</w:t>
                        </w:r>
                      </w:p>
                      <w:p>
                        <w:pPr>
                          <w:pStyle w:val="TableParagraph"/>
                          <w:spacing w:line="180" w:lineRule="exact"/>
                          <w:ind w:left="27" w:right="0"/>
                          <w:jc w:val="left"/>
                          <w:rPr>
                            <w:rFonts w:ascii="宋体" w:hAnsi="宋体" w:cs="宋体" w:eastAsia="宋体" w:hint="default"/>
                            <w:sz w:val="18"/>
                            <w:szCs w:val="18"/>
                          </w:rPr>
                        </w:pPr>
                        <w:r>
                          <w:rPr>
                            <w:rFonts w:ascii="宋体" w:hAnsi="宋体" w:cs="宋体" w:eastAsia="宋体" w:hint="default"/>
                            <w:spacing w:val="-7"/>
                            <w:sz w:val="18"/>
                            <w:szCs w:val="18"/>
                          </w:rPr>
                          <w:t>申万巴黎基金、中银基</w:t>
                        </w:r>
                      </w:p>
                      <w:p>
                        <w:pPr>
                          <w:pStyle w:val="TableParagraph"/>
                          <w:spacing w:line="181" w:lineRule="exact"/>
                          <w:ind w:left="1816" w:right="0"/>
                          <w:jc w:val="left"/>
                          <w:rPr>
                            <w:rFonts w:ascii="宋体" w:hAnsi="宋体" w:cs="宋体" w:eastAsia="宋体" w:hint="default"/>
                            <w:sz w:val="18"/>
                            <w:szCs w:val="18"/>
                          </w:rPr>
                        </w:pPr>
                        <w:r>
                          <w:rPr>
                            <w:rFonts w:ascii="宋体" w:hAnsi="宋体" w:cs="宋体" w:eastAsia="宋体" w:hint="default"/>
                            <w:spacing w:val="-2"/>
                            <w:sz w:val="18"/>
                            <w:szCs w:val="18"/>
                          </w:rPr>
                          <w:t>公司三、四级城市渠道下沉目前进展、物</w:t>
                        </w:r>
                      </w:p>
                      <w:p>
                        <w:pPr>
                          <w:pStyle w:val="TableParagraph"/>
                          <w:tabs>
                            <w:tab w:pos="1816" w:val="left" w:leader="none"/>
                          </w:tabs>
                          <w:spacing w:line="240" w:lineRule="auto" w:before="4"/>
                          <w:ind w:left="27" w:right="0"/>
                          <w:jc w:val="left"/>
                          <w:rPr>
                            <w:rFonts w:ascii="宋体" w:hAnsi="宋体" w:cs="宋体" w:eastAsia="宋体" w:hint="default"/>
                            <w:sz w:val="18"/>
                            <w:szCs w:val="18"/>
                          </w:rPr>
                        </w:pPr>
                        <w:r>
                          <w:rPr>
                            <w:rFonts w:ascii="宋体" w:hAnsi="宋体" w:cs="宋体" w:eastAsia="宋体" w:hint="default"/>
                            <w:position w:val="-9"/>
                            <w:sz w:val="18"/>
                            <w:szCs w:val="18"/>
                          </w:rPr>
                          <w:t>银国际证券</w:t>
                          <w:tab/>
                        </w:r>
                        <w:r>
                          <w:rPr>
                            <w:rFonts w:ascii="宋体" w:hAnsi="宋体" w:cs="宋体" w:eastAsia="宋体" w:hint="default"/>
                            <w:sz w:val="18"/>
                            <w:szCs w:val="18"/>
                          </w:rPr>
                          <w:t>流基地建设规划</w:t>
                        </w:r>
                      </w:p>
                    </w:tc>
                  </w:tr>
                  <w:tr>
                    <w:trPr>
                      <w:trHeight w:val="730"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2011.2.28</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大成基金</w:t>
                        </w:r>
                      </w:p>
                    </w:tc>
                    <w:tc>
                      <w:tcPr>
                        <w:tcW w:w="3274"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8" w:right="25"/>
                          <w:jc w:val="both"/>
                          <w:rPr>
                            <w:rFonts w:ascii="宋体" w:hAnsi="宋体" w:cs="宋体" w:eastAsia="宋体" w:hint="default"/>
                            <w:sz w:val="18"/>
                            <w:szCs w:val="18"/>
                          </w:rPr>
                        </w:pPr>
                        <w:r>
                          <w:rPr>
                            <w:rFonts w:ascii="宋体" w:hAnsi="宋体" w:cs="宋体" w:eastAsia="宋体" w:hint="default"/>
                            <w:spacing w:val="-2"/>
                            <w:sz w:val="18"/>
                            <w:szCs w:val="18"/>
                          </w:rPr>
                          <w:t>详细了解苏宁易购的发展历程、发展潜力</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及未来目标和规划，了解公司未来发展可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能遇到的问题及解决措施</w:t>
                        </w:r>
                      </w:p>
                    </w:tc>
                  </w:tr>
                  <w:tr>
                    <w:trPr>
                      <w:trHeight w:val="730"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2011.3.1</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兴业证券</w:t>
                        </w:r>
                      </w:p>
                    </w:tc>
                    <w:tc>
                      <w:tcPr>
                        <w:tcW w:w="3274"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8" w:right="92"/>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年分品类销售情况，了解 公司网上商城的销售增长情况及未来发 展规划</w:t>
                        </w:r>
                      </w:p>
                    </w:tc>
                  </w:tr>
                  <w:tr>
                    <w:trPr>
                      <w:trHeight w:val="731"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2011.3.2</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德意志银行</w:t>
                        </w:r>
                      </w:p>
                    </w:tc>
                    <w:tc>
                      <w:tcPr>
                        <w:tcW w:w="3274"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8" w:right="25"/>
                          <w:jc w:val="left"/>
                          <w:rPr>
                            <w:rFonts w:ascii="宋体" w:hAnsi="宋体" w:cs="宋体" w:eastAsia="宋体" w:hint="default"/>
                            <w:sz w:val="18"/>
                            <w:szCs w:val="18"/>
                          </w:rPr>
                        </w:pPr>
                        <w:r>
                          <w:rPr>
                            <w:rFonts w:ascii="宋体" w:hAnsi="宋体" w:cs="宋体" w:eastAsia="宋体" w:hint="default"/>
                            <w:sz w:val="18"/>
                            <w:szCs w:val="18"/>
                          </w:rPr>
                          <w:t>了解公司与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供应商的合作情况，了解 </w:t>
                        </w: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连锁和传统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销售渠道销售差异和占 比，了解</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年整体</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行业的市场前景</w:t>
                        </w:r>
                      </w:p>
                    </w:tc>
                  </w:tr>
                  <w:tr>
                    <w:trPr>
                      <w:trHeight w:val="730" w:hRule="exact"/>
                    </w:trPr>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2011.3.3</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pacing w:val="-7"/>
                            <w:sz w:val="18"/>
                            <w:szCs w:val="18"/>
                          </w:rPr>
                          <w:t>汇添富基金、华夏基金</w:t>
                        </w:r>
                      </w:p>
                    </w:tc>
                    <w:tc>
                      <w:tcPr>
                        <w:tcW w:w="3274"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8" w:right="25"/>
                          <w:jc w:val="both"/>
                          <w:rPr>
                            <w:rFonts w:ascii="宋体" w:hAnsi="宋体" w:cs="宋体" w:eastAsia="宋体" w:hint="default"/>
                            <w:sz w:val="18"/>
                            <w:szCs w:val="18"/>
                          </w:rPr>
                        </w:pPr>
                        <w:r>
                          <w:rPr>
                            <w:rFonts w:ascii="宋体" w:hAnsi="宋体" w:cs="宋体" w:eastAsia="宋体" w:hint="default"/>
                            <w:spacing w:val="-2"/>
                            <w:sz w:val="18"/>
                            <w:szCs w:val="18"/>
                          </w:rPr>
                          <w:t>了解公司去年全年整体业绩情况，了解公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司电子商务的物流运作，了解公司电子商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务与实体店发展路线的分别发展规划</w:t>
                        </w:r>
                      </w:p>
                    </w:tc>
                  </w:tr>
                  <w:tr>
                    <w:trPr>
                      <w:trHeight w:val="723" w:hRule="exact"/>
                    </w:trPr>
                    <w:tc>
                      <w:tcPr>
                        <w:tcW w:w="9395" w:type="dxa"/>
                        <w:gridSpan w:val="5"/>
                        <w:tcBorders>
                          <w:top w:val="nil" w:sz="6" w:space="0" w:color="auto"/>
                          <w:left w:val="nil" w:sz="6" w:space="0" w:color="auto"/>
                          <w:bottom w:val="nil" w:sz="6" w:space="0" w:color="auto"/>
                          <w:right w:val="nil" w:sz="6" w:space="0" w:color="auto"/>
                        </w:tcBorders>
                      </w:tcPr>
                      <w:p>
                        <w:pPr>
                          <w:pStyle w:val="TableParagraph"/>
                          <w:spacing w:line="219" w:lineRule="exact"/>
                          <w:ind w:left="4360" w:right="0"/>
                          <w:jc w:val="left"/>
                          <w:rPr>
                            <w:rFonts w:ascii="宋体" w:hAnsi="宋体" w:cs="宋体" w:eastAsia="宋体" w:hint="default"/>
                            <w:sz w:val="18"/>
                            <w:szCs w:val="18"/>
                          </w:rPr>
                        </w:pPr>
                        <w:r>
                          <w:rPr>
                            <w:rFonts w:ascii="宋体" w:hAnsi="宋体" w:cs="宋体" w:eastAsia="宋体" w:hint="default"/>
                            <w:sz w:val="18"/>
                            <w:szCs w:val="18"/>
                          </w:rPr>
                          <w:t>华夏基金、博时基金、了解公司电子商务目前遇到的问题及解</w:t>
                        </w:r>
                      </w:p>
                      <w:p>
                        <w:pPr>
                          <w:pStyle w:val="TableParagraph"/>
                          <w:tabs>
                            <w:tab w:pos="1250" w:val="left" w:leader="none"/>
                            <w:tab w:pos="3274" w:val="left" w:leader="none"/>
                            <w:tab w:pos="4360" w:val="left" w:leader="none"/>
                          </w:tabs>
                          <w:spacing w:line="366"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pacing w:val="-1"/>
                            <w:position w:val="-10"/>
                            <w:sz w:val="18"/>
                            <w:szCs w:val="18"/>
                          </w:rPr>
                          <w:t>2011.3.4</w:t>
                          <w:tab/>
                        </w:r>
                        <w:r>
                          <w:rPr>
                            <w:rFonts w:ascii="宋体" w:hAnsi="宋体" w:cs="宋体" w:eastAsia="宋体" w:hint="default"/>
                            <w:position w:val="-10"/>
                            <w:sz w:val="18"/>
                            <w:szCs w:val="18"/>
                          </w:rPr>
                          <w:t>公司会议室</w:t>
                          <w:tab/>
                          <w:t>实地调研</w:t>
                          <w:tab/>
                        </w:r>
                        <w:r>
                          <w:rPr>
                            <w:rFonts w:ascii="宋体" w:hAnsi="宋体" w:cs="宋体" w:eastAsia="宋体" w:hint="default"/>
                            <w:spacing w:val="-2"/>
                            <w:position w:val="1"/>
                            <w:sz w:val="18"/>
                            <w:szCs w:val="18"/>
                          </w:rPr>
                          <w:t>华安基金、国泰基金、</w:t>
                        </w:r>
                        <w:r>
                          <w:rPr>
                            <w:rFonts w:ascii="宋体" w:hAnsi="宋体" w:cs="宋体" w:eastAsia="宋体" w:hint="default"/>
                            <w:spacing w:val="-2"/>
                            <w:sz w:val="18"/>
                            <w:szCs w:val="18"/>
                          </w:rPr>
                          <w:t>决措施，了解公司自建店开发情况，了解</w:t>
                        </w:r>
                      </w:p>
                    </w:tc>
                  </w:tr>
                  <w:tr>
                    <w:trPr>
                      <w:trHeight w:val="247" w:hRule="exact"/>
                    </w:trPr>
                    <w:tc>
                      <w:tcPr>
                        <w:tcW w:w="1223" w:type="dxa"/>
                        <w:tcBorders>
                          <w:top w:val="nil" w:sz="6" w:space="0" w:color="auto"/>
                          <w:left w:val="nil" w:sz="6" w:space="0" w:color="auto"/>
                          <w:bottom w:val="single" w:sz="4" w:space="0" w:color="000000"/>
                          <w:right w:val="nil" w:sz="6" w:space="0" w:color="auto"/>
                        </w:tcBorders>
                      </w:tcPr>
                      <w:p>
                        <w:pPr/>
                      </w:p>
                    </w:tc>
                    <w:tc>
                      <w:tcPr>
                        <w:tcW w:w="1714" w:type="dxa"/>
                        <w:tcBorders>
                          <w:top w:val="nil" w:sz="6" w:space="0" w:color="auto"/>
                          <w:left w:val="nil" w:sz="6" w:space="0" w:color="auto"/>
                          <w:bottom w:val="single" w:sz="4" w:space="0" w:color="000000"/>
                          <w:right w:val="nil" w:sz="6" w:space="0" w:color="auto"/>
                        </w:tcBorders>
                      </w:tcPr>
                      <w:p>
                        <w:pPr/>
                      </w:p>
                    </w:tc>
                    <w:tc>
                      <w:tcPr>
                        <w:tcW w:w="1397" w:type="dxa"/>
                        <w:tcBorders>
                          <w:top w:val="nil" w:sz="6" w:space="0" w:color="auto"/>
                          <w:left w:val="nil" w:sz="6" w:space="0" w:color="auto"/>
                          <w:bottom w:val="single" w:sz="4" w:space="0" w:color="000000"/>
                          <w:right w:val="nil" w:sz="6" w:space="0" w:color="auto"/>
                        </w:tcBorders>
                      </w:tcPr>
                      <w:p>
                        <w:pPr/>
                      </w:p>
                    </w:tc>
                    <w:tc>
                      <w:tcPr>
                        <w:tcW w:w="1788" w:type="dxa"/>
                        <w:tcBorders>
                          <w:top w:val="nil" w:sz="6" w:space="0" w:color="auto"/>
                          <w:left w:val="nil" w:sz="6" w:space="0" w:color="auto"/>
                          <w:bottom w:val="single" w:sz="4" w:space="0" w:color="000000"/>
                          <w:right w:val="nil" w:sz="6" w:space="0" w:color="auto"/>
                        </w:tcBorders>
                      </w:tcPr>
                      <w:p>
                        <w:pPr>
                          <w:pStyle w:val="TableParagraph"/>
                          <w:spacing w:line="201" w:lineRule="exact"/>
                          <w:ind w:left="27" w:right="0"/>
                          <w:jc w:val="left"/>
                          <w:rPr>
                            <w:rFonts w:ascii="宋体" w:hAnsi="宋体" w:cs="宋体" w:eastAsia="宋体" w:hint="default"/>
                            <w:sz w:val="18"/>
                            <w:szCs w:val="18"/>
                          </w:rPr>
                        </w:pPr>
                        <w:r>
                          <w:rPr>
                            <w:rFonts w:ascii="宋体" w:hAnsi="宋体" w:cs="宋体" w:eastAsia="宋体" w:hint="default"/>
                            <w:sz w:val="18"/>
                            <w:szCs w:val="18"/>
                          </w:rPr>
                          <w:t>华泰联合证券</w:t>
                        </w:r>
                      </w:p>
                    </w:tc>
                    <w:tc>
                      <w:tcPr>
                        <w:tcW w:w="3274" w:type="dxa"/>
                        <w:tcBorders>
                          <w:top w:val="nil" w:sz="6" w:space="0" w:color="auto"/>
                          <w:left w:val="nil" w:sz="6" w:space="0" w:color="auto"/>
                          <w:bottom w:val="single" w:sz="4" w:space="0" w:color="000000"/>
                          <w:right w:val="nil" w:sz="6" w:space="0" w:color="auto"/>
                        </w:tcBorders>
                      </w:tcPr>
                      <w:p>
                        <w:pPr>
                          <w:pStyle w:val="TableParagraph"/>
                          <w:spacing w:line="219" w:lineRule="exact"/>
                          <w:ind w:left="28" w:right="0"/>
                          <w:jc w:val="left"/>
                          <w:rPr>
                            <w:rFonts w:ascii="宋体" w:hAnsi="宋体" w:cs="宋体" w:eastAsia="宋体" w:hint="default"/>
                            <w:sz w:val="18"/>
                            <w:szCs w:val="18"/>
                          </w:rPr>
                        </w:pPr>
                        <w:r>
                          <w:rPr>
                            <w:rFonts w:ascii="宋体" w:hAnsi="宋体" w:cs="宋体" w:eastAsia="宋体" w:hint="default"/>
                            <w:sz w:val="18"/>
                            <w:szCs w:val="18"/>
                          </w:rPr>
                          <w:t>县镇店下一步发展计划</w:t>
                        </w:r>
                      </w:p>
                    </w:tc>
                  </w:tr>
                  <w:tr>
                    <w:trPr>
                      <w:trHeight w:val="222" w:hRule="exact"/>
                    </w:trPr>
                    <w:tc>
                      <w:tcPr>
                        <w:tcW w:w="122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8" w:right="0"/>
                          <w:jc w:val="left"/>
                          <w:rPr>
                            <w:rFonts w:ascii="Times New Roman" w:hAnsi="Times New Roman" w:cs="Times New Roman" w:eastAsia="Times New Roman" w:hint="default"/>
                            <w:sz w:val="18"/>
                            <w:szCs w:val="18"/>
                          </w:rPr>
                        </w:pPr>
                        <w:r>
                          <w:rPr>
                            <w:rFonts w:ascii="Times New Roman"/>
                            <w:sz w:val="18"/>
                          </w:rPr>
                          <w:t>2011.3.5</w:t>
                        </w:r>
                      </w:p>
                    </w:tc>
                    <w:tc>
                      <w:tcPr>
                        <w:tcW w:w="1714" w:type="dxa"/>
                        <w:tcBorders>
                          <w:top w:val="single" w:sz="4" w:space="0" w:color="000000"/>
                          <w:left w:val="nil" w:sz="6" w:space="0" w:color="auto"/>
                          <w:bottom w:val="nil" w:sz="6" w:space="0" w:color="auto"/>
                          <w:right w:val="nil" w:sz="6" w:space="0" w:color="auto"/>
                        </w:tcBorders>
                      </w:tcPr>
                      <w:p>
                        <w:pPr>
                          <w:pStyle w:val="TableParagraph"/>
                          <w:spacing w:line="208" w:lineRule="exact"/>
                          <w:ind w:left="27" w:right="0"/>
                          <w:jc w:val="left"/>
                          <w:rPr>
                            <w:rFonts w:ascii="宋体" w:hAnsi="宋体" w:cs="宋体" w:eastAsia="宋体" w:hint="default"/>
                            <w:sz w:val="18"/>
                            <w:szCs w:val="18"/>
                          </w:rPr>
                        </w:pPr>
                        <w:r>
                          <w:rPr>
                            <w:rFonts w:ascii="宋体" w:hAnsi="宋体" w:cs="宋体" w:eastAsia="宋体" w:hint="default"/>
                            <w:sz w:val="18"/>
                            <w:szCs w:val="18"/>
                          </w:rPr>
                          <w:t>分公司门店</w:t>
                        </w:r>
                      </w:p>
                    </w:tc>
                    <w:tc>
                      <w:tcPr>
                        <w:tcW w:w="1397" w:type="dxa"/>
                        <w:tcBorders>
                          <w:top w:val="single" w:sz="4" w:space="0" w:color="000000"/>
                          <w:left w:val="nil" w:sz="6" w:space="0" w:color="auto"/>
                          <w:bottom w:val="nil" w:sz="6" w:space="0" w:color="auto"/>
                          <w:right w:val="nil" w:sz="6" w:space="0" w:color="auto"/>
                        </w:tcBorders>
                      </w:tcPr>
                      <w:p>
                        <w:pPr>
                          <w:pStyle w:val="TableParagraph"/>
                          <w:spacing w:line="208" w:lineRule="exact"/>
                          <w:ind w:right="33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nil" w:sz="6" w:space="0" w:color="auto"/>
                          <w:bottom w:val="nil" w:sz="6" w:space="0" w:color="auto"/>
                          <w:right w:val="nil" w:sz="6" w:space="0" w:color="auto"/>
                        </w:tcBorders>
                      </w:tcPr>
                      <w:p>
                        <w:pPr>
                          <w:pStyle w:val="TableParagraph"/>
                          <w:spacing w:line="208" w:lineRule="exact"/>
                          <w:ind w:left="27" w:right="0"/>
                          <w:jc w:val="left"/>
                          <w:rPr>
                            <w:rFonts w:ascii="宋体" w:hAnsi="宋体" w:cs="宋体" w:eastAsia="宋体" w:hint="default"/>
                            <w:sz w:val="18"/>
                            <w:szCs w:val="18"/>
                          </w:rPr>
                        </w:pPr>
                        <w:r>
                          <w:rPr>
                            <w:rFonts w:ascii="宋体" w:hAnsi="宋体" w:cs="宋体" w:eastAsia="宋体" w:hint="default"/>
                            <w:sz w:val="18"/>
                            <w:szCs w:val="18"/>
                          </w:rPr>
                          <w:t>国泰人寿公司</w:t>
                        </w:r>
                      </w:p>
                    </w:tc>
                    <w:tc>
                      <w:tcPr>
                        <w:tcW w:w="3274" w:type="dxa"/>
                        <w:tcBorders>
                          <w:top w:val="single" w:sz="4" w:space="0" w:color="000000"/>
                          <w:left w:val="nil" w:sz="6" w:space="0" w:color="auto"/>
                          <w:bottom w:val="nil" w:sz="6" w:space="0" w:color="auto"/>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了解上海地区主要店面销售情况</w:t>
                        </w:r>
                      </w:p>
                    </w:tc>
                  </w:tr>
                  <w:tr>
                    <w:trPr>
                      <w:trHeight w:val="518" w:hRule="exact"/>
                    </w:trPr>
                    <w:tc>
                      <w:tcPr>
                        <w:tcW w:w="122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2011.3.7</w:t>
                        </w:r>
                      </w:p>
                    </w:tc>
                    <w:tc>
                      <w:tcPr>
                        <w:tcW w:w="1714"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397"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right="336"/>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麦格理证券</w:t>
                        </w:r>
                      </w:p>
                    </w:tc>
                    <w:tc>
                      <w:tcPr>
                        <w:tcW w:w="3274" w:type="dxa"/>
                        <w:tcBorders>
                          <w:top w:val="nil" w:sz="6" w:space="0" w:color="auto"/>
                          <w:left w:val="nil" w:sz="6" w:space="0" w:color="auto"/>
                          <w:bottom w:val="single" w:sz="4" w:space="0" w:color="000000"/>
                          <w:right w:val="nil" w:sz="6" w:space="0" w:color="auto"/>
                        </w:tcBorders>
                      </w:tcPr>
                      <w:p>
                        <w:pPr>
                          <w:pStyle w:val="TableParagraph"/>
                          <w:spacing w:line="244" w:lineRule="auto" w:before="15"/>
                          <w:ind w:left="28" w:right="25"/>
                          <w:jc w:val="left"/>
                          <w:rPr>
                            <w:rFonts w:ascii="宋体" w:hAnsi="宋体" w:cs="宋体" w:eastAsia="宋体" w:hint="default"/>
                            <w:sz w:val="18"/>
                            <w:szCs w:val="18"/>
                          </w:rPr>
                        </w:pPr>
                        <w:r>
                          <w:rPr>
                            <w:rFonts w:ascii="宋体" w:hAnsi="宋体" w:cs="宋体" w:eastAsia="宋体" w:hint="default"/>
                            <w:spacing w:val="-2"/>
                            <w:sz w:val="18"/>
                            <w:szCs w:val="18"/>
                          </w:rPr>
                          <w:t>了解公司发展历程及各类门店的区别，公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司费用控制和毛利提升的具体措施</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207"/>
        <w:ind w:left="4477" w:right="0" w:firstLine="0"/>
        <w:jc w:val="left"/>
        <w:rPr>
          <w:rFonts w:ascii="宋体" w:hAnsi="宋体" w:cs="宋体" w:eastAsia="宋体" w:hint="default"/>
          <w:sz w:val="18"/>
          <w:szCs w:val="18"/>
        </w:rPr>
      </w:pPr>
      <w:r>
        <w:rPr>
          <w:rFonts w:ascii="宋体" w:hAnsi="宋体" w:cs="宋体" w:eastAsia="宋体" w:hint="default"/>
          <w:spacing w:val="-7"/>
          <w:position w:val="-10"/>
          <w:sz w:val="18"/>
          <w:szCs w:val="18"/>
        </w:rPr>
        <w:t>南京证券；兴业全球基</w:t>
      </w:r>
      <w:r>
        <w:rPr>
          <w:rFonts w:ascii="宋体" w:hAnsi="宋体" w:cs="宋体" w:eastAsia="宋体" w:hint="default"/>
          <w:spacing w:val="-32"/>
          <w:position w:val="-10"/>
          <w:sz w:val="18"/>
          <w:szCs w:val="18"/>
        </w:rPr>
        <w:t> </w:t>
      </w:r>
      <w:r>
        <w:rPr>
          <w:rFonts w:ascii="宋体" w:hAnsi="宋体" w:cs="宋体" w:eastAsia="宋体" w:hint="default"/>
          <w:sz w:val="18"/>
          <w:szCs w:val="18"/>
        </w:rPr>
        <w:t>了解公司电子商务的物流运作及供应商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6266" w:right="0" w:firstLine="0"/>
        <w:jc w:val="left"/>
        <w:rPr>
          <w:rFonts w:ascii="宋体" w:hAnsi="宋体" w:cs="宋体" w:eastAsia="宋体" w:hint="default"/>
          <w:sz w:val="18"/>
          <w:szCs w:val="18"/>
        </w:rPr>
      </w:pPr>
      <w:r>
        <w:rPr>
          <w:rFonts w:ascii="宋体" w:hAnsi="宋体" w:cs="宋体" w:eastAsia="宋体" w:hint="default"/>
          <w:sz w:val="18"/>
          <w:szCs w:val="18"/>
        </w:rPr>
        <w:t>了解公司网上商城未来发展规划；及了解</w:t>
      </w:r>
    </w:p>
    <w:p>
      <w:pPr>
        <w:spacing w:before="112"/>
        <w:ind w:left="4458" w:right="3396" w:firstLine="0"/>
        <w:jc w:val="center"/>
        <w:rPr>
          <w:rFonts w:ascii="宋体" w:hAnsi="宋体" w:cs="宋体" w:eastAsia="宋体" w:hint="default"/>
          <w:sz w:val="18"/>
          <w:szCs w:val="18"/>
        </w:rPr>
      </w:pPr>
      <w:r>
        <w:rPr>
          <w:rFonts w:ascii="宋体" w:hAnsi="宋体" w:cs="宋体" w:eastAsia="宋体" w:hint="default"/>
          <w:spacing w:val="-7"/>
          <w:sz w:val="18"/>
          <w:szCs w:val="18"/>
        </w:rPr>
        <w:t>金、华泰柏瑞基金、中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46"/>
        <w:ind w:left="4477" w:right="0" w:firstLine="0"/>
        <w:jc w:val="left"/>
        <w:rPr>
          <w:rFonts w:ascii="宋体" w:hAnsi="宋体" w:cs="宋体" w:eastAsia="宋体" w:hint="default"/>
          <w:sz w:val="18"/>
          <w:szCs w:val="18"/>
        </w:rPr>
      </w:pPr>
      <w:r>
        <w:rPr>
          <w:rFonts w:ascii="宋体" w:hAnsi="宋体" w:cs="宋体" w:eastAsia="宋体" w:hint="default"/>
          <w:position w:val="1"/>
          <w:sz w:val="18"/>
          <w:szCs w:val="18"/>
        </w:rPr>
        <w:t>汇利资产、涌金资产、</w:t>
      </w:r>
      <w:r>
        <w:rPr>
          <w:rFonts w:ascii="宋体" w:hAnsi="宋体" w:cs="宋体" w:eastAsia="宋体" w:hint="default"/>
          <w:sz w:val="18"/>
          <w:szCs w:val="18"/>
        </w:rPr>
        <w:t>公司自建物流基地进度及后期规划，公司</w:t>
      </w:r>
    </w:p>
    <w:p>
      <w:pPr>
        <w:spacing w:after="0"/>
        <w:jc w:val="left"/>
        <w:rPr>
          <w:rFonts w:ascii="宋体" w:hAnsi="宋体" w:cs="宋体" w:eastAsia="宋体" w:hint="default"/>
          <w:sz w:val="18"/>
          <w:szCs w:val="18"/>
        </w:rPr>
        <w:sectPr>
          <w:footerReference w:type="default" r:id="rId47"/>
          <w:pgSz w:w="11910" w:h="16840"/>
          <w:pgMar w:footer="714" w:header="748" w:top="980" w:bottom="900" w:left="1140" w:right="1140"/>
        </w:sectPr>
      </w:pPr>
    </w:p>
    <w:p>
      <w:pPr>
        <w:spacing w:line="240" w:lineRule="auto" w:before="11"/>
        <w:rPr>
          <w:rFonts w:ascii="宋体" w:hAnsi="宋体" w:cs="宋体" w:eastAsia="宋体" w:hint="default"/>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40.7pt;height:.75pt;mso-position-horizontal-relative:char;mso-position-vertical-relative:line" coordorigin="0,0" coordsize="8814,15">
            <v:group style="position:absolute;left:7;top:7;width:8800;height:2" coordorigin="7,7" coordsize="8800,2">
              <v:shape style="position:absolute;left:7;top:7;width:8800;height:2" coordorigin="7,7" coordsize="8800,0" path="m7,7l8807,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1"/>
        <w:tabs>
          <w:tab w:pos="4837" w:val="left" w:leader="none"/>
        </w:tabs>
        <w:spacing w:line="240" w:lineRule="auto" w:before="1"/>
        <w:ind w:left="3557" w:right="0"/>
        <w:jc w:val="left"/>
        <w:rPr>
          <w:b w:val="0"/>
          <w:bCs w:val="0"/>
        </w:rPr>
      </w:pPr>
      <w:bookmarkStart w:name="_TOC_250001" w:id="10"/>
      <w:r>
        <w:rPr>
          <w:w w:val="95"/>
        </w:rPr>
        <w:t>第十节</w:t>
        <w:tab/>
      </w:r>
      <w:r>
        <w:rPr/>
        <w:t>财务报告</w:t>
      </w:r>
      <w:bookmarkEnd w:id="10"/>
      <w:r>
        <w:rPr>
          <w:b w:val="0"/>
          <w:bCs w:val="0"/>
        </w:rPr>
      </w:r>
    </w:p>
    <w:p>
      <w:pPr>
        <w:spacing w:line="240" w:lineRule="auto" w:before="8"/>
        <w:rPr>
          <w:rFonts w:ascii="宋体" w:hAnsi="宋体" w:cs="宋体" w:eastAsia="宋体" w:hint="default"/>
          <w:b/>
          <w:bCs/>
          <w:sz w:val="14"/>
          <w:szCs w:val="14"/>
        </w:rPr>
      </w:pPr>
    </w:p>
    <w:p>
      <w:pPr>
        <w:pStyle w:val="BodyText"/>
        <w:spacing w:line="240" w:lineRule="auto" w:before="26"/>
        <w:ind w:left="149" w:right="0"/>
        <w:jc w:val="left"/>
      </w:pPr>
      <w:r>
        <w:rPr/>
        <w:t>一、审计报告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2"/>
        <w:spacing w:line="240" w:lineRule="auto"/>
        <w:ind w:left="3581" w:right="3902"/>
        <w:jc w:val="center"/>
        <w:rPr>
          <w:b w:val="0"/>
          <w:bCs w:val="0"/>
        </w:rPr>
      </w:pPr>
      <w:r>
        <w:rPr/>
        <w:t>审计报告</w:t>
      </w:r>
      <w:r>
        <w:rPr>
          <w:b w:val="0"/>
          <w:bCs w:val="0"/>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29"/>
          <w:szCs w:val="29"/>
        </w:rPr>
      </w:pPr>
    </w:p>
    <w:p>
      <w:pPr>
        <w:pStyle w:val="BodyText"/>
        <w:spacing w:line="240" w:lineRule="auto"/>
        <w:ind w:left="0" w:right="469"/>
        <w:jc w:val="right"/>
      </w:pPr>
      <w:r>
        <w:rPr/>
        <w:t>普华永道中天审字</w:t>
      </w:r>
      <w:r>
        <w:rPr>
          <w:rFonts w:ascii="Arial" w:hAnsi="Arial" w:cs="Arial" w:eastAsia="Arial" w:hint="default"/>
        </w:rPr>
        <w:t>(2011)</w:t>
      </w:r>
      <w:r>
        <w:rPr/>
        <w:t>第</w:t>
      </w:r>
      <w:r>
        <w:rPr>
          <w:spacing w:val="-72"/>
        </w:rPr>
        <w:t> </w:t>
      </w:r>
      <w:r>
        <w:rPr>
          <w:rFonts w:ascii="Arial" w:hAnsi="Arial" w:cs="Arial" w:eastAsia="Arial" w:hint="default"/>
        </w:rPr>
        <w:t>10045</w:t>
      </w:r>
      <w:r>
        <w:rPr>
          <w:rFonts w:ascii="Arial" w:hAnsi="Arial" w:cs="Arial" w:eastAsia="Arial" w:hint="default"/>
          <w:spacing w:val="-19"/>
        </w:rPr>
        <w:t> </w:t>
      </w:r>
      <w:r>
        <w:rPr/>
        <w:t>号</w:t>
      </w:r>
    </w:p>
    <w:p>
      <w:pPr>
        <w:spacing w:before="53"/>
        <w:ind w:left="0" w:right="468" w:firstLine="0"/>
        <w:jc w:val="right"/>
        <w:rPr>
          <w:rFonts w:ascii="Arial" w:hAnsi="Arial" w:cs="Arial" w:eastAsia="Arial" w:hint="default"/>
          <w:sz w:val="21"/>
          <w:szCs w:val="21"/>
        </w:rPr>
      </w:pPr>
      <w:r>
        <w:rPr>
          <w:rFonts w:ascii="Arial" w:hAnsi="Arial" w:cs="Arial" w:eastAsia="Arial" w:hint="default"/>
          <w:spacing w:val="-1"/>
          <w:sz w:val="21"/>
          <w:szCs w:val="21"/>
        </w:rPr>
        <w:t>(</w:t>
      </w:r>
      <w:r>
        <w:rPr>
          <w:rFonts w:ascii="宋体" w:hAnsi="宋体" w:cs="宋体" w:eastAsia="宋体" w:hint="default"/>
          <w:spacing w:val="-1"/>
          <w:sz w:val="21"/>
          <w:szCs w:val="21"/>
        </w:rPr>
        <w:t>第一页，共二页</w:t>
      </w:r>
      <w:r>
        <w:rPr>
          <w:rFonts w:ascii="Arial" w:hAnsi="Arial" w:cs="Arial" w:eastAsia="Arial" w:hint="default"/>
          <w:spacing w:val="-1"/>
          <w:sz w:val="21"/>
          <w:szCs w:val="21"/>
        </w:rPr>
        <w:t>)</w:t>
      </w:r>
    </w:p>
    <w:p>
      <w:pPr>
        <w:spacing w:line="240" w:lineRule="auto" w:before="10"/>
        <w:rPr>
          <w:rFonts w:ascii="Arial" w:hAnsi="Arial" w:cs="Arial" w:eastAsia="Arial" w:hint="default"/>
          <w:sz w:val="27"/>
          <w:szCs w:val="27"/>
        </w:rPr>
      </w:pPr>
    </w:p>
    <w:p>
      <w:pPr>
        <w:pStyle w:val="BodyText"/>
        <w:spacing w:line="240" w:lineRule="auto" w:before="26"/>
        <w:ind w:left="149" w:right="0"/>
        <w:jc w:val="both"/>
      </w:pPr>
      <w:r>
        <w:rPr/>
        <w:t>苏宁电器股份有限公司全体股东：</w:t>
      </w:r>
    </w:p>
    <w:p>
      <w:pPr>
        <w:spacing w:line="240" w:lineRule="auto" w:before="13"/>
        <w:rPr>
          <w:rFonts w:ascii="宋体" w:hAnsi="宋体" w:cs="宋体" w:eastAsia="宋体" w:hint="default"/>
          <w:sz w:val="27"/>
          <w:szCs w:val="27"/>
        </w:rPr>
      </w:pPr>
    </w:p>
    <w:p>
      <w:pPr>
        <w:pStyle w:val="BodyText"/>
        <w:spacing w:line="247" w:lineRule="auto"/>
        <w:ind w:left="149" w:right="0"/>
        <w:jc w:val="left"/>
      </w:pPr>
      <w:r>
        <w:rPr>
          <w:spacing w:val="4"/>
        </w:rPr>
        <w:t>我们审计了后附的苏宁电器股份有限公司</w:t>
      </w:r>
      <w:r>
        <w:rPr>
          <w:rFonts w:ascii="Arial" w:hAnsi="Arial" w:cs="Arial" w:eastAsia="Arial" w:hint="default"/>
          <w:spacing w:val="4"/>
        </w:rPr>
        <w:t>(</w:t>
      </w:r>
      <w:r>
        <w:rPr>
          <w:spacing w:val="4"/>
        </w:rPr>
        <w:t>以下简称</w:t>
      </w:r>
      <w:r>
        <w:rPr>
          <w:rFonts w:ascii="Arial" w:hAnsi="Arial" w:cs="Arial" w:eastAsia="Arial" w:hint="default"/>
          <w:spacing w:val="4"/>
        </w:rPr>
        <w:t>“</w:t>
      </w:r>
      <w:r>
        <w:rPr>
          <w:spacing w:val="4"/>
        </w:rPr>
        <w:t>贵公司</w:t>
      </w:r>
      <w:r>
        <w:rPr>
          <w:rFonts w:ascii="Arial" w:hAnsi="Arial" w:cs="Arial" w:eastAsia="Arial" w:hint="default"/>
          <w:spacing w:val="4"/>
        </w:rPr>
        <w:t>”)</w:t>
      </w:r>
      <w:r>
        <w:rPr>
          <w:spacing w:val="4"/>
        </w:rPr>
        <w:t>的财务报表，包括</w:t>
      </w:r>
      <w:r>
        <w:rPr>
          <w:spacing w:val="-88"/>
        </w:rPr>
        <w:t> </w:t>
      </w:r>
      <w:r>
        <w:rPr>
          <w:rFonts w:ascii="Arial" w:hAnsi="Arial" w:cs="Arial" w:eastAsia="Arial" w:hint="default"/>
        </w:rPr>
        <w:t>2010</w:t>
      </w:r>
      <w:r>
        <w:rPr>
          <w:rFonts w:ascii="Arial" w:hAnsi="Arial" w:cs="Arial" w:eastAsia="Arial" w:hint="default"/>
          <w:spacing w:val="-38"/>
        </w:rPr>
        <w:t> </w:t>
      </w:r>
      <w:r>
        <w:rPr/>
        <w:t>年</w:t>
      </w:r>
      <w:r>
        <w:rPr>
          <w:spacing w:val="-91"/>
        </w:rPr>
        <w:t> </w:t>
      </w:r>
      <w:r>
        <w:rPr>
          <w:rFonts w:ascii="Arial" w:hAnsi="Arial" w:cs="Arial" w:eastAsia="Arial" w:hint="default"/>
        </w:rPr>
        <w:t>12</w:t>
      </w:r>
      <w:r>
        <w:rPr>
          <w:rFonts w:ascii="Arial" w:hAnsi="Arial" w:cs="Arial" w:eastAsia="Arial" w:hint="default"/>
          <w:spacing w:val="-38"/>
        </w:rPr>
        <w:t> </w:t>
      </w:r>
      <w:r>
        <w:rPr/>
        <w:t>月</w:t>
      </w:r>
      <w:r>
        <w:rPr>
          <w:spacing w:val="-91"/>
        </w:rPr>
        <w:t> </w:t>
      </w:r>
      <w:r>
        <w:rPr>
          <w:rFonts w:ascii="Arial" w:hAnsi="Arial" w:cs="Arial" w:eastAsia="Arial" w:hint="default"/>
        </w:rPr>
        <w:t>31</w:t>
      </w:r>
      <w:r>
        <w:rPr>
          <w:rFonts w:ascii="Arial" w:hAnsi="Arial" w:cs="Arial" w:eastAsia="Arial" w:hint="default"/>
          <w:spacing w:val="-38"/>
        </w:rPr>
        <w:t> </w:t>
      </w:r>
      <w:r>
        <w:rPr/>
        <w:t>日的合并及公司资产负债表以及</w:t>
      </w:r>
      <w:r>
        <w:rPr>
          <w:spacing w:val="-91"/>
        </w:rPr>
        <w:t> </w:t>
      </w:r>
      <w:r>
        <w:rPr>
          <w:rFonts w:ascii="Arial" w:hAnsi="Arial" w:cs="Arial" w:eastAsia="Arial" w:hint="default"/>
        </w:rPr>
        <w:t>2010</w:t>
      </w:r>
      <w:r>
        <w:rPr>
          <w:rFonts w:ascii="Arial" w:hAnsi="Arial" w:cs="Arial" w:eastAsia="Arial" w:hint="default"/>
          <w:spacing w:val="-38"/>
        </w:rPr>
        <w:t> </w:t>
      </w:r>
      <w:r>
        <w:rPr/>
        <w:t>年度的合并及公司利润表、 合并及公司现金流量表、合并及公司股东权益变动表和财务报表附注。</w:t>
      </w:r>
    </w:p>
    <w:p>
      <w:pPr>
        <w:pStyle w:val="BodyText"/>
        <w:spacing w:line="610" w:lineRule="atLeast" w:before="33"/>
        <w:ind w:left="149" w:right="493"/>
        <w:jc w:val="both"/>
      </w:pPr>
      <w:r>
        <w:rPr/>
        <w:t>一、管理层对财务报表的责任 按照企业会计准则的规定编制财务报表是贵公司管理层的责任。这种责任包括：</w:t>
      </w:r>
    </w:p>
    <w:p>
      <w:pPr>
        <w:pStyle w:val="BodyText"/>
        <w:spacing w:line="247" w:lineRule="auto" w:before="26"/>
        <w:ind w:left="789" w:right="0" w:hanging="392"/>
        <w:jc w:val="left"/>
      </w:pPr>
      <w:r>
        <w:rPr>
          <w:rFonts w:ascii="Arial" w:hAnsi="Arial" w:cs="Arial" w:eastAsia="Arial" w:hint="default"/>
        </w:rPr>
        <w:t>(1)</w:t>
      </w:r>
      <w:r>
        <w:rPr>
          <w:rFonts w:ascii="Arial" w:hAnsi="Arial" w:cs="Arial" w:eastAsia="Arial" w:hint="default"/>
          <w:spacing w:val="40"/>
        </w:rPr>
        <w:t> </w:t>
      </w:r>
      <w:r>
        <w:rPr/>
        <w:t>设计、实施和维护与财务报表编制相关的内部控制，以使财务报表不存在</w:t>
      </w:r>
      <w:r>
        <w:rPr>
          <w:spacing w:val="-109"/>
        </w:rPr>
        <w:t> </w:t>
      </w:r>
      <w:r>
        <w:rPr/>
        <w:t>由于舞弊或错误而导致的重大错报；</w:t>
      </w:r>
    </w:p>
    <w:p>
      <w:pPr>
        <w:pStyle w:val="BodyText"/>
        <w:spacing w:line="240" w:lineRule="auto" w:before="18"/>
        <w:ind w:left="401" w:right="0"/>
        <w:jc w:val="left"/>
      </w:pPr>
      <w:r>
        <w:rPr>
          <w:rFonts w:ascii="Arial" w:hAnsi="Arial" w:cs="Arial" w:eastAsia="Arial" w:hint="default"/>
        </w:rPr>
        <w:t>(2)</w:t>
      </w:r>
      <w:r>
        <w:rPr>
          <w:rFonts w:ascii="Arial" w:hAnsi="Arial" w:cs="Arial" w:eastAsia="Arial" w:hint="default"/>
          <w:spacing w:val="39"/>
        </w:rPr>
        <w:t> </w:t>
      </w:r>
      <w:r>
        <w:rPr/>
        <w:t>选择和运用恰当的会计政策；</w:t>
      </w:r>
    </w:p>
    <w:p>
      <w:pPr>
        <w:pStyle w:val="BodyText"/>
        <w:spacing w:line="470" w:lineRule="auto" w:before="9"/>
        <w:ind w:left="149" w:right="5819" w:firstLine="252"/>
        <w:jc w:val="left"/>
      </w:pPr>
      <w:r>
        <w:rPr>
          <w:rFonts w:ascii="Arial" w:hAnsi="Arial" w:cs="Arial" w:eastAsia="Arial" w:hint="default"/>
        </w:rPr>
        <w:t>(3)</w:t>
      </w:r>
      <w:r>
        <w:rPr>
          <w:rFonts w:ascii="Arial" w:hAnsi="Arial" w:cs="Arial" w:eastAsia="Arial" w:hint="default"/>
          <w:spacing w:val="44"/>
        </w:rPr>
        <w:t> </w:t>
      </w:r>
      <w:r>
        <w:rPr/>
        <w:t>作出合理的会计估计。</w:t>
      </w:r>
      <w:r>
        <w:rPr>
          <w:spacing w:val="-1"/>
        </w:rPr>
        <w:t> </w:t>
      </w:r>
      <w:r>
        <w:rPr/>
        <w:t>二、注册会计师的责任</w:t>
      </w:r>
    </w:p>
    <w:p>
      <w:pPr>
        <w:pStyle w:val="BodyText"/>
        <w:spacing w:line="312" w:lineRule="exact" w:before="74"/>
        <w:ind w:left="149" w:right="466"/>
        <w:jc w:val="both"/>
      </w:pPr>
      <w:r>
        <w:rPr/>
        <w:t>我们的责任是在实施审计工作的基础上对财务报表发表审计意见。我们按照中国 注册会计师审计准则的规定执行了审计工作。中国注册会计师审计准则要求我们 遵守职业道德规范，计划和实施审计工作以对财务报表是否不存在重大错报获取 合理保证。</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8"/>
          <w:szCs w:val="18"/>
        </w:rPr>
      </w:pPr>
    </w:p>
    <w:p>
      <w:pPr>
        <w:pStyle w:val="BodyText"/>
        <w:spacing w:line="312" w:lineRule="exact"/>
        <w:ind w:left="149" w:right="466"/>
        <w:jc w:val="both"/>
      </w:pPr>
      <w:r>
        <w:rPr/>
        <w:t>审计工作涉及实施审计程序，以获取有关财务报表金额和披露的审计证据。选择 的审计程序取决于注册会计师的判断，包括对由于舞弊或错误导致的财务报表重 大错报风险的评估。在进行风险评估时，我们考虑与财务报表编制相关的内部控 制，以设计恰当的审计程序，但目的并非对内部控制的有效性发表意见。审计工 作还包括评价管理层选用会计政策的恰当性和作出会计估计的合理性，以及评价 财务报表的总体列报。</w:t>
      </w:r>
    </w:p>
    <w:p>
      <w:pPr>
        <w:spacing w:line="240" w:lineRule="auto" w:before="10"/>
        <w:rPr>
          <w:rFonts w:ascii="宋体" w:hAnsi="宋体" w:cs="宋体" w:eastAsia="宋体" w:hint="default"/>
          <w:sz w:val="18"/>
          <w:szCs w:val="18"/>
        </w:rPr>
      </w:pPr>
    </w:p>
    <w:p>
      <w:pPr>
        <w:pStyle w:val="BodyText"/>
        <w:spacing w:line="240" w:lineRule="auto"/>
        <w:ind w:left="149" w:right="0"/>
        <w:jc w:val="both"/>
      </w:pPr>
      <w:r>
        <w:rPr/>
        <w:t>我们相信，我们获取的审计证据是充分、适当的，为发表审计意见提供了基础。</w:t>
      </w:r>
    </w:p>
    <w:p>
      <w:pPr>
        <w:spacing w:after="0" w:line="240" w:lineRule="auto"/>
        <w:jc w:val="both"/>
        <w:sectPr>
          <w:footerReference w:type="default" r:id="rId48"/>
          <w:pgSz w:w="11910" w:h="16840"/>
          <w:pgMar w:footer="708" w:header="748" w:top="920" w:bottom="900" w:left="1580" w:right="128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6"/>
        <w:ind w:left="3581" w:right="4058"/>
        <w:jc w:val="center"/>
        <w:rPr>
          <w:rFonts w:ascii="Arial" w:hAnsi="Arial" w:cs="Arial" w:eastAsia="Arial" w:hint="default"/>
          <w:b w:val="0"/>
          <w:bCs w:val="0"/>
        </w:rPr>
      </w:pPr>
      <w:r>
        <w:rPr/>
        <w:t>审计报告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3"/>
        <w:rPr>
          <w:rFonts w:ascii="Arial" w:hAnsi="Arial" w:cs="Arial" w:eastAsia="Arial" w:hint="default"/>
          <w:b/>
          <w:bCs/>
          <w:sz w:val="30"/>
          <w:szCs w:val="30"/>
        </w:rPr>
      </w:pPr>
    </w:p>
    <w:p>
      <w:pPr>
        <w:pStyle w:val="BodyText"/>
        <w:spacing w:line="240" w:lineRule="auto"/>
        <w:ind w:left="0" w:right="475"/>
        <w:jc w:val="right"/>
      </w:pPr>
      <w:r>
        <w:rPr/>
        <w:t>普华永道中天审字</w:t>
      </w:r>
      <w:r>
        <w:rPr>
          <w:rFonts w:ascii="Arial" w:hAnsi="Arial" w:cs="Arial" w:eastAsia="Arial" w:hint="default"/>
        </w:rPr>
        <w:t>(2011)</w:t>
      </w:r>
      <w:r>
        <w:rPr/>
        <w:t>第</w:t>
      </w:r>
      <w:r>
        <w:rPr>
          <w:spacing w:val="-72"/>
        </w:rPr>
        <w:t> </w:t>
      </w:r>
      <w:r>
        <w:rPr>
          <w:rFonts w:ascii="Arial" w:hAnsi="Arial" w:cs="Arial" w:eastAsia="Arial" w:hint="default"/>
        </w:rPr>
        <w:t>10045</w:t>
      </w:r>
      <w:r>
        <w:rPr>
          <w:rFonts w:ascii="Arial" w:hAnsi="Arial" w:cs="Arial" w:eastAsia="Arial" w:hint="default"/>
          <w:spacing w:val="-19"/>
        </w:rPr>
        <w:t> </w:t>
      </w:r>
      <w:r>
        <w:rPr/>
        <w:t>号</w:t>
      </w:r>
    </w:p>
    <w:p>
      <w:pPr>
        <w:spacing w:before="53"/>
        <w:ind w:left="0" w:right="473" w:firstLine="0"/>
        <w:jc w:val="right"/>
        <w:rPr>
          <w:rFonts w:ascii="Arial" w:hAnsi="Arial" w:cs="Arial" w:eastAsia="Arial" w:hint="default"/>
          <w:sz w:val="21"/>
          <w:szCs w:val="21"/>
        </w:rPr>
      </w:pPr>
      <w:r>
        <w:rPr>
          <w:rFonts w:ascii="Arial" w:hAnsi="Arial" w:cs="Arial" w:eastAsia="Arial" w:hint="default"/>
          <w:spacing w:val="-1"/>
          <w:sz w:val="21"/>
          <w:szCs w:val="21"/>
        </w:rPr>
        <w:t>(</w:t>
      </w:r>
      <w:r>
        <w:rPr>
          <w:rFonts w:ascii="宋体" w:hAnsi="宋体" w:cs="宋体" w:eastAsia="宋体" w:hint="default"/>
          <w:spacing w:val="-1"/>
          <w:sz w:val="21"/>
          <w:szCs w:val="21"/>
        </w:rPr>
        <w:t>第二页，共二页</w:t>
      </w:r>
      <w:r>
        <w:rPr>
          <w:rFonts w:ascii="Arial" w:hAnsi="Arial" w:cs="Arial" w:eastAsia="Arial" w:hint="default"/>
          <w:spacing w:val="-1"/>
          <w:sz w:val="21"/>
          <w:szCs w:val="21"/>
        </w:rPr>
        <w:t>)</w:t>
      </w:r>
    </w:p>
    <w:p>
      <w:pPr>
        <w:spacing w:line="240" w:lineRule="auto" w:before="1"/>
        <w:rPr>
          <w:rFonts w:ascii="Arial" w:hAnsi="Arial" w:cs="Arial" w:eastAsia="Arial" w:hint="default"/>
          <w:sz w:val="22"/>
          <w:szCs w:val="22"/>
        </w:rPr>
      </w:pPr>
    </w:p>
    <w:p>
      <w:pPr>
        <w:pStyle w:val="BodyText"/>
        <w:spacing w:line="448" w:lineRule="auto"/>
        <w:ind w:left="151" w:right="5273"/>
        <w:jc w:val="left"/>
      </w:pPr>
      <w:r>
        <w:rPr/>
        <w:t>苏宁电器股份有限公司全体股东： 三、审计意见</w:t>
      </w:r>
    </w:p>
    <w:p>
      <w:pPr>
        <w:pStyle w:val="BodyText"/>
        <w:spacing w:line="312" w:lineRule="exact" w:before="96"/>
        <w:ind w:left="151" w:right="471"/>
        <w:jc w:val="both"/>
      </w:pPr>
      <w:r>
        <w:rPr/>
        <w:t>我们认为，上述贵公司的财务报表已经按照企业会计准则的规定编制，在所有重 </w:t>
      </w:r>
      <w:r>
        <w:rPr>
          <w:spacing w:val="2"/>
        </w:rPr>
        <w:t>大方面公允反映了贵公司</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日的合并及公司财务状况以及</w:t>
      </w:r>
      <w:r>
        <w:rPr>
          <w:rFonts w:ascii="Arial" w:hAnsi="Arial" w:cs="Arial" w:eastAsia="Arial" w:hint="default"/>
          <w:spacing w:val="2"/>
        </w:rPr>
        <w:t>2010</w:t>
      </w:r>
      <w:r>
        <w:rPr>
          <w:spacing w:val="2"/>
        </w:rPr>
        <w:t>年度</w:t>
      </w:r>
      <w:r>
        <w:rPr>
          <w:spacing w:val="-115"/>
        </w:rPr>
        <w:t> </w:t>
      </w:r>
      <w:r>
        <w:rPr/>
        <w:t>的合并及公司经营成果和现金流量。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48" w:footer="708" w:top="920" w:bottom="900" w:left="1580" w:right="1280"/>
        </w:sectPr>
      </w:pPr>
    </w:p>
    <w:p>
      <w:pPr>
        <w:pStyle w:val="BodyText"/>
        <w:spacing w:line="259" w:lineRule="auto" w:before="26"/>
        <w:ind w:left="151" w:right="-20"/>
        <w:jc w:val="left"/>
      </w:pPr>
      <w:r>
        <w:rPr/>
        <w:t>普华永道中天 会计师事务所有限公司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0"/>
          <w:szCs w:val="30"/>
        </w:rPr>
      </w:pPr>
    </w:p>
    <w:p>
      <w:pPr>
        <w:pStyle w:val="BodyText"/>
        <w:spacing w:line="240" w:lineRule="auto"/>
        <w:ind w:left="151" w:right="-20"/>
        <w:jc w:val="left"/>
      </w:pPr>
      <w:r>
        <w:rPr/>
        <w:t>中国</w:t>
      </w:r>
      <w:r>
        <w:rPr>
          <w:rFonts w:ascii="Arial" w:hAnsi="Arial" w:cs="Arial" w:eastAsia="Arial" w:hint="default"/>
        </w:rPr>
        <w:t>•</w:t>
      </w:r>
      <w:r>
        <w:rPr/>
        <w:t>上海市</w:t>
      </w:r>
    </w:p>
    <w:p>
      <w:pPr>
        <w:pStyle w:val="BodyText"/>
        <w:spacing w:line="240" w:lineRule="auto" w:before="9"/>
        <w:ind w:left="151" w:right="-20"/>
        <w:jc w:val="left"/>
      </w:pPr>
      <w:r>
        <w:rPr>
          <w:rFonts w:ascii="Arial" w:hAnsi="Arial" w:cs="Arial" w:eastAsia="Arial" w:hint="default"/>
          <w:spacing w:val="-6"/>
        </w:rPr>
        <w:t>2011</w:t>
      </w:r>
      <w:r>
        <w:rPr>
          <w:rFonts w:ascii="Arial" w:hAnsi="Arial" w:cs="Arial" w:eastAsia="Arial" w:hint="default"/>
          <w:spacing w:val="-7"/>
        </w:rPr>
        <w:t> </w:t>
      </w:r>
      <w:r>
        <w:rPr/>
        <w:t>年</w:t>
      </w:r>
      <w:r>
        <w:rPr>
          <w:spacing w:val="-60"/>
        </w:rPr>
        <w:t> </w:t>
      </w:r>
      <w:r>
        <w:rPr>
          <w:rFonts w:ascii="Arial" w:hAnsi="Arial" w:cs="Arial" w:eastAsia="Arial" w:hint="default"/>
        </w:rPr>
        <w:t>3</w:t>
      </w:r>
      <w:r>
        <w:rPr>
          <w:rFonts w:ascii="Arial" w:hAnsi="Arial" w:cs="Arial" w:eastAsia="Arial" w:hint="default"/>
          <w:spacing w:val="-6"/>
        </w:rPr>
        <w:t> </w:t>
      </w:r>
      <w:r>
        <w:rPr/>
        <w:t>月</w:t>
      </w:r>
      <w:r>
        <w:rPr>
          <w:spacing w:val="-60"/>
        </w:rPr>
        <w:t> </w:t>
      </w:r>
      <w:r>
        <w:rPr>
          <w:rFonts w:ascii="Arial" w:hAnsi="Arial" w:cs="Arial" w:eastAsia="Arial" w:hint="default"/>
        </w:rPr>
        <w:t>14</w:t>
      </w:r>
      <w:r>
        <w:rPr>
          <w:rFonts w:ascii="Arial" w:hAnsi="Arial" w:cs="Arial" w:eastAsia="Arial" w:hint="default"/>
          <w:spacing w:val="-7"/>
        </w:rPr>
        <w:t> </w:t>
      </w:r>
      <w:r>
        <w:rPr/>
        <w:t>日</w:t>
      </w:r>
    </w:p>
    <w:p>
      <w:pPr>
        <w:pStyle w:val="BodyText"/>
        <w:spacing w:line="240" w:lineRule="auto" w:before="26"/>
        <w:ind w:left="151" w:right="-20"/>
        <w:jc w:val="left"/>
      </w:pPr>
      <w:r>
        <w:rPr/>
        <w:br w:type="column"/>
      </w:r>
      <w:r>
        <w:rPr/>
        <w:t>注册会计师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3"/>
          <w:szCs w:val="33"/>
        </w:rPr>
      </w:pPr>
    </w:p>
    <w:p>
      <w:pPr>
        <w:pStyle w:val="BodyText"/>
        <w:spacing w:line="240" w:lineRule="auto"/>
        <w:ind w:left="151" w:right="-20"/>
        <w:jc w:val="left"/>
      </w:pPr>
      <w:r>
        <w:rPr/>
        <w:t>注册会计师</w:t>
      </w:r>
    </w:p>
    <w:p>
      <w:pPr>
        <w:pStyle w:val="BodyText"/>
        <w:tabs>
          <w:tab w:pos="479" w:val="left" w:leader="none"/>
          <w:tab w:pos="959" w:val="left" w:leader="none"/>
        </w:tabs>
        <w:spacing w:line="240" w:lineRule="auto" w:before="26"/>
        <w:ind w:left="0" w:right="891"/>
        <w:jc w:val="center"/>
      </w:pPr>
      <w:r>
        <w:rPr/>
        <w:br w:type="column"/>
      </w:r>
      <w:r>
        <w:rPr/>
        <w:t>柯</w:t>
        <w:tab/>
        <w:t>镇</w:t>
        <w:tab/>
        <w:t>洪</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3"/>
          <w:szCs w:val="33"/>
        </w:rPr>
      </w:pPr>
    </w:p>
    <w:p>
      <w:pPr>
        <w:pStyle w:val="BodyText"/>
        <w:tabs>
          <w:tab w:pos="719" w:val="left" w:leader="none"/>
        </w:tabs>
        <w:spacing w:line="240" w:lineRule="auto"/>
        <w:ind w:left="0" w:right="891"/>
        <w:jc w:val="center"/>
      </w:pPr>
      <w:r>
        <w:rPr/>
        <w:t>曹</w:t>
        <w:tab/>
        <w:t>婕</w:t>
      </w:r>
    </w:p>
    <w:p>
      <w:pPr>
        <w:spacing w:after="0" w:line="240" w:lineRule="auto"/>
        <w:jc w:val="center"/>
        <w:sectPr>
          <w:type w:val="continuous"/>
          <w:pgSz w:w="11910" w:h="16840"/>
          <w:pgMar w:top="920" w:bottom="900" w:left="1580" w:right="1280"/>
          <w:cols w:num="3" w:equalWidth="0">
            <w:col w:w="2552" w:space="1515"/>
            <w:col w:w="1352" w:space="1230"/>
            <w:col w:w="2401"/>
          </w:cols>
        </w:sectPr>
      </w:pPr>
    </w:p>
    <w:p>
      <w:pPr>
        <w:spacing w:line="240" w:lineRule="auto" w:before="9"/>
        <w:rPr>
          <w:rFonts w:ascii="宋体" w:hAnsi="宋体" w:cs="宋体" w:eastAsia="宋体" w:hint="default"/>
          <w:sz w:val="21"/>
          <w:szCs w:val="21"/>
        </w:rPr>
      </w:pPr>
    </w:p>
    <w:p>
      <w:pPr>
        <w:pStyle w:val="Heading2"/>
        <w:spacing w:line="323" w:lineRule="exact"/>
        <w:ind w:left="649" w:right="0"/>
        <w:jc w:val="left"/>
        <w:rPr>
          <w:b w:val="0"/>
          <w:bCs w:val="0"/>
        </w:rPr>
      </w:pPr>
      <w:r>
        <w:rPr>
          <w:rFonts w:ascii="Arial" w:hAnsi="Arial" w:cs="Arial" w:eastAsia="Arial" w:hint="default"/>
        </w:rPr>
        <w:t>2010</w:t>
      </w:r>
      <w:r>
        <w:rPr>
          <w:rFonts w:ascii="Arial" w:hAnsi="Arial" w:cs="Arial" w:eastAsia="Arial" w:hint="default"/>
          <w:spacing w:val="-11"/>
        </w:rPr>
        <w:t> </w:t>
      </w:r>
      <w:r>
        <w:rPr/>
        <w:t>年</w:t>
      </w:r>
      <w:r>
        <w:rPr>
          <w:spacing w:val="-64"/>
        </w:rPr>
        <w:t> </w:t>
      </w:r>
      <w:r>
        <w:rPr>
          <w:rFonts w:ascii="Arial" w:hAnsi="Arial" w:cs="Arial" w:eastAsia="Arial" w:hint="default"/>
        </w:rPr>
        <w:t>12</w:t>
      </w:r>
      <w:r>
        <w:rPr>
          <w:rFonts w:ascii="Arial" w:hAnsi="Arial" w:cs="Arial" w:eastAsia="Arial" w:hint="default"/>
          <w:spacing w:val="-11"/>
        </w:rPr>
        <w:t> </w:t>
      </w:r>
      <w:r>
        <w:rPr/>
        <w:t>月</w:t>
      </w:r>
      <w:r>
        <w:rPr>
          <w:spacing w:val="-64"/>
        </w:rPr>
        <w:t> </w:t>
      </w:r>
      <w:r>
        <w:rPr>
          <w:rFonts w:ascii="Arial" w:hAnsi="Arial" w:cs="Arial" w:eastAsia="Arial" w:hint="default"/>
        </w:rPr>
        <w:t>31</w:t>
      </w:r>
      <w:r>
        <w:rPr>
          <w:rFonts w:ascii="Arial" w:hAnsi="Arial" w:cs="Arial" w:eastAsia="Arial" w:hint="default"/>
          <w:spacing w:val="-11"/>
        </w:rPr>
        <w:t> </w:t>
      </w:r>
      <w:r>
        <w:rPr/>
        <w:t>日合并及公司资产负债表</w:t>
      </w:r>
      <w:r>
        <w:rPr>
          <w:b w:val="0"/>
          <w:bCs w:val="0"/>
        </w:rPr>
      </w:r>
    </w:p>
    <w:p>
      <w:pPr>
        <w:pStyle w:val="BodyText"/>
        <w:spacing w:line="323" w:lineRule="exact"/>
        <w:ind w:left="649"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p>
      <w:pPr>
        <w:spacing w:line="240" w:lineRule="auto" w:before="3"/>
        <w:rPr>
          <w:rFonts w:ascii="Arial" w:hAnsi="Arial" w:cs="Arial" w:eastAsia="Arial" w:hint="default"/>
          <w:sz w:val="3"/>
          <w:szCs w:val="3"/>
        </w:rPr>
      </w:pPr>
    </w:p>
    <w:p>
      <w:pPr>
        <w:spacing w:line="20" w:lineRule="exact"/>
        <w:ind w:left="612" w:right="0" w:firstLine="0"/>
        <w:rPr>
          <w:rFonts w:ascii="Arial" w:hAnsi="Arial" w:cs="Arial" w:eastAsia="Arial" w:hint="default"/>
          <w:sz w:val="2"/>
          <w:szCs w:val="2"/>
        </w:rPr>
      </w:pPr>
      <w:r>
        <w:rPr>
          <w:rFonts w:ascii="Arial" w:hAnsi="Arial" w:cs="Arial" w:eastAsia="Arial" w:hint="default"/>
          <w:sz w:val="2"/>
          <w:szCs w:val="2"/>
        </w:rPr>
        <w:pict>
          <v:group style="width:440.7pt;height:.75pt;mso-position-horizontal-relative:char;mso-position-vertical-relative:line" coordorigin="0,0" coordsize="8814,15">
            <v:group style="position:absolute;left:7;top:7;width:8800;height:2" coordorigin="7,7" coordsize="8800,2">
              <v:shape style="position:absolute;left:7;top:7;width:8800;height:2" coordorigin="7,7" coordsize="8800,0" path="m7,7l8807,7e" filled="false" stroked="true" strokeweight=".72003pt" strokecolor="#000000">
                <v:path arrowok="t"/>
              </v:shape>
            </v:group>
          </v:group>
        </w:pict>
      </w:r>
      <w:r>
        <w:rPr>
          <w:rFonts w:ascii="Arial" w:hAnsi="Arial" w:cs="Arial" w:eastAsia="Arial" w:hint="default"/>
          <w:sz w:val="2"/>
          <w:szCs w:val="2"/>
        </w:rPr>
      </w: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1858"/>
        <w:gridCol w:w="1400"/>
        <w:gridCol w:w="1666"/>
        <w:gridCol w:w="1648"/>
        <w:gridCol w:w="1645"/>
        <w:gridCol w:w="1579"/>
      </w:tblGrid>
      <w:tr>
        <w:trPr>
          <w:trHeight w:val="479"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tabs>
                <w:tab w:pos="1283" w:val="left" w:leader="none"/>
              </w:tabs>
              <w:spacing w:line="240" w:lineRule="auto" w:before="86"/>
              <w:ind w:left="383" w:right="0"/>
              <w:jc w:val="left"/>
              <w:rPr>
                <w:rFonts w:ascii="黑体" w:hAnsi="黑体" w:cs="黑体" w:eastAsia="黑体" w:hint="default"/>
                <w:sz w:val="18"/>
                <w:szCs w:val="18"/>
              </w:rPr>
            </w:pPr>
            <w:r>
              <w:rPr>
                <w:rFonts w:ascii="黑体" w:hAnsi="黑体" w:cs="黑体" w:eastAsia="黑体" w:hint="default"/>
                <w:sz w:val="18"/>
                <w:szCs w:val="18"/>
              </w:rPr>
              <w:t>资</w:t>
              <w:tab/>
              <w:t>产</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黑体" w:hAnsi="黑体" w:cs="黑体" w:eastAsia="黑体" w:hint="default"/>
                <w:sz w:val="18"/>
                <w:szCs w:val="18"/>
              </w:rPr>
            </w:pPr>
            <w:r>
              <w:rPr>
                <w:rFonts w:ascii="黑体" w:hAnsi="黑体" w:cs="黑体" w:eastAsia="黑体" w:hint="default"/>
                <w:sz w:val="18"/>
                <w:szCs w:val="18"/>
              </w:rPr>
              <w:t>附注</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7"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3"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7" w:right="2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流动资产</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19,351,838</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21,960,978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13,156,780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16,884,623</w:t>
            </w:r>
          </w:p>
        </w:tc>
      </w:tr>
      <w:tr>
        <w:trPr>
          <w:trHeight w:val="24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2"/>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60" w:right="0"/>
              <w:jc w:val="left"/>
              <w:rPr>
                <w:rFonts w:ascii="宋体" w:hAnsi="宋体" w:cs="宋体" w:eastAsia="宋体" w:hint="default"/>
                <w:sz w:val="18"/>
                <w:szCs w:val="18"/>
              </w:rPr>
            </w:pPr>
            <w:r>
              <w:rPr>
                <w:rFonts w:ascii="宋体" w:hAnsi="宋体" w:cs="宋体" w:eastAsia="宋体" w:hint="default"/>
                <w:sz w:val="18"/>
                <w:szCs w:val="18"/>
              </w:rPr>
              <w:t>五</w:t>
            </w:r>
            <w:r>
              <w:rPr>
                <w:rFonts w:ascii="Arial" w:hAnsi="Arial" w:cs="Arial" w:eastAsia="Arial" w:hint="default"/>
                <w:sz w:val="18"/>
                <w:szCs w:val="18"/>
              </w:rPr>
              <w:t>.2</w:t>
            </w:r>
            <w:r>
              <w:rPr>
                <w:rFonts w:ascii="宋体" w:hAnsi="宋体" w:cs="宋体" w:eastAsia="宋体" w:hint="default"/>
                <w:sz w:val="18"/>
                <w:szCs w:val="18"/>
              </w:rPr>
              <w:t>、十二</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w w:val="95"/>
                <w:sz w:val="18"/>
              </w:rPr>
              <w:t>7,378</w:t>
            </w:r>
            <w:r>
              <w:rPr>
                <w:rFonts w:ascii="Arial"/>
                <w:sz w:val="18"/>
              </w:rPr>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w w:val="95"/>
                <w:sz w:val="18"/>
              </w:rPr>
              <w:t>2,505</w:t>
            </w:r>
            <w:r>
              <w:rPr>
                <w:rFonts w:ascii="Arial"/>
                <w:sz w:val="18"/>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w w:val="95"/>
                <w:sz w:val="18"/>
              </w:rPr>
              <w:t>6,874</w:t>
            </w:r>
            <w:r>
              <w:rPr>
                <w:rFonts w:ascii="Arial"/>
                <w:sz w:val="18"/>
              </w:rPr>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w w:val="95"/>
                <w:sz w:val="18"/>
              </w:rPr>
              <w:t>3,514</w:t>
            </w:r>
            <w:r>
              <w:rPr>
                <w:rFonts w:ascii="Arial"/>
                <w:sz w:val="18"/>
              </w:rPr>
            </w:r>
          </w:p>
        </w:tc>
      </w:tr>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85"/>
              <w:jc w:val="right"/>
              <w:rPr>
                <w:rFonts w:ascii="Arial" w:hAnsi="Arial" w:cs="Arial" w:eastAsia="Arial" w:hint="default"/>
                <w:sz w:val="18"/>
                <w:szCs w:val="18"/>
              </w:rPr>
            </w:pPr>
            <w:r>
              <w:rPr>
                <w:rFonts w:ascii="宋体" w:hAnsi="宋体" w:cs="宋体" w:eastAsia="宋体" w:hint="default"/>
                <w:spacing w:val="-1"/>
                <w:sz w:val="18"/>
                <w:szCs w:val="18"/>
              </w:rPr>
              <w:t>五</w:t>
            </w:r>
            <w:r>
              <w:rPr>
                <w:rFonts w:ascii="Arial" w:hAnsi="Arial" w:cs="Arial" w:eastAsia="Arial" w:hint="default"/>
                <w:spacing w:val="-1"/>
                <w:sz w:val="18"/>
                <w:szCs w:val="18"/>
              </w:rPr>
              <w:t>.5</w:t>
            </w:r>
            <w:r>
              <w:rPr>
                <w:rFonts w:ascii="宋体" w:hAnsi="宋体" w:cs="宋体" w:eastAsia="宋体" w:hint="default"/>
                <w:spacing w:val="-1"/>
                <w:sz w:val="18"/>
                <w:szCs w:val="18"/>
              </w:rPr>
              <w:t>、十三</w:t>
            </w:r>
            <w:r>
              <w:rPr>
                <w:rFonts w:ascii="Arial" w:hAnsi="Arial" w:cs="Arial" w:eastAsia="Arial" w:hint="default"/>
                <w:spacing w:val="-1"/>
                <w:sz w:val="18"/>
                <w:szCs w:val="18"/>
              </w:rPr>
              <w:t>.1</w:t>
            </w:r>
            <w:r>
              <w:rPr>
                <w:rFonts w:ascii="Arial" w:hAnsi="Arial" w:cs="Arial" w:eastAsia="Arial" w:hint="default"/>
                <w:sz w:val="18"/>
                <w:szCs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3"/>
                <w:sz w:val="18"/>
              </w:rPr>
              <w:t>1,104,611</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347,024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2,578,887</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1,430,653</w:t>
            </w:r>
          </w:p>
        </w:tc>
      </w:tr>
      <w:tr>
        <w:trPr>
          <w:trHeight w:val="24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2,741,405</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947,924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1,439,210</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3"/>
                <w:sz w:val="18"/>
              </w:rPr>
              <w:t>711,943</w:t>
            </w:r>
          </w:p>
        </w:tc>
      </w:tr>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31,385</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32,376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18,793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22,492</w:t>
            </w:r>
          </w:p>
        </w:tc>
      </w:tr>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17,089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85"/>
              <w:jc w:val="right"/>
              <w:rPr>
                <w:rFonts w:ascii="Arial" w:hAnsi="Arial" w:cs="Arial" w:eastAsia="Arial" w:hint="default"/>
                <w:sz w:val="18"/>
                <w:szCs w:val="18"/>
              </w:rPr>
            </w:pPr>
            <w:r>
              <w:rPr>
                <w:rFonts w:ascii="宋体" w:hAnsi="宋体" w:cs="宋体" w:eastAsia="宋体" w:hint="default"/>
                <w:spacing w:val="-1"/>
                <w:sz w:val="18"/>
                <w:szCs w:val="18"/>
              </w:rPr>
              <w:t>五</w:t>
            </w:r>
            <w:r>
              <w:rPr>
                <w:rFonts w:ascii="Arial" w:hAnsi="Arial" w:cs="Arial" w:eastAsia="Arial" w:hint="default"/>
                <w:spacing w:val="-1"/>
                <w:sz w:val="18"/>
                <w:szCs w:val="18"/>
              </w:rPr>
              <w:t>.6</w:t>
            </w:r>
            <w:r>
              <w:rPr>
                <w:rFonts w:ascii="宋体" w:hAnsi="宋体" w:cs="宋体" w:eastAsia="宋体" w:hint="default"/>
                <w:spacing w:val="-1"/>
                <w:sz w:val="18"/>
                <w:szCs w:val="18"/>
              </w:rPr>
              <w:t>、十三</w:t>
            </w:r>
            <w:r>
              <w:rPr>
                <w:rFonts w:ascii="Arial" w:hAnsi="Arial" w:cs="Arial" w:eastAsia="Arial" w:hint="default"/>
                <w:spacing w:val="-1"/>
                <w:sz w:val="18"/>
                <w:szCs w:val="18"/>
              </w:rPr>
              <w:t>.2</w:t>
            </w:r>
            <w:r>
              <w:rPr>
                <w:rFonts w:ascii="Arial" w:hAnsi="Arial" w:cs="Arial" w:eastAsia="Arial" w:hint="default"/>
                <w:sz w:val="18"/>
                <w:szCs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975,737</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3"/>
                <w:sz w:val="18"/>
              </w:rPr>
              <w:t>110,975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1,084,191</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206,741</w:t>
            </w:r>
          </w:p>
        </w:tc>
      </w:tr>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9,474,449</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6,326,995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8,104,804</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5,843,150</w:t>
            </w:r>
          </w:p>
        </w:tc>
      </w:tr>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793,656</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455,740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29,959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27,048</w:t>
            </w:r>
          </w:p>
        </w:tc>
      </w:tr>
      <w:tr>
        <w:trPr>
          <w:trHeight w:val="24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流动资产合计</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34,475,586</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30,196,264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26,429,713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25,130,164</w:t>
            </w:r>
          </w:p>
        </w:tc>
      </w:tr>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非流动资产</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130,768</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88,450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33"/>
              <w:jc w:val="right"/>
              <w:rPr>
                <w:rFonts w:ascii="Arial" w:hAnsi="Arial" w:cs="Arial" w:eastAsia="Arial" w:hint="default"/>
                <w:sz w:val="18"/>
                <w:szCs w:val="18"/>
              </w:rPr>
            </w:pPr>
            <w:r>
              <w:rPr>
                <w:rFonts w:ascii="宋体" w:hAnsi="宋体" w:cs="宋体" w:eastAsia="宋体" w:hint="default"/>
                <w:spacing w:val="-1"/>
                <w:sz w:val="18"/>
                <w:szCs w:val="18"/>
              </w:rPr>
              <w:t>五</w:t>
            </w:r>
            <w:r>
              <w:rPr>
                <w:rFonts w:ascii="Arial" w:hAnsi="Arial" w:cs="Arial" w:eastAsia="Arial" w:hint="default"/>
                <w:spacing w:val="-1"/>
                <w:sz w:val="18"/>
                <w:szCs w:val="18"/>
              </w:rPr>
              <w:t>.10</w:t>
            </w:r>
            <w:r>
              <w:rPr>
                <w:rFonts w:ascii="宋体" w:hAnsi="宋体" w:cs="宋体" w:eastAsia="宋体" w:hint="default"/>
                <w:spacing w:val="-1"/>
                <w:sz w:val="18"/>
                <w:szCs w:val="18"/>
              </w:rPr>
              <w:t>、十三</w:t>
            </w:r>
            <w:r>
              <w:rPr>
                <w:rFonts w:ascii="Arial" w:hAnsi="Arial" w:cs="Arial" w:eastAsia="Arial" w:hint="default"/>
                <w:spacing w:val="-1"/>
                <w:sz w:val="18"/>
                <w:szCs w:val="18"/>
              </w:rPr>
              <w:t>.3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792,896</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597,374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6,486,786</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4,704,374</w:t>
            </w:r>
          </w:p>
        </w:tc>
      </w:tr>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387,134</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339,958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3,914,317</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2,895,971</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778,685</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685,132</w:t>
            </w:r>
          </w:p>
        </w:tc>
      </w:tr>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2,061,752</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408,528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1,345,650</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336,764</w:t>
            </w:r>
          </w:p>
        </w:tc>
      </w:tr>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1,309,337</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764,874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390,253</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267,988</w:t>
            </w:r>
          </w:p>
        </w:tc>
      </w:tr>
      <w:tr>
        <w:trPr>
          <w:trHeight w:val="24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22,125</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58,513</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22,125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58,513</w:t>
            </w:r>
          </w:p>
        </w:tc>
      </w:tr>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616</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529,531</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237,942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167,409</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83,941</w:t>
            </w:r>
          </w:p>
        </w:tc>
      </w:tr>
      <w:tr>
        <w:trPr>
          <w:trHeight w:val="24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1"/>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283,320</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251,958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38,504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62,506</w:t>
            </w:r>
          </w:p>
        </w:tc>
      </w:tr>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非流动资产合计</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9,431,796</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5,643,568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9,229,412</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6,199,218</w:t>
            </w:r>
          </w:p>
        </w:tc>
      </w:tr>
      <w:tr>
        <w:trPr>
          <w:trHeight w:val="244"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资产总计</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43,907,382</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35,839,832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35,659,125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31,329,382</w:t>
            </w:r>
          </w:p>
        </w:tc>
      </w:tr>
    </w:tbl>
    <w:p>
      <w:pPr>
        <w:spacing w:after="0" w:line="240" w:lineRule="auto"/>
        <w:jc w:val="right"/>
        <w:rPr>
          <w:rFonts w:ascii="Arial" w:hAnsi="Arial" w:cs="Arial" w:eastAsia="Arial" w:hint="default"/>
          <w:sz w:val="18"/>
          <w:szCs w:val="18"/>
        </w:rPr>
        <w:sectPr>
          <w:headerReference w:type="default" r:id="rId49"/>
          <w:pgSz w:w="11910" w:h="16840"/>
          <w:pgMar w:header="755" w:footer="708" w:top="980" w:bottom="900" w:left="1080" w:right="780"/>
        </w:sectPr>
      </w:pPr>
    </w:p>
    <w:p>
      <w:pPr>
        <w:spacing w:line="240" w:lineRule="auto" w:before="8"/>
        <w:rPr>
          <w:rFonts w:ascii="Arial" w:hAnsi="Arial" w:cs="Arial" w:eastAsia="Arial" w:hint="default"/>
          <w:sz w:val="24"/>
          <w:szCs w:val="24"/>
        </w:rPr>
      </w:pPr>
    </w:p>
    <w:p>
      <w:pPr>
        <w:pStyle w:val="Heading2"/>
        <w:spacing w:line="322" w:lineRule="exact"/>
        <w:ind w:left="649" w:right="0"/>
        <w:jc w:val="left"/>
        <w:rPr>
          <w:b w:val="0"/>
          <w:bCs w:val="0"/>
        </w:rPr>
      </w:pPr>
      <w:r>
        <w:rPr>
          <w:rFonts w:ascii="Arial" w:hAnsi="Arial" w:cs="Arial" w:eastAsia="Arial" w:hint="default"/>
        </w:rPr>
        <w:t>2010</w:t>
      </w:r>
      <w:r>
        <w:rPr>
          <w:rFonts w:ascii="Arial" w:hAnsi="Arial" w:cs="Arial" w:eastAsia="Arial" w:hint="default"/>
          <w:spacing w:val="-11"/>
        </w:rPr>
        <w:t> </w:t>
      </w:r>
      <w:r>
        <w:rPr/>
        <w:t>年</w:t>
      </w:r>
      <w:r>
        <w:rPr>
          <w:spacing w:val="-65"/>
        </w:rPr>
        <w:t> </w:t>
      </w:r>
      <w:r>
        <w:rPr>
          <w:rFonts w:ascii="Arial" w:hAnsi="Arial" w:cs="Arial" w:eastAsia="Arial" w:hint="default"/>
        </w:rPr>
        <w:t>12</w:t>
      </w:r>
      <w:r>
        <w:rPr>
          <w:rFonts w:ascii="Arial" w:hAnsi="Arial" w:cs="Arial" w:eastAsia="Arial" w:hint="default"/>
          <w:spacing w:val="-11"/>
        </w:rPr>
        <w:t> </w:t>
      </w:r>
      <w:r>
        <w:rPr/>
        <w:t>月</w:t>
      </w:r>
      <w:r>
        <w:rPr>
          <w:spacing w:val="-65"/>
        </w:rPr>
        <w:t> </w:t>
      </w:r>
      <w:r>
        <w:rPr>
          <w:rFonts w:ascii="Arial" w:hAnsi="Arial" w:cs="Arial" w:eastAsia="Arial" w:hint="default"/>
        </w:rPr>
        <w:t>31</w:t>
      </w:r>
      <w:r>
        <w:rPr>
          <w:rFonts w:ascii="Arial" w:hAnsi="Arial" w:cs="Arial" w:eastAsia="Arial" w:hint="default"/>
          <w:spacing w:val="-11"/>
        </w:rPr>
        <w:t> </w:t>
      </w:r>
      <w:r>
        <w:rPr/>
        <w:t>日合并及公司资产负债表（续）</w:t>
      </w:r>
      <w:r>
        <w:rPr>
          <w:b w:val="0"/>
          <w:bCs w:val="0"/>
        </w:rPr>
      </w:r>
    </w:p>
    <w:p>
      <w:pPr>
        <w:pStyle w:val="BodyText"/>
        <w:spacing w:line="322" w:lineRule="exact"/>
        <w:ind w:left="649"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p>
      <w:pPr>
        <w:spacing w:line="240" w:lineRule="auto" w:before="6"/>
        <w:rPr>
          <w:rFonts w:ascii="Arial" w:hAnsi="Arial" w:cs="Arial" w:eastAsia="Arial" w:hint="default"/>
          <w:sz w:val="21"/>
          <w:szCs w:val="21"/>
        </w:rPr>
      </w:pPr>
    </w:p>
    <w:p>
      <w:pPr>
        <w:spacing w:line="20" w:lineRule="exact"/>
        <w:ind w:left="612" w:right="0" w:firstLine="0"/>
        <w:rPr>
          <w:rFonts w:ascii="Arial" w:hAnsi="Arial" w:cs="Arial" w:eastAsia="Arial" w:hint="default"/>
          <w:sz w:val="2"/>
          <w:szCs w:val="2"/>
        </w:rPr>
      </w:pPr>
      <w:r>
        <w:rPr>
          <w:rFonts w:ascii="Arial" w:hAnsi="Arial" w:cs="Arial" w:eastAsia="Arial" w:hint="default"/>
          <w:sz w:val="2"/>
          <w:szCs w:val="2"/>
        </w:rPr>
        <w:pict>
          <v:group style="width:440.7pt;height:.75pt;mso-position-horizontal-relative:char;mso-position-vertical-relative:line" coordorigin="0,0" coordsize="8814,15">
            <v:group style="position:absolute;left:7;top:7;width:8800;height:2" coordorigin="7,7" coordsize="8800,2">
              <v:shape style="position:absolute;left:7;top:7;width:8800;height:2" coordorigin="7,7" coordsize="8800,0" path="m7,7l8807,7e" filled="false" stroked="true" strokeweight=".71997pt" strokecolor="#000000">
                <v:path arrowok="t"/>
              </v:shape>
            </v:group>
          </v:group>
        </w:pict>
      </w:r>
      <w:r>
        <w:rPr>
          <w:rFonts w:ascii="Arial" w:hAnsi="Arial" w:cs="Arial" w:eastAsia="Arial" w:hint="default"/>
          <w:sz w:val="2"/>
          <w:szCs w:val="2"/>
        </w:rPr>
      </w: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2603"/>
        <w:gridCol w:w="703"/>
        <w:gridCol w:w="1716"/>
        <w:gridCol w:w="1642"/>
        <w:gridCol w:w="1580"/>
        <w:gridCol w:w="1579"/>
      </w:tblGrid>
      <w:tr>
        <w:trPr>
          <w:trHeight w:val="478"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95" w:right="0"/>
              <w:jc w:val="left"/>
              <w:rPr>
                <w:rFonts w:ascii="黑体" w:hAnsi="黑体" w:cs="黑体" w:eastAsia="黑体" w:hint="default"/>
                <w:sz w:val="18"/>
                <w:szCs w:val="18"/>
              </w:rPr>
            </w:pPr>
            <w:r>
              <w:rPr>
                <w:rFonts w:ascii="黑体" w:hAnsi="黑体" w:cs="黑体" w:eastAsia="黑体" w:hint="default"/>
                <w:sz w:val="18"/>
                <w:szCs w:val="18"/>
              </w:rPr>
              <w:t>负 债 及 股 东 权 益</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黑体" w:hAnsi="黑体" w:cs="黑体" w:eastAsia="黑体" w:hint="default"/>
                <w:sz w:val="18"/>
                <w:szCs w:val="18"/>
              </w:rPr>
            </w:pPr>
            <w:r>
              <w:rPr>
                <w:rFonts w:ascii="黑体" w:hAnsi="黑体" w:cs="黑体" w:eastAsia="黑体" w:hint="default"/>
                <w:sz w:val="18"/>
                <w:szCs w:val="18"/>
              </w:rPr>
              <w:t>附注</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44"/>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28" w:lineRule="exact"/>
              <w:ind w:left="48"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28" w:lineRule="exact"/>
              <w:ind w:left="124"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2" w:right="35"/>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流动负债</w:t>
            </w:r>
          </w:p>
        </w:tc>
        <w:tc>
          <w:tcPr>
            <w:tcW w:w="70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2"/>
              <w:jc w:val="right"/>
              <w:rPr>
                <w:rFonts w:ascii="Arial" w:hAnsi="Arial" w:cs="Arial" w:eastAsia="Arial" w:hint="default"/>
                <w:sz w:val="18"/>
                <w:szCs w:val="18"/>
              </w:rPr>
            </w:pPr>
            <w:r>
              <w:rPr>
                <w:rFonts w:ascii="Arial"/>
                <w:spacing w:val="-1"/>
                <w:sz w:val="18"/>
              </w:rPr>
              <w:t>317,789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w w:val="99"/>
                <w:sz w:val="18"/>
              </w:rPr>
              <w:t>-</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Arial" w:hAnsi="Arial" w:cs="Arial" w:eastAsia="Arial" w:hint="default"/>
                <w:sz w:val="18"/>
                <w:szCs w:val="18"/>
              </w:rPr>
            </w:pPr>
            <w:r>
              <w:rPr>
                <w:rFonts w:ascii="Arial"/>
                <w:w w:val="99"/>
                <w:sz w:val="18"/>
              </w:rPr>
              <w:t>-</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3"/>
              <w:jc w:val="right"/>
              <w:rPr>
                <w:rFonts w:ascii="Arial" w:hAnsi="Arial" w:cs="Arial" w:eastAsia="Arial" w:hint="default"/>
                <w:sz w:val="18"/>
                <w:szCs w:val="18"/>
              </w:rPr>
            </w:pPr>
            <w:r>
              <w:rPr>
                <w:rFonts w:ascii="Arial"/>
                <w:spacing w:val="-1"/>
                <w:sz w:val="18"/>
              </w:rPr>
              <w:t>14,277,320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13,999,191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10,355,474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10,922,769</w:t>
            </w: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2"/>
              <w:jc w:val="right"/>
              <w:rPr>
                <w:rFonts w:ascii="Arial" w:hAnsi="Arial" w:cs="Arial" w:eastAsia="Arial" w:hint="default"/>
                <w:sz w:val="18"/>
                <w:szCs w:val="18"/>
              </w:rPr>
            </w:pPr>
            <w:r>
              <w:rPr>
                <w:rFonts w:ascii="Arial"/>
                <w:spacing w:val="-1"/>
                <w:sz w:val="18"/>
              </w:rPr>
              <w:t>6,839,024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3"/>
                <w:sz w:val="18"/>
              </w:rPr>
              <w:t>5,003,117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4,791,271</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3,524,856</w:t>
            </w:r>
          </w:p>
        </w:tc>
      </w:tr>
      <w:tr>
        <w:trPr>
          <w:trHeight w:val="24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2"/>
              <w:jc w:val="right"/>
              <w:rPr>
                <w:rFonts w:ascii="Arial" w:hAnsi="Arial" w:cs="Arial" w:eastAsia="Arial" w:hint="default"/>
                <w:sz w:val="18"/>
                <w:szCs w:val="18"/>
              </w:rPr>
            </w:pPr>
            <w:r>
              <w:rPr>
                <w:rFonts w:ascii="Arial"/>
                <w:spacing w:val="-1"/>
                <w:sz w:val="18"/>
              </w:rPr>
              <w:t>393,820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276,792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Arial" w:hAnsi="Arial" w:cs="Arial" w:eastAsia="Arial" w:hint="default"/>
                <w:sz w:val="18"/>
                <w:szCs w:val="18"/>
              </w:rPr>
            </w:pPr>
            <w:r>
              <w:rPr>
                <w:rFonts w:ascii="Arial"/>
                <w:spacing w:val="-1"/>
                <w:sz w:val="18"/>
              </w:rPr>
              <w:t>6,003,987</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4,969,417</w:t>
            </w: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4"/>
              <w:jc w:val="right"/>
              <w:rPr>
                <w:rFonts w:ascii="Arial" w:hAnsi="Arial" w:cs="Arial" w:eastAsia="Arial" w:hint="default"/>
                <w:sz w:val="18"/>
                <w:szCs w:val="18"/>
              </w:rPr>
            </w:pPr>
            <w:r>
              <w:rPr>
                <w:rFonts w:ascii="Arial"/>
                <w:spacing w:val="-1"/>
                <w:sz w:val="18"/>
              </w:rPr>
              <w:t>201,295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139,530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35,936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29,659</w:t>
            </w: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2"/>
              <w:jc w:val="right"/>
              <w:rPr>
                <w:rFonts w:ascii="Arial" w:hAnsi="Arial" w:cs="Arial" w:eastAsia="Arial" w:hint="default"/>
                <w:sz w:val="18"/>
                <w:szCs w:val="18"/>
              </w:rPr>
            </w:pPr>
            <w:r>
              <w:rPr>
                <w:rFonts w:ascii="Arial"/>
                <w:spacing w:val="-1"/>
                <w:sz w:val="18"/>
              </w:rPr>
              <w:t>525,750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301,542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210,518</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142,195</w:t>
            </w:r>
          </w:p>
        </w:tc>
      </w:tr>
      <w:tr>
        <w:trPr>
          <w:trHeight w:val="24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3"/>
              <w:jc w:val="right"/>
              <w:rPr>
                <w:rFonts w:ascii="Arial" w:hAnsi="Arial" w:cs="Arial" w:eastAsia="Arial" w:hint="default"/>
                <w:sz w:val="18"/>
                <w:szCs w:val="18"/>
              </w:rPr>
            </w:pPr>
            <w:r>
              <w:rPr>
                <w:rFonts w:ascii="Arial"/>
                <w:spacing w:val="-1"/>
                <w:w w:val="95"/>
                <w:sz w:val="18"/>
              </w:rPr>
              <w:t>9,397</w:t>
            </w:r>
            <w:r>
              <w:rPr>
                <w:rFonts w:ascii="Arial"/>
                <w:sz w:val="18"/>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w w:val="99"/>
                <w:sz w:val="18"/>
              </w:rPr>
              <w:t>-</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3"/>
              <w:jc w:val="right"/>
              <w:rPr>
                <w:rFonts w:ascii="Arial" w:hAnsi="Arial" w:cs="Arial" w:eastAsia="Arial" w:hint="default"/>
                <w:sz w:val="18"/>
                <w:szCs w:val="18"/>
              </w:rPr>
            </w:pPr>
            <w:r>
              <w:rPr>
                <w:rFonts w:ascii="Arial"/>
                <w:spacing w:val="-1"/>
                <w:sz w:val="18"/>
              </w:rPr>
              <w:t>1,539,020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666,391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438,553</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287,669</w:t>
            </w: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4"/>
              <w:jc w:val="righ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3"/>
              <w:jc w:val="right"/>
              <w:rPr>
                <w:rFonts w:ascii="Arial" w:hAnsi="Arial" w:cs="Arial" w:eastAsia="Arial" w:hint="default"/>
                <w:sz w:val="18"/>
                <w:szCs w:val="18"/>
              </w:rPr>
            </w:pPr>
            <w:r>
              <w:rPr>
                <w:rFonts w:ascii="Arial"/>
                <w:spacing w:val="-3"/>
                <w:sz w:val="18"/>
              </w:rPr>
              <w:t>112,178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97,128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16,057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w w:val="95"/>
                <w:sz w:val="18"/>
              </w:rPr>
              <w:t>8,970</w:t>
            </w:r>
            <w:r>
              <w:rPr>
                <w:rFonts w:ascii="Arial"/>
                <w:sz w:val="18"/>
              </w:rPr>
            </w:r>
          </w:p>
        </w:tc>
      </w:tr>
      <w:tr>
        <w:trPr>
          <w:trHeight w:val="24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2"/>
              <w:jc w:val="right"/>
              <w:rPr>
                <w:rFonts w:ascii="Arial" w:hAnsi="Arial" w:cs="Arial" w:eastAsia="Arial" w:hint="default"/>
                <w:sz w:val="18"/>
                <w:szCs w:val="18"/>
              </w:rPr>
            </w:pPr>
            <w:r>
              <w:rPr>
                <w:rFonts w:ascii="Arial"/>
                <w:spacing w:val="-1"/>
                <w:sz w:val="18"/>
              </w:rPr>
              <w:t>318,755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235,148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w w:val="95"/>
                <w:sz w:val="18"/>
              </w:rPr>
              <w:t>8,808</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w w:val="95"/>
                <w:sz w:val="18"/>
              </w:rPr>
              <w:t>4,020</w:t>
            </w:r>
            <w:r>
              <w:rPr>
                <w:rFonts w:ascii="Arial"/>
                <w:sz w:val="18"/>
              </w:rPr>
            </w: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流动负债合计</w:t>
            </w:r>
          </w:p>
        </w:tc>
        <w:tc>
          <w:tcPr>
            <w:tcW w:w="70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3"/>
              <w:jc w:val="right"/>
              <w:rPr>
                <w:rFonts w:ascii="Arial" w:hAnsi="Arial" w:cs="Arial" w:eastAsia="Arial" w:hint="default"/>
                <w:sz w:val="18"/>
                <w:szCs w:val="18"/>
              </w:rPr>
            </w:pPr>
            <w:r>
              <w:rPr>
                <w:rFonts w:ascii="Arial"/>
                <w:spacing w:val="-1"/>
                <w:sz w:val="18"/>
              </w:rPr>
              <w:t>24,534,348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20,718,839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21,860,604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19,889,555</w:t>
            </w: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非流动负债</w:t>
            </w:r>
          </w:p>
        </w:tc>
        <w:tc>
          <w:tcPr>
            <w:tcW w:w="70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2"/>
              <w:jc w:val="right"/>
              <w:rPr>
                <w:rFonts w:ascii="Arial" w:hAnsi="Arial" w:cs="Arial" w:eastAsia="Arial" w:hint="default"/>
                <w:sz w:val="18"/>
                <w:szCs w:val="18"/>
              </w:rPr>
            </w:pPr>
            <w:r>
              <w:rPr>
                <w:rFonts w:ascii="Arial"/>
                <w:spacing w:val="-1"/>
                <w:sz w:val="18"/>
              </w:rPr>
              <w:t>34,395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w w:val="95"/>
                <w:sz w:val="18"/>
              </w:rPr>
              <w:t>6,739</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w w:val="99"/>
                <w:sz w:val="18"/>
              </w:rPr>
              <w:t>-</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2"/>
              <w:jc w:val="right"/>
              <w:rPr>
                <w:rFonts w:ascii="Arial" w:hAnsi="Arial" w:cs="Arial" w:eastAsia="Arial" w:hint="default"/>
                <w:sz w:val="18"/>
                <w:szCs w:val="18"/>
              </w:rPr>
            </w:pPr>
            <w:r>
              <w:rPr>
                <w:rFonts w:ascii="Arial"/>
                <w:spacing w:val="-1"/>
                <w:sz w:val="18"/>
              </w:rPr>
              <w:t>493,248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189,271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469,320</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182,603</w:t>
            </w:r>
          </w:p>
        </w:tc>
      </w:tr>
      <w:tr>
        <w:trPr>
          <w:trHeight w:val="24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非流动负债合计</w:t>
            </w:r>
          </w:p>
        </w:tc>
        <w:tc>
          <w:tcPr>
            <w:tcW w:w="70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2"/>
              <w:jc w:val="right"/>
              <w:rPr>
                <w:rFonts w:ascii="Arial" w:hAnsi="Arial" w:cs="Arial" w:eastAsia="Arial" w:hint="default"/>
                <w:sz w:val="18"/>
                <w:szCs w:val="18"/>
              </w:rPr>
            </w:pPr>
            <w:r>
              <w:rPr>
                <w:rFonts w:ascii="Arial"/>
                <w:spacing w:val="-1"/>
                <w:sz w:val="18"/>
              </w:rPr>
              <w:t>527,643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196,010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469,320</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182,603</w:t>
            </w: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负债合计</w:t>
            </w:r>
          </w:p>
        </w:tc>
        <w:tc>
          <w:tcPr>
            <w:tcW w:w="70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3"/>
              <w:jc w:val="right"/>
              <w:rPr>
                <w:rFonts w:ascii="Arial" w:hAnsi="Arial" w:cs="Arial" w:eastAsia="Arial" w:hint="default"/>
                <w:sz w:val="18"/>
                <w:szCs w:val="18"/>
              </w:rPr>
            </w:pPr>
            <w:r>
              <w:rPr>
                <w:rFonts w:ascii="Arial"/>
                <w:spacing w:val="-1"/>
                <w:sz w:val="18"/>
              </w:rPr>
              <w:t>25,061,991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20,914,849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22,329,924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20,072,158</w:t>
            </w:r>
          </w:p>
        </w:tc>
      </w:tr>
      <w:tr>
        <w:trPr>
          <w:trHeight w:val="245" w:hRule="exact"/>
        </w:trPr>
        <w:tc>
          <w:tcPr>
            <w:tcW w:w="26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股东权益</w:t>
            </w:r>
          </w:p>
        </w:tc>
        <w:tc>
          <w:tcPr>
            <w:tcW w:w="70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2"/>
              <w:jc w:val="right"/>
              <w:rPr>
                <w:rFonts w:ascii="Arial" w:hAnsi="Arial" w:cs="Arial" w:eastAsia="Arial" w:hint="default"/>
                <w:sz w:val="18"/>
                <w:szCs w:val="18"/>
              </w:rPr>
            </w:pPr>
            <w:r>
              <w:rPr>
                <w:rFonts w:ascii="Arial"/>
                <w:spacing w:val="-1"/>
                <w:sz w:val="18"/>
              </w:rPr>
              <w:t>6,996,212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4,664,141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6,996,212</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4,664,141</w:t>
            </w:r>
          </w:p>
        </w:tc>
      </w:tr>
      <w:tr>
        <w:trPr>
          <w:trHeight w:val="24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2"/>
              <w:jc w:val="right"/>
              <w:rPr>
                <w:rFonts w:ascii="Arial" w:hAnsi="Arial" w:cs="Arial" w:eastAsia="Arial" w:hint="default"/>
                <w:sz w:val="18"/>
                <w:szCs w:val="18"/>
              </w:rPr>
            </w:pPr>
            <w:r>
              <w:rPr>
                <w:rFonts w:ascii="Arial"/>
                <w:spacing w:val="-1"/>
                <w:sz w:val="18"/>
              </w:rPr>
              <w:t>655,288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2,975,652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Arial" w:hAnsi="Arial" w:cs="Arial" w:eastAsia="Arial" w:hint="default"/>
                <w:sz w:val="18"/>
                <w:szCs w:val="18"/>
              </w:rPr>
            </w:pPr>
            <w:r>
              <w:rPr>
                <w:rFonts w:ascii="Arial"/>
                <w:spacing w:val="-1"/>
                <w:sz w:val="18"/>
              </w:rPr>
              <w:t>693,732</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3"/>
                <w:sz w:val="18"/>
              </w:rPr>
              <w:t>3,011,260</w:t>
            </w: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2"/>
              <w:jc w:val="right"/>
              <w:rPr>
                <w:rFonts w:ascii="Arial" w:hAnsi="Arial" w:cs="Arial" w:eastAsia="Arial" w:hint="default"/>
                <w:sz w:val="18"/>
                <w:szCs w:val="18"/>
              </w:rPr>
            </w:pPr>
            <w:r>
              <w:rPr>
                <w:rFonts w:ascii="Arial"/>
                <w:spacing w:val="-1"/>
                <w:sz w:val="18"/>
              </w:rPr>
              <w:t>746,529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517,465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746,529</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517,465</w:t>
            </w: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2"/>
              <w:jc w:val="right"/>
              <w:rPr>
                <w:rFonts w:ascii="Arial" w:hAnsi="Arial" w:cs="Arial" w:eastAsia="Arial" w:hint="default"/>
                <w:sz w:val="18"/>
                <w:szCs w:val="18"/>
              </w:rPr>
            </w:pPr>
            <w:r>
              <w:rPr>
                <w:rFonts w:ascii="Arial"/>
                <w:spacing w:val="-1"/>
                <w:sz w:val="18"/>
              </w:rPr>
              <w:t>9,932,866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6,383,317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4,892,728</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3,064,358</w:t>
            </w:r>
          </w:p>
        </w:tc>
      </w:tr>
      <w:tr>
        <w:trPr>
          <w:trHeight w:val="24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0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3"/>
              <w:jc w:val="right"/>
              <w:rPr>
                <w:rFonts w:ascii="Arial" w:hAnsi="Arial" w:cs="Arial" w:eastAsia="Arial" w:hint="default"/>
                <w:sz w:val="18"/>
                <w:szCs w:val="18"/>
              </w:rPr>
            </w:pPr>
            <w:r>
              <w:rPr>
                <w:rFonts w:ascii="Arial"/>
                <w:spacing w:val="-1"/>
                <w:w w:val="95"/>
                <w:sz w:val="18"/>
              </w:rPr>
              <w:t>7,294</w:t>
            </w:r>
            <w:r>
              <w:rPr>
                <w:rFonts w:ascii="Arial"/>
                <w:sz w:val="18"/>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
              <w:jc w:val="right"/>
              <w:rPr>
                <w:rFonts w:ascii="Arial" w:hAnsi="Arial" w:cs="Arial" w:eastAsia="Arial" w:hint="default"/>
                <w:sz w:val="18"/>
                <w:szCs w:val="18"/>
              </w:rPr>
            </w:pPr>
            <w:r>
              <w:rPr>
                <w:rFonts w:ascii="Arial"/>
                <w:spacing w:val="-1"/>
                <w:w w:val="95"/>
                <w:sz w:val="18"/>
              </w:rPr>
              <w:t>(229)</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Arial" w:hAnsi="Arial" w:cs="Arial" w:eastAsia="Arial" w:hint="default"/>
                <w:sz w:val="18"/>
                <w:szCs w:val="18"/>
              </w:rPr>
            </w:pPr>
            <w:r>
              <w:rPr>
                <w:rFonts w:ascii="Arial"/>
                <w:w w:val="99"/>
                <w:sz w:val="18"/>
              </w:rPr>
              <w:t>-</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2"/>
              <w:jc w:val="right"/>
              <w:rPr>
                <w:rFonts w:ascii="黑体" w:hAnsi="黑体" w:cs="黑体" w:eastAsia="黑体" w:hint="default"/>
                <w:sz w:val="18"/>
                <w:szCs w:val="18"/>
              </w:rPr>
            </w:pPr>
            <w:r>
              <w:rPr>
                <w:rFonts w:ascii="黑体" w:hAnsi="黑体" w:cs="黑体" w:eastAsia="黑体" w:hint="default"/>
                <w:sz w:val="18"/>
                <w:szCs w:val="18"/>
              </w:rPr>
              <w:t>归属于母公司股东权益合计</w:t>
            </w:r>
          </w:p>
        </w:tc>
        <w:tc>
          <w:tcPr>
            <w:tcW w:w="70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3"/>
              <w:jc w:val="right"/>
              <w:rPr>
                <w:rFonts w:ascii="Arial" w:hAnsi="Arial" w:cs="Arial" w:eastAsia="Arial" w:hint="default"/>
                <w:sz w:val="18"/>
                <w:szCs w:val="18"/>
              </w:rPr>
            </w:pPr>
            <w:r>
              <w:rPr>
                <w:rFonts w:ascii="Arial"/>
                <w:spacing w:val="-1"/>
                <w:sz w:val="18"/>
              </w:rPr>
              <w:t>18,338,189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14,540,346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Arial" w:hAnsi="Arial" w:cs="Arial" w:eastAsia="Arial" w:hint="default"/>
                <w:sz w:val="18"/>
                <w:szCs w:val="18"/>
              </w:rPr>
            </w:pPr>
            <w:r>
              <w:rPr>
                <w:rFonts w:ascii="Arial"/>
                <w:spacing w:val="-1"/>
                <w:sz w:val="18"/>
              </w:rPr>
              <w:t>13,329,201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3"/>
                <w:sz w:val="18"/>
              </w:rPr>
              <w:t>11,257,224</w:t>
            </w:r>
            <w:r>
              <w:rPr>
                <w:rFonts w:ascii="Arial"/>
                <w:sz w:val="18"/>
              </w:rPr>
            </w: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8" w:right="0"/>
              <w:jc w:val="left"/>
              <w:rPr>
                <w:rFonts w:ascii="黑体" w:hAnsi="黑体" w:cs="黑体" w:eastAsia="黑体" w:hint="default"/>
                <w:sz w:val="18"/>
                <w:szCs w:val="18"/>
              </w:rPr>
            </w:pPr>
            <w:r>
              <w:rPr>
                <w:rFonts w:ascii="黑体" w:hAnsi="黑体" w:cs="黑体" w:eastAsia="黑体" w:hint="default"/>
                <w:sz w:val="18"/>
                <w:szCs w:val="18"/>
              </w:rPr>
              <w:t>少数股东权益</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2"/>
              <w:jc w:val="right"/>
              <w:rPr>
                <w:rFonts w:ascii="Arial" w:hAnsi="Arial" w:cs="Arial" w:eastAsia="Arial" w:hint="default"/>
                <w:sz w:val="18"/>
                <w:szCs w:val="18"/>
              </w:rPr>
            </w:pPr>
            <w:r>
              <w:rPr>
                <w:rFonts w:ascii="Arial"/>
                <w:spacing w:val="-1"/>
                <w:sz w:val="18"/>
              </w:rPr>
              <w:t>507,202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384,637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w w:val="99"/>
                <w:sz w:val="18"/>
              </w:rPr>
              <w:t>-</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股东权益合计</w:t>
            </w:r>
          </w:p>
        </w:tc>
        <w:tc>
          <w:tcPr>
            <w:tcW w:w="70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3"/>
              <w:jc w:val="right"/>
              <w:rPr>
                <w:rFonts w:ascii="Arial" w:hAnsi="Arial" w:cs="Arial" w:eastAsia="Arial" w:hint="default"/>
                <w:sz w:val="18"/>
                <w:szCs w:val="18"/>
              </w:rPr>
            </w:pPr>
            <w:r>
              <w:rPr>
                <w:rFonts w:ascii="Arial"/>
                <w:spacing w:val="-1"/>
                <w:sz w:val="18"/>
              </w:rPr>
              <w:t>18,845,391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14,924,983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Arial" w:hAnsi="Arial" w:cs="Arial" w:eastAsia="Arial" w:hint="default"/>
                <w:sz w:val="18"/>
                <w:szCs w:val="18"/>
              </w:rPr>
            </w:pPr>
            <w:r>
              <w:rPr>
                <w:rFonts w:ascii="Arial"/>
                <w:spacing w:val="-1"/>
                <w:sz w:val="18"/>
              </w:rPr>
              <w:t>13,329,201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3"/>
                <w:sz w:val="18"/>
              </w:rPr>
              <w:t>11,257,224</w:t>
            </w:r>
            <w:r>
              <w:rPr>
                <w:rFonts w:ascii="Arial"/>
                <w:sz w:val="18"/>
              </w:rPr>
            </w:r>
          </w:p>
        </w:tc>
      </w:tr>
      <w:tr>
        <w:trPr>
          <w:trHeight w:val="244" w:hRule="exact"/>
        </w:trPr>
        <w:tc>
          <w:tcPr>
            <w:tcW w:w="26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负债及股东权益总计</w:t>
            </w:r>
          </w:p>
        </w:tc>
        <w:tc>
          <w:tcPr>
            <w:tcW w:w="70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3"/>
              <w:jc w:val="right"/>
              <w:rPr>
                <w:rFonts w:ascii="Arial" w:hAnsi="Arial" w:cs="Arial" w:eastAsia="Arial" w:hint="default"/>
                <w:sz w:val="18"/>
                <w:szCs w:val="18"/>
              </w:rPr>
            </w:pPr>
            <w:r>
              <w:rPr>
                <w:rFonts w:ascii="Arial"/>
                <w:spacing w:val="-1"/>
                <w:sz w:val="18"/>
              </w:rPr>
              <w:t>43,907,382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35,839,832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35,659,125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31,329,382</w:t>
            </w:r>
          </w:p>
        </w:tc>
      </w:tr>
    </w:tbl>
    <w:p>
      <w:pPr>
        <w:spacing w:line="240" w:lineRule="auto" w:before="11"/>
        <w:rPr>
          <w:rFonts w:ascii="Arial" w:hAnsi="Arial" w:cs="Arial" w:eastAsia="Arial" w:hint="default"/>
          <w:sz w:val="14"/>
          <w:szCs w:val="14"/>
        </w:rPr>
      </w:pPr>
    </w:p>
    <w:p>
      <w:pPr>
        <w:spacing w:before="35"/>
        <w:ind w:left="649" w:right="0" w:firstLine="0"/>
        <w:jc w:val="left"/>
        <w:rPr>
          <w:rFonts w:ascii="宋体" w:hAnsi="宋体" w:cs="宋体" w:eastAsia="宋体" w:hint="default"/>
          <w:sz w:val="21"/>
          <w:szCs w:val="21"/>
        </w:rPr>
      </w:pPr>
      <w:r>
        <w:rPr>
          <w:rFonts w:ascii="宋体" w:hAnsi="宋体" w:cs="宋体" w:eastAsia="宋体" w:hint="default"/>
          <w:sz w:val="21"/>
          <w:szCs w:val="21"/>
        </w:rPr>
        <w:t>后附财务报表附注为财务报表的组成部分。</w:t>
      </w:r>
    </w:p>
    <w:p>
      <w:pPr>
        <w:spacing w:line="240" w:lineRule="auto" w:before="3"/>
        <w:rPr>
          <w:rFonts w:ascii="宋体" w:hAnsi="宋体" w:cs="宋体" w:eastAsia="宋体" w:hint="default"/>
          <w:sz w:val="18"/>
          <w:szCs w:val="18"/>
        </w:rPr>
      </w:pPr>
    </w:p>
    <w:p>
      <w:pPr>
        <w:tabs>
          <w:tab w:pos="3484" w:val="left" w:leader="none"/>
          <w:tab w:pos="7053" w:val="left" w:leader="none"/>
        </w:tabs>
        <w:spacing w:before="0"/>
        <w:ind w:left="649" w:right="0" w:firstLine="0"/>
        <w:jc w:val="left"/>
        <w:rPr>
          <w:rFonts w:ascii="宋体" w:hAnsi="宋体" w:cs="宋体" w:eastAsia="宋体" w:hint="default"/>
          <w:sz w:val="21"/>
          <w:szCs w:val="21"/>
        </w:rPr>
      </w:pPr>
      <w:r>
        <w:rPr>
          <w:rFonts w:ascii="宋体" w:hAnsi="宋体" w:cs="宋体" w:eastAsia="宋体" w:hint="default"/>
          <w:sz w:val="21"/>
          <w:szCs w:val="21"/>
        </w:rPr>
        <w:t>企业负责人： 张近东</w:t>
        <w:tab/>
        <w:t>主管会计工作的负责人：</w:t>
      </w:r>
      <w:r>
        <w:rPr>
          <w:rFonts w:ascii="宋体" w:hAnsi="宋体" w:cs="宋体" w:eastAsia="宋体" w:hint="default"/>
          <w:spacing w:val="-4"/>
          <w:sz w:val="21"/>
          <w:szCs w:val="21"/>
        </w:rPr>
        <w:t> </w:t>
      </w:r>
      <w:r>
        <w:rPr>
          <w:rFonts w:ascii="宋体" w:hAnsi="宋体" w:cs="宋体" w:eastAsia="宋体" w:hint="default"/>
          <w:sz w:val="21"/>
          <w:szCs w:val="21"/>
        </w:rPr>
        <w:t>朱华</w:t>
        <w:tab/>
        <w:t>会计机构负责人：肖忠祥</w:t>
      </w:r>
    </w:p>
    <w:p>
      <w:pPr>
        <w:spacing w:after="0"/>
        <w:jc w:val="left"/>
        <w:rPr>
          <w:rFonts w:ascii="宋体" w:hAnsi="宋体" w:cs="宋体" w:eastAsia="宋体" w:hint="default"/>
          <w:sz w:val="21"/>
          <w:szCs w:val="21"/>
        </w:rPr>
        <w:sectPr>
          <w:pgSz w:w="11910" w:h="16840"/>
          <w:pgMar w:header="755" w:footer="708" w:top="980" w:bottom="900" w:left="1080" w:right="780"/>
        </w:sectPr>
      </w:pPr>
    </w:p>
    <w:p>
      <w:pPr>
        <w:spacing w:line="240" w:lineRule="auto" w:before="9"/>
        <w:rPr>
          <w:rFonts w:ascii="宋体" w:hAnsi="宋体" w:cs="宋体" w:eastAsia="宋体" w:hint="default"/>
          <w:sz w:val="21"/>
          <w:szCs w:val="21"/>
        </w:rPr>
      </w:pPr>
    </w:p>
    <w:p>
      <w:pPr>
        <w:pStyle w:val="Heading2"/>
        <w:spacing w:line="323" w:lineRule="exact"/>
        <w:ind w:left="709" w:right="139"/>
        <w:jc w:val="left"/>
        <w:rPr>
          <w:b w:val="0"/>
          <w:bCs w:val="0"/>
        </w:rPr>
      </w:pPr>
      <w:r>
        <w:rPr>
          <w:rFonts w:ascii="Arial" w:hAnsi="Arial" w:cs="Arial" w:eastAsia="Arial" w:hint="default"/>
        </w:rPr>
        <w:t>2010</w:t>
      </w:r>
      <w:r>
        <w:rPr>
          <w:rFonts w:ascii="Arial" w:hAnsi="Arial" w:cs="Arial" w:eastAsia="Arial" w:hint="default"/>
          <w:spacing w:val="-20"/>
        </w:rPr>
        <w:t> </w:t>
      </w:r>
      <w:r>
        <w:rPr/>
        <w:t>年度合并及公司利润表</w:t>
      </w:r>
      <w:r>
        <w:rPr>
          <w:b w:val="0"/>
          <w:bCs w:val="0"/>
        </w:rPr>
      </w:r>
    </w:p>
    <w:p>
      <w:pPr>
        <w:pStyle w:val="BodyText"/>
        <w:spacing w:line="323" w:lineRule="exact"/>
        <w:ind w:left="709" w:right="139"/>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p>
      <w:pPr>
        <w:spacing w:line="240" w:lineRule="auto" w:before="3"/>
        <w:rPr>
          <w:rFonts w:ascii="Arial" w:hAnsi="Arial" w:cs="Arial" w:eastAsia="Arial" w:hint="default"/>
          <w:sz w:val="3"/>
          <w:szCs w:val="3"/>
        </w:rPr>
      </w:pPr>
    </w:p>
    <w:p>
      <w:pPr>
        <w:spacing w:line="20" w:lineRule="exact"/>
        <w:ind w:left="672" w:right="0" w:firstLine="0"/>
        <w:rPr>
          <w:rFonts w:ascii="Arial" w:hAnsi="Arial" w:cs="Arial" w:eastAsia="Arial" w:hint="default"/>
          <w:sz w:val="2"/>
          <w:szCs w:val="2"/>
        </w:rPr>
      </w:pPr>
      <w:r>
        <w:rPr>
          <w:rFonts w:ascii="Arial" w:hAnsi="Arial" w:cs="Arial" w:eastAsia="Arial" w:hint="default"/>
          <w:sz w:val="2"/>
          <w:szCs w:val="2"/>
        </w:rPr>
        <w:pict>
          <v:group style="width:440.7pt;height:.75pt;mso-position-horizontal-relative:char;mso-position-vertical-relative:line" coordorigin="0,0" coordsize="8814,15">
            <v:group style="position:absolute;left:7;top:7;width:8800;height:2" coordorigin="7,7" coordsize="8800,2">
              <v:shape style="position:absolute;left:7;top:7;width:8800;height:2" coordorigin="7,7" coordsize="8800,0" path="m7,7l8807,7e" filled="false" stroked="true" strokeweight=".72003pt" strokecolor="#000000">
                <v:path arrowok="t"/>
              </v:shape>
            </v:group>
          </v:group>
        </w:pict>
      </w:r>
      <w:r>
        <w:rPr>
          <w:rFonts w:ascii="Arial" w:hAnsi="Arial" w:cs="Arial" w:eastAsia="Arial" w:hint="default"/>
          <w:sz w:val="2"/>
          <w:szCs w:val="2"/>
        </w:rPr>
      </w: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3187"/>
        <w:gridCol w:w="1234"/>
        <w:gridCol w:w="1500"/>
        <w:gridCol w:w="1411"/>
        <w:gridCol w:w="1246"/>
        <w:gridCol w:w="1344"/>
      </w:tblGrid>
      <w:tr>
        <w:trPr>
          <w:trHeight w:val="47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tabs>
                <w:tab w:pos="1948" w:val="left" w:leader="none"/>
              </w:tabs>
              <w:spacing w:line="240" w:lineRule="auto" w:before="86"/>
              <w:ind w:left="1048" w:right="0"/>
              <w:jc w:val="left"/>
              <w:rPr>
                <w:rFonts w:ascii="黑体" w:hAnsi="黑体" w:cs="黑体" w:eastAsia="黑体" w:hint="default"/>
                <w:sz w:val="18"/>
                <w:szCs w:val="18"/>
              </w:rPr>
            </w:pPr>
            <w:r>
              <w:rPr>
                <w:rFonts w:ascii="黑体" w:hAnsi="黑体" w:cs="黑体" w:eastAsia="黑体" w:hint="default"/>
                <w:sz w:val="18"/>
                <w:szCs w:val="18"/>
              </w:rPr>
              <w:t>项</w:t>
              <w:tab/>
              <w:t>目</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66" w:right="0"/>
              <w:jc w:val="left"/>
              <w:rPr>
                <w:rFonts w:ascii="黑体" w:hAnsi="黑体" w:cs="黑体" w:eastAsia="黑体" w:hint="default"/>
                <w:sz w:val="18"/>
                <w:szCs w:val="18"/>
              </w:rPr>
            </w:pPr>
            <w:r>
              <w:rPr>
                <w:rFonts w:ascii="黑体" w:hAnsi="黑体" w:cs="黑体" w:eastAsia="黑体" w:hint="default"/>
                <w:sz w:val="18"/>
                <w:szCs w:val="18"/>
              </w:rPr>
              <w:t>附注</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43"/>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年度</w:t>
            </w:r>
          </w:p>
          <w:p>
            <w:pPr>
              <w:pStyle w:val="TableParagraph"/>
              <w:spacing w:line="228" w:lineRule="exact"/>
              <w:ind w:right="141"/>
              <w:jc w:val="center"/>
              <w:rPr>
                <w:rFonts w:ascii="宋体" w:hAnsi="宋体" w:cs="宋体" w:eastAsia="宋体" w:hint="default"/>
                <w:sz w:val="18"/>
                <w:szCs w:val="18"/>
              </w:rPr>
            </w:pPr>
            <w:r>
              <w:rPr>
                <w:rFonts w:ascii="宋体" w:hAnsi="宋体" w:cs="宋体" w:eastAsia="宋体" w:hint="default"/>
                <w:sz w:val="18"/>
                <w:szCs w:val="18"/>
              </w:rPr>
              <w:t>合并</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35"/>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年度</w:t>
            </w:r>
          </w:p>
          <w:p>
            <w:pPr>
              <w:pStyle w:val="TableParagraph"/>
              <w:spacing w:line="228" w:lineRule="exact"/>
              <w:ind w:right="33"/>
              <w:jc w:val="center"/>
              <w:rPr>
                <w:rFonts w:ascii="宋体" w:hAnsi="宋体" w:cs="宋体" w:eastAsia="宋体" w:hint="default"/>
                <w:sz w:val="18"/>
                <w:szCs w:val="18"/>
              </w:rPr>
            </w:pPr>
            <w:r>
              <w:rPr>
                <w:rFonts w:ascii="宋体" w:hAnsi="宋体" w:cs="宋体" w:eastAsia="宋体" w:hint="default"/>
                <w:sz w:val="18"/>
                <w:szCs w:val="18"/>
              </w:rPr>
              <w:t>合并</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13"/>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年度</w:t>
            </w:r>
          </w:p>
          <w:p>
            <w:pPr>
              <w:pStyle w:val="TableParagraph"/>
              <w:spacing w:line="228" w:lineRule="exact"/>
              <w:ind w:right="113"/>
              <w:jc w:val="center"/>
              <w:rPr>
                <w:rFonts w:ascii="宋体" w:hAnsi="宋体" w:cs="宋体" w:eastAsia="宋体" w:hint="default"/>
                <w:sz w:val="18"/>
                <w:szCs w:val="18"/>
              </w:rPr>
            </w:pPr>
            <w:r>
              <w:rPr>
                <w:rFonts w:ascii="宋体" w:hAnsi="宋体" w:cs="宋体" w:eastAsia="宋体" w:hint="default"/>
                <w:sz w:val="18"/>
                <w:szCs w:val="18"/>
              </w:rPr>
              <w:t>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4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年度</w:t>
            </w:r>
          </w:p>
          <w:p>
            <w:pPr>
              <w:pStyle w:val="TableParagraph"/>
              <w:spacing w:line="228" w:lineRule="exact"/>
              <w:ind w:right="141"/>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4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一、营业收入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3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.36</w:t>
            </w:r>
            <w:r>
              <w:rPr>
                <w:rFonts w:ascii="宋体" w:hAnsi="宋体" w:cs="宋体" w:eastAsia="宋体" w:hint="default"/>
                <w:sz w:val="18"/>
                <w:szCs w:val="18"/>
              </w:rPr>
              <w:t>、十三</w:t>
            </w:r>
            <w:r>
              <w:rPr>
                <w:rFonts w:ascii="Arial" w:hAnsi="Arial" w:cs="Arial" w:eastAsia="Arial" w:hint="default"/>
                <w:sz w:val="18"/>
                <w:szCs w:val="18"/>
              </w:rPr>
              <w:t>.4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Arial" w:hAnsi="Arial" w:cs="Arial" w:eastAsia="Arial" w:hint="default"/>
                <w:sz w:val="18"/>
                <w:szCs w:val="18"/>
              </w:rPr>
            </w:pPr>
            <w:r>
              <w:rPr>
                <w:rFonts w:ascii="Arial"/>
                <w:spacing w:val="-1"/>
                <w:sz w:val="18"/>
              </w:rPr>
              <w:t>75,504,739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7"/>
              <w:jc w:val="right"/>
              <w:rPr>
                <w:rFonts w:ascii="Arial" w:hAnsi="Arial" w:cs="Arial" w:eastAsia="Arial" w:hint="default"/>
                <w:sz w:val="18"/>
                <w:szCs w:val="18"/>
              </w:rPr>
            </w:pPr>
            <w:r>
              <w:rPr>
                <w:rFonts w:ascii="Arial"/>
                <w:spacing w:val="-1"/>
                <w:sz w:val="18"/>
              </w:rPr>
              <w:t>58,300,149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3" w:right="0"/>
              <w:jc w:val="left"/>
              <w:rPr>
                <w:rFonts w:ascii="Arial" w:hAnsi="Arial" w:cs="Arial" w:eastAsia="Arial" w:hint="default"/>
                <w:sz w:val="18"/>
                <w:szCs w:val="18"/>
              </w:rPr>
            </w:pPr>
            <w:r>
              <w:rPr>
                <w:rFonts w:ascii="Arial"/>
                <w:sz w:val="18"/>
              </w:rPr>
              <w:t>54,634,190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8" w:right="0"/>
              <w:jc w:val="left"/>
              <w:rPr>
                <w:rFonts w:ascii="Arial" w:hAnsi="Arial" w:cs="Arial" w:eastAsia="Arial" w:hint="default"/>
                <w:sz w:val="18"/>
                <w:szCs w:val="18"/>
              </w:rPr>
            </w:pPr>
            <w:r>
              <w:rPr>
                <w:rFonts w:ascii="Arial"/>
                <w:sz w:val="18"/>
              </w:rPr>
              <w:t>40,233,882</w:t>
            </w:r>
          </w:p>
        </w:tc>
      </w:tr>
      <w:tr>
        <w:trPr>
          <w:trHeight w:val="24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32"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.36</w:t>
            </w:r>
            <w:r>
              <w:rPr>
                <w:rFonts w:ascii="宋体" w:hAnsi="宋体" w:cs="宋体" w:eastAsia="宋体" w:hint="default"/>
                <w:sz w:val="18"/>
                <w:szCs w:val="18"/>
              </w:rPr>
              <w:t>、十三</w:t>
            </w:r>
            <w:r>
              <w:rPr>
                <w:rFonts w:ascii="Arial" w:hAnsi="Arial" w:cs="Arial" w:eastAsia="Arial" w:hint="default"/>
                <w:sz w:val="18"/>
                <w:szCs w:val="18"/>
              </w:rPr>
              <w:t>.4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5"/>
              <w:jc w:val="right"/>
              <w:rPr>
                <w:rFonts w:ascii="Arial" w:hAnsi="Arial" w:cs="Arial" w:eastAsia="Arial" w:hint="default"/>
                <w:sz w:val="18"/>
                <w:szCs w:val="18"/>
              </w:rPr>
            </w:pPr>
            <w:r>
              <w:rPr>
                <w:rFonts w:ascii="Arial"/>
                <w:spacing w:val="-1"/>
                <w:sz w:val="18"/>
              </w:rPr>
              <w:t>(62,040,712)</w:t>
            </w:r>
            <w:r>
              <w:rPr>
                <w:rFonts w:ascii="Arial"/>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8"/>
              <w:jc w:val="right"/>
              <w:rPr>
                <w:rFonts w:ascii="Arial" w:hAnsi="Arial" w:cs="Arial" w:eastAsia="Arial" w:hint="default"/>
                <w:sz w:val="18"/>
                <w:szCs w:val="18"/>
              </w:rPr>
            </w:pPr>
            <w:r>
              <w:rPr>
                <w:rFonts w:ascii="Arial"/>
                <w:spacing w:val="-1"/>
                <w:sz w:val="18"/>
              </w:rPr>
              <w:t>(48,185,789)</w:t>
            </w:r>
            <w:r>
              <w:rPr>
                <w:rFonts w:ascii="Arial"/>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Arial" w:hAnsi="Arial" w:cs="Arial" w:eastAsia="Arial" w:hint="default"/>
                <w:sz w:val="18"/>
                <w:szCs w:val="18"/>
              </w:rPr>
            </w:pPr>
            <w:r>
              <w:rPr>
                <w:rFonts w:ascii="Arial"/>
                <w:sz w:val="18"/>
              </w:rPr>
              <w:t>(50,757,571)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(37,457,218)</w:t>
            </w:r>
            <w:r>
              <w:rPr>
                <w:rFonts w:ascii="Arial"/>
                <w:sz w:val="18"/>
              </w:rPr>
            </w:r>
          </w:p>
        </w:tc>
      </w:tr>
      <w:tr>
        <w:trPr>
          <w:trHeight w:val="24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32"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5"/>
              <w:jc w:val="right"/>
              <w:rPr>
                <w:rFonts w:ascii="Arial" w:hAnsi="Arial" w:cs="Arial" w:eastAsia="Arial" w:hint="default"/>
                <w:sz w:val="18"/>
                <w:szCs w:val="18"/>
              </w:rPr>
            </w:pPr>
            <w:r>
              <w:rPr>
                <w:rFonts w:ascii="Arial"/>
                <w:spacing w:val="-1"/>
                <w:sz w:val="18"/>
              </w:rPr>
              <w:t>(268,129)</w:t>
            </w:r>
            <w:r>
              <w:rPr>
                <w:rFonts w:ascii="Arial"/>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6"/>
              <w:jc w:val="right"/>
              <w:rPr>
                <w:rFonts w:ascii="Arial" w:hAnsi="Arial" w:cs="Arial" w:eastAsia="Arial" w:hint="default"/>
                <w:sz w:val="18"/>
                <w:szCs w:val="18"/>
              </w:rPr>
            </w:pPr>
            <w:r>
              <w:rPr>
                <w:rFonts w:ascii="Arial"/>
                <w:spacing w:val="-1"/>
                <w:sz w:val="18"/>
              </w:rPr>
              <w:t>(271,516)</w:t>
            </w:r>
            <w:r>
              <w:rPr>
                <w:rFonts w:ascii="Arial"/>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
              <w:jc w:val="right"/>
              <w:rPr>
                <w:rFonts w:ascii="Arial" w:hAnsi="Arial" w:cs="Arial" w:eastAsia="Arial" w:hint="default"/>
                <w:sz w:val="18"/>
                <w:szCs w:val="18"/>
              </w:rPr>
            </w:pPr>
            <w:r>
              <w:rPr>
                <w:rFonts w:ascii="Arial"/>
                <w:spacing w:val="-1"/>
                <w:sz w:val="18"/>
              </w:rPr>
              <w:t>(59,157)</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(67,682)</w:t>
            </w:r>
            <w:r>
              <w:rPr>
                <w:rFonts w:ascii="Arial"/>
                <w:sz w:val="18"/>
              </w:rPr>
            </w:r>
          </w:p>
        </w:tc>
      </w:tr>
      <w:tr>
        <w:trPr>
          <w:trHeight w:val="24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32"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5"/>
              <w:jc w:val="right"/>
              <w:rPr>
                <w:rFonts w:ascii="Arial" w:hAnsi="Arial" w:cs="Arial" w:eastAsia="Arial" w:hint="default"/>
                <w:sz w:val="18"/>
                <w:szCs w:val="18"/>
              </w:rPr>
            </w:pPr>
            <w:r>
              <w:rPr>
                <w:rFonts w:ascii="Arial"/>
                <w:spacing w:val="-1"/>
                <w:sz w:val="18"/>
              </w:rPr>
              <w:t>(6,809,109)</w:t>
            </w:r>
            <w:r>
              <w:rPr>
                <w:rFonts w:ascii="Arial"/>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7"/>
              <w:jc w:val="right"/>
              <w:rPr>
                <w:rFonts w:ascii="Arial" w:hAnsi="Arial" w:cs="Arial" w:eastAsia="Arial" w:hint="default"/>
                <w:sz w:val="18"/>
                <w:szCs w:val="18"/>
              </w:rPr>
            </w:pPr>
            <w:r>
              <w:rPr>
                <w:rFonts w:ascii="Arial"/>
                <w:spacing w:val="-1"/>
                <w:sz w:val="18"/>
              </w:rPr>
              <w:t>(5,192,356)</w:t>
            </w:r>
            <w:r>
              <w:rPr>
                <w:rFonts w:ascii="Arial"/>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
              <w:jc w:val="right"/>
              <w:rPr>
                <w:rFonts w:ascii="Arial" w:hAnsi="Arial" w:cs="Arial" w:eastAsia="Arial" w:hint="default"/>
                <w:sz w:val="18"/>
                <w:szCs w:val="18"/>
              </w:rPr>
            </w:pPr>
            <w:r>
              <w:rPr>
                <w:rFonts w:ascii="Arial"/>
                <w:spacing w:val="-1"/>
                <w:sz w:val="18"/>
              </w:rPr>
              <w:t>(728,231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(512,402)</w:t>
            </w:r>
            <w:r>
              <w:rPr>
                <w:rFonts w:ascii="Arial"/>
                <w:sz w:val="18"/>
              </w:rPr>
            </w:r>
          </w:p>
        </w:tc>
      </w:tr>
      <w:tr>
        <w:trPr>
          <w:trHeight w:val="24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32"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5"/>
              <w:jc w:val="right"/>
              <w:rPr>
                <w:rFonts w:ascii="Arial" w:hAnsi="Arial" w:cs="Arial" w:eastAsia="Arial" w:hint="default"/>
                <w:sz w:val="18"/>
                <w:szCs w:val="18"/>
              </w:rPr>
            </w:pPr>
            <w:r>
              <w:rPr>
                <w:rFonts w:ascii="Arial"/>
                <w:spacing w:val="-3"/>
                <w:sz w:val="18"/>
              </w:rPr>
              <w:t>(1,250,311)</w:t>
            </w:r>
            <w:r>
              <w:rPr>
                <w:rFonts w:ascii="Arial"/>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7"/>
              <w:jc w:val="right"/>
              <w:rPr>
                <w:rFonts w:ascii="Arial" w:hAnsi="Arial" w:cs="Arial" w:eastAsia="Arial" w:hint="default"/>
                <w:sz w:val="18"/>
                <w:szCs w:val="18"/>
              </w:rPr>
            </w:pPr>
            <w:r>
              <w:rPr>
                <w:rFonts w:ascii="Arial"/>
                <w:spacing w:val="-1"/>
                <w:sz w:val="18"/>
              </w:rPr>
              <w:t>(912,093)</w:t>
            </w:r>
            <w:r>
              <w:rPr>
                <w:rFonts w:ascii="Arial"/>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
              <w:jc w:val="right"/>
              <w:rPr>
                <w:rFonts w:ascii="Arial" w:hAnsi="Arial" w:cs="Arial" w:eastAsia="Arial" w:hint="default"/>
                <w:sz w:val="18"/>
                <w:szCs w:val="18"/>
              </w:rPr>
            </w:pPr>
            <w:r>
              <w:rPr>
                <w:rFonts w:ascii="Arial"/>
                <w:spacing w:val="-1"/>
                <w:sz w:val="18"/>
              </w:rPr>
              <w:t>(530,534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(401,545)</w:t>
            </w:r>
            <w:r>
              <w:rPr>
                <w:rFonts w:ascii="Arial"/>
                <w:sz w:val="18"/>
              </w:rPr>
            </w:r>
          </w:p>
        </w:tc>
      </w:tr>
      <w:tr>
        <w:trPr>
          <w:trHeight w:val="24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802"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Arial" w:hAnsi="Arial" w:cs="Arial" w:eastAsia="Arial" w:hint="default"/>
                <w:sz w:val="18"/>
                <w:szCs w:val="18"/>
              </w:rPr>
              <w:t>-</w:t>
            </w:r>
            <w:r>
              <w:rPr>
                <w:rFonts w:ascii="宋体" w:hAnsi="宋体" w:cs="宋体" w:eastAsia="宋体" w:hint="default"/>
                <w:sz w:val="18"/>
                <w:szCs w:val="18"/>
              </w:rPr>
              <w:t>净额</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3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Arial" w:hAnsi="Arial" w:cs="Arial" w:eastAsia="Arial" w:hint="default"/>
                <w:sz w:val="18"/>
                <w:szCs w:val="18"/>
              </w:rPr>
            </w:pPr>
            <w:r>
              <w:rPr>
                <w:rFonts w:ascii="Arial"/>
                <w:spacing w:val="-1"/>
                <w:sz w:val="18"/>
              </w:rPr>
              <w:t>360,769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8"/>
              <w:jc w:val="right"/>
              <w:rPr>
                <w:rFonts w:ascii="Arial" w:hAnsi="Arial" w:cs="Arial" w:eastAsia="Arial" w:hint="default"/>
                <w:sz w:val="18"/>
                <w:szCs w:val="18"/>
              </w:rPr>
            </w:pPr>
            <w:r>
              <w:rPr>
                <w:rFonts w:ascii="Arial"/>
                <w:spacing w:val="-1"/>
                <w:sz w:val="18"/>
              </w:rPr>
              <w:t>172,924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1" w:right="0"/>
              <w:jc w:val="left"/>
              <w:rPr>
                <w:rFonts w:ascii="Arial" w:hAnsi="Arial" w:cs="Arial" w:eastAsia="Arial" w:hint="default"/>
                <w:sz w:val="18"/>
                <w:szCs w:val="18"/>
              </w:rPr>
            </w:pPr>
            <w:r>
              <w:rPr>
                <w:rFonts w:ascii="Arial"/>
                <w:sz w:val="18"/>
              </w:rPr>
              <w:t>509,406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9" w:right="0"/>
              <w:jc w:val="left"/>
              <w:rPr>
                <w:rFonts w:ascii="Arial" w:hAnsi="Arial" w:cs="Arial" w:eastAsia="Arial" w:hint="default"/>
                <w:sz w:val="18"/>
                <w:szCs w:val="18"/>
              </w:rPr>
            </w:pPr>
            <w:r>
              <w:rPr>
                <w:rFonts w:ascii="Arial"/>
                <w:sz w:val="18"/>
              </w:rPr>
              <w:t>281,087</w:t>
            </w:r>
          </w:p>
        </w:tc>
      </w:tr>
      <w:tr>
        <w:trPr>
          <w:trHeight w:val="24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4"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.19</w:t>
            </w:r>
            <w:r>
              <w:rPr>
                <w:rFonts w:ascii="宋体" w:hAnsi="宋体" w:cs="宋体" w:eastAsia="宋体" w:hint="default"/>
                <w:sz w:val="18"/>
                <w:szCs w:val="18"/>
              </w:rPr>
              <w:t>、五</w:t>
            </w:r>
            <w:r>
              <w:rPr>
                <w:rFonts w:ascii="Arial" w:hAnsi="Arial" w:cs="Arial" w:eastAsia="Arial" w:hint="default"/>
                <w:sz w:val="18"/>
                <w:szCs w:val="18"/>
              </w:rPr>
              <w:t>.42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5"/>
              <w:jc w:val="right"/>
              <w:rPr>
                <w:rFonts w:ascii="Arial" w:hAnsi="Arial" w:cs="Arial" w:eastAsia="Arial" w:hint="default"/>
                <w:sz w:val="18"/>
                <w:szCs w:val="18"/>
              </w:rPr>
            </w:pPr>
            <w:r>
              <w:rPr>
                <w:rFonts w:ascii="Arial"/>
                <w:spacing w:val="-1"/>
                <w:sz w:val="18"/>
              </w:rPr>
              <w:t>(75,924)</w:t>
            </w:r>
            <w:r>
              <w:rPr>
                <w:rFonts w:ascii="Arial"/>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7"/>
              <w:jc w:val="right"/>
              <w:rPr>
                <w:rFonts w:ascii="Arial" w:hAnsi="Arial" w:cs="Arial" w:eastAsia="Arial" w:hint="default"/>
                <w:sz w:val="18"/>
                <w:szCs w:val="18"/>
              </w:rPr>
            </w:pPr>
            <w:r>
              <w:rPr>
                <w:rFonts w:ascii="Arial"/>
                <w:spacing w:val="-1"/>
                <w:sz w:val="18"/>
              </w:rPr>
              <w:t>(32,335)</w:t>
            </w:r>
            <w:r>
              <w:rPr>
                <w:rFonts w:ascii="Arial"/>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Arial" w:hAnsi="Arial" w:cs="Arial" w:eastAsia="Arial" w:hint="default"/>
                <w:sz w:val="18"/>
                <w:szCs w:val="18"/>
              </w:rPr>
            </w:pPr>
            <w:r>
              <w:rPr>
                <w:rFonts w:ascii="Arial"/>
                <w:spacing w:val="-1"/>
                <w:sz w:val="18"/>
              </w:rPr>
              <w:t>(45,347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(22,600)</w:t>
            </w:r>
            <w:r>
              <w:rPr>
                <w:rFonts w:ascii="Arial"/>
                <w:sz w:val="18"/>
              </w:rPr>
            </w:r>
          </w:p>
        </w:tc>
      </w:tr>
      <w:tr>
        <w:trPr>
          <w:trHeight w:val="24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加：投资收益</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57"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.41</w:t>
            </w:r>
            <w:r>
              <w:rPr>
                <w:rFonts w:ascii="宋体" w:hAnsi="宋体" w:cs="宋体" w:eastAsia="宋体" w:hint="default"/>
                <w:sz w:val="18"/>
                <w:szCs w:val="18"/>
              </w:rPr>
              <w:t>、十三</w:t>
            </w:r>
            <w:r>
              <w:rPr>
                <w:rFonts w:ascii="Arial" w:hAnsi="Arial" w:cs="Arial" w:eastAsia="Arial" w:hint="default"/>
                <w:sz w:val="18"/>
                <w:szCs w:val="18"/>
              </w:rPr>
              <w:t>.5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Arial" w:hAnsi="Arial" w:cs="Arial" w:eastAsia="Arial" w:hint="default"/>
                <w:sz w:val="18"/>
                <w:szCs w:val="18"/>
              </w:rPr>
            </w:pPr>
            <w:r>
              <w:rPr>
                <w:rFonts w:ascii="Arial"/>
                <w:spacing w:val="-1"/>
                <w:sz w:val="18"/>
              </w:rPr>
              <w:t>10,625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8"/>
              <w:jc w:val="right"/>
              <w:rPr>
                <w:rFonts w:ascii="Arial" w:hAnsi="Arial" w:cs="Arial" w:eastAsia="Arial" w:hint="default"/>
                <w:sz w:val="18"/>
                <w:szCs w:val="18"/>
              </w:rPr>
            </w:pPr>
            <w:r>
              <w:rPr>
                <w:rFonts w:ascii="Arial"/>
                <w:spacing w:val="-1"/>
                <w:w w:val="95"/>
                <w:sz w:val="18"/>
              </w:rPr>
              <w:t>(3,952)</w:t>
            </w:r>
            <w:r>
              <w:rPr>
                <w:rFonts w:ascii="Arial"/>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10" w:right="0"/>
              <w:jc w:val="left"/>
              <w:rPr>
                <w:rFonts w:ascii="Arial" w:hAnsi="Arial" w:cs="Arial" w:eastAsia="Arial" w:hint="default"/>
                <w:sz w:val="18"/>
                <w:szCs w:val="18"/>
              </w:rPr>
            </w:pPr>
            <w:r>
              <w:rPr>
                <w:rFonts w:ascii="Arial"/>
                <w:sz w:val="18"/>
              </w:rPr>
              <w:t>53,846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3"/>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hAnsi="宋体" w:cs="宋体" w:eastAsia="宋体" w:hint="default"/>
                <w:sz w:val="18"/>
                <w:szCs w:val="18"/>
              </w:rPr>
              <w:t>其中：对联营企业的投资收益</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Arial" w:hAnsi="Arial" w:cs="Arial" w:eastAsia="Arial" w:hint="default"/>
                <w:sz w:val="18"/>
                <w:szCs w:val="18"/>
              </w:rPr>
            </w:pPr>
            <w:r>
              <w:rPr>
                <w:rFonts w:ascii="Arial"/>
                <w:spacing w:val="-1"/>
                <w:w w:val="95"/>
                <w:sz w:val="18"/>
              </w:rPr>
              <w:t>4,967</w:t>
            </w:r>
            <w:r>
              <w:rPr>
                <w:rFonts w:ascii="Arial"/>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4"/>
              <w:jc w:val="right"/>
              <w:rPr>
                <w:rFonts w:ascii="Arial" w:hAnsi="Arial" w:cs="Arial" w:eastAsia="Arial" w:hint="default"/>
                <w:sz w:val="18"/>
                <w:szCs w:val="18"/>
              </w:rPr>
            </w:pPr>
            <w:r>
              <w:rPr>
                <w:rFonts w:ascii="Arial"/>
                <w:spacing w:val="-1"/>
                <w:w w:val="95"/>
                <w:sz w:val="18"/>
              </w:rPr>
              <w:t>(3,952)</w:t>
            </w:r>
            <w:r>
              <w:rPr>
                <w:rFonts w:ascii="Arial"/>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3"/>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3"/>
              <w:jc w:val="right"/>
              <w:rPr>
                <w:rFonts w:ascii="Arial" w:hAnsi="Arial" w:cs="Arial" w:eastAsia="Arial" w:hint="default"/>
                <w:sz w:val="18"/>
                <w:szCs w:val="18"/>
              </w:rPr>
            </w:pPr>
            <w:r>
              <w:rPr>
                <w:rFonts w:ascii="Arial"/>
                <w:w w:val="99"/>
                <w:sz w:val="18"/>
              </w:rPr>
              <w:t>-</w:t>
            </w:r>
            <w:r>
              <w:rPr>
                <w:rFonts w:ascii="Arial"/>
                <w:sz w:val="18"/>
              </w:rPr>
            </w:r>
          </w:p>
        </w:tc>
      </w:tr>
      <w:tr>
        <w:trPr>
          <w:trHeight w:val="216"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二、营业利润</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Arial" w:hAnsi="Arial" w:cs="Arial" w:eastAsia="Arial" w:hint="default"/>
                <w:sz w:val="18"/>
                <w:szCs w:val="18"/>
              </w:rPr>
            </w:pPr>
            <w:r>
              <w:rPr>
                <w:rFonts w:ascii="Arial"/>
                <w:spacing w:val="-1"/>
                <w:sz w:val="18"/>
              </w:rPr>
              <w:t>5,431,948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2"/>
              <w:jc w:val="right"/>
              <w:rPr>
                <w:rFonts w:ascii="Arial" w:hAnsi="Arial" w:cs="Arial" w:eastAsia="Arial" w:hint="default"/>
                <w:sz w:val="18"/>
                <w:szCs w:val="18"/>
              </w:rPr>
            </w:pPr>
            <w:r>
              <w:rPr>
                <w:rFonts w:ascii="Arial"/>
                <w:spacing w:val="-1"/>
                <w:sz w:val="18"/>
              </w:rPr>
              <w:t>3,875,032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61" w:right="0"/>
              <w:jc w:val="left"/>
              <w:rPr>
                <w:rFonts w:ascii="Arial" w:hAnsi="Arial" w:cs="Arial" w:eastAsia="Arial" w:hint="default"/>
                <w:sz w:val="18"/>
                <w:szCs w:val="18"/>
              </w:rPr>
            </w:pPr>
            <w:r>
              <w:rPr>
                <w:rFonts w:ascii="Arial"/>
                <w:sz w:val="18"/>
              </w:rPr>
              <w:t>3,076,602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59" w:right="0"/>
              <w:jc w:val="left"/>
              <w:rPr>
                <w:rFonts w:ascii="Arial" w:hAnsi="Arial" w:cs="Arial" w:eastAsia="Arial" w:hint="default"/>
                <w:sz w:val="18"/>
                <w:szCs w:val="18"/>
              </w:rPr>
            </w:pPr>
            <w:r>
              <w:rPr>
                <w:rFonts w:ascii="Arial"/>
                <w:sz w:val="18"/>
              </w:rPr>
              <w:t>2,053,522</w:t>
            </w:r>
          </w:p>
        </w:tc>
      </w:tr>
      <w:tr>
        <w:trPr>
          <w:trHeight w:val="24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32"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Arial" w:hAnsi="Arial" w:cs="Arial" w:eastAsia="Arial" w:hint="default"/>
                <w:sz w:val="18"/>
                <w:szCs w:val="18"/>
              </w:rPr>
            </w:pPr>
            <w:r>
              <w:rPr>
                <w:rFonts w:ascii="Arial"/>
                <w:spacing w:val="-1"/>
                <w:sz w:val="18"/>
              </w:rPr>
              <w:t>72,465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3"/>
              <w:jc w:val="right"/>
              <w:rPr>
                <w:rFonts w:ascii="Arial" w:hAnsi="Arial" w:cs="Arial" w:eastAsia="Arial" w:hint="default"/>
                <w:sz w:val="18"/>
                <w:szCs w:val="18"/>
              </w:rPr>
            </w:pPr>
            <w:r>
              <w:rPr>
                <w:rFonts w:ascii="Arial"/>
                <w:spacing w:val="-5"/>
                <w:sz w:val="18"/>
              </w:rPr>
              <w:t>111,578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10" w:right="0"/>
              <w:jc w:val="left"/>
              <w:rPr>
                <w:rFonts w:ascii="Arial" w:hAnsi="Arial" w:cs="Arial" w:eastAsia="Arial" w:hint="default"/>
                <w:sz w:val="18"/>
                <w:szCs w:val="18"/>
              </w:rPr>
            </w:pPr>
            <w:r>
              <w:rPr>
                <w:rFonts w:ascii="Arial"/>
                <w:sz w:val="18"/>
              </w:rPr>
              <w:t>13,093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09" w:right="0"/>
              <w:jc w:val="left"/>
              <w:rPr>
                <w:rFonts w:ascii="Arial" w:hAnsi="Arial" w:cs="Arial" w:eastAsia="Arial" w:hint="default"/>
                <w:sz w:val="18"/>
                <w:szCs w:val="18"/>
              </w:rPr>
            </w:pPr>
            <w:r>
              <w:rPr>
                <w:rFonts w:ascii="Arial"/>
                <w:sz w:val="18"/>
              </w:rPr>
              <w:t>3,606</w:t>
            </w:r>
          </w:p>
        </w:tc>
      </w:tr>
      <w:tr>
        <w:trPr>
          <w:trHeight w:val="24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32"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(102,369)</w:t>
            </w:r>
            <w:r>
              <w:rPr>
                <w:rFonts w:ascii="Arial"/>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6"/>
              <w:jc w:val="right"/>
              <w:rPr>
                <w:rFonts w:ascii="Arial" w:hAnsi="Arial" w:cs="Arial" w:eastAsia="Arial" w:hint="default"/>
                <w:sz w:val="18"/>
                <w:szCs w:val="18"/>
              </w:rPr>
            </w:pPr>
            <w:r>
              <w:rPr>
                <w:rFonts w:ascii="Arial"/>
                <w:spacing w:val="-1"/>
                <w:sz w:val="18"/>
              </w:rPr>
              <w:t>(60,243)</w:t>
            </w:r>
            <w:r>
              <w:rPr>
                <w:rFonts w:ascii="Arial"/>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0" w:right="0"/>
              <w:jc w:val="left"/>
              <w:rPr>
                <w:rFonts w:ascii="Arial" w:hAnsi="Arial" w:cs="Arial" w:eastAsia="Arial" w:hint="default"/>
                <w:sz w:val="18"/>
                <w:szCs w:val="18"/>
              </w:rPr>
            </w:pPr>
            <w:r>
              <w:rPr>
                <w:rFonts w:ascii="Arial"/>
                <w:sz w:val="18"/>
              </w:rPr>
              <w:t>(44,190)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4"/>
              <w:jc w:val="right"/>
              <w:rPr>
                <w:rFonts w:ascii="Arial" w:hAnsi="Arial" w:cs="Arial" w:eastAsia="Arial" w:hint="default"/>
                <w:sz w:val="18"/>
                <w:szCs w:val="18"/>
              </w:rPr>
            </w:pPr>
            <w:r>
              <w:rPr>
                <w:rFonts w:ascii="Arial"/>
                <w:spacing w:val="-1"/>
                <w:sz w:val="18"/>
              </w:rPr>
              <w:t>(16,057)</w:t>
            </w:r>
            <w:r>
              <w:rPr>
                <w:rFonts w:ascii="Arial"/>
                <w:sz w:val="18"/>
              </w:rPr>
            </w:r>
          </w:p>
        </w:tc>
      </w:tr>
      <w:tr>
        <w:trPr>
          <w:trHeight w:val="24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17"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5"/>
              <w:jc w:val="right"/>
              <w:rPr>
                <w:rFonts w:ascii="Arial" w:hAnsi="Arial" w:cs="Arial" w:eastAsia="Arial" w:hint="default"/>
                <w:sz w:val="18"/>
                <w:szCs w:val="18"/>
              </w:rPr>
            </w:pPr>
            <w:r>
              <w:rPr>
                <w:rFonts w:ascii="Arial"/>
                <w:spacing w:val="-1"/>
                <w:sz w:val="18"/>
              </w:rPr>
              <w:t>(4,882)</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6"/>
              <w:jc w:val="right"/>
              <w:rPr>
                <w:rFonts w:ascii="Arial" w:hAnsi="Arial" w:cs="Arial" w:eastAsia="Arial" w:hint="default"/>
                <w:sz w:val="18"/>
                <w:szCs w:val="18"/>
              </w:rPr>
            </w:pPr>
            <w:r>
              <w:rPr>
                <w:rFonts w:ascii="Arial"/>
                <w:spacing w:val="-1"/>
                <w:sz w:val="18"/>
              </w:rPr>
              <w:t>(881)</w:t>
            </w:r>
            <w:r>
              <w:rPr>
                <w:rFonts w:ascii="Arial"/>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
              <w:jc w:val="right"/>
              <w:rPr>
                <w:rFonts w:ascii="Arial" w:hAnsi="Arial" w:cs="Arial" w:eastAsia="Arial" w:hint="default"/>
                <w:sz w:val="18"/>
                <w:szCs w:val="18"/>
              </w:rPr>
            </w:pPr>
            <w:r>
              <w:rPr>
                <w:rFonts w:ascii="Arial"/>
                <w:spacing w:val="-1"/>
                <w:w w:val="95"/>
                <w:sz w:val="18"/>
              </w:rPr>
              <w:t>(1,899</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w w:val="95"/>
                <w:sz w:val="18"/>
              </w:rPr>
              <w:t>(5)</w:t>
            </w:r>
            <w:r>
              <w:rPr>
                <w:rFonts w:ascii="Arial"/>
                <w:sz w:val="18"/>
              </w:rPr>
            </w:r>
          </w:p>
        </w:tc>
      </w:tr>
      <w:tr>
        <w:trPr>
          <w:trHeight w:val="217"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三、利润总额</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Arial" w:hAnsi="Arial" w:cs="Arial" w:eastAsia="Arial" w:hint="default"/>
                <w:sz w:val="18"/>
                <w:szCs w:val="18"/>
              </w:rPr>
            </w:pPr>
            <w:r>
              <w:rPr>
                <w:rFonts w:ascii="Arial"/>
                <w:spacing w:val="-1"/>
                <w:sz w:val="18"/>
              </w:rPr>
              <w:t>5,402,044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2"/>
              <w:jc w:val="right"/>
              <w:rPr>
                <w:rFonts w:ascii="Arial" w:hAnsi="Arial" w:cs="Arial" w:eastAsia="Arial" w:hint="default"/>
                <w:sz w:val="18"/>
                <w:szCs w:val="18"/>
              </w:rPr>
            </w:pPr>
            <w:r>
              <w:rPr>
                <w:rFonts w:ascii="Arial"/>
                <w:spacing w:val="-1"/>
                <w:sz w:val="18"/>
              </w:rPr>
              <w:t>3,926,367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61" w:right="0"/>
              <w:jc w:val="left"/>
              <w:rPr>
                <w:rFonts w:ascii="Arial" w:hAnsi="Arial" w:cs="Arial" w:eastAsia="Arial" w:hint="default"/>
                <w:sz w:val="18"/>
                <w:szCs w:val="18"/>
              </w:rPr>
            </w:pPr>
            <w:r>
              <w:rPr>
                <w:rFonts w:ascii="Arial"/>
                <w:sz w:val="18"/>
              </w:rPr>
              <w:t>3,045,505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59" w:right="0"/>
              <w:jc w:val="left"/>
              <w:rPr>
                <w:rFonts w:ascii="Arial" w:hAnsi="Arial" w:cs="Arial" w:eastAsia="Arial" w:hint="default"/>
                <w:sz w:val="18"/>
                <w:szCs w:val="18"/>
              </w:rPr>
            </w:pPr>
            <w:r>
              <w:rPr>
                <w:rFonts w:ascii="Arial"/>
                <w:sz w:val="18"/>
              </w:rPr>
              <w:t>2,041,071</w:t>
            </w:r>
          </w:p>
        </w:tc>
      </w:tr>
      <w:tr>
        <w:trPr>
          <w:trHeight w:val="24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1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32"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5"/>
              <w:jc w:val="right"/>
              <w:rPr>
                <w:rFonts w:ascii="Arial" w:hAnsi="Arial" w:cs="Arial" w:eastAsia="Arial" w:hint="default"/>
                <w:sz w:val="18"/>
                <w:szCs w:val="18"/>
              </w:rPr>
            </w:pPr>
            <w:r>
              <w:rPr>
                <w:rFonts w:ascii="Arial"/>
                <w:spacing w:val="-1"/>
                <w:sz w:val="18"/>
              </w:rPr>
              <w:t>(1,296,536)</w:t>
            </w:r>
            <w:r>
              <w:rPr>
                <w:rFonts w:ascii="Arial"/>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6"/>
              <w:jc w:val="right"/>
              <w:rPr>
                <w:rFonts w:ascii="Arial" w:hAnsi="Arial" w:cs="Arial" w:eastAsia="Arial" w:hint="default"/>
                <w:sz w:val="18"/>
                <w:szCs w:val="18"/>
              </w:rPr>
            </w:pPr>
            <w:r>
              <w:rPr>
                <w:rFonts w:ascii="Arial"/>
                <w:spacing w:val="-1"/>
                <w:sz w:val="18"/>
              </w:rPr>
              <w:t>(937,872)</w:t>
            </w:r>
            <w:r>
              <w:rPr>
                <w:rFonts w:ascii="Arial"/>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
              <w:jc w:val="right"/>
              <w:rPr>
                <w:rFonts w:ascii="Arial" w:hAnsi="Arial" w:cs="Arial" w:eastAsia="Arial" w:hint="default"/>
                <w:sz w:val="18"/>
                <w:szCs w:val="18"/>
              </w:rPr>
            </w:pPr>
            <w:r>
              <w:rPr>
                <w:rFonts w:ascii="Arial"/>
                <w:spacing w:val="-1"/>
                <w:sz w:val="18"/>
              </w:rPr>
              <w:t>(754,864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4"/>
              <w:jc w:val="right"/>
              <w:rPr>
                <w:rFonts w:ascii="Arial" w:hAnsi="Arial" w:cs="Arial" w:eastAsia="Arial" w:hint="default"/>
                <w:sz w:val="18"/>
                <w:szCs w:val="18"/>
              </w:rPr>
            </w:pPr>
            <w:r>
              <w:rPr>
                <w:rFonts w:ascii="Arial"/>
                <w:spacing w:val="-1"/>
                <w:sz w:val="18"/>
              </w:rPr>
              <w:t>(509,121)</w:t>
            </w:r>
            <w:r>
              <w:rPr>
                <w:rFonts w:ascii="Arial"/>
                <w:sz w:val="18"/>
              </w:rPr>
            </w:r>
          </w:p>
        </w:tc>
      </w:tr>
      <w:tr>
        <w:trPr>
          <w:trHeight w:val="217"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四、净利润</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Arial" w:hAnsi="Arial" w:cs="Arial" w:eastAsia="Arial" w:hint="default"/>
                <w:sz w:val="18"/>
                <w:szCs w:val="18"/>
              </w:rPr>
            </w:pPr>
            <w:r>
              <w:rPr>
                <w:rFonts w:ascii="Arial"/>
                <w:spacing w:val="-1"/>
                <w:sz w:val="18"/>
              </w:rPr>
              <w:t>4,105,508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2"/>
              <w:jc w:val="right"/>
              <w:rPr>
                <w:rFonts w:ascii="Arial" w:hAnsi="Arial" w:cs="Arial" w:eastAsia="Arial" w:hint="default"/>
                <w:sz w:val="18"/>
                <w:szCs w:val="18"/>
              </w:rPr>
            </w:pPr>
            <w:r>
              <w:rPr>
                <w:rFonts w:ascii="Arial"/>
                <w:spacing w:val="-1"/>
                <w:sz w:val="18"/>
              </w:rPr>
              <w:t>2,988,495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61" w:right="0"/>
              <w:jc w:val="left"/>
              <w:rPr>
                <w:rFonts w:ascii="Arial" w:hAnsi="Arial" w:cs="Arial" w:eastAsia="Arial" w:hint="default"/>
                <w:sz w:val="18"/>
                <w:szCs w:val="18"/>
              </w:rPr>
            </w:pPr>
            <w:r>
              <w:rPr>
                <w:rFonts w:ascii="Arial"/>
                <w:sz w:val="18"/>
              </w:rPr>
              <w:t>2,290,641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59" w:right="0"/>
              <w:jc w:val="left"/>
              <w:rPr>
                <w:rFonts w:ascii="Arial" w:hAnsi="Arial" w:cs="Arial" w:eastAsia="Arial" w:hint="default"/>
                <w:sz w:val="18"/>
                <w:szCs w:val="18"/>
              </w:rPr>
            </w:pPr>
            <w:r>
              <w:rPr>
                <w:rFonts w:ascii="Arial"/>
                <w:sz w:val="18"/>
              </w:rPr>
              <w:t>1,531,950</w:t>
            </w:r>
          </w:p>
        </w:tc>
      </w:tr>
      <w:tr>
        <w:trPr>
          <w:trHeight w:val="217"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3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Arial" w:hAnsi="Arial" w:cs="Arial" w:eastAsia="Arial" w:hint="default"/>
                <w:sz w:val="18"/>
                <w:szCs w:val="18"/>
              </w:rPr>
            </w:pPr>
            <w:r>
              <w:rPr>
                <w:rFonts w:ascii="Arial"/>
                <w:spacing w:val="-3"/>
                <w:sz w:val="18"/>
              </w:rPr>
              <w:t>4,011,820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3"/>
              <w:jc w:val="right"/>
              <w:rPr>
                <w:rFonts w:ascii="Arial" w:hAnsi="Arial" w:cs="Arial" w:eastAsia="Arial" w:hint="default"/>
                <w:sz w:val="18"/>
                <w:szCs w:val="18"/>
              </w:rPr>
            </w:pPr>
            <w:r>
              <w:rPr>
                <w:rFonts w:ascii="Arial"/>
                <w:spacing w:val="-1"/>
                <w:sz w:val="18"/>
              </w:rPr>
              <w:t>2,889,956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61" w:right="0"/>
              <w:jc w:val="left"/>
              <w:rPr>
                <w:rFonts w:ascii="Arial" w:hAnsi="Arial" w:cs="Arial" w:eastAsia="Arial" w:hint="default"/>
                <w:sz w:val="18"/>
                <w:szCs w:val="18"/>
              </w:rPr>
            </w:pPr>
            <w:r>
              <w:rPr>
                <w:rFonts w:ascii="Arial"/>
                <w:sz w:val="18"/>
              </w:rPr>
              <w:t>2,290,641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59" w:right="0"/>
              <w:jc w:val="left"/>
              <w:rPr>
                <w:rFonts w:ascii="Arial" w:hAnsi="Arial" w:cs="Arial" w:eastAsia="Arial" w:hint="default"/>
                <w:sz w:val="18"/>
                <w:szCs w:val="18"/>
              </w:rPr>
            </w:pPr>
            <w:r>
              <w:rPr>
                <w:rFonts w:ascii="Arial"/>
                <w:sz w:val="18"/>
              </w:rPr>
              <w:t>1,531,950</w:t>
            </w:r>
          </w:p>
        </w:tc>
      </w:tr>
      <w:tr>
        <w:trPr>
          <w:trHeight w:val="24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Arial" w:hAnsi="Arial" w:cs="Arial" w:eastAsia="Arial" w:hint="default"/>
                <w:sz w:val="18"/>
                <w:szCs w:val="18"/>
              </w:rPr>
            </w:pPr>
            <w:r>
              <w:rPr>
                <w:rFonts w:ascii="Arial"/>
                <w:spacing w:val="-1"/>
                <w:sz w:val="18"/>
              </w:rPr>
              <w:t>93,688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3"/>
              <w:jc w:val="right"/>
              <w:rPr>
                <w:rFonts w:ascii="Arial" w:hAnsi="Arial" w:cs="Arial" w:eastAsia="Arial" w:hint="default"/>
                <w:sz w:val="18"/>
                <w:szCs w:val="18"/>
              </w:rPr>
            </w:pPr>
            <w:r>
              <w:rPr>
                <w:rFonts w:ascii="Arial"/>
                <w:spacing w:val="-1"/>
                <w:sz w:val="18"/>
              </w:rPr>
              <w:t>98,539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3"/>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3"/>
              <w:jc w:val="right"/>
              <w:rPr>
                <w:rFonts w:ascii="Arial" w:hAnsi="Arial" w:cs="Arial" w:eastAsia="Arial" w:hint="default"/>
                <w:sz w:val="18"/>
                <w:szCs w:val="18"/>
              </w:rPr>
            </w:pPr>
            <w:r>
              <w:rPr>
                <w:rFonts w:ascii="Arial"/>
                <w:w w:val="99"/>
                <w:sz w:val="18"/>
              </w:rPr>
              <w:t>-</w:t>
            </w:r>
            <w:r>
              <w:rPr>
                <w:rFonts w:ascii="Arial"/>
                <w:sz w:val="18"/>
              </w:rPr>
            </w:r>
          </w:p>
        </w:tc>
      </w:tr>
      <w:tr>
        <w:trPr>
          <w:trHeight w:val="217"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五、每股收益</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3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3"/>
              <w:jc w:val="right"/>
              <w:rPr>
                <w:rFonts w:ascii="Arial" w:hAnsi="Arial" w:cs="Arial" w:eastAsia="Arial"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Arial" w:hAnsi="Arial" w:cs="Arial" w:eastAsia="Arial" w:hint="default"/>
                <w:sz w:val="18"/>
                <w:szCs w:val="18"/>
              </w:rPr>
              <w:t>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37"/>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Arial" w:hAnsi="Arial" w:cs="Arial" w:eastAsia="Arial" w:hint="default"/>
                <w:sz w:val="18"/>
                <w:szCs w:val="18"/>
              </w:rPr>
              <w:t>0.43</w:t>
            </w:r>
            <w:r>
              <w:rPr>
                <w:rFonts w:ascii="Arial" w:hAnsi="Arial" w:cs="Arial" w:eastAsia="Arial" w:hint="default"/>
                <w:spacing w:val="-8"/>
                <w:sz w:val="18"/>
                <w:szCs w:val="18"/>
              </w:rPr>
              <w:t> </w:t>
            </w:r>
            <w:r>
              <w:rPr>
                <w:rFonts w:ascii="宋体" w:hAnsi="宋体" w:cs="宋体" w:eastAsia="宋体" w:hint="default"/>
                <w:sz w:val="18"/>
                <w:szCs w:val="18"/>
              </w:rPr>
              <w:t>元</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4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3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3"/>
              <w:jc w:val="right"/>
              <w:rPr>
                <w:rFonts w:ascii="Arial" w:hAnsi="Arial" w:cs="Arial" w:eastAsia="Arial"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Arial" w:hAnsi="Arial" w:cs="Arial" w:eastAsia="Arial" w:hint="default"/>
                <w:sz w:val="18"/>
                <w:szCs w:val="18"/>
              </w:rPr>
              <w:t>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37"/>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Arial" w:hAnsi="Arial" w:cs="Arial" w:eastAsia="Arial" w:hint="default"/>
                <w:sz w:val="18"/>
                <w:szCs w:val="18"/>
              </w:rPr>
              <w:t>0.43</w:t>
            </w:r>
            <w:r>
              <w:rPr>
                <w:rFonts w:ascii="Arial" w:hAnsi="Arial" w:cs="Arial" w:eastAsia="Arial" w:hint="default"/>
                <w:spacing w:val="-8"/>
                <w:sz w:val="18"/>
                <w:szCs w:val="18"/>
              </w:rPr>
              <w:t> </w:t>
            </w:r>
            <w:r>
              <w:rPr>
                <w:rFonts w:ascii="宋体" w:hAnsi="宋体" w:cs="宋体" w:eastAsia="宋体" w:hint="default"/>
                <w:sz w:val="18"/>
                <w:szCs w:val="18"/>
              </w:rPr>
              <w:t>元</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17"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六、其他综合收益</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3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Arial" w:hAnsi="Arial" w:cs="Arial" w:eastAsia="Arial" w:hint="default"/>
                <w:sz w:val="18"/>
                <w:szCs w:val="18"/>
              </w:rPr>
            </w:pPr>
            <w:r>
              <w:rPr>
                <w:rFonts w:ascii="Arial"/>
                <w:spacing w:val="-1"/>
                <w:w w:val="95"/>
                <w:sz w:val="18"/>
              </w:rPr>
              <w:t>7,523</w:t>
            </w:r>
            <w:r>
              <w:rPr>
                <w:rFonts w:ascii="Arial"/>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6"/>
              <w:jc w:val="right"/>
              <w:rPr>
                <w:rFonts w:ascii="Arial" w:hAnsi="Arial" w:cs="Arial" w:eastAsia="Arial" w:hint="default"/>
                <w:sz w:val="18"/>
                <w:szCs w:val="18"/>
              </w:rPr>
            </w:pPr>
            <w:r>
              <w:rPr>
                <w:rFonts w:ascii="Arial"/>
                <w:spacing w:val="-1"/>
                <w:w w:val="95"/>
                <w:sz w:val="18"/>
              </w:rPr>
              <w:t>(229)</w:t>
            </w:r>
            <w:r>
              <w:rPr>
                <w:rFonts w:ascii="Arial"/>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3"/>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七、综合收益总额</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Arial" w:hAnsi="Arial" w:cs="Arial" w:eastAsia="Arial" w:hint="default"/>
                <w:sz w:val="18"/>
                <w:szCs w:val="18"/>
              </w:rPr>
            </w:pPr>
            <w:r>
              <w:rPr>
                <w:rFonts w:ascii="Arial"/>
                <w:spacing w:val="-3"/>
                <w:sz w:val="18"/>
              </w:rPr>
              <w:t>4,113,031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2"/>
              <w:jc w:val="right"/>
              <w:rPr>
                <w:rFonts w:ascii="Arial" w:hAnsi="Arial" w:cs="Arial" w:eastAsia="Arial" w:hint="default"/>
                <w:sz w:val="18"/>
                <w:szCs w:val="18"/>
              </w:rPr>
            </w:pPr>
            <w:r>
              <w:rPr>
                <w:rFonts w:ascii="Arial"/>
                <w:spacing w:val="-1"/>
                <w:sz w:val="18"/>
              </w:rPr>
              <w:t>2,988,266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61" w:right="0"/>
              <w:jc w:val="left"/>
              <w:rPr>
                <w:rFonts w:ascii="Arial" w:hAnsi="Arial" w:cs="Arial" w:eastAsia="Arial" w:hint="default"/>
                <w:sz w:val="18"/>
                <w:szCs w:val="18"/>
              </w:rPr>
            </w:pPr>
            <w:r>
              <w:rPr>
                <w:rFonts w:ascii="Arial"/>
                <w:sz w:val="18"/>
              </w:rPr>
              <w:t>2,290,641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59" w:right="0"/>
              <w:jc w:val="left"/>
              <w:rPr>
                <w:rFonts w:ascii="Arial" w:hAnsi="Arial" w:cs="Arial" w:eastAsia="Arial" w:hint="default"/>
                <w:sz w:val="18"/>
                <w:szCs w:val="18"/>
              </w:rPr>
            </w:pPr>
            <w:r>
              <w:rPr>
                <w:rFonts w:ascii="Arial"/>
                <w:sz w:val="18"/>
              </w:rPr>
              <w:t>1,531,950</w:t>
            </w:r>
          </w:p>
        </w:tc>
      </w:tr>
      <w:tr>
        <w:trPr>
          <w:trHeight w:val="216"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Arial" w:hAnsi="Arial" w:cs="Arial" w:eastAsia="Arial" w:hint="default"/>
                <w:sz w:val="18"/>
                <w:szCs w:val="18"/>
              </w:rPr>
            </w:pPr>
            <w:r>
              <w:rPr>
                <w:rFonts w:ascii="Arial"/>
                <w:spacing w:val="-1"/>
                <w:sz w:val="18"/>
              </w:rPr>
              <w:t>4,019,343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2"/>
              <w:jc w:val="right"/>
              <w:rPr>
                <w:rFonts w:ascii="Arial" w:hAnsi="Arial" w:cs="Arial" w:eastAsia="Arial" w:hint="default"/>
                <w:sz w:val="18"/>
                <w:szCs w:val="18"/>
              </w:rPr>
            </w:pPr>
            <w:r>
              <w:rPr>
                <w:rFonts w:ascii="Arial"/>
                <w:spacing w:val="-1"/>
                <w:sz w:val="18"/>
              </w:rPr>
              <w:t>2,889,727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61" w:right="0"/>
              <w:jc w:val="left"/>
              <w:rPr>
                <w:rFonts w:ascii="Arial" w:hAnsi="Arial" w:cs="Arial" w:eastAsia="Arial" w:hint="default"/>
                <w:sz w:val="18"/>
                <w:szCs w:val="18"/>
              </w:rPr>
            </w:pPr>
            <w:r>
              <w:rPr>
                <w:rFonts w:ascii="Arial"/>
                <w:sz w:val="18"/>
              </w:rPr>
              <w:t>2,290,641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59" w:right="0"/>
              <w:jc w:val="left"/>
              <w:rPr>
                <w:rFonts w:ascii="Arial" w:hAnsi="Arial" w:cs="Arial" w:eastAsia="Arial" w:hint="default"/>
                <w:sz w:val="18"/>
                <w:szCs w:val="18"/>
              </w:rPr>
            </w:pPr>
            <w:r>
              <w:rPr>
                <w:rFonts w:ascii="Arial"/>
                <w:sz w:val="18"/>
              </w:rPr>
              <w:t>1,531,950</w:t>
            </w:r>
          </w:p>
        </w:tc>
      </w:tr>
      <w:tr>
        <w:trPr>
          <w:trHeight w:val="24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Arial" w:hAnsi="Arial" w:cs="Arial" w:eastAsia="Arial" w:hint="default"/>
                <w:sz w:val="18"/>
                <w:szCs w:val="18"/>
              </w:rPr>
            </w:pPr>
            <w:r>
              <w:rPr>
                <w:rFonts w:ascii="Arial"/>
                <w:spacing w:val="-1"/>
                <w:sz w:val="18"/>
              </w:rPr>
              <w:t>93,688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3"/>
              <w:jc w:val="right"/>
              <w:rPr>
                <w:rFonts w:ascii="Arial" w:hAnsi="Arial" w:cs="Arial" w:eastAsia="Arial" w:hint="default"/>
                <w:sz w:val="18"/>
                <w:szCs w:val="18"/>
              </w:rPr>
            </w:pPr>
            <w:r>
              <w:rPr>
                <w:rFonts w:ascii="Arial"/>
                <w:spacing w:val="-1"/>
                <w:sz w:val="18"/>
              </w:rPr>
              <w:t>98,539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3"/>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3"/>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1"/>
        <w:rPr>
          <w:rFonts w:ascii="Arial" w:hAnsi="Arial" w:cs="Arial" w:eastAsia="Arial" w:hint="default"/>
          <w:sz w:val="15"/>
          <w:szCs w:val="15"/>
        </w:rPr>
      </w:pPr>
    </w:p>
    <w:p>
      <w:pPr>
        <w:spacing w:before="35"/>
        <w:ind w:left="709" w:right="139" w:firstLine="0"/>
        <w:jc w:val="left"/>
        <w:rPr>
          <w:rFonts w:ascii="宋体" w:hAnsi="宋体" w:cs="宋体" w:eastAsia="宋体" w:hint="default"/>
          <w:sz w:val="21"/>
          <w:szCs w:val="21"/>
        </w:rPr>
      </w:pPr>
      <w:r>
        <w:rPr>
          <w:rFonts w:ascii="宋体" w:hAnsi="宋体" w:cs="宋体" w:eastAsia="宋体" w:hint="default"/>
          <w:sz w:val="21"/>
          <w:szCs w:val="21"/>
        </w:rPr>
        <w:t>后附财务报表附注为财务报表的组成部分。</w:t>
      </w:r>
    </w:p>
    <w:p>
      <w:pPr>
        <w:spacing w:line="240" w:lineRule="auto" w:before="3"/>
        <w:rPr>
          <w:rFonts w:ascii="宋体" w:hAnsi="宋体" w:cs="宋体" w:eastAsia="宋体" w:hint="default"/>
          <w:sz w:val="18"/>
          <w:szCs w:val="18"/>
        </w:rPr>
      </w:pPr>
    </w:p>
    <w:p>
      <w:pPr>
        <w:tabs>
          <w:tab w:pos="3544" w:val="left" w:leader="none"/>
          <w:tab w:pos="7113" w:val="left" w:leader="none"/>
        </w:tabs>
        <w:spacing w:before="0"/>
        <w:ind w:left="709" w:right="139" w:firstLine="0"/>
        <w:jc w:val="left"/>
        <w:rPr>
          <w:rFonts w:ascii="宋体" w:hAnsi="宋体" w:cs="宋体" w:eastAsia="宋体" w:hint="default"/>
          <w:sz w:val="21"/>
          <w:szCs w:val="21"/>
        </w:rPr>
      </w:pPr>
      <w:r>
        <w:rPr>
          <w:rFonts w:ascii="宋体" w:hAnsi="宋体" w:cs="宋体" w:eastAsia="宋体" w:hint="default"/>
          <w:sz w:val="21"/>
          <w:szCs w:val="21"/>
        </w:rPr>
        <w:t>企业负责人： 张近东</w:t>
        <w:tab/>
        <w:t>主管会计工作的负责人：</w:t>
      </w:r>
      <w:r>
        <w:rPr>
          <w:rFonts w:ascii="宋体" w:hAnsi="宋体" w:cs="宋体" w:eastAsia="宋体" w:hint="default"/>
          <w:spacing w:val="-4"/>
          <w:sz w:val="21"/>
          <w:szCs w:val="21"/>
        </w:rPr>
        <w:t> </w:t>
      </w:r>
      <w:r>
        <w:rPr>
          <w:rFonts w:ascii="宋体" w:hAnsi="宋体" w:cs="宋体" w:eastAsia="宋体" w:hint="default"/>
          <w:sz w:val="21"/>
          <w:szCs w:val="21"/>
        </w:rPr>
        <w:t>朱华</w:t>
        <w:tab/>
        <w:t>会计机构负责人：肖忠祥</w:t>
      </w:r>
    </w:p>
    <w:p>
      <w:pPr>
        <w:spacing w:after="0"/>
        <w:jc w:val="left"/>
        <w:rPr>
          <w:rFonts w:ascii="宋体" w:hAnsi="宋体" w:cs="宋体" w:eastAsia="宋体" w:hint="default"/>
          <w:sz w:val="21"/>
          <w:szCs w:val="21"/>
        </w:rPr>
        <w:sectPr>
          <w:pgSz w:w="11910" w:h="16840"/>
          <w:pgMar w:header="755" w:footer="708" w:top="980" w:bottom="900" w:left="1020" w:right="7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3762"/>
        <w:gridCol w:w="1190"/>
        <w:gridCol w:w="1252"/>
        <w:gridCol w:w="1210"/>
        <w:gridCol w:w="1208"/>
        <w:gridCol w:w="1210"/>
      </w:tblGrid>
      <w:tr>
        <w:trPr>
          <w:trHeight w:val="479"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tabs>
                <w:tab w:pos="899" w:val="left" w:leader="none"/>
              </w:tabs>
              <w:spacing w:line="240" w:lineRule="auto" w:before="86"/>
              <w:ind w:right="1"/>
              <w:jc w:val="center"/>
              <w:rPr>
                <w:rFonts w:ascii="黑体" w:hAnsi="黑体" w:cs="黑体" w:eastAsia="黑体" w:hint="default"/>
                <w:sz w:val="18"/>
                <w:szCs w:val="18"/>
              </w:rPr>
            </w:pPr>
            <w:r>
              <w:rPr>
                <w:rFonts w:ascii="黑体" w:hAnsi="黑体" w:cs="黑体" w:eastAsia="黑体" w:hint="default"/>
                <w:sz w:val="18"/>
                <w:szCs w:val="18"/>
              </w:rPr>
              <w:t>项</w:t>
              <w:tab/>
              <w:t>目</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黑体" w:hAnsi="黑体" w:cs="黑体" w:eastAsia="黑体" w:hint="default"/>
                <w:sz w:val="18"/>
                <w:szCs w:val="18"/>
              </w:rPr>
            </w:pPr>
            <w:r>
              <w:rPr>
                <w:rFonts w:ascii="黑体" w:hAnsi="黑体" w:cs="黑体" w:eastAsia="黑体" w:hint="default"/>
                <w:sz w:val="18"/>
                <w:szCs w:val="18"/>
              </w:rPr>
              <w:t>附注</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6"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年度</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年度</w:t>
            </w:r>
          </w:p>
          <w:p>
            <w:pPr>
              <w:pStyle w:val="TableParagraph"/>
              <w:spacing w:line="228" w:lineRule="exact"/>
              <w:ind w:left="4"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6"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年度</w:t>
            </w:r>
          </w:p>
          <w:p>
            <w:pPr>
              <w:pStyle w:val="TableParagraph"/>
              <w:spacing w:line="228" w:lineRule="exact"/>
              <w:ind w:left="6"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7"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年度</w:t>
            </w:r>
          </w:p>
          <w:p>
            <w:pPr>
              <w:pStyle w:val="TableParagraph"/>
              <w:spacing w:line="228" w:lineRule="exact"/>
              <w:ind w:left="7"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一、经营活动产生的现金流量</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Arial" w:hAnsi="Arial" w:cs="Arial" w:eastAsia="Arial" w:hint="default"/>
                <w:sz w:val="18"/>
                <w:szCs w:val="18"/>
              </w:rPr>
            </w:pPr>
            <w:r>
              <w:rPr>
                <w:rFonts w:ascii="Arial"/>
                <w:spacing w:val="-3"/>
                <w:sz w:val="18"/>
              </w:rPr>
              <w:t>86,811,064</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5" w:right="0"/>
              <w:jc w:val="left"/>
              <w:rPr>
                <w:rFonts w:ascii="Arial" w:hAnsi="Arial" w:cs="Arial" w:eastAsia="Arial" w:hint="default"/>
                <w:sz w:val="18"/>
                <w:szCs w:val="18"/>
              </w:rPr>
            </w:pPr>
            <w:r>
              <w:rPr>
                <w:rFonts w:ascii="Arial"/>
                <w:sz w:val="18"/>
              </w:rPr>
              <w:t>66,475,716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57,065,887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7" w:right="0"/>
              <w:jc w:val="left"/>
              <w:rPr>
                <w:rFonts w:ascii="Arial" w:hAnsi="Arial" w:cs="Arial" w:eastAsia="Arial" w:hint="default"/>
                <w:sz w:val="18"/>
                <w:szCs w:val="18"/>
              </w:rPr>
            </w:pPr>
            <w:r>
              <w:rPr>
                <w:rFonts w:ascii="Arial"/>
                <w:sz w:val="18"/>
              </w:rPr>
              <w:t>43,616,550</w:t>
            </w:r>
          </w:p>
        </w:tc>
      </w:tr>
      <w:tr>
        <w:trPr>
          <w:trHeight w:val="245"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7"/>
              <w:jc w:val="right"/>
              <w:rPr>
                <w:rFonts w:ascii="Arial" w:hAnsi="Arial" w:cs="Arial" w:eastAsia="Arial" w:hint="default"/>
                <w:sz w:val="18"/>
                <w:szCs w:val="18"/>
              </w:rPr>
            </w:pPr>
            <w:r>
              <w:rPr>
                <w:rFonts w:ascii="Arial"/>
                <w:spacing w:val="-1"/>
                <w:sz w:val="18"/>
              </w:rPr>
              <w:t>1,164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w w:val="95"/>
                <w:sz w:val="18"/>
              </w:rPr>
              <w:t>2,152</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8"/>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9"/>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.48</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7" w:right="0"/>
              <w:jc w:val="left"/>
              <w:rPr>
                <w:rFonts w:ascii="Arial" w:hAnsi="Arial" w:cs="Arial" w:eastAsia="Arial" w:hint="default"/>
                <w:sz w:val="18"/>
                <w:szCs w:val="18"/>
              </w:rPr>
            </w:pPr>
            <w:r>
              <w:rPr>
                <w:rFonts w:ascii="Arial"/>
                <w:sz w:val="18"/>
              </w:rPr>
              <w:t>1,859,413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706,951</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483,159</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47" w:right="0"/>
              <w:jc w:val="left"/>
              <w:rPr>
                <w:rFonts w:ascii="Arial" w:hAnsi="Arial" w:cs="Arial" w:eastAsia="Arial" w:hint="default"/>
                <w:sz w:val="18"/>
                <w:szCs w:val="18"/>
              </w:rPr>
            </w:pPr>
            <w:r>
              <w:rPr>
                <w:rFonts w:ascii="Arial"/>
                <w:sz w:val="18"/>
              </w:rPr>
              <w:t>231,503</w:t>
            </w: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7" w:right="0"/>
              <w:jc w:val="left"/>
              <w:rPr>
                <w:rFonts w:ascii="黑体" w:hAnsi="黑体" w:cs="黑体" w:eastAsia="黑体" w:hint="default"/>
                <w:sz w:val="18"/>
                <w:szCs w:val="18"/>
              </w:rPr>
            </w:pPr>
            <w:r>
              <w:rPr>
                <w:rFonts w:ascii="黑体" w:hAnsi="黑体" w:cs="黑体" w:eastAsia="黑体" w:hint="default"/>
                <w:sz w:val="18"/>
                <w:szCs w:val="18"/>
              </w:rPr>
              <w:t>经营活动现金流入小计</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Arial" w:hAnsi="Arial" w:cs="Arial" w:eastAsia="Arial" w:hint="default"/>
                <w:sz w:val="18"/>
                <w:szCs w:val="18"/>
              </w:rPr>
            </w:pPr>
            <w:r>
              <w:rPr>
                <w:rFonts w:ascii="Arial"/>
                <w:sz w:val="18"/>
              </w:rPr>
              <w:t>88,671,641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5" w:right="0"/>
              <w:jc w:val="left"/>
              <w:rPr>
                <w:rFonts w:ascii="Arial" w:hAnsi="Arial" w:cs="Arial" w:eastAsia="Arial" w:hint="default"/>
                <w:sz w:val="18"/>
                <w:szCs w:val="18"/>
              </w:rPr>
            </w:pPr>
            <w:r>
              <w:rPr>
                <w:rFonts w:ascii="Arial"/>
                <w:sz w:val="18"/>
              </w:rPr>
              <w:t>67,184,819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57,549,046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7" w:right="0"/>
              <w:jc w:val="left"/>
              <w:rPr>
                <w:rFonts w:ascii="Arial" w:hAnsi="Arial" w:cs="Arial" w:eastAsia="Arial" w:hint="default"/>
                <w:sz w:val="18"/>
                <w:szCs w:val="18"/>
              </w:rPr>
            </w:pPr>
            <w:r>
              <w:rPr>
                <w:rFonts w:ascii="Arial"/>
                <w:sz w:val="18"/>
              </w:rPr>
              <w:t>43,848,053</w:t>
            </w:r>
          </w:p>
        </w:tc>
      </w:tr>
      <w:tr>
        <w:trPr>
          <w:trHeight w:val="245"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Arial" w:hAnsi="Arial" w:cs="Arial" w:eastAsia="Arial" w:hint="default"/>
                <w:sz w:val="18"/>
                <w:szCs w:val="18"/>
              </w:rPr>
            </w:pPr>
            <w:r>
              <w:rPr>
                <w:rFonts w:ascii="Arial"/>
                <w:sz w:val="18"/>
              </w:rPr>
              <w:t>(72,265,161)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0" w:right="0"/>
              <w:jc w:val="left"/>
              <w:rPr>
                <w:rFonts w:ascii="Arial" w:hAnsi="Arial" w:cs="Arial" w:eastAsia="Arial" w:hint="default"/>
                <w:sz w:val="18"/>
                <w:szCs w:val="18"/>
              </w:rPr>
            </w:pPr>
            <w:r>
              <w:rPr>
                <w:rFonts w:ascii="Arial"/>
                <w:sz w:val="18"/>
              </w:rPr>
              <w:t>(52,855,065)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(53,136,940)</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(36,953,129)</w:t>
            </w:r>
            <w:r>
              <w:rPr>
                <w:rFonts w:ascii="Arial"/>
                <w:sz w:val="18"/>
              </w:rPr>
            </w: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4"/>
              <w:jc w:val="right"/>
              <w:rPr>
                <w:rFonts w:ascii="Arial" w:hAnsi="Arial" w:cs="Arial" w:eastAsia="Arial" w:hint="default"/>
                <w:sz w:val="18"/>
                <w:szCs w:val="18"/>
              </w:rPr>
            </w:pPr>
            <w:r>
              <w:rPr>
                <w:rFonts w:ascii="Arial"/>
                <w:spacing w:val="-4"/>
                <w:sz w:val="18"/>
              </w:rPr>
              <w:t>(2,369,111)</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1" w:right="0"/>
              <w:jc w:val="left"/>
              <w:rPr>
                <w:rFonts w:ascii="Arial" w:hAnsi="Arial" w:cs="Arial" w:eastAsia="Arial" w:hint="default"/>
                <w:sz w:val="18"/>
                <w:szCs w:val="18"/>
              </w:rPr>
            </w:pPr>
            <w:r>
              <w:rPr>
                <w:rFonts w:ascii="Arial"/>
                <w:sz w:val="18"/>
              </w:rPr>
              <w:t>(1,702,300)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(367,446)</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(303,323)</w:t>
            </w:r>
            <w:r>
              <w:rPr>
                <w:rFonts w:ascii="Arial"/>
                <w:sz w:val="18"/>
              </w:rPr>
            </w: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7" w:right="0"/>
              <w:jc w:val="left"/>
              <w:rPr>
                <w:rFonts w:ascii="Arial" w:hAnsi="Arial" w:cs="Arial" w:eastAsia="Arial" w:hint="default"/>
                <w:sz w:val="18"/>
                <w:szCs w:val="18"/>
              </w:rPr>
            </w:pPr>
            <w:r>
              <w:rPr>
                <w:rFonts w:ascii="Arial"/>
                <w:sz w:val="18"/>
              </w:rPr>
              <w:t>(3,256,178)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1" w:right="0"/>
              <w:jc w:val="left"/>
              <w:rPr>
                <w:rFonts w:ascii="Arial" w:hAnsi="Arial" w:cs="Arial" w:eastAsia="Arial" w:hint="default"/>
                <w:sz w:val="18"/>
                <w:szCs w:val="18"/>
              </w:rPr>
            </w:pPr>
            <w:r>
              <w:rPr>
                <w:rFonts w:ascii="Arial"/>
                <w:sz w:val="18"/>
              </w:rPr>
              <w:t>(3,107,429)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(1,402,233)</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(1,167,163)</w:t>
            </w:r>
            <w:r>
              <w:rPr>
                <w:rFonts w:ascii="Arial"/>
                <w:sz w:val="18"/>
              </w:rPr>
            </w:r>
          </w:p>
        </w:tc>
      </w:tr>
      <w:tr>
        <w:trPr>
          <w:trHeight w:val="245"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9"/>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.48</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7" w:right="0"/>
              <w:jc w:val="left"/>
              <w:rPr>
                <w:rFonts w:ascii="Arial" w:hAnsi="Arial" w:cs="Arial" w:eastAsia="Arial" w:hint="default"/>
                <w:sz w:val="18"/>
                <w:szCs w:val="18"/>
              </w:rPr>
            </w:pPr>
            <w:r>
              <w:rPr>
                <w:rFonts w:ascii="Arial"/>
                <w:sz w:val="18"/>
              </w:rPr>
              <w:t>(6,899,855)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1" w:right="0"/>
              <w:jc w:val="left"/>
              <w:rPr>
                <w:rFonts w:ascii="Arial" w:hAnsi="Arial" w:cs="Arial" w:eastAsia="Arial" w:hint="default"/>
                <w:sz w:val="18"/>
                <w:szCs w:val="18"/>
              </w:rPr>
            </w:pPr>
            <w:r>
              <w:rPr>
                <w:rFonts w:ascii="Arial"/>
                <w:sz w:val="18"/>
              </w:rPr>
              <w:t>(3,965,083)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(1,214,071)</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(488,569)</w:t>
            </w:r>
            <w:r>
              <w:rPr>
                <w:rFonts w:ascii="Arial"/>
                <w:sz w:val="18"/>
              </w:rPr>
            </w: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7" w:right="0"/>
              <w:jc w:val="left"/>
              <w:rPr>
                <w:rFonts w:ascii="黑体" w:hAnsi="黑体" w:cs="黑体" w:eastAsia="黑体" w:hint="default"/>
                <w:sz w:val="18"/>
                <w:szCs w:val="18"/>
              </w:rPr>
            </w:pPr>
            <w:r>
              <w:rPr>
                <w:rFonts w:ascii="黑体" w:hAnsi="黑体" w:cs="黑体" w:eastAsia="黑体" w:hint="default"/>
                <w:sz w:val="18"/>
                <w:szCs w:val="18"/>
              </w:rPr>
              <w:t>经营活动现金流出小计</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
              <w:jc w:val="right"/>
              <w:rPr>
                <w:rFonts w:ascii="Arial" w:hAnsi="Arial" w:cs="Arial" w:eastAsia="Arial" w:hint="default"/>
                <w:sz w:val="18"/>
                <w:szCs w:val="18"/>
              </w:rPr>
            </w:pPr>
            <w:r>
              <w:rPr>
                <w:rFonts w:ascii="Arial"/>
                <w:spacing w:val="-1"/>
                <w:sz w:val="18"/>
              </w:rPr>
              <w:t>(84,790,305)</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0" w:right="0"/>
              <w:jc w:val="left"/>
              <w:rPr>
                <w:rFonts w:ascii="Arial" w:hAnsi="Arial" w:cs="Arial" w:eastAsia="Arial" w:hint="default"/>
                <w:sz w:val="18"/>
                <w:szCs w:val="18"/>
              </w:rPr>
            </w:pPr>
            <w:r>
              <w:rPr>
                <w:rFonts w:ascii="Arial"/>
                <w:sz w:val="18"/>
              </w:rPr>
              <w:t>(61,629,877)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(56,120,690)</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(38,912,184)</w:t>
            </w:r>
            <w:r>
              <w:rPr>
                <w:rFonts w:ascii="Arial"/>
                <w:sz w:val="18"/>
              </w:rPr>
            </w: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3" w:right="0"/>
              <w:jc w:val="left"/>
              <w:rPr>
                <w:rFonts w:ascii="黑体" w:hAnsi="黑体" w:cs="黑体" w:eastAsia="黑体" w:hint="default"/>
                <w:sz w:val="18"/>
                <w:szCs w:val="18"/>
              </w:rPr>
            </w:pPr>
            <w:r>
              <w:rPr>
                <w:rFonts w:ascii="黑体" w:hAnsi="黑体" w:cs="黑体" w:eastAsia="黑体" w:hint="default"/>
                <w:sz w:val="18"/>
                <w:szCs w:val="18"/>
              </w:rPr>
              <w:t>经营活动产生的现金流量净额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9"/>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.49</w:t>
            </w:r>
            <w:r>
              <w:rPr>
                <w:rFonts w:ascii="宋体" w:hAnsi="宋体" w:cs="宋体" w:eastAsia="宋体" w:hint="default"/>
                <w:sz w:val="18"/>
                <w:szCs w:val="18"/>
              </w:rPr>
              <w:t>、十三</w:t>
            </w:r>
            <w:r>
              <w:rPr>
                <w:rFonts w:ascii="Arial" w:hAnsi="Arial" w:cs="Arial" w:eastAsia="Arial" w:hint="default"/>
                <w:sz w:val="18"/>
                <w:szCs w:val="18"/>
              </w:rPr>
              <w:t>.6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9" w:right="0"/>
              <w:jc w:val="left"/>
              <w:rPr>
                <w:rFonts w:ascii="Arial" w:hAnsi="Arial" w:cs="Arial" w:eastAsia="Arial" w:hint="default"/>
                <w:sz w:val="18"/>
                <w:szCs w:val="18"/>
              </w:rPr>
            </w:pPr>
            <w:r>
              <w:rPr>
                <w:rFonts w:ascii="Arial"/>
                <w:sz w:val="18"/>
              </w:rPr>
              <w:t>3,881,336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6" w:right="0"/>
              <w:jc w:val="left"/>
              <w:rPr>
                <w:rFonts w:ascii="Arial" w:hAnsi="Arial" w:cs="Arial" w:eastAsia="Arial" w:hint="default"/>
                <w:sz w:val="18"/>
                <w:szCs w:val="18"/>
              </w:rPr>
            </w:pPr>
            <w:r>
              <w:rPr>
                <w:rFonts w:ascii="Arial"/>
                <w:sz w:val="18"/>
              </w:rPr>
              <w:t>5,554,942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1,428,356</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7" w:right="0"/>
              <w:jc w:val="left"/>
              <w:rPr>
                <w:rFonts w:ascii="Arial" w:hAnsi="Arial" w:cs="Arial" w:eastAsia="Arial" w:hint="default"/>
                <w:sz w:val="18"/>
                <w:szCs w:val="18"/>
              </w:rPr>
            </w:pPr>
            <w:r>
              <w:rPr>
                <w:rFonts w:ascii="Arial"/>
                <w:sz w:val="18"/>
              </w:rPr>
              <w:t>4,935,869</w:t>
            </w:r>
          </w:p>
        </w:tc>
      </w:tr>
      <w:tr>
        <w:trPr>
          <w:trHeight w:val="217" w:hRule="exact"/>
        </w:trPr>
        <w:tc>
          <w:tcPr>
            <w:tcW w:w="376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二、投资活动产生的现金流量</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w w:val="99"/>
                <w:sz w:val="18"/>
              </w:rPr>
              <w:t>-</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36,768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处置固定资产收回的现金净额</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7"/>
              <w:jc w:val="right"/>
              <w:rPr>
                <w:rFonts w:ascii="Arial" w:hAnsi="Arial" w:cs="Arial" w:eastAsia="Arial" w:hint="default"/>
                <w:sz w:val="18"/>
                <w:szCs w:val="18"/>
              </w:rPr>
            </w:pPr>
            <w:r>
              <w:rPr>
                <w:rFonts w:ascii="Arial"/>
                <w:spacing w:val="-1"/>
                <w:w w:val="95"/>
                <w:sz w:val="18"/>
              </w:rPr>
              <w:t>2,695</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w w:val="95"/>
                <w:sz w:val="18"/>
              </w:rPr>
              <w:t>2,772</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6"/>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w w:val="95"/>
                <w:sz w:val="18"/>
              </w:rPr>
              <w:t>947</w:t>
            </w:r>
            <w:r>
              <w:rPr>
                <w:rFonts w:ascii="Arial"/>
                <w:sz w:val="18"/>
              </w:rPr>
            </w: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7" w:right="0"/>
              <w:jc w:val="left"/>
              <w:rPr>
                <w:rFonts w:ascii="黑体" w:hAnsi="黑体" w:cs="黑体" w:eastAsia="黑体" w:hint="default"/>
                <w:sz w:val="18"/>
                <w:szCs w:val="18"/>
              </w:rPr>
            </w:pPr>
            <w:r>
              <w:rPr>
                <w:rFonts w:ascii="黑体" w:hAnsi="黑体" w:cs="黑体" w:eastAsia="黑体" w:hint="default"/>
                <w:sz w:val="18"/>
                <w:szCs w:val="18"/>
              </w:rPr>
              <w:t>投资活动现金流入小计</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
              <w:jc w:val="right"/>
              <w:rPr>
                <w:rFonts w:ascii="Arial" w:hAnsi="Arial" w:cs="Arial" w:eastAsia="Arial" w:hint="default"/>
                <w:sz w:val="18"/>
                <w:szCs w:val="18"/>
              </w:rPr>
            </w:pPr>
            <w:r>
              <w:rPr>
                <w:rFonts w:ascii="Arial"/>
                <w:spacing w:val="-1"/>
                <w:w w:val="95"/>
                <w:sz w:val="18"/>
              </w:rPr>
              <w:t>2,695</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w w:val="95"/>
                <w:sz w:val="18"/>
              </w:rPr>
              <w:t>2,772</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36,768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w w:val="95"/>
                <w:sz w:val="18"/>
              </w:rPr>
              <w:t>947</w:t>
            </w:r>
            <w:r>
              <w:rPr>
                <w:rFonts w:ascii="Arial"/>
                <w:sz w:val="18"/>
              </w:rPr>
            </w:r>
          </w:p>
        </w:tc>
      </w:tr>
      <w:tr>
        <w:trPr>
          <w:trHeight w:val="479"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5"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w:t>
            </w:r>
          </w:p>
          <w:p>
            <w:pPr>
              <w:pStyle w:val="TableParagraph"/>
              <w:spacing w:line="235" w:lineRule="exact"/>
              <w:ind w:left="565" w:right="0"/>
              <w:jc w:val="left"/>
              <w:rPr>
                <w:rFonts w:ascii="宋体" w:hAnsi="宋体" w:cs="宋体" w:eastAsia="宋体" w:hint="default"/>
                <w:sz w:val="18"/>
                <w:szCs w:val="18"/>
              </w:rPr>
            </w:pPr>
            <w:r>
              <w:rPr>
                <w:rFonts w:ascii="宋体" w:hAnsi="宋体" w:cs="宋体" w:eastAsia="宋体" w:hint="default"/>
                <w:sz w:val="18"/>
                <w:szCs w:val="18"/>
              </w:rPr>
              <w:t>产支付的现金</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07" w:right="0"/>
              <w:jc w:val="left"/>
              <w:rPr>
                <w:rFonts w:ascii="Arial" w:hAnsi="Arial" w:cs="Arial" w:eastAsia="Arial" w:hint="default"/>
                <w:sz w:val="18"/>
                <w:szCs w:val="18"/>
              </w:rPr>
            </w:pPr>
            <w:r>
              <w:rPr>
                <w:rFonts w:ascii="Arial"/>
                <w:sz w:val="18"/>
              </w:rPr>
              <w:t>(4,679,732)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6" w:right="0"/>
              <w:jc w:val="left"/>
              <w:rPr>
                <w:rFonts w:ascii="Arial" w:hAnsi="Arial" w:cs="Arial" w:eastAsia="Arial" w:hint="default"/>
                <w:sz w:val="18"/>
                <w:szCs w:val="18"/>
              </w:rPr>
            </w:pPr>
            <w:r>
              <w:rPr>
                <w:rFonts w:ascii="Arial"/>
                <w:sz w:val="18"/>
              </w:rPr>
              <w:t>(1,195,375)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6"/>
              <w:jc w:val="right"/>
              <w:rPr>
                <w:rFonts w:ascii="Arial" w:hAnsi="Arial" w:cs="Arial" w:eastAsia="Arial" w:hint="default"/>
                <w:sz w:val="18"/>
                <w:szCs w:val="18"/>
              </w:rPr>
            </w:pPr>
            <w:r>
              <w:rPr>
                <w:rFonts w:ascii="Arial"/>
                <w:spacing w:val="-1"/>
                <w:sz w:val="18"/>
              </w:rPr>
              <w:t>(1,094,606)</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46"/>
              <w:jc w:val="right"/>
              <w:rPr>
                <w:rFonts w:ascii="Arial" w:hAnsi="Arial" w:cs="Arial" w:eastAsia="Arial" w:hint="default"/>
                <w:sz w:val="18"/>
                <w:szCs w:val="18"/>
              </w:rPr>
            </w:pPr>
            <w:r>
              <w:rPr>
                <w:rFonts w:ascii="Arial"/>
                <w:spacing w:val="-1"/>
                <w:sz w:val="18"/>
              </w:rPr>
              <w:t>(605,179)</w:t>
            </w:r>
            <w:r>
              <w:rPr>
                <w:rFonts w:ascii="Arial"/>
                <w:sz w:val="18"/>
              </w:rPr>
            </w: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处置固定资产支付的现金净额</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3"/>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w w:val="99"/>
                <w:sz w:val="18"/>
              </w:rPr>
              <w:t>-</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w w:val="95"/>
                <w:sz w:val="18"/>
              </w:rPr>
              <w:t>(532)</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6"/>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Arial" w:hAnsi="Arial" w:cs="Arial" w:eastAsia="Arial" w:hint="default"/>
                <w:sz w:val="18"/>
                <w:szCs w:val="18"/>
              </w:rPr>
            </w:pPr>
            <w:r>
              <w:rPr>
                <w:rFonts w:ascii="Arial"/>
                <w:spacing w:val="-1"/>
                <w:sz w:val="18"/>
              </w:rPr>
              <w:t>(983,835)</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2"/>
              <w:jc w:val="right"/>
              <w:rPr>
                <w:rFonts w:ascii="Arial" w:hAnsi="Arial" w:cs="Arial" w:eastAsia="Arial" w:hint="default"/>
                <w:sz w:val="18"/>
                <w:szCs w:val="18"/>
              </w:rPr>
            </w:pPr>
            <w:r>
              <w:rPr>
                <w:rFonts w:ascii="Arial"/>
                <w:spacing w:val="-1"/>
                <w:sz w:val="18"/>
              </w:rPr>
              <w:t>(704,475)</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(2,482,423)</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(2,005,814)</w:t>
            </w:r>
            <w:r>
              <w:rPr>
                <w:rFonts w:ascii="Arial"/>
                <w:sz w:val="18"/>
              </w:rPr>
            </w:r>
          </w:p>
        </w:tc>
      </w:tr>
      <w:tr>
        <w:trPr>
          <w:trHeight w:val="245"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7" w:right="0"/>
              <w:jc w:val="left"/>
              <w:rPr>
                <w:rFonts w:ascii="黑体" w:hAnsi="黑体" w:cs="黑体" w:eastAsia="黑体" w:hint="default"/>
                <w:sz w:val="18"/>
                <w:szCs w:val="18"/>
              </w:rPr>
            </w:pPr>
            <w:r>
              <w:rPr>
                <w:rFonts w:ascii="黑体" w:hAnsi="黑体" w:cs="黑体" w:eastAsia="黑体" w:hint="default"/>
                <w:sz w:val="18"/>
                <w:szCs w:val="18"/>
              </w:rPr>
              <w:t>投资活动现金流出小计</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(5,663,567)</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6" w:right="0"/>
              <w:jc w:val="left"/>
              <w:rPr>
                <w:rFonts w:ascii="Arial" w:hAnsi="Arial" w:cs="Arial" w:eastAsia="Arial" w:hint="default"/>
                <w:sz w:val="18"/>
                <w:szCs w:val="18"/>
              </w:rPr>
            </w:pPr>
            <w:r>
              <w:rPr>
                <w:rFonts w:ascii="Arial"/>
                <w:sz w:val="18"/>
              </w:rPr>
              <w:t>(1,899,850)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(3,577,561)</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(2,610,993)</w:t>
            </w:r>
            <w:r>
              <w:rPr>
                <w:rFonts w:ascii="Arial"/>
                <w:sz w:val="18"/>
              </w:rPr>
            </w: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3" w:right="0"/>
              <w:jc w:val="left"/>
              <w:rPr>
                <w:rFonts w:ascii="黑体" w:hAnsi="黑体" w:cs="黑体" w:eastAsia="黑体" w:hint="default"/>
                <w:sz w:val="18"/>
                <w:szCs w:val="18"/>
              </w:rPr>
            </w:pPr>
            <w:r>
              <w:rPr>
                <w:rFonts w:ascii="黑体" w:hAnsi="黑体" w:cs="黑体" w:eastAsia="黑体" w:hint="default"/>
                <w:sz w:val="18"/>
                <w:szCs w:val="18"/>
              </w:rPr>
              <w:t>投资活动产生的现金流量净额</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(5,660,872)</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6" w:right="0"/>
              <w:jc w:val="left"/>
              <w:rPr>
                <w:rFonts w:ascii="Arial" w:hAnsi="Arial" w:cs="Arial" w:eastAsia="Arial" w:hint="default"/>
                <w:sz w:val="18"/>
                <w:szCs w:val="18"/>
              </w:rPr>
            </w:pPr>
            <w:r>
              <w:rPr>
                <w:rFonts w:ascii="Arial"/>
                <w:sz w:val="18"/>
              </w:rPr>
              <w:t>(1,897,078)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(3,540,793)</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(2,610,046)</w:t>
            </w:r>
            <w:r>
              <w:rPr>
                <w:rFonts w:ascii="Arial"/>
                <w:sz w:val="18"/>
              </w:rPr>
            </w:r>
          </w:p>
        </w:tc>
      </w:tr>
      <w:tr>
        <w:trPr>
          <w:trHeight w:val="217" w:hRule="exact"/>
        </w:trPr>
        <w:tc>
          <w:tcPr>
            <w:tcW w:w="376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三、筹资活动产生的现金流量</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41,226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6" w:right="0"/>
              <w:jc w:val="left"/>
              <w:rPr>
                <w:rFonts w:ascii="Arial" w:hAnsi="Arial" w:cs="Arial" w:eastAsia="Arial" w:hint="default"/>
                <w:sz w:val="18"/>
                <w:szCs w:val="18"/>
              </w:rPr>
            </w:pPr>
            <w:r>
              <w:rPr>
                <w:rFonts w:ascii="Arial"/>
                <w:sz w:val="18"/>
              </w:rPr>
              <w:t>3,020,951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7" w:right="0"/>
              <w:jc w:val="left"/>
              <w:rPr>
                <w:rFonts w:ascii="Arial" w:hAnsi="Arial" w:cs="Arial" w:eastAsia="Arial" w:hint="default"/>
                <w:sz w:val="18"/>
                <w:szCs w:val="18"/>
              </w:rPr>
            </w:pPr>
            <w:r>
              <w:rPr>
                <w:rFonts w:ascii="Arial"/>
                <w:sz w:val="18"/>
              </w:rPr>
              <w:t>3,000,000</w:t>
            </w:r>
          </w:p>
        </w:tc>
      </w:tr>
      <w:tr>
        <w:trPr>
          <w:trHeight w:val="478"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w:t>
            </w:r>
          </w:p>
          <w:p>
            <w:pPr>
              <w:pStyle w:val="TableParagraph"/>
              <w:spacing w:line="235" w:lineRule="exact"/>
              <w:ind w:left="59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41,226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20,951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19"/>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5"/>
              <w:jc w:val="right"/>
              <w:rPr>
                <w:rFonts w:ascii="Arial" w:hAnsi="Arial" w:cs="Arial" w:eastAsia="Arial" w:hint="default"/>
                <w:sz w:val="18"/>
                <w:szCs w:val="18"/>
              </w:rPr>
            </w:pPr>
            <w:r>
              <w:rPr>
                <w:rFonts w:ascii="Arial"/>
                <w:spacing w:val="-1"/>
                <w:sz w:val="18"/>
              </w:rPr>
              <w:t>412,883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w w:val="99"/>
                <w:sz w:val="18"/>
              </w:rPr>
              <w:t>-</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7" w:right="0"/>
              <w:jc w:val="left"/>
              <w:rPr>
                <w:rFonts w:ascii="黑体" w:hAnsi="黑体" w:cs="黑体" w:eastAsia="黑体" w:hint="default"/>
                <w:sz w:val="18"/>
                <w:szCs w:val="18"/>
              </w:rPr>
            </w:pPr>
            <w:r>
              <w:rPr>
                <w:rFonts w:ascii="黑体" w:hAnsi="黑体" w:cs="黑体" w:eastAsia="黑体" w:hint="default"/>
                <w:sz w:val="18"/>
                <w:szCs w:val="18"/>
              </w:rPr>
              <w:t>筹资活动现金流入小计</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89" w:right="0"/>
              <w:jc w:val="left"/>
              <w:rPr>
                <w:rFonts w:ascii="Arial" w:hAnsi="Arial" w:cs="Arial" w:eastAsia="Arial" w:hint="default"/>
                <w:sz w:val="18"/>
                <w:szCs w:val="18"/>
              </w:rPr>
            </w:pPr>
            <w:r>
              <w:rPr>
                <w:rFonts w:ascii="Arial"/>
                <w:sz w:val="18"/>
              </w:rPr>
              <w:t>454,109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6" w:right="0"/>
              <w:jc w:val="left"/>
              <w:rPr>
                <w:rFonts w:ascii="Arial" w:hAnsi="Arial" w:cs="Arial" w:eastAsia="Arial" w:hint="default"/>
                <w:sz w:val="18"/>
                <w:szCs w:val="18"/>
              </w:rPr>
            </w:pPr>
            <w:r>
              <w:rPr>
                <w:rFonts w:ascii="Arial"/>
                <w:sz w:val="18"/>
              </w:rPr>
              <w:t>3,020,951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7" w:right="0"/>
              <w:jc w:val="left"/>
              <w:rPr>
                <w:rFonts w:ascii="Arial" w:hAnsi="Arial" w:cs="Arial" w:eastAsia="Arial" w:hint="default"/>
                <w:sz w:val="18"/>
                <w:szCs w:val="18"/>
              </w:rPr>
            </w:pPr>
            <w:r>
              <w:rPr>
                <w:rFonts w:ascii="Arial"/>
                <w:sz w:val="18"/>
              </w:rPr>
              <w:t>3,000,000</w:t>
            </w: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(95,094)</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2"/>
              <w:jc w:val="right"/>
              <w:rPr>
                <w:rFonts w:ascii="Arial" w:hAnsi="Arial" w:cs="Arial" w:eastAsia="Arial" w:hint="default"/>
                <w:sz w:val="18"/>
                <w:szCs w:val="18"/>
              </w:rPr>
            </w:pPr>
            <w:r>
              <w:rPr>
                <w:rFonts w:ascii="Arial"/>
                <w:spacing w:val="-1"/>
                <w:sz w:val="18"/>
              </w:rPr>
              <w:t>(156,000)</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(40,000)</w:t>
            </w:r>
            <w:r>
              <w:rPr>
                <w:rFonts w:ascii="Arial"/>
                <w:sz w:val="18"/>
              </w:rPr>
            </w: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righ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(235,565)</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
              <w:jc w:val="right"/>
              <w:rPr>
                <w:rFonts w:ascii="Arial" w:hAnsi="Arial" w:cs="Arial" w:eastAsia="Arial" w:hint="default"/>
                <w:sz w:val="18"/>
                <w:szCs w:val="18"/>
              </w:rPr>
            </w:pPr>
            <w:r>
              <w:rPr>
                <w:rFonts w:ascii="Arial"/>
                <w:spacing w:val="-1"/>
                <w:sz w:val="18"/>
              </w:rPr>
              <w:t>(91,296)</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(233,207)</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(90,466)</w:t>
            </w:r>
            <w:r>
              <w:rPr>
                <w:rFonts w:ascii="Arial"/>
                <w:sz w:val="18"/>
              </w:rPr>
            </w:r>
          </w:p>
        </w:tc>
      </w:tr>
      <w:tr>
        <w:trPr>
          <w:trHeight w:val="245"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7" w:right="0"/>
              <w:jc w:val="left"/>
              <w:rPr>
                <w:rFonts w:ascii="黑体" w:hAnsi="黑体" w:cs="黑体" w:eastAsia="黑体" w:hint="default"/>
                <w:sz w:val="18"/>
                <w:szCs w:val="18"/>
              </w:rPr>
            </w:pPr>
            <w:r>
              <w:rPr>
                <w:rFonts w:ascii="黑体" w:hAnsi="黑体" w:cs="黑体" w:eastAsia="黑体" w:hint="default"/>
                <w:sz w:val="18"/>
                <w:szCs w:val="18"/>
              </w:rPr>
              <w:t>筹资活动现金流出小计</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(330,659)</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2"/>
              <w:jc w:val="right"/>
              <w:rPr>
                <w:rFonts w:ascii="Arial" w:hAnsi="Arial" w:cs="Arial" w:eastAsia="Arial" w:hint="default"/>
                <w:sz w:val="18"/>
                <w:szCs w:val="18"/>
              </w:rPr>
            </w:pPr>
            <w:r>
              <w:rPr>
                <w:rFonts w:ascii="Arial"/>
                <w:spacing w:val="-1"/>
                <w:sz w:val="18"/>
              </w:rPr>
              <w:t>(247,296)</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(233,207)</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(130,466)</w:t>
            </w:r>
            <w:r>
              <w:rPr>
                <w:rFonts w:ascii="Arial"/>
                <w:sz w:val="18"/>
              </w:rPr>
            </w: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6"/>
              <w:jc w:val="right"/>
              <w:rPr>
                <w:rFonts w:ascii="黑体" w:hAnsi="黑体" w:cs="黑体" w:eastAsia="黑体" w:hint="default"/>
                <w:sz w:val="18"/>
                <w:szCs w:val="18"/>
              </w:rPr>
            </w:pPr>
            <w:r>
              <w:rPr>
                <w:rFonts w:ascii="黑体" w:hAnsi="黑体" w:cs="黑体" w:eastAsia="黑体" w:hint="default"/>
                <w:sz w:val="18"/>
                <w:szCs w:val="18"/>
              </w:rPr>
              <w:t>筹资活动产生的现金流量净额</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89" w:right="0"/>
              <w:jc w:val="left"/>
              <w:rPr>
                <w:rFonts w:ascii="Arial" w:hAnsi="Arial" w:cs="Arial" w:eastAsia="Arial" w:hint="default"/>
                <w:sz w:val="18"/>
                <w:szCs w:val="18"/>
              </w:rPr>
            </w:pPr>
            <w:r>
              <w:rPr>
                <w:rFonts w:ascii="Arial"/>
                <w:sz w:val="18"/>
              </w:rPr>
              <w:t>123,450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5"/>
              <w:jc w:val="right"/>
              <w:rPr>
                <w:rFonts w:ascii="Arial" w:hAnsi="Arial" w:cs="Arial" w:eastAsia="Arial" w:hint="default"/>
                <w:sz w:val="18"/>
                <w:szCs w:val="18"/>
              </w:rPr>
            </w:pPr>
            <w:r>
              <w:rPr>
                <w:rFonts w:ascii="Arial"/>
                <w:spacing w:val="-1"/>
                <w:sz w:val="18"/>
              </w:rPr>
              <w:t>2,773,655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(233,207)</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7" w:right="0"/>
              <w:jc w:val="left"/>
              <w:rPr>
                <w:rFonts w:ascii="Arial" w:hAnsi="Arial" w:cs="Arial" w:eastAsia="Arial" w:hint="default"/>
                <w:sz w:val="18"/>
                <w:szCs w:val="18"/>
              </w:rPr>
            </w:pPr>
            <w:r>
              <w:rPr>
                <w:rFonts w:ascii="Arial"/>
                <w:sz w:val="18"/>
              </w:rPr>
              <w:t>2,869,534</w:t>
            </w:r>
          </w:p>
        </w:tc>
      </w:tr>
      <w:tr>
        <w:trPr>
          <w:trHeight w:val="217" w:hRule="exact"/>
        </w:trPr>
        <w:tc>
          <w:tcPr>
            <w:tcW w:w="376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四、汇率变动对现金及现金等价物的影响</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w w:val="95"/>
                <w:sz w:val="18"/>
              </w:rPr>
              <w:t>7,523</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2"/>
              <w:jc w:val="right"/>
              <w:rPr>
                <w:rFonts w:ascii="Arial" w:hAnsi="Arial" w:cs="Arial" w:eastAsia="Arial" w:hint="default"/>
                <w:sz w:val="18"/>
                <w:szCs w:val="18"/>
              </w:rPr>
            </w:pPr>
            <w:r>
              <w:rPr>
                <w:rFonts w:ascii="Arial"/>
                <w:spacing w:val="-1"/>
                <w:w w:val="95"/>
                <w:sz w:val="18"/>
              </w:rPr>
              <w:t>(229)</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9"/>
              <w:jc w:val="right"/>
              <w:rPr>
                <w:rFonts w:ascii="Arial" w:hAnsi="Arial" w:cs="Arial" w:eastAsia="Arial" w:hint="default"/>
                <w:sz w:val="18"/>
                <w:szCs w:val="18"/>
              </w:rPr>
            </w:pPr>
            <w:r>
              <w:rPr>
                <w:rFonts w:ascii="Arial"/>
                <w:w w:val="99"/>
                <w:sz w:val="18"/>
              </w:rPr>
              <w:t>-</w:t>
            </w:r>
            <w:r>
              <w:rPr>
                <w:rFonts w:ascii="Arial"/>
                <w:sz w:val="18"/>
              </w:rPr>
            </w:r>
          </w:p>
        </w:tc>
      </w:tr>
      <w:tr>
        <w:trPr>
          <w:trHeight w:val="217" w:hRule="exact"/>
        </w:trPr>
        <w:tc>
          <w:tcPr>
            <w:tcW w:w="376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黑体" w:hAnsi="黑体" w:cs="黑体" w:eastAsia="黑体" w:hint="default"/>
                <w:sz w:val="18"/>
                <w:szCs w:val="18"/>
              </w:rPr>
              <w:t>五、现金及现金等价物净</w:t>
            </w:r>
            <w:r>
              <w:rPr>
                <w:rFonts w:ascii="Arial" w:hAnsi="Arial" w:cs="Arial" w:eastAsia="Arial" w:hint="default"/>
                <w:sz w:val="18"/>
                <w:szCs w:val="18"/>
              </w:rPr>
              <w:t>(</w:t>
            </w:r>
            <w:r>
              <w:rPr>
                <w:rFonts w:ascii="黑体" w:hAnsi="黑体" w:cs="黑体" w:eastAsia="黑体" w:hint="default"/>
                <w:sz w:val="18"/>
                <w:szCs w:val="18"/>
              </w:rPr>
              <w:t>减少</w:t>
            </w:r>
            <w:r>
              <w:rPr>
                <w:rFonts w:ascii="Arial" w:hAnsi="Arial" w:cs="Arial" w:eastAsia="Arial" w:hint="default"/>
                <w:sz w:val="18"/>
                <w:szCs w:val="18"/>
              </w:rPr>
              <w:t>)/</w:t>
            </w:r>
            <w:r>
              <w:rPr>
                <w:rFonts w:ascii="黑体" w:hAnsi="黑体" w:cs="黑体" w:eastAsia="黑体" w:hint="default"/>
                <w:sz w:val="18"/>
                <w:szCs w:val="18"/>
              </w:rPr>
              <w:t>增加额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9"/>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.49</w:t>
            </w:r>
            <w:r>
              <w:rPr>
                <w:rFonts w:ascii="宋体" w:hAnsi="宋体" w:cs="宋体" w:eastAsia="宋体" w:hint="default"/>
                <w:sz w:val="18"/>
                <w:szCs w:val="18"/>
              </w:rPr>
              <w:t>、十三</w:t>
            </w:r>
            <w:r>
              <w:rPr>
                <w:rFonts w:ascii="Arial" w:hAnsi="Arial" w:cs="Arial" w:eastAsia="Arial" w:hint="default"/>
                <w:sz w:val="18"/>
                <w:szCs w:val="18"/>
              </w:rPr>
              <w:t>.6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(1,648,563)</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6" w:right="0"/>
              <w:jc w:val="left"/>
              <w:rPr>
                <w:rFonts w:ascii="Arial" w:hAnsi="Arial" w:cs="Arial" w:eastAsia="Arial" w:hint="default"/>
                <w:sz w:val="18"/>
                <w:szCs w:val="18"/>
              </w:rPr>
            </w:pPr>
            <w:r>
              <w:rPr>
                <w:rFonts w:ascii="Arial"/>
                <w:sz w:val="18"/>
              </w:rPr>
              <w:t>6,431,290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(2,345,644)</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7" w:right="0"/>
              <w:jc w:val="left"/>
              <w:rPr>
                <w:rFonts w:ascii="Arial" w:hAnsi="Arial" w:cs="Arial" w:eastAsia="Arial" w:hint="default"/>
                <w:sz w:val="18"/>
                <w:szCs w:val="18"/>
              </w:rPr>
            </w:pPr>
            <w:r>
              <w:rPr>
                <w:rFonts w:ascii="Arial"/>
                <w:sz w:val="18"/>
              </w:rPr>
              <w:t>5,195,357</w:t>
            </w:r>
          </w:p>
        </w:tc>
      </w:tr>
      <w:tr>
        <w:trPr>
          <w:trHeight w:val="245"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5"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8" w:right="0"/>
              <w:jc w:val="left"/>
              <w:rPr>
                <w:rFonts w:ascii="Arial" w:hAnsi="Arial" w:cs="Arial" w:eastAsia="Arial" w:hint="default"/>
                <w:sz w:val="18"/>
                <w:szCs w:val="18"/>
              </w:rPr>
            </w:pPr>
            <w:r>
              <w:rPr>
                <w:rFonts w:ascii="Arial"/>
                <w:sz w:val="18"/>
              </w:rPr>
              <w:t>13,325,028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5" w:right="0"/>
              <w:jc w:val="left"/>
              <w:rPr>
                <w:rFonts w:ascii="Arial" w:hAnsi="Arial" w:cs="Arial" w:eastAsia="Arial" w:hint="default"/>
                <w:sz w:val="18"/>
                <w:szCs w:val="18"/>
              </w:rPr>
            </w:pPr>
            <w:r>
              <w:rPr>
                <w:rFonts w:ascii="Arial"/>
                <w:sz w:val="18"/>
              </w:rPr>
              <w:t>6,893,738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10,527,343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7" w:right="0"/>
              <w:jc w:val="left"/>
              <w:rPr>
                <w:rFonts w:ascii="Arial" w:hAnsi="Arial" w:cs="Arial" w:eastAsia="Arial" w:hint="default"/>
                <w:sz w:val="18"/>
                <w:szCs w:val="18"/>
              </w:rPr>
            </w:pPr>
            <w:r>
              <w:rPr>
                <w:rFonts w:ascii="Arial"/>
                <w:sz w:val="18"/>
              </w:rPr>
              <w:t>5,331,986</w:t>
            </w:r>
          </w:p>
        </w:tc>
      </w:tr>
      <w:tr>
        <w:trPr>
          <w:trHeight w:val="216" w:hRule="exact"/>
        </w:trPr>
        <w:tc>
          <w:tcPr>
            <w:tcW w:w="376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六、年末现金及现金等价物余额</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3" w:right="0"/>
              <w:jc w:val="left"/>
              <w:rPr>
                <w:rFonts w:ascii="Arial" w:hAnsi="Arial" w:cs="Arial" w:eastAsia="Arial" w:hint="default"/>
                <w:sz w:val="18"/>
                <w:szCs w:val="18"/>
              </w:rPr>
            </w:pPr>
            <w:r>
              <w:rPr>
                <w:rFonts w:ascii="Arial"/>
                <w:spacing w:val="-3"/>
                <w:sz w:val="18"/>
              </w:rPr>
              <w:t>11,676,465</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Arial" w:hAnsi="Arial" w:cs="Arial" w:eastAsia="Arial" w:hint="default"/>
                <w:sz w:val="18"/>
                <w:szCs w:val="18"/>
              </w:rPr>
            </w:pPr>
            <w:r>
              <w:rPr>
                <w:rFonts w:ascii="Arial"/>
                <w:sz w:val="18"/>
              </w:rPr>
              <w:t>13,325,028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8,181,699</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6" w:right="0"/>
              <w:jc w:val="left"/>
              <w:rPr>
                <w:rFonts w:ascii="Arial" w:hAnsi="Arial" w:cs="Arial" w:eastAsia="Arial" w:hint="default"/>
                <w:sz w:val="18"/>
                <w:szCs w:val="18"/>
              </w:rPr>
            </w:pPr>
            <w:r>
              <w:rPr>
                <w:rFonts w:ascii="Arial"/>
                <w:sz w:val="18"/>
              </w:rPr>
              <w:t>10,527,343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669" w:right="0" w:firstLine="0"/>
        <w:jc w:val="left"/>
        <w:rPr>
          <w:rFonts w:ascii="宋体" w:hAnsi="宋体" w:cs="宋体" w:eastAsia="宋体" w:hint="default"/>
          <w:sz w:val="21"/>
          <w:szCs w:val="21"/>
        </w:rPr>
      </w:pPr>
      <w:r>
        <w:rPr>
          <w:rFonts w:ascii="宋体" w:hAnsi="宋体" w:cs="宋体" w:eastAsia="宋体" w:hint="default"/>
          <w:sz w:val="21"/>
          <w:szCs w:val="21"/>
        </w:rPr>
        <w:t>后附财务报表附注为财务报表的组成部分。</w:t>
      </w:r>
    </w:p>
    <w:p>
      <w:pPr>
        <w:spacing w:line="240" w:lineRule="auto" w:before="4"/>
        <w:rPr>
          <w:rFonts w:ascii="宋体" w:hAnsi="宋体" w:cs="宋体" w:eastAsia="宋体" w:hint="default"/>
          <w:sz w:val="18"/>
          <w:szCs w:val="18"/>
        </w:rPr>
      </w:pPr>
    </w:p>
    <w:p>
      <w:pPr>
        <w:tabs>
          <w:tab w:pos="3504" w:val="left" w:leader="none"/>
          <w:tab w:pos="7073" w:val="left" w:leader="none"/>
        </w:tabs>
        <w:spacing w:before="0"/>
        <w:ind w:left="669" w:right="0" w:firstLine="0"/>
        <w:jc w:val="left"/>
        <w:rPr>
          <w:rFonts w:ascii="宋体" w:hAnsi="宋体" w:cs="宋体" w:eastAsia="宋体" w:hint="default"/>
          <w:sz w:val="21"/>
          <w:szCs w:val="21"/>
        </w:rPr>
      </w:pPr>
      <w:r>
        <w:rPr>
          <w:rFonts w:ascii="宋体" w:hAnsi="宋体" w:cs="宋体" w:eastAsia="宋体" w:hint="default"/>
          <w:sz w:val="21"/>
          <w:szCs w:val="21"/>
        </w:rPr>
        <w:t>企业负责人： 张近东</w:t>
        <w:tab/>
        <w:t>主管会计工作的负责人：</w:t>
      </w:r>
      <w:r>
        <w:rPr>
          <w:rFonts w:ascii="宋体" w:hAnsi="宋体" w:cs="宋体" w:eastAsia="宋体" w:hint="default"/>
          <w:spacing w:val="-4"/>
          <w:sz w:val="21"/>
          <w:szCs w:val="21"/>
        </w:rPr>
        <w:t> </w:t>
      </w:r>
      <w:r>
        <w:rPr>
          <w:rFonts w:ascii="宋体" w:hAnsi="宋体" w:cs="宋体" w:eastAsia="宋体" w:hint="default"/>
          <w:sz w:val="21"/>
          <w:szCs w:val="21"/>
        </w:rPr>
        <w:t>朱华</w:t>
        <w:tab/>
        <w:t>会计机构负责人：肖忠祥</w:t>
      </w:r>
    </w:p>
    <w:p>
      <w:pPr>
        <w:spacing w:after="0"/>
        <w:jc w:val="left"/>
        <w:rPr>
          <w:rFonts w:ascii="宋体" w:hAnsi="宋体" w:cs="宋体" w:eastAsia="宋体" w:hint="default"/>
          <w:sz w:val="21"/>
          <w:szCs w:val="21"/>
        </w:rPr>
        <w:sectPr>
          <w:headerReference w:type="default" r:id="rId50"/>
          <w:pgSz w:w="11910" w:h="16840"/>
          <w:pgMar w:header="755" w:footer="708" w:top="2000" w:bottom="900" w:left="1060" w:right="7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2500"/>
        <w:gridCol w:w="1038"/>
        <w:gridCol w:w="896"/>
        <w:gridCol w:w="997"/>
        <w:gridCol w:w="826"/>
        <w:gridCol w:w="995"/>
        <w:gridCol w:w="620"/>
        <w:gridCol w:w="919"/>
        <w:gridCol w:w="932"/>
      </w:tblGrid>
      <w:tr>
        <w:trPr>
          <w:trHeight w:val="245" w:hRule="exact"/>
        </w:trPr>
        <w:tc>
          <w:tcPr>
            <w:tcW w:w="25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tabs>
                <w:tab w:pos="1604" w:val="left" w:leader="none"/>
              </w:tabs>
              <w:spacing w:line="240" w:lineRule="auto"/>
              <w:ind w:left="704" w:right="0"/>
              <w:jc w:val="left"/>
              <w:rPr>
                <w:rFonts w:ascii="黑体" w:hAnsi="黑体" w:cs="黑体" w:eastAsia="黑体" w:hint="default"/>
                <w:sz w:val="18"/>
                <w:szCs w:val="18"/>
              </w:rPr>
            </w:pPr>
            <w:r>
              <w:rPr>
                <w:rFonts w:ascii="黑体" w:hAnsi="黑体" w:cs="黑体" w:eastAsia="黑体" w:hint="default"/>
                <w:sz w:val="18"/>
                <w:szCs w:val="18"/>
              </w:rPr>
              <w:t>项</w:t>
              <w:tab/>
              <w:t>目</w:t>
            </w:r>
          </w:p>
        </w:tc>
        <w:tc>
          <w:tcPr>
            <w:tcW w:w="10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3" w:right="0"/>
              <w:jc w:val="left"/>
              <w:rPr>
                <w:rFonts w:ascii="黑体" w:hAnsi="黑体" w:cs="黑体" w:eastAsia="黑体" w:hint="default"/>
                <w:sz w:val="18"/>
                <w:szCs w:val="18"/>
              </w:rPr>
            </w:pPr>
            <w:r>
              <w:rPr>
                <w:rFonts w:ascii="黑体" w:hAnsi="黑体" w:cs="黑体" w:eastAsia="黑体" w:hint="default"/>
                <w:sz w:val="18"/>
                <w:szCs w:val="18"/>
              </w:rPr>
              <w:t>附注</w:t>
            </w:r>
          </w:p>
        </w:tc>
        <w:tc>
          <w:tcPr>
            <w:tcW w:w="4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6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84" w:right="182"/>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4" w:right="96" w:hanging="180"/>
              <w:jc w:val="left"/>
              <w:rPr>
                <w:rFonts w:ascii="宋体" w:hAnsi="宋体" w:cs="宋体" w:eastAsia="宋体" w:hint="default"/>
                <w:sz w:val="18"/>
                <w:szCs w:val="18"/>
              </w:rPr>
            </w:pPr>
            <w:r>
              <w:rPr>
                <w:rFonts w:ascii="宋体" w:hAnsi="宋体" w:cs="宋体" w:eastAsia="宋体" w:hint="default"/>
                <w:sz w:val="18"/>
                <w:szCs w:val="18"/>
              </w:rPr>
              <w:t>股东权益 合计</w:t>
            </w:r>
          </w:p>
        </w:tc>
      </w:tr>
      <w:tr>
        <w:trPr>
          <w:trHeight w:val="946" w:hRule="exact"/>
        </w:trPr>
        <w:tc>
          <w:tcPr>
            <w:tcW w:w="2500" w:type="dxa"/>
            <w:vMerge/>
            <w:tcBorders>
              <w:left w:val="single" w:sz="4" w:space="0" w:color="000000"/>
              <w:bottom w:val="single" w:sz="4" w:space="0" w:color="000000"/>
              <w:right w:val="single" w:sz="4" w:space="0" w:color="000000"/>
            </w:tcBorders>
          </w:tcPr>
          <w:p>
            <w:pPr/>
          </w:p>
        </w:tc>
        <w:tc>
          <w:tcPr>
            <w:tcW w:w="1038" w:type="dxa"/>
            <w:vMerge/>
            <w:tcBorders>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盈余公积</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both"/>
              <w:rPr>
                <w:rFonts w:ascii="宋体" w:hAnsi="宋体" w:cs="宋体" w:eastAsia="宋体" w:hint="default"/>
                <w:sz w:val="18"/>
                <w:szCs w:val="18"/>
              </w:rPr>
            </w:pPr>
            <w:r>
              <w:rPr>
                <w:rFonts w:ascii="宋体" w:hAnsi="宋体" w:cs="宋体" w:eastAsia="宋体" w:hint="default"/>
                <w:sz w:val="18"/>
                <w:szCs w:val="18"/>
              </w:rPr>
              <w:t>外币</w:t>
            </w:r>
          </w:p>
          <w:p>
            <w:pPr>
              <w:pStyle w:val="TableParagraph"/>
              <w:spacing w:line="240" w:lineRule="auto"/>
              <w:ind w:left="115" w:right="133"/>
              <w:jc w:val="both"/>
              <w:rPr>
                <w:rFonts w:ascii="宋体" w:hAnsi="宋体" w:cs="宋体" w:eastAsia="宋体" w:hint="default"/>
                <w:sz w:val="18"/>
                <w:szCs w:val="18"/>
              </w:rPr>
            </w:pPr>
            <w:r>
              <w:rPr>
                <w:rFonts w:ascii="宋体" w:hAnsi="宋体" w:cs="宋体" w:eastAsia="宋体" w:hint="default"/>
                <w:sz w:val="18"/>
                <w:szCs w:val="18"/>
              </w:rPr>
              <w:t>报表 折算 差额</w:t>
            </w:r>
          </w:p>
        </w:tc>
        <w:tc>
          <w:tcPr>
            <w:tcW w:w="919"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r>
        <w:trPr>
          <w:trHeight w:val="244" w:hRule="exact"/>
        </w:trPr>
        <w:tc>
          <w:tcPr>
            <w:tcW w:w="250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黑体" w:hAnsi="黑体" w:cs="黑体" w:eastAsia="黑体" w:hint="default"/>
                <w:sz w:val="18"/>
                <w:szCs w:val="18"/>
              </w:rPr>
              <w:t>日年初余额</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5"/>
              <w:jc w:val="right"/>
              <w:rPr>
                <w:rFonts w:ascii="Arial" w:hAnsi="Arial" w:cs="Arial" w:eastAsia="Arial" w:hint="default"/>
                <w:sz w:val="18"/>
                <w:szCs w:val="18"/>
              </w:rPr>
            </w:pPr>
            <w:r>
              <w:rPr>
                <w:rFonts w:ascii="Arial"/>
                <w:spacing w:val="-1"/>
                <w:sz w:val="18"/>
              </w:rPr>
              <w:t>2,991,008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4" w:right="0"/>
              <w:jc w:val="left"/>
              <w:rPr>
                <w:rFonts w:ascii="Arial" w:hAnsi="Arial" w:cs="Arial" w:eastAsia="Arial" w:hint="default"/>
                <w:sz w:val="18"/>
                <w:szCs w:val="18"/>
              </w:rPr>
            </w:pPr>
            <w:r>
              <w:rPr>
                <w:rFonts w:ascii="Arial"/>
                <w:sz w:val="18"/>
              </w:rPr>
              <w:t>1,086,191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4"/>
              <w:jc w:val="right"/>
              <w:rPr>
                <w:rFonts w:ascii="Arial" w:hAnsi="Arial" w:cs="Arial" w:eastAsia="Arial" w:hint="default"/>
                <w:sz w:val="18"/>
                <w:szCs w:val="18"/>
              </w:rPr>
            </w:pPr>
            <w:r>
              <w:rPr>
                <w:rFonts w:ascii="Arial"/>
                <w:spacing w:val="-1"/>
                <w:sz w:val="18"/>
              </w:rPr>
              <w:t>364,270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6" w:right="0"/>
              <w:jc w:val="left"/>
              <w:rPr>
                <w:rFonts w:ascii="Arial" w:hAnsi="Arial" w:cs="Arial" w:eastAsia="Arial" w:hint="default"/>
                <w:sz w:val="18"/>
                <w:szCs w:val="18"/>
              </w:rPr>
            </w:pPr>
            <w:r>
              <w:rPr>
                <w:rFonts w:ascii="Arial"/>
                <w:sz w:val="18"/>
              </w:rPr>
              <w:t>4,334,488</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Arial" w:hAnsi="Arial" w:cs="Arial" w:eastAsia="Arial" w:hint="default"/>
                <w:sz w:val="18"/>
                <w:szCs w:val="18"/>
              </w:rPr>
            </w:pPr>
            <w:r>
              <w:rPr>
                <w:rFonts w:ascii="Arial"/>
                <w:w w:val="99"/>
                <w:sz w:val="18"/>
              </w:rPr>
              <w:t>-</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4"/>
              <w:jc w:val="right"/>
              <w:rPr>
                <w:rFonts w:ascii="Arial" w:hAnsi="Arial" w:cs="Arial" w:eastAsia="Arial" w:hint="default"/>
                <w:sz w:val="18"/>
                <w:szCs w:val="18"/>
              </w:rPr>
            </w:pPr>
            <w:r>
              <w:rPr>
                <w:rFonts w:ascii="Arial"/>
                <w:spacing w:val="-1"/>
                <w:sz w:val="18"/>
              </w:rPr>
              <w:t>336,363</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0"/>
              <w:jc w:val="right"/>
              <w:rPr>
                <w:rFonts w:ascii="Arial" w:hAnsi="Arial" w:cs="Arial" w:eastAsia="Arial" w:hint="default"/>
                <w:sz w:val="18"/>
                <w:szCs w:val="18"/>
              </w:rPr>
            </w:pPr>
            <w:r>
              <w:rPr>
                <w:rFonts w:ascii="Arial"/>
                <w:spacing w:val="-3"/>
                <w:sz w:val="18"/>
              </w:rPr>
              <w:t>9,112,320</w:t>
            </w:r>
          </w:p>
        </w:tc>
      </w:tr>
      <w:tr>
        <w:trPr>
          <w:trHeight w:val="216" w:hRule="exact"/>
        </w:trPr>
        <w:tc>
          <w:tcPr>
            <w:tcW w:w="250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黑体" w:hAnsi="黑体" w:cs="黑体" w:eastAsia="黑体" w:hint="default"/>
                <w:sz w:val="18"/>
                <w:szCs w:val="18"/>
              </w:rPr>
              <w:t>年度增减变动额</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Arial" w:hAnsi="Arial" w:cs="Arial" w:eastAsia="Arial" w:hint="default"/>
                <w:sz w:val="18"/>
                <w:szCs w:val="18"/>
              </w:rPr>
            </w:pPr>
            <w:r>
              <w:rPr>
                <w:rFonts w:ascii="Arial"/>
                <w:w w:val="99"/>
                <w:sz w:val="18"/>
              </w:rPr>
              <w:t>-</w:t>
            </w:r>
            <w:r>
              <w:rPr>
                <w:rFonts w:ascii="Arial"/>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6" w:right="0"/>
              <w:jc w:val="left"/>
              <w:rPr>
                <w:rFonts w:ascii="Arial" w:hAnsi="Arial" w:cs="Arial" w:eastAsia="Arial" w:hint="default"/>
                <w:sz w:val="18"/>
                <w:szCs w:val="18"/>
              </w:rPr>
            </w:pPr>
            <w:r>
              <w:rPr>
                <w:rFonts w:ascii="Arial"/>
                <w:sz w:val="18"/>
              </w:rPr>
              <w:t>2,889,956</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Arial" w:hAnsi="Arial" w:cs="Arial" w:eastAsia="Arial" w:hint="default"/>
                <w:sz w:val="18"/>
                <w:szCs w:val="18"/>
              </w:rPr>
            </w:pPr>
            <w:r>
              <w:rPr>
                <w:rFonts w:ascii="Arial"/>
                <w:w w:val="99"/>
                <w:sz w:val="18"/>
              </w:rPr>
              <w:t>-</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4" w:right="0"/>
              <w:jc w:val="left"/>
              <w:rPr>
                <w:rFonts w:ascii="Arial" w:hAnsi="Arial" w:cs="Arial" w:eastAsia="Arial" w:hint="default"/>
                <w:sz w:val="18"/>
                <w:szCs w:val="18"/>
              </w:rPr>
            </w:pPr>
            <w:r>
              <w:rPr>
                <w:rFonts w:ascii="Arial"/>
                <w:sz w:val="18"/>
              </w:rPr>
              <w:t>98,539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5"/>
              <w:jc w:val="right"/>
              <w:rPr>
                <w:rFonts w:ascii="Arial" w:hAnsi="Arial" w:cs="Arial" w:eastAsia="Arial" w:hint="default"/>
                <w:sz w:val="18"/>
                <w:szCs w:val="18"/>
              </w:rPr>
            </w:pPr>
            <w:r>
              <w:rPr>
                <w:rFonts w:ascii="Arial"/>
                <w:spacing w:val="-1"/>
                <w:sz w:val="18"/>
              </w:rPr>
              <w:t>2,988,495</w:t>
            </w:r>
          </w:p>
        </w:tc>
      </w:tr>
      <w:tr>
        <w:trPr>
          <w:trHeight w:val="244"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1"/>
              <w:jc w:val="right"/>
              <w:rPr>
                <w:rFonts w:ascii="Arial" w:hAnsi="Arial" w:cs="Arial" w:eastAsia="Arial" w:hint="default"/>
                <w:sz w:val="18"/>
                <w:szCs w:val="18"/>
              </w:rPr>
            </w:pPr>
            <w:r>
              <w:rPr>
                <w:rFonts w:ascii="Arial"/>
                <w:w w:val="99"/>
                <w:sz w:val="18"/>
              </w:rPr>
              <w:t>-</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w w:val="99"/>
                <w:sz w:val="18"/>
              </w:rPr>
              <w:t>-</w:t>
            </w:r>
            <w:r>
              <w:rPr>
                <w:rFonts w:ascii="Arial"/>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8"/>
              <w:jc w:val="right"/>
              <w:rPr>
                <w:rFonts w:ascii="Arial" w:hAnsi="Arial" w:cs="Arial" w:eastAsia="Arial" w:hint="default"/>
                <w:sz w:val="18"/>
                <w:szCs w:val="18"/>
              </w:rPr>
            </w:pPr>
            <w:r>
              <w:rPr>
                <w:rFonts w:ascii="Arial"/>
                <w:w w:val="99"/>
                <w:sz w:val="18"/>
              </w:rPr>
              <w:t>-</w:t>
            </w:r>
            <w:r>
              <w:rPr>
                <w:rFonts w:ascii="Arial"/>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5"/>
              <w:jc w:val="right"/>
              <w:rPr>
                <w:rFonts w:ascii="Arial" w:hAnsi="Arial" w:cs="Arial" w:eastAsia="Arial" w:hint="default"/>
                <w:sz w:val="18"/>
                <w:szCs w:val="18"/>
              </w:rPr>
            </w:pPr>
            <w:r>
              <w:rPr>
                <w:rFonts w:ascii="Arial"/>
                <w:spacing w:val="-1"/>
                <w:w w:val="95"/>
                <w:sz w:val="18"/>
              </w:rPr>
              <w:t>(229)</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7"/>
              <w:jc w:val="right"/>
              <w:rPr>
                <w:rFonts w:ascii="Arial" w:hAnsi="Arial" w:cs="Arial" w:eastAsia="Arial" w:hint="default"/>
                <w:sz w:val="18"/>
                <w:szCs w:val="18"/>
              </w:rPr>
            </w:pPr>
            <w:r>
              <w:rPr>
                <w:rFonts w:ascii="Arial"/>
                <w:w w:val="99"/>
                <w:sz w:val="18"/>
              </w:rPr>
              <w:t>-</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
              <w:jc w:val="right"/>
              <w:rPr>
                <w:rFonts w:ascii="Arial" w:hAnsi="Arial" w:cs="Arial" w:eastAsia="Arial" w:hint="default"/>
                <w:sz w:val="18"/>
                <w:szCs w:val="18"/>
              </w:rPr>
            </w:pPr>
            <w:r>
              <w:rPr>
                <w:rFonts w:ascii="Arial"/>
                <w:spacing w:val="-1"/>
                <w:w w:val="95"/>
                <w:sz w:val="18"/>
              </w:rPr>
              <w:t>(229)</w:t>
            </w:r>
            <w:r>
              <w:rPr>
                <w:rFonts w:ascii="Arial"/>
                <w:sz w:val="18"/>
              </w:rPr>
            </w:r>
          </w:p>
        </w:tc>
      </w:tr>
      <w:tr>
        <w:trPr>
          <w:trHeight w:val="245"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股东投入和减少资本</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股东投入资本</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5"/>
              <w:jc w:val="right"/>
              <w:rPr>
                <w:rFonts w:ascii="Arial" w:hAnsi="Arial" w:cs="Arial" w:eastAsia="Arial" w:hint="default"/>
                <w:sz w:val="18"/>
                <w:szCs w:val="18"/>
              </w:rPr>
            </w:pPr>
            <w:r>
              <w:rPr>
                <w:rFonts w:ascii="Arial"/>
                <w:spacing w:val="-1"/>
                <w:sz w:val="18"/>
              </w:rPr>
              <w:t>177,629</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4" w:right="0"/>
              <w:jc w:val="left"/>
              <w:rPr>
                <w:rFonts w:ascii="Arial" w:hAnsi="Arial" w:cs="Arial" w:eastAsia="Arial" w:hint="default"/>
                <w:sz w:val="18"/>
                <w:szCs w:val="18"/>
              </w:rPr>
            </w:pPr>
            <w:r>
              <w:rPr>
                <w:rFonts w:ascii="Arial"/>
                <w:sz w:val="18"/>
              </w:rPr>
              <w:t>2,822,371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5"/>
              <w:jc w:val="right"/>
              <w:rPr>
                <w:rFonts w:ascii="Arial" w:hAnsi="Arial" w:cs="Arial" w:eastAsia="Arial" w:hint="default"/>
                <w:sz w:val="18"/>
                <w:szCs w:val="18"/>
              </w:rPr>
            </w:pPr>
            <w:r>
              <w:rPr>
                <w:rFonts w:ascii="Arial"/>
                <w:w w:val="99"/>
                <w:sz w:val="18"/>
              </w:rPr>
              <w:t>-</w:t>
            </w:r>
            <w:r>
              <w:rPr>
                <w:rFonts w:ascii="Arial"/>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3"/>
              <w:jc w:val="right"/>
              <w:rPr>
                <w:rFonts w:ascii="Arial" w:hAnsi="Arial" w:cs="Arial" w:eastAsia="Arial" w:hint="default"/>
                <w:sz w:val="18"/>
                <w:szCs w:val="18"/>
              </w:rPr>
            </w:pPr>
            <w:r>
              <w:rPr>
                <w:rFonts w:ascii="Arial"/>
                <w:w w:val="99"/>
                <w:sz w:val="18"/>
              </w:rPr>
              <w:t>-</w:t>
            </w:r>
            <w:r>
              <w:rPr>
                <w:rFonts w:ascii="Arial"/>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Arial" w:hAnsi="Arial" w:cs="Arial" w:eastAsia="Arial" w:hint="default"/>
                <w:sz w:val="18"/>
                <w:szCs w:val="18"/>
              </w:rPr>
            </w:pPr>
            <w:r>
              <w:rPr>
                <w:rFonts w:ascii="Arial"/>
                <w:w w:val="99"/>
                <w:sz w:val="18"/>
              </w:rPr>
              <w:t>-</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8"/>
              <w:jc w:val="right"/>
              <w:rPr>
                <w:rFonts w:ascii="Arial" w:hAnsi="Arial" w:cs="Arial" w:eastAsia="Arial" w:hint="default"/>
                <w:sz w:val="18"/>
                <w:szCs w:val="18"/>
              </w:rPr>
            </w:pPr>
            <w:r>
              <w:rPr>
                <w:rFonts w:ascii="Arial"/>
                <w:w w:val="99"/>
                <w:sz w:val="18"/>
              </w:rPr>
              <w:t>-</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5"/>
              <w:jc w:val="right"/>
              <w:rPr>
                <w:rFonts w:ascii="Arial" w:hAnsi="Arial" w:cs="Arial" w:eastAsia="Arial" w:hint="default"/>
                <w:sz w:val="18"/>
                <w:szCs w:val="18"/>
              </w:rPr>
            </w:pPr>
            <w:r>
              <w:rPr>
                <w:rFonts w:ascii="Arial"/>
                <w:spacing w:val="-1"/>
                <w:sz w:val="18"/>
              </w:rPr>
              <w:t>3,000,000</w:t>
            </w:r>
          </w:p>
        </w:tc>
      </w:tr>
      <w:tr>
        <w:trPr>
          <w:trHeight w:val="244"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少数股东投入资本</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4"/>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0"/>
              <w:jc w:val="right"/>
              <w:rPr>
                <w:rFonts w:ascii="Arial" w:hAnsi="Arial" w:cs="Arial" w:eastAsia="Arial" w:hint="default"/>
                <w:sz w:val="18"/>
                <w:szCs w:val="18"/>
              </w:rPr>
            </w:pPr>
            <w:r>
              <w:rPr>
                <w:rFonts w:ascii="Arial"/>
                <w:w w:val="99"/>
                <w:sz w:val="18"/>
              </w:rPr>
              <w:t>-</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4"/>
              <w:jc w:val="right"/>
              <w:rPr>
                <w:rFonts w:ascii="Arial" w:hAnsi="Arial" w:cs="Arial" w:eastAsia="Arial" w:hint="default"/>
                <w:sz w:val="18"/>
                <w:szCs w:val="18"/>
              </w:rPr>
            </w:pPr>
            <w:r>
              <w:rPr>
                <w:rFonts w:ascii="Arial"/>
                <w:w w:val="99"/>
                <w:sz w:val="18"/>
              </w:rPr>
              <w:t>-</w:t>
            </w:r>
            <w:r>
              <w:rPr>
                <w:rFonts w:ascii="Arial"/>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8"/>
              <w:jc w:val="right"/>
              <w:rPr>
                <w:rFonts w:ascii="Arial" w:hAnsi="Arial" w:cs="Arial" w:eastAsia="Arial" w:hint="default"/>
                <w:sz w:val="18"/>
                <w:szCs w:val="18"/>
              </w:rPr>
            </w:pPr>
            <w:r>
              <w:rPr>
                <w:rFonts w:ascii="Arial"/>
                <w:w w:val="99"/>
                <w:sz w:val="18"/>
              </w:rPr>
              <w:t>-</w:t>
            </w:r>
            <w:r>
              <w:rPr>
                <w:rFonts w:ascii="Arial"/>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Arial" w:hAnsi="Arial" w:cs="Arial" w:eastAsia="Arial" w:hint="default"/>
                <w:sz w:val="18"/>
                <w:szCs w:val="18"/>
              </w:rPr>
            </w:pPr>
            <w:r>
              <w:rPr>
                <w:rFonts w:ascii="Arial"/>
                <w:w w:val="99"/>
                <w:sz w:val="18"/>
              </w:rPr>
              <w:t>-</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7"/>
              <w:jc w:val="right"/>
              <w:rPr>
                <w:rFonts w:ascii="Arial" w:hAnsi="Arial" w:cs="Arial" w:eastAsia="Arial" w:hint="default"/>
                <w:sz w:val="18"/>
                <w:szCs w:val="18"/>
              </w:rPr>
            </w:pPr>
            <w:r>
              <w:rPr>
                <w:rFonts w:ascii="Arial"/>
                <w:spacing w:val="-1"/>
                <w:sz w:val="18"/>
              </w:rPr>
              <w:t>20,951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5"/>
              <w:jc w:val="right"/>
              <w:rPr>
                <w:rFonts w:ascii="Arial" w:hAnsi="Arial" w:cs="Arial" w:eastAsia="Arial" w:hint="default"/>
                <w:sz w:val="18"/>
                <w:szCs w:val="18"/>
              </w:rPr>
            </w:pPr>
            <w:r>
              <w:rPr>
                <w:rFonts w:ascii="Arial"/>
                <w:spacing w:val="-1"/>
                <w:sz w:val="18"/>
              </w:rPr>
              <w:t>20,951</w:t>
            </w:r>
          </w:p>
        </w:tc>
      </w:tr>
      <w:tr>
        <w:trPr>
          <w:trHeight w:val="245"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少数股东减少资本</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9" w:right="0"/>
              <w:jc w:val="left"/>
              <w:rPr>
                <w:rFonts w:ascii="Arial" w:hAnsi="Arial" w:cs="Arial" w:eastAsia="Arial" w:hint="default"/>
                <w:sz w:val="18"/>
                <w:szCs w:val="18"/>
              </w:rPr>
            </w:pPr>
            <w:r>
              <w:rPr>
                <w:rFonts w:ascii="Arial"/>
                <w:sz w:val="18"/>
              </w:rPr>
              <w:t>(35,608)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5"/>
              <w:jc w:val="right"/>
              <w:rPr>
                <w:rFonts w:ascii="Arial" w:hAnsi="Arial" w:cs="Arial" w:eastAsia="Arial" w:hint="default"/>
                <w:sz w:val="18"/>
                <w:szCs w:val="18"/>
              </w:rPr>
            </w:pPr>
            <w:r>
              <w:rPr>
                <w:rFonts w:ascii="Arial"/>
                <w:w w:val="99"/>
                <w:sz w:val="18"/>
              </w:rPr>
              <w:t>-</w:t>
            </w:r>
            <w:r>
              <w:rPr>
                <w:rFonts w:ascii="Arial"/>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8"/>
              <w:jc w:val="right"/>
              <w:rPr>
                <w:rFonts w:ascii="Arial" w:hAnsi="Arial" w:cs="Arial" w:eastAsia="Arial" w:hint="default"/>
                <w:sz w:val="18"/>
                <w:szCs w:val="18"/>
              </w:rPr>
            </w:pPr>
            <w:r>
              <w:rPr>
                <w:rFonts w:ascii="Arial"/>
                <w:w w:val="99"/>
                <w:sz w:val="18"/>
              </w:rPr>
              <w:t>-</w:t>
            </w:r>
            <w:r>
              <w:rPr>
                <w:rFonts w:ascii="Arial"/>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Arial" w:hAnsi="Arial" w:cs="Arial" w:eastAsia="Arial" w:hint="default"/>
                <w:sz w:val="18"/>
                <w:szCs w:val="18"/>
              </w:rPr>
            </w:pPr>
            <w:r>
              <w:rPr>
                <w:rFonts w:ascii="Arial"/>
                <w:w w:val="99"/>
                <w:sz w:val="18"/>
              </w:rPr>
              <w:t>-</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8"/>
              <w:jc w:val="right"/>
              <w:rPr>
                <w:rFonts w:ascii="Arial" w:hAnsi="Arial" w:cs="Arial" w:eastAsia="Arial" w:hint="default"/>
                <w:sz w:val="18"/>
                <w:szCs w:val="18"/>
              </w:rPr>
            </w:pPr>
            <w:r>
              <w:rPr>
                <w:rFonts w:ascii="Arial"/>
                <w:spacing w:val="-1"/>
                <w:sz w:val="18"/>
              </w:rPr>
              <w:t>(71,216)</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Arial" w:hAnsi="Arial" w:cs="Arial" w:eastAsia="Arial" w:hint="default"/>
                <w:sz w:val="18"/>
                <w:szCs w:val="18"/>
              </w:rPr>
            </w:pPr>
            <w:r>
              <w:rPr>
                <w:rFonts w:ascii="Arial"/>
                <w:spacing w:val="-1"/>
                <w:sz w:val="18"/>
              </w:rPr>
              <w:t>(106,824)</w:t>
            </w:r>
            <w:r>
              <w:rPr>
                <w:rFonts w:ascii="Arial"/>
                <w:sz w:val="18"/>
              </w:rPr>
            </w:r>
          </w:p>
        </w:tc>
      </w:tr>
      <w:tr>
        <w:trPr>
          <w:trHeight w:val="244"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4"/>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4"/>
              <w:jc w:val="right"/>
              <w:rPr>
                <w:rFonts w:ascii="Arial" w:hAnsi="Arial" w:cs="Arial" w:eastAsia="Arial" w:hint="default"/>
                <w:sz w:val="18"/>
                <w:szCs w:val="18"/>
              </w:rPr>
            </w:pPr>
            <w:r>
              <w:rPr>
                <w:rFonts w:ascii="Arial"/>
                <w:spacing w:val="-1"/>
                <w:sz w:val="18"/>
              </w:rPr>
              <w:t>153,195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right"/>
              <w:rPr>
                <w:rFonts w:ascii="Arial" w:hAnsi="Arial" w:cs="Arial" w:eastAsia="Arial" w:hint="default"/>
                <w:sz w:val="18"/>
                <w:szCs w:val="18"/>
              </w:rPr>
            </w:pPr>
            <w:r>
              <w:rPr>
                <w:rFonts w:ascii="Arial"/>
                <w:spacing w:val="-1"/>
                <w:sz w:val="18"/>
              </w:rPr>
              <w:t>(153,195)</w:t>
            </w:r>
            <w:r>
              <w:rPr>
                <w:rFonts w:ascii="Arial"/>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right"/>
              <w:rPr>
                <w:rFonts w:ascii="Arial" w:hAnsi="Arial" w:cs="Arial" w:eastAsia="Arial" w:hint="default"/>
                <w:sz w:val="18"/>
                <w:szCs w:val="18"/>
              </w:rPr>
            </w:pPr>
            <w:r>
              <w:rPr>
                <w:rFonts w:ascii="Arial"/>
                <w:w w:val="99"/>
                <w:sz w:val="18"/>
              </w:rPr>
              <w:t>-</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7"/>
              <w:jc w:val="right"/>
              <w:rPr>
                <w:rFonts w:ascii="Arial" w:hAnsi="Arial" w:cs="Arial" w:eastAsia="Arial" w:hint="default"/>
                <w:sz w:val="18"/>
                <w:szCs w:val="18"/>
              </w:rPr>
            </w:pPr>
            <w:r>
              <w:rPr>
                <w:rFonts w:ascii="Arial"/>
                <w:w w:val="99"/>
                <w:sz w:val="18"/>
              </w:rPr>
              <w:t>-</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3"/>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3"/>
              <w:jc w:val="right"/>
              <w:rPr>
                <w:rFonts w:ascii="Arial" w:hAnsi="Arial" w:cs="Arial" w:eastAsia="Arial" w:hint="default"/>
                <w:sz w:val="18"/>
                <w:szCs w:val="18"/>
              </w:rPr>
            </w:pPr>
            <w:r>
              <w:rPr>
                <w:rFonts w:ascii="Arial"/>
                <w:spacing w:val="-1"/>
                <w:sz w:val="18"/>
              </w:rPr>
              <w:t>598,202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Arial" w:hAnsi="Arial" w:cs="Arial" w:eastAsia="Arial" w:hint="default"/>
                <w:sz w:val="18"/>
                <w:szCs w:val="18"/>
              </w:rPr>
            </w:pPr>
            <w:r>
              <w:rPr>
                <w:rFonts w:ascii="Arial"/>
                <w:w w:val="99"/>
                <w:sz w:val="18"/>
              </w:rPr>
              <w:t>-</w:t>
            </w:r>
            <w:r>
              <w:rPr>
                <w:rFonts w:ascii="Arial"/>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right"/>
              <w:rPr>
                <w:rFonts w:ascii="Arial" w:hAnsi="Arial" w:cs="Arial" w:eastAsia="Arial" w:hint="default"/>
                <w:sz w:val="18"/>
                <w:szCs w:val="18"/>
              </w:rPr>
            </w:pPr>
            <w:r>
              <w:rPr>
                <w:rFonts w:ascii="Arial"/>
                <w:spacing w:val="-1"/>
                <w:sz w:val="18"/>
              </w:rPr>
              <w:t>(687,932)</w:t>
            </w:r>
            <w:r>
              <w:rPr>
                <w:rFonts w:ascii="Arial"/>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Arial" w:hAnsi="Arial" w:cs="Arial" w:eastAsia="Arial" w:hint="default"/>
                <w:sz w:val="18"/>
                <w:szCs w:val="18"/>
              </w:rPr>
            </w:pPr>
            <w:r>
              <w:rPr>
                <w:rFonts w:ascii="Arial"/>
                <w:w w:val="99"/>
                <w:sz w:val="18"/>
              </w:rPr>
              <w:t>-</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8"/>
              <w:jc w:val="right"/>
              <w:rPr>
                <w:rFonts w:ascii="Arial" w:hAnsi="Arial" w:cs="Arial" w:eastAsia="Arial" w:hint="default"/>
                <w:sz w:val="18"/>
                <w:szCs w:val="18"/>
              </w:rPr>
            </w:pPr>
            <w:r>
              <w:rPr>
                <w:rFonts w:ascii="Arial"/>
                <w:w w:val="99"/>
                <w:sz w:val="18"/>
              </w:rPr>
              <w:t>-</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right"/>
              <w:rPr>
                <w:rFonts w:ascii="Arial" w:hAnsi="Arial" w:cs="Arial" w:eastAsia="Arial" w:hint="default"/>
                <w:sz w:val="18"/>
                <w:szCs w:val="18"/>
              </w:rPr>
            </w:pPr>
            <w:r>
              <w:rPr>
                <w:rFonts w:ascii="Arial"/>
                <w:spacing w:val="-1"/>
                <w:sz w:val="18"/>
              </w:rPr>
              <w:t>(89,730)</w:t>
            </w:r>
            <w:r>
              <w:rPr>
                <w:rFonts w:ascii="Arial"/>
                <w:sz w:val="18"/>
              </w:rPr>
            </w:r>
          </w:p>
        </w:tc>
      </w:tr>
      <w:tr>
        <w:trPr>
          <w:trHeight w:val="244"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股东权益内部结转</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
              <w:jc w:val="right"/>
              <w:rPr>
                <w:rFonts w:ascii="Arial" w:hAnsi="Arial" w:cs="Arial" w:eastAsia="Arial" w:hint="default"/>
                <w:sz w:val="18"/>
                <w:szCs w:val="18"/>
              </w:rPr>
            </w:pPr>
            <w:r>
              <w:rPr>
                <w:rFonts w:ascii="Arial"/>
                <w:spacing w:val="-1"/>
                <w:sz w:val="18"/>
              </w:rPr>
              <w:t>897,302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4" w:right="0"/>
              <w:jc w:val="left"/>
              <w:rPr>
                <w:rFonts w:ascii="Arial" w:hAnsi="Arial" w:cs="Arial" w:eastAsia="Arial" w:hint="default"/>
                <w:sz w:val="18"/>
                <w:szCs w:val="18"/>
              </w:rPr>
            </w:pPr>
            <w:r>
              <w:rPr>
                <w:rFonts w:ascii="Arial"/>
                <w:sz w:val="18"/>
              </w:rPr>
              <w:t>(897,302)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3"/>
              <w:jc w:val="right"/>
              <w:rPr>
                <w:rFonts w:ascii="Arial" w:hAnsi="Arial" w:cs="Arial" w:eastAsia="Arial" w:hint="default"/>
                <w:sz w:val="18"/>
                <w:szCs w:val="18"/>
              </w:rPr>
            </w:pPr>
            <w:r>
              <w:rPr>
                <w:rFonts w:ascii="Arial"/>
                <w:w w:val="99"/>
                <w:sz w:val="18"/>
              </w:rPr>
              <w:t>-</w:t>
            </w:r>
            <w:r>
              <w:rPr>
                <w:rFonts w:ascii="Arial"/>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4"/>
              <w:jc w:val="right"/>
              <w:rPr>
                <w:rFonts w:ascii="Arial" w:hAnsi="Arial" w:cs="Arial" w:eastAsia="Arial" w:hint="default"/>
                <w:sz w:val="18"/>
                <w:szCs w:val="18"/>
              </w:rPr>
            </w:pPr>
            <w:r>
              <w:rPr>
                <w:rFonts w:ascii="Arial"/>
                <w:w w:val="99"/>
                <w:sz w:val="18"/>
              </w:rPr>
              <w:t>-</w:t>
            </w:r>
            <w:r>
              <w:rPr>
                <w:rFonts w:ascii="Arial"/>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Arial" w:hAnsi="Arial" w:cs="Arial" w:eastAsia="Arial" w:hint="default"/>
                <w:sz w:val="18"/>
                <w:szCs w:val="18"/>
              </w:rPr>
            </w:pPr>
            <w:r>
              <w:rPr>
                <w:rFonts w:ascii="Arial"/>
                <w:w w:val="99"/>
                <w:sz w:val="18"/>
              </w:rPr>
              <w:t>-</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8"/>
              <w:jc w:val="right"/>
              <w:rPr>
                <w:rFonts w:ascii="Arial" w:hAnsi="Arial" w:cs="Arial" w:eastAsia="Arial" w:hint="default"/>
                <w:sz w:val="18"/>
                <w:szCs w:val="18"/>
              </w:rPr>
            </w:pPr>
            <w:r>
              <w:rPr>
                <w:rFonts w:ascii="Arial"/>
                <w:w w:val="99"/>
                <w:sz w:val="18"/>
              </w:rPr>
              <w:t>-</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4"/>
              <w:jc w:val="right"/>
              <w:rPr>
                <w:rFonts w:ascii="Arial" w:hAnsi="Arial" w:cs="Arial" w:eastAsia="Arial" w:hint="default"/>
                <w:sz w:val="18"/>
                <w:szCs w:val="18"/>
              </w:rPr>
            </w:pPr>
            <w:r>
              <w:rPr>
                <w:rFonts w:ascii="Arial"/>
                <w:w w:val="99"/>
                <w:sz w:val="18"/>
              </w:rPr>
              <w:t>-</w:t>
            </w:r>
            <w:r>
              <w:rPr>
                <w:rFonts w:ascii="Arial"/>
                <w:sz w:val="18"/>
              </w:rPr>
            </w:r>
          </w:p>
        </w:tc>
      </w:tr>
      <w:tr>
        <w:trPr>
          <w:trHeight w:val="217" w:hRule="exact"/>
        </w:trPr>
        <w:tc>
          <w:tcPr>
            <w:tcW w:w="250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2009</w:t>
            </w:r>
            <w:r>
              <w:rPr>
                <w:rFonts w:ascii="Arial" w:hAnsi="Arial" w:cs="Arial" w:eastAsia="Arial" w:hint="default"/>
                <w:spacing w:val="-7"/>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日年末余额</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
              <w:jc w:val="right"/>
              <w:rPr>
                <w:rFonts w:ascii="Arial" w:hAnsi="Arial" w:cs="Arial" w:eastAsia="Arial" w:hint="default"/>
                <w:sz w:val="18"/>
                <w:szCs w:val="18"/>
              </w:rPr>
            </w:pPr>
            <w:r>
              <w:rPr>
                <w:rFonts w:ascii="Arial"/>
                <w:spacing w:val="-1"/>
                <w:sz w:val="18"/>
              </w:rPr>
              <w:t>4,664,141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4" w:right="0"/>
              <w:jc w:val="left"/>
              <w:rPr>
                <w:rFonts w:ascii="Arial" w:hAnsi="Arial" w:cs="Arial" w:eastAsia="Arial" w:hint="default"/>
                <w:sz w:val="18"/>
                <w:szCs w:val="18"/>
              </w:rPr>
            </w:pPr>
            <w:r>
              <w:rPr>
                <w:rFonts w:ascii="Arial"/>
                <w:sz w:val="18"/>
              </w:rPr>
              <w:t>2,975,652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4"/>
              <w:jc w:val="right"/>
              <w:rPr>
                <w:rFonts w:ascii="Arial" w:hAnsi="Arial" w:cs="Arial" w:eastAsia="Arial" w:hint="default"/>
                <w:sz w:val="18"/>
                <w:szCs w:val="18"/>
              </w:rPr>
            </w:pPr>
            <w:r>
              <w:rPr>
                <w:rFonts w:ascii="Arial"/>
                <w:spacing w:val="-1"/>
                <w:sz w:val="18"/>
              </w:rPr>
              <w:t>517,465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6" w:right="0"/>
              <w:jc w:val="left"/>
              <w:rPr>
                <w:rFonts w:ascii="Arial" w:hAnsi="Arial" w:cs="Arial" w:eastAsia="Arial" w:hint="default"/>
                <w:sz w:val="18"/>
                <w:szCs w:val="18"/>
              </w:rPr>
            </w:pPr>
            <w:r>
              <w:rPr>
                <w:rFonts w:ascii="Arial"/>
                <w:sz w:val="18"/>
              </w:rPr>
              <w:t>6,383,317</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3"/>
              <w:jc w:val="right"/>
              <w:rPr>
                <w:rFonts w:ascii="Arial" w:hAnsi="Arial" w:cs="Arial" w:eastAsia="Arial" w:hint="default"/>
                <w:sz w:val="18"/>
                <w:szCs w:val="18"/>
              </w:rPr>
            </w:pPr>
            <w:r>
              <w:rPr>
                <w:rFonts w:ascii="Arial"/>
                <w:spacing w:val="-1"/>
                <w:w w:val="95"/>
                <w:sz w:val="18"/>
              </w:rPr>
              <w:t>(229)</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8"/>
              <w:jc w:val="right"/>
              <w:rPr>
                <w:rFonts w:ascii="Arial" w:hAnsi="Arial" w:cs="Arial" w:eastAsia="Arial" w:hint="default"/>
                <w:sz w:val="18"/>
                <w:szCs w:val="18"/>
              </w:rPr>
            </w:pPr>
            <w:r>
              <w:rPr>
                <w:rFonts w:ascii="Arial"/>
                <w:spacing w:val="-1"/>
                <w:sz w:val="18"/>
              </w:rPr>
              <w:t>384,637</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
              <w:jc w:val="right"/>
              <w:rPr>
                <w:rFonts w:ascii="Arial" w:hAnsi="Arial" w:cs="Arial" w:eastAsia="Arial" w:hint="default"/>
                <w:sz w:val="18"/>
                <w:szCs w:val="18"/>
              </w:rPr>
            </w:pPr>
            <w:r>
              <w:rPr>
                <w:rFonts w:ascii="Arial"/>
                <w:spacing w:val="-11"/>
                <w:sz w:val="18"/>
              </w:rPr>
              <w:t>14,924,983</w:t>
            </w:r>
            <w:r>
              <w:rPr>
                <w:rFonts w:ascii="Arial"/>
                <w:sz w:val="18"/>
              </w:rPr>
            </w:r>
          </w:p>
        </w:tc>
      </w:tr>
      <w:tr>
        <w:trPr>
          <w:trHeight w:val="216" w:hRule="exact"/>
        </w:trPr>
        <w:tc>
          <w:tcPr>
            <w:tcW w:w="250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黑体" w:hAnsi="黑体" w:cs="黑体" w:eastAsia="黑体" w:hint="default"/>
                <w:sz w:val="18"/>
                <w:szCs w:val="18"/>
              </w:rPr>
              <w:t>日年初余额</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
              <w:jc w:val="right"/>
              <w:rPr>
                <w:rFonts w:ascii="Arial" w:hAnsi="Arial" w:cs="Arial" w:eastAsia="Arial" w:hint="default"/>
                <w:sz w:val="18"/>
                <w:szCs w:val="18"/>
              </w:rPr>
            </w:pPr>
            <w:r>
              <w:rPr>
                <w:rFonts w:ascii="Arial"/>
                <w:spacing w:val="-1"/>
                <w:sz w:val="18"/>
              </w:rPr>
              <w:t>4,664,141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4" w:right="0"/>
              <w:jc w:val="left"/>
              <w:rPr>
                <w:rFonts w:ascii="Arial" w:hAnsi="Arial" w:cs="Arial" w:eastAsia="Arial" w:hint="default"/>
                <w:sz w:val="18"/>
                <w:szCs w:val="18"/>
              </w:rPr>
            </w:pPr>
            <w:r>
              <w:rPr>
                <w:rFonts w:ascii="Arial"/>
                <w:sz w:val="18"/>
              </w:rPr>
              <w:t>2,975,652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4"/>
              <w:jc w:val="right"/>
              <w:rPr>
                <w:rFonts w:ascii="Arial" w:hAnsi="Arial" w:cs="Arial" w:eastAsia="Arial" w:hint="default"/>
                <w:sz w:val="18"/>
                <w:szCs w:val="18"/>
              </w:rPr>
            </w:pPr>
            <w:r>
              <w:rPr>
                <w:rFonts w:ascii="Arial"/>
                <w:spacing w:val="-1"/>
                <w:sz w:val="18"/>
              </w:rPr>
              <w:t>517,465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6" w:right="0"/>
              <w:jc w:val="left"/>
              <w:rPr>
                <w:rFonts w:ascii="Arial" w:hAnsi="Arial" w:cs="Arial" w:eastAsia="Arial" w:hint="default"/>
                <w:sz w:val="18"/>
                <w:szCs w:val="18"/>
              </w:rPr>
            </w:pPr>
            <w:r>
              <w:rPr>
                <w:rFonts w:ascii="Arial"/>
                <w:sz w:val="18"/>
              </w:rPr>
              <w:t>6,383,317</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3"/>
              <w:jc w:val="right"/>
              <w:rPr>
                <w:rFonts w:ascii="Arial" w:hAnsi="Arial" w:cs="Arial" w:eastAsia="Arial" w:hint="default"/>
                <w:sz w:val="18"/>
                <w:szCs w:val="18"/>
              </w:rPr>
            </w:pPr>
            <w:r>
              <w:rPr>
                <w:rFonts w:ascii="Arial"/>
                <w:spacing w:val="-1"/>
                <w:w w:val="95"/>
                <w:sz w:val="18"/>
              </w:rPr>
              <w:t>(229)</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8"/>
              <w:jc w:val="right"/>
              <w:rPr>
                <w:rFonts w:ascii="Arial" w:hAnsi="Arial" w:cs="Arial" w:eastAsia="Arial" w:hint="default"/>
                <w:sz w:val="18"/>
                <w:szCs w:val="18"/>
              </w:rPr>
            </w:pPr>
            <w:r>
              <w:rPr>
                <w:rFonts w:ascii="Arial"/>
                <w:spacing w:val="-1"/>
                <w:sz w:val="18"/>
              </w:rPr>
              <w:t>384,637</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
              <w:jc w:val="right"/>
              <w:rPr>
                <w:rFonts w:ascii="Arial" w:hAnsi="Arial" w:cs="Arial" w:eastAsia="Arial" w:hint="default"/>
                <w:sz w:val="18"/>
                <w:szCs w:val="18"/>
              </w:rPr>
            </w:pPr>
            <w:r>
              <w:rPr>
                <w:rFonts w:ascii="Arial"/>
                <w:spacing w:val="-11"/>
                <w:sz w:val="18"/>
              </w:rPr>
              <w:t>14,924,983</w:t>
            </w:r>
            <w:r>
              <w:rPr>
                <w:rFonts w:ascii="Arial"/>
                <w:sz w:val="18"/>
              </w:rPr>
            </w:r>
          </w:p>
        </w:tc>
      </w:tr>
      <w:tr>
        <w:trPr>
          <w:trHeight w:val="217" w:hRule="exact"/>
        </w:trPr>
        <w:tc>
          <w:tcPr>
            <w:tcW w:w="250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黑体" w:hAnsi="黑体" w:cs="黑体" w:eastAsia="黑体" w:hint="default"/>
                <w:sz w:val="18"/>
                <w:szCs w:val="18"/>
              </w:rPr>
              <w:t>年度增减变动额</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4"/>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1"/>
              <w:jc w:val="right"/>
              <w:rPr>
                <w:rFonts w:ascii="Arial" w:hAnsi="Arial" w:cs="Arial" w:eastAsia="Arial" w:hint="default"/>
                <w:sz w:val="18"/>
                <w:szCs w:val="18"/>
              </w:rPr>
            </w:pPr>
            <w:r>
              <w:rPr>
                <w:rFonts w:ascii="Arial"/>
                <w:w w:val="99"/>
                <w:sz w:val="18"/>
              </w:rPr>
              <w:t>-</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Arial" w:hAnsi="Arial" w:cs="Arial" w:eastAsia="Arial" w:hint="default"/>
                <w:sz w:val="18"/>
                <w:szCs w:val="18"/>
              </w:rPr>
            </w:pPr>
            <w:r>
              <w:rPr>
                <w:rFonts w:ascii="Arial"/>
                <w:w w:val="99"/>
                <w:sz w:val="18"/>
              </w:rPr>
              <w:t>-</w:t>
            </w:r>
            <w:r>
              <w:rPr>
                <w:rFonts w:ascii="Arial"/>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9" w:right="0"/>
              <w:jc w:val="left"/>
              <w:rPr>
                <w:rFonts w:ascii="Arial" w:hAnsi="Arial" w:cs="Arial" w:eastAsia="Arial" w:hint="default"/>
                <w:sz w:val="18"/>
                <w:szCs w:val="18"/>
              </w:rPr>
            </w:pPr>
            <w:r>
              <w:rPr>
                <w:rFonts w:ascii="Arial"/>
                <w:sz w:val="18"/>
              </w:rPr>
              <w:t>4,011,820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Arial" w:hAnsi="Arial" w:cs="Arial" w:eastAsia="Arial" w:hint="default"/>
                <w:sz w:val="18"/>
                <w:szCs w:val="18"/>
              </w:rPr>
            </w:pPr>
            <w:r>
              <w:rPr>
                <w:rFonts w:ascii="Arial"/>
                <w:w w:val="99"/>
                <w:sz w:val="18"/>
              </w:rPr>
              <w:t>-</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7"/>
              <w:jc w:val="right"/>
              <w:rPr>
                <w:rFonts w:ascii="Arial" w:hAnsi="Arial" w:cs="Arial" w:eastAsia="Arial" w:hint="default"/>
                <w:sz w:val="18"/>
                <w:szCs w:val="18"/>
              </w:rPr>
            </w:pPr>
            <w:r>
              <w:rPr>
                <w:rFonts w:ascii="Arial"/>
                <w:spacing w:val="-1"/>
                <w:sz w:val="18"/>
              </w:rPr>
              <w:t>93,688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
              <w:jc w:val="right"/>
              <w:rPr>
                <w:rFonts w:ascii="Arial" w:hAnsi="Arial" w:cs="Arial" w:eastAsia="Arial" w:hint="default"/>
                <w:sz w:val="18"/>
                <w:szCs w:val="18"/>
              </w:rPr>
            </w:pPr>
            <w:r>
              <w:rPr>
                <w:rFonts w:ascii="Arial"/>
                <w:spacing w:val="-10"/>
                <w:w w:val="95"/>
                <w:sz w:val="18"/>
              </w:rPr>
              <w:t>4,105,508</w:t>
            </w:r>
            <w:r>
              <w:rPr>
                <w:rFonts w:ascii="Arial"/>
                <w:sz w:val="18"/>
              </w:rPr>
            </w:r>
          </w:p>
        </w:tc>
      </w:tr>
      <w:tr>
        <w:trPr>
          <w:trHeight w:val="245"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49"/>
              <w:jc w:val="center"/>
              <w:rPr>
                <w:rFonts w:ascii="Arial" w:hAnsi="Arial" w:cs="Arial" w:eastAsia="Arial" w:hint="default"/>
                <w:sz w:val="18"/>
                <w:szCs w:val="18"/>
              </w:rPr>
            </w:pPr>
            <w:r>
              <w:rPr>
                <w:rFonts w:ascii="宋体" w:hAnsi="宋体" w:cs="宋体" w:eastAsia="宋体" w:hint="default"/>
                <w:spacing w:val="-13"/>
                <w:sz w:val="18"/>
                <w:szCs w:val="18"/>
              </w:rPr>
              <w:t>五</w:t>
            </w:r>
            <w:r>
              <w:rPr>
                <w:rFonts w:ascii="Arial" w:hAnsi="Arial" w:cs="Arial" w:eastAsia="Arial" w:hint="default"/>
                <w:spacing w:val="-13"/>
                <w:sz w:val="18"/>
                <w:szCs w:val="18"/>
              </w:rPr>
              <w:t>.47</w:t>
            </w:r>
            <w:r>
              <w:rPr>
                <w:rFonts w:ascii="Arial" w:hAnsi="Arial" w:cs="Arial" w:eastAsia="Arial"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4"/>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1"/>
              <w:jc w:val="right"/>
              <w:rPr>
                <w:rFonts w:ascii="Arial" w:hAnsi="Arial" w:cs="Arial" w:eastAsia="Arial" w:hint="default"/>
                <w:sz w:val="18"/>
                <w:szCs w:val="18"/>
              </w:rPr>
            </w:pPr>
            <w:r>
              <w:rPr>
                <w:rFonts w:ascii="Arial"/>
                <w:w w:val="99"/>
                <w:sz w:val="18"/>
              </w:rPr>
              <w:t>-</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Arial" w:hAnsi="Arial" w:cs="Arial" w:eastAsia="Arial" w:hint="default"/>
                <w:sz w:val="18"/>
                <w:szCs w:val="18"/>
              </w:rPr>
            </w:pPr>
            <w:r>
              <w:rPr>
                <w:rFonts w:ascii="Arial"/>
                <w:w w:val="99"/>
                <w:sz w:val="18"/>
              </w:rPr>
              <w:t>-</w:t>
            </w:r>
            <w:r>
              <w:rPr>
                <w:rFonts w:ascii="Arial"/>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4"/>
              <w:jc w:val="right"/>
              <w:rPr>
                <w:rFonts w:ascii="Arial" w:hAnsi="Arial" w:cs="Arial" w:eastAsia="Arial" w:hint="default"/>
                <w:sz w:val="18"/>
                <w:szCs w:val="18"/>
              </w:rPr>
            </w:pPr>
            <w:r>
              <w:rPr>
                <w:rFonts w:ascii="Arial"/>
                <w:w w:val="99"/>
                <w:sz w:val="18"/>
              </w:rPr>
              <w:t>-</w:t>
            </w:r>
            <w:r>
              <w:rPr>
                <w:rFonts w:ascii="Arial"/>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right"/>
              <w:rPr>
                <w:rFonts w:ascii="Arial" w:hAnsi="Arial" w:cs="Arial" w:eastAsia="Arial" w:hint="default"/>
                <w:sz w:val="18"/>
                <w:szCs w:val="18"/>
              </w:rPr>
            </w:pPr>
            <w:r>
              <w:rPr>
                <w:rFonts w:ascii="Arial"/>
                <w:spacing w:val="-1"/>
                <w:w w:val="95"/>
                <w:sz w:val="18"/>
              </w:rPr>
              <w:t>7,523</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8"/>
              <w:jc w:val="right"/>
              <w:rPr>
                <w:rFonts w:ascii="Arial" w:hAnsi="Arial" w:cs="Arial" w:eastAsia="Arial" w:hint="default"/>
                <w:sz w:val="18"/>
                <w:szCs w:val="18"/>
              </w:rPr>
            </w:pPr>
            <w:r>
              <w:rPr>
                <w:rFonts w:ascii="Arial"/>
                <w:w w:val="99"/>
                <w:sz w:val="18"/>
              </w:rPr>
              <w:t>-</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right"/>
              <w:rPr>
                <w:rFonts w:ascii="Arial" w:hAnsi="Arial" w:cs="Arial" w:eastAsia="Arial" w:hint="default"/>
                <w:sz w:val="18"/>
                <w:szCs w:val="18"/>
              </w:rPr>
            </w:pPr>
            <w:r>
              <w:rPr>
                <w:rFonts w:ascii="Arial"/>
                <w:spacing w:val="-1"/>
                <w:w w:val="95"/>
                <w:sz w:val="18"/>
              </w:rPr>
              <w:t>7,523</w:t>
            </w:r>
            <w:r>
              <w:rPr>
                <w:rFonts w:ascii="Arial"/>
                <w:sz w:val="18"/>
              </w:rPr>
            </w:r>
          </w:p>
        </w:tc>
      </w:tr>
      <w:tr>
        <w:trPr>
          <w:trHeight w:val="244"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股东投入和减少资本</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股份支付计入股东权益</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pacing w:val="-13"/>
                <w:sz w:val="18"/>
                <w:szCs w:val="18"/>
              </w:rPr>
              <w:t>五</w:t>
            </w:r>
            <w:r>
              <w:rPr>
                <w:rFonts w:ascii="Arial" w:hAnsi="Arial" w:cs="Arial" w:eastAsia="Arial" w:hint="default"/>
                <w:spacing w:val="-13"/>
                <w:sz w:val="18"/>
                <w:szCs w:val="18"/>
              </w:rPr>
              <w:t>.32</w:t>
            </w:r>
            <w:r>
              <w:rPr>
                <w:rFonts w:ascii="Arial" w:hAnsi="Arial" w:cs="Arial" w:eastAsia="Arial"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4"/>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0"/>
              <w:jc w:val="right"/>
              <w:rPr>
                <w:rFonts w:ascii="Arial" w:hAnsi="Arial" w:cs="Arial" w:eastAsia="Arial" w:hint="default"/>
                <w:sz w:val="18"/>
                <w:szCs w:val="18"/>
              </w:rPr>
            </w:pPr>
            <w:r>
              <w:rPr>
                <w:rFonts w:ascii="Arial"/>
                <w:spacing w:val="-1"/>
                <w:sz w:val="18"/>
              </w:rPr>
              <w:t>14,543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Arial" w:hAnsi="Arial" w:cs="Arial" w:eastAsia="Arial" w:hint="default"/>
                <w:sz w:val="18"/>
                <w:szCs w:val="18"/>
              </w:rPr>
            </w:pPr>
            <w:r>
              <w:rPr>
                <w:rFonts w:ascii="Arial"/>
                <w:w w:val="99"/>
                <w:sz w:val="18"/>
              </w:rPr>
              <w:t>-</w:t>
            </w:r>
            <w:r>
              <w:rPr>
                <w:rFonts w:ascii="Arial"/>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
              <w:jc w:val="right"/>
              <w:rPr>
                <w:rFonts w:ascii="Arial" w:hAnsi="Arial" w:cs="Arial" w:eastAsia="Arial" w:hint="default"/>
                <w:sz w:val="18"/>
                <w:szCs w:val="18"/>
              </w:rPr>
            </w:pPr>
            <w:r>
              <w:rPr>
                <w:rFonts w:ascii="Arial"/>
                <w:w w:val="99"/>
                <w:sz w:val="18"/>
              </w:rPr>
              <w:t>-</w:t>
            </w:r>
            <w:r>
              <w:rPr>
                <w:rFonts w:ascii="Arial"/>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Arial" w:hAnsi="Arial" w:cs="Arial" w:eastAsia="Arial" w:hint="default"/>
                <w:sz w:val="18"/>
                <w:szCs w:val="18"/>
              </w:rPr>
            </w:pPr>
            <w:r>
              <w:rPr>
                <w:rFonts w:ascii="Arial"/>
                <w:w w:val="99"/>
                <w:sz w:val="18"/>
              </w:rPr>
              <w:t>-</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8"/>
              <w:jc w:val="right"/>
              <w:rPr>
                <w:rFonts w:ascii="Arial" w:hAnsi="Arial" w:cs="Arial" w:eastAsia="Arial" w:hint="default"/>
                <w:sz w:val="18"/>
                <w:szCs w:val="18"/>
              </w:rPr>
            </w:pPr>
            <w:r>
              <w:rPr>
                <w:rFonts w:ascii="Arial"/>
                <w:w w:val="99"/>
                <w:sz w:val="18"/>
              </w:rPr>
              <w:t>-</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
              <w:jc w:val="right"/>
              <w:rPr>
                <w:rFonts w:ascii="Arial" w:hAnsi="Arial" w:cs="Arial" w:eastAsia="Arial" w:hint="default"/>
                <w:sz w:val="18"/>
                <w:szCs w:val="18"/>
              </w:rPr>
            </w:pPr>
            <w:r>
              <w:rPr>
                <w:rFonts w:ascii="Arial"/>
                <w:spacing w:val="-1"/>
                <w:sz w:val="18"/>
              </w:rPr>
              <w:t>14,543</w:t>
            </w:r>
          </w:p>
        </w:tc>
      </w:tr>
      <w:tr>
        <w:trPr>
          <w:trHeight w:val="245"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少数股东投入资本</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4"/>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1"/>
              <w:jc w:val="right"/>
              <w:rPr>
                <w:rFonts w:ascii="Arial" w:hAnsi="Arial" w:cs="Arial" w:eastAsia="Arial" w:hint="default"/>
                <w:sz w:val="18"/>
                <w:szCs w:val="18"/>
              </w:rPr>
            </w:pPr>
            <w:r>
              <w:rPr>
                <w:rFonts w:ascii="Arial"/>
                <w:w w:val="99"/>
                <w:sz w:val="18"/>
              </w:rPr>
              <w:t>-</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Arial" w:hAnsi="Arial" w:cs="Arial" w:eastAsia="Arial" w:hint="default"/>
                <w:sz w:val="18"/>
                <w:szCs w:val="18"/>
              </w:rPr>
            </w:pPr>
            <w:r>
              <w:rPr>
                <w:rFonts w:ascii="Arial"/>
                <w:w w:val="99"/>
                <w:sz w:val="18"/>
              </w:rPr>
              <w:t>-</w:t>
            </w:r>
            <w:r>
              <w:rPr>
                <w:rFonts w:ascii="Arial"/>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4"/>
              <w:jc w:val="right"/>
              <w:rPr>
                <w:rFonts w:ascii="Arial" w:hAnsi="Arial" w:cs="Arial" w:eastAsia="Arial" w:hint="default"/>
                <w:sz w:val="18"/>
                <w:szCs w:val="18"/>
              </w:rPr>
            </w:pPr>
            <w:r>
              <w:rPr>
                <w:rFonts w:ascii="Arial"/>
                <w:w w:val="99"/>
                <w:sz w:val="18"/>
              </w:rPr>
              <w:t>-</w:t>
            </w:r>
            <w:r>
              <w:rPr>
                <w:rFonts w:ascii="Arial"/>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Arial" w:hAnsi="Arial" w:cs="Arial" w:eastAsia="Arial" w:hint="default"/>
                <w:sz w:val="18"/>
                <w:szCs w:val="18"/>
              </w:rPr>
            </w:pPr>
            <w:r>
              <w:rPr>
                <w:rFonts w:ascii="Arial"/>
                <w:w w:val="99"/>
                <w:sz w:val="18"/>
              </w:rPr>
              <w:t>-</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4" w:right="0"/>
              <w:jc w:val="left"/>
              <w:rPr>
                <w:rFonts w:ascii="Arial" w:hAnsi="Arial" w:cs="Arial" w:eastAsia="Arial" w:hint="default"/>
                <w:sz w:val="18"/>
                <w:szCs w:val="18"/>
              </w:rPr>
            </w:pPr>
            <w:r>
              <w:rPr>
                <w:rFonts w:ascii="Arial"/>
                <w:sz w:val="18"/>
              </w:rPr>
              <w:t>41,226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
              <w:jc w:val="right"/>
              <w:rPr>
                <w:rFonts w:ascii="Arial" w:hAnsi="Arial" w:cs="Arial" w:eastAsia="Arial" w:hint="default"/>
                <w:sz w:val="18"/>
                <w:szCs w:val="18"/>
              </w:rPr>
            </w:pPr>
            <w:r>
              <w:rPr>
                <w:rFonts w:ascii="Arial"/>
                <w:spacing w:val="-1"/>
                <w:sz w:val="18"/>
              </w:rPr>
              <w:t>41,226</w:t>
            </w:r>
          </w:p>
        </w:tc>
      </w:tr>
      <w:tr>
        <w:trPr>
          <w:trHeight w:val="244"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少数股东减少资本</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4"/>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Arial" w:hAnsi="Arial" w:cs="Arial" w:eastAsia="Arial" w:hint="default"/>
                <w:sz w:val="18"/>
                <w:szCs w:val="18"/>
              </w:rPr>
            </w:pPr>
            <w:r>
              <w:rPr>
                <w:rFonts w:ascii="Arial"/>
                <w:spacing w:val="-1"/>
                <w:sz w:val="18"/>
              </w:rPr>
              <w:t>(2,836)</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Arial" w:hAnsi="Arial" w:cs="Arial" w:eastAsia="Arial" w:hint="default"/>
                <w:sz w:val="18"/>
                <w:szCs w:val="18"/>
              </w:rPr>
            </w:pPr>
            <w:r>
              <w:rPr>
                <w:rFonts w:ascii="Arial"/>
                <w:w w:val="99"/>
                <w:sz w:val="18"/>
              </w:rPr>
              <w:t>-</w:t>
            </w:r>
            <w:r>
              <w:rPr>
                <w:rFonts w:ascii="Arial"/>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
              <w:jc w:val="right"/>
              <w:rPr>
                <w:rFonts w:ascii="Arial" w:hAnsi="Arial" w:cs="Arial" w:eastAsia="Arial" w:hint="default"/>
                <w:sz w:val="18"/>
                <w:szCs w:val="18"/>
              </w:rPr>
            </w:pPr>
            <w:r>
              <w:rPr>
                <w:rFonts w:ascii="Arial"/>
                <w:w w:val="99"/>
                <w:sz w:val="18"/>
              </w:rPr>
              <w:t>-</w:t>
            </w:r>
            <w:r>
              <w:rPr>
                <w:rFonts w:ascii="Arial"/>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Arial" w:hAnsi="Arial" w:cs="Arial" w:eastAsia="Arial" w:hint="default"/>
                <w:sz w:val="18"/>
                <w:szCs w:val="18"/>
              </w:rPr>
            </w:pPr>
            <w:r>
              <w:rPr>
                <w:rFonts w:ascii="Arial"/>
                <w:w w:val="99"/>
                <w:sz w:val="18"/>
              </w:rPr>
              <w:t>-</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6"/>
              <w:jc w:val="right"/>
              <w:rPr>
                <w:rFonts w:ascii="Arial" w:hAnsi="Arial" w:cs="Arial" w:eastAsia="Arial" w:hint="default"/>
                <w:sz w:val="18"/>
                <w:szCs w:val="18"/>
              </w:rPr>
            </w:pPr>
            <w:r>
              <w:rPr>
                <w:rFonts w:ascii="Arial"/>
                <w:spacing w:val="-1"/>
                <w:w w:val="95"/>
                <w:sz w:val="18"/>
              </w:rPr>
              <w:t>(2,077)</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1"/>
              <w:jc w:val="right"/>
              <w:rPr>
                <w:rFonts w:ascii="Arial" w:hAnsi="Arial" w:cs="Arial" w:eastAsia="Arial" w:hint="default"/>
                <w:sz w:val="18"/>
                <w:szCs w:val="18"/>
              </w:rPr>
            </w:pPr>
            <w:r>
              <w:rPr>
                <w:rFonts w:ascii="Arial"/>
                <w:spacing w:val="-1"/>
                <w:w w:val="95"/>
                <w:sz w:val="18"/>
              </w:rPr>
              <w:t>(4,913)</w:t>
            </w:r>
            <w:r>
              <w:rPr>
                <w:rFonts w:ascii="Arial"/>
                <w:sz w:val="18"/>
              </w:rPr>
            </w:r>
          </w:p>
        </w:tc>
      </w:tr>
      <w:tr>
        <w:trPr>
          <w:trHeight w:val="244"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pacing w:val="-13"/>
                <w:sz w:val="18"/>
                <w:szCs w:val="18"/>
              </w:rPr>
              <w:t>五</w:t>
            </w:r>
            <w:r>
              <w:rPr>
                <w:rFonts w:ascii="Arial" w:hAnsi="Arial" w:cs="Arial" w:eastAsia="Arial" w:hint="default"/>
                <w:spacing w:val="-13"/>
                <w:sz w:val="18"/>
                <w:szCs w:val="18"/>
              </w:rPr>
              <w:t>.33</w:t>
            </w:r>
            <w:r>
              <w:rPr>
                <w:rFonts w:ascii="Arial" w:hAnsi="Arial" w:cs="Arial" w:eastAsia="Arial"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4"/>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1"/>
              <w:jc w:val="right"/>
              <w:rPr>
                <w:rFonts w:ascii="Arial" w:hAnsi="Arial" w:cs="Arial" w:eastAsia="Arial" w:hint="default"/>
                <w:sz w:val="18"/>
                <w:szCs w:val="18"/>
              </w:rPr>
            </w:pPr>
            <w:r>
              <w:rPr>
                <w:rFonts w:ascii="Arial"/>
                <w:w w:val="99"/>
                <w:sz w:val="18"/>
              </w:rPr>
              <w:t>-</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4"/>
              <w:jc w:val="right"/>
              <w:rPr>
                <w:rFonts w:ascii="Arial" w:hAnsi="Arial" w:cs="Arial" w:eastAsia="Arial" w:hint="default"/>
                <w:sz w:val="18"/>
                <w:szCs w:val="18"/>
              </w:rPr>
            </w:pPr>
            <w:r>
              <w:rPr>
                <w:rFonts w:ascii="Arial"/>
                <w:spacing w:val="-1"/>
                <w:sz w:val="18"/>
              </w:rPr>
              <w:t>229,064</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right"/>
              <w:rPr>
                <w:rFonts w:ascii="Arial" w:hAnsi="Arial" w:cs="Arial" w:eastAsia="Arial" w:hint="default"/>
                <w:sz w:val="18"/>
                <w:szCs w:val="18"/>
              </w:rPr>
            </w:pPr>
            <w:r>
              <w:rPr>
                <w:rFonts w:ascii="Arial"/>
                <w:spacing w:val="-1"/>
                <w:sz w:val="18"/>
              </w:rPr>
              <w:t>(229,064)</w:t>
            </w:r>
            <w:r>
              <w:rPr>
                <w:rFonts w:ascii="Arial"/>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right"/>
              <w:rPr>
                <w:rFonts w:ascii="Arial" w:hAnsi="Arial" w:cs="Arial" w:eastAsia="Arial" w:hint="default"/>
                <w:sz w:val="18"/>
                <w:szCs w:val="18"/>
              </w:rPr>
            </w:pPr>
            <w:r>
              <w:rPr>
                <w:rFonts w:ascii="Arial"/>
                <w:w w:val="99"/>
                <w:sz w:val="18"/>
              </w:rPr>
              <w:t>-</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7"/>
              <w:jc w:val="right"/>
              <w:rPr>
                <w:rFonts w:ascii="Arial" w:hAnsi="Arial" w:cs="Arial" w:eastAsia="Arial" w:hint="default"/>
                <w:sz w:val="18"/>
                <w:szCs w:val="18"/>
              </w:rPr>
            </w:pPr>
            <w:r>
              <w:rPr>
                <w:rFonts w:ascii="Arial"/>
                <w:w w:val="99"/>
                <w:sz w:val="18"/>
              </w:rPr>
              <w:t>-</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3"/>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pacing w:val="-13"/>
                <w:sz w:val="18"/>
                <w:szCs w:val="18"/>
              </w:rPr>
              <w:t>五</w:t>
            </w:r>
            <w:r>
              <w:rPr>
                <w:rFonts w:ascii="Arial" w:hAnsi="Arial" w:cs="Arial" w:eastAsia="Arial" w:hint="default"/>
                <w:spacing w:val="-13"/>
                <w:sz w:val="18"/>
                <w:szCs w:val="18"/>
              </w:rPr>
              <w:t>.34</w:t>
            </w:r>
            <w:r>
              <w:rPr>
                <w:rFonts w:ascii="Arial" w:hAnsi="Arial" w:cs="Arial" w:eastAsia="Arial"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
              <w:jc w:val="right"/>
              <w:rPr>
                <w:rFonts w:ascii="Arial" w:hAnsi="Arial" w:cs="Arial" w:eastAsia="Arial" w:hint="default"/>
                <w:sz w:val="18"/>
                <w:szCs w:val="18"/>
              </w:rPr>
            </w:pPr>
            <w:r>
              <w:rPr>
                <w:rFonts w:ascii="Arial"/>
                <w:w w:val="99"/>
                <w:sz w:val="18"/>
              </w:rPr>
              <w:t>-</w:t>
            </w:r>
            <w:r>
              <w:rPr>
                <w:rFonts w:ascii="Arial"/>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1"/>
              <w:jc w:val="right"/>
              <w:rPr>
                <w:rFonts w:ascii="Arial" w:hAnsi="Arial" w:cs="Arial" w:eastAsia="Arial" w:hint="default"/>
                <w:sz w:val="18"/>
                <w:szCs w:val="18"/>
              </w:rPr>
            </w:pPr>
            <w:r>
              <w:rPr>
                <w:rFonts w:ascii="Arial"/>
                <w:w w:val="99"/>
                <w:sz w:val="18"/>
              </w:rPr>
              <w:t>-</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Arial" w:hAnsi="Arial" w:cs="Arial" w:eastAsia="Arial" w:hint="default"/>
                <w:sz w:val="18"/>
                <w:szCs w:val="18"/>
              </w:rPr>
            </w:pPr>
            <w:r>
              <w:rPr>
                <w:rFonts w:ascii="Arial"/>
                <w:w w:val="99"/>
                <w:sz w:val="18"/>
              </w:rPr>
              <w:t>-</w:t>
            </w:r>
            <w:r>
              <w:rPr>
                <w:rFonts w:ascii="Arial"/>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right"/>
              <w:rPr>
                <w:rFonts w:ascii="Arial" w:hAnsi="Arial" w:cs="Arial" w:eastAsia="Arial" w:hint="default"/>
                <w:sz w:val="18"/>
                <w:szCs w:val="18"/>
              </w:rPr>
            </w:pPr>
            <w:r>
              <w:rPr>
                <w:rFonts w:ascii="Arial"/>
                <w:spacing w:val="-1"/>
                <w:sz w:val="18"/>
              </w:rPr>
              <w:t>(233,207)</w:t>
            </w:r>
            <w:r>
              <w:rPr>
                <w:rFonts w:ascii="Arial"/>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Arial" w:hAnsi="Arial" w:cs="Arial" w:eastAsia="Arial" w:hint="default"/>
                <w:sz w:val="18"/>
                <w:szCs w:val="18"/>
              </w:rPr>
            </w:pPr>
            <w:r>
              <w:rPr>
                <w:rFonts w:ascii="Arial"/>
                <w:w w:val="99"/>
                <w:sz w:val="18"/>
              </w:rPr>
              <w:t>-</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5"/>
              <w:jc w:val="right"/>
              <w:rPr>
                <w:rFonts w:ascii="Arial" w:hAnsi="Arial" w:cs="Arial" w:eastAsia="Arial" w:hint="default"/>
                <w:sz w:val="18"/>
                <w:szCs w:val="18"/>
              </w:rPr>
            </w:pPr>
            <w:r>
              <w:rPr>
                <w:rFonts w:ascii="Arial"/>
                <w:spacing w:val="-1"/>
                <w:sz w:val="18"/>
              </w:rPr>
              <w:t>(10,272)</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right"/>
              <w:rPr>
                <w:rFonts w:ascii="Arial" w:hAnsi="Arial" w:cs="Arial" w:eastAsia="Arial" w:hint="default"/>
                <w:sz w:val="18"/>
                <w:szCs w:val="18"/>
              </w:rPr>
            </w:pPr>
            <w:r>
              <w:rPr>
                <w:rFonts w:ascii="Arial"/>
                <w:spacing w:val="-1"/>
                <w:sz w:val="18"/>
              </w:rPr>
              <w:t>(243,479)</w:t>
            </w:r>
            <w:r>
              <w:rPr>
                <w:rFonts w:ascii="Arial"/>
                <w:sz w:val="18"/>
              </w:rPr>
            </w:r>
          </w:p>
        </w:tc>
      </w:tr>
      <w:tr>
        <w:trPr>
          <w:trHeight w:val="244"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股东权益内部结转</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7"/>
              <w:jc w:val="center"/>
              <w:rPr>
                <w:rFonts w:ascii="Arial" w:hAnsi="Arial" w:cs="Arial" w:eastAsia="Arial" w:hint="default"/>
                <w:sz w:val="18"/>
                <w:szCs w:val="18"/>
              </w:rPr>
            </w:pPr>
            <w:r>
              <w:rPr>
                <w:rFonts w:ascii="宋体" w:hAnsi="宋体" w:cs="宋体" w:eastAsia="宋体" w:hint="default"/>
                <w:spacing w:val="-14"/>
                <w:sz w:val="18"/>
                <w:szCs w:val="18"/>
              </w:rPr>
              <w:t>五</w:t>
            </w:r>
            <w:r>
              <w:rPr>
                <w:rFonts w:ascii="Arial" w:hAnsi="Arial" w:cs="Arial" w:eastAsia="Arial" w:hint="default"/>
                <w:spacing w:val="-14"/>
                <w:sz w:val="18"/>
                <w:szCs w:val="18"/>
              </w:rPr>
              <w:t>.31</w:t>
            </w:r>
            <w:r>
              <w:rPr>
                <w:rFonts w:ascii="宋体" w:hAnsi="宋体" w:cs="宋体" w:eastAsia="宋体" w:hint="default"/>
                <w:spacing w:val="-14"/>
                <w:sz w:val="18"/>
                <w:szCs w:val="18"/>
              </w:rPr>
              <w:t>、五</w:t>
            </w:r>
            <w:r>
              <w:rPr>
                <w:rFonts w:ascii="Arial" w:hAnsi="Arial" w:cs="Arial" w:eastAsia="Arial" w:hint="default"/>
                <w:spacing w:val="-14"/>
                <w:sz w:val="18"/>
                <w:szCs w:val="18"/>
              </w:rPr>
              <w:t>.32</w:t>
            </w:r>
            <w:r>
              <w:rPr>
                <w:rFonts w:ascii="Arial" w:hAnsi="Arial" w:cs="Arial" w:eastAsia="Arial" w:hint="default"/>
                <w:sz w:val="18"/>
                <w:szCs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
              <w:jc w:val="right"/>
              <w:rPr>
                <w:rFonts w:ascii="Arial" w:hAnsi="Arial" w:cs="Arial" w:eastAsia="Arial" w:hint="default"/>
                <w:sz w:val="18"/>
                <w:szCs w:val="18"/>
              </w:rPr>
            </w:pPr>
            <w:r>
              <w:rPr>
                <w:rFonts w:ascii="Arial"/>
                <w:spacing w:val="-1"/>
                <w:sz w:val="18"/>
              </w:rPr>
              <w:t>2,332,071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right"/>
              <w:rPr>
                <w:rFonts w:ascii="Arial" w:hAnsi="Arial" w:cs="Arial" w:eastAsia="Arial" w:hint="default"/>
                <w:sz w:val="18"/>
                <w:szCs w:val="18"/>
              </w:rPr>
            </w:pPr>
            <w:r>
              <w:rPr>
                <w:rFonts w:ascii="Arial"/>
                <w:spacing w:val="-1"/>
                <w:sz w:val="18"/>
              </w:rPr>
              <w:t>(2,332,071)</w:t>
            </w:r>
            <w:r>
              <w:rPr>
                <w:rFonts w:ascii="Arial"/>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3"/>
              <w:jc w:val="right"/>
              <w:rPr>
                <w:rFonts w:ascii="Arial" w:hAnsi="Arial" w:cs="Arial" w:eastAsia="Arial" w:hint="default"/>
                <w:sz w:val="18"/>
                <w:szCs w:val="18"/>
              </w:rPr>
            </w:pPr>
            <w:r>
              <w:rPr>
                <w:rFonts w:ascii="Arial"/>
                <w:w w:val="99"/>
                <w:sz w:val="18"/>
              </w:rPr>
              <w:t>-</w:t>
            </w:r>
            <w:r>
              <w:rPr>
                <w:rFonts w:ascii="Arial"/>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4"/>
              <w:jc w:val="right"/>
              <w:rPr>
                <w:rFonts w:ascii="Arial" w:hAnsi="Arial" w:cs="Arial" w:eastAsia="Arial" w:hint="default"/>
                <w:sz w:val="18"/>
                <w:szCs w:val="18"/>
              </w:rPr>
            </w:pPr>
            <w:r>
              <w:rPr>
                <w:rFonts w:ascii="Arial"/>
                <w:w w:val="99"/>
                <w:sz w:val="18"/>
              </w:rPr>
              <w:t>-</w:t>
            </w:r>
            <w:r>
              <w:rPr>
                <w:rFonts w:ascii="Arial"/>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Arial" w:hAnsi="Arial" w:cs="Arial" w:eastAsia="Arial" w:hint="default"/>
                <w:sz w:val="18"/>
                <w:szCs w:val="18"/>
              </w:rPr>
            </w:pPr>
            <w:r>
              <w:rPr>
                <w:rFonts w:ascii="Arial"/>
                <w:w w:val="99"/>
                <w:sz w:val="18"/>
              </w:rPr>
              <w:t>-</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8"/>
              <w:jc w:val="right"/>
              <w:rPr>
                <w:rFonts w:ascii="Arial" w:hAnsi="Arial" w:cs="Arial" w:eastAsia="Arial" w:hint="default"/>
                <w:sz w:val="18"/>
                <w:szCs w:val="18"/>
              </w:rPr>
            </w:pPr>
            <w:r>
              <w:rPr>
                <w:rFonts w:ascii="Arial"/>
                <w:w w:val="99"/>
                <w:sz w:val="18"/>
              </w:rPr>
              <w:t>-</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4"/>
              <w:jc w:val="right"/>
              <w:rPr>
                <w:rFonts w:ascii="Arial" w:hAnsi="Arial" w:cs="Arial" w:eastAsia="Arial" w:hint="default"/>
                <w:sz w:val="18"/>
                <w:szCs w:val="18"/>
              </w:rPr>
            </w:pPr>
            <w:r>
              <w:rPr>
                <w:rFonts w:ascii="Arial"/>
                <w:w w:val="99"/>
                <w:sz w:val="18"/>
              </w:rPr>
              <w:t>-</w:t>
            </w:r>
            <w:r>
              <w:rPr>
                <w:rFonts w:ascii="Arial"/>
                <w:sz w:val="18"/>
              </w:rPr>
            </w:r>
          </w:p>
        </w:tc>
      </w:tr>
      <w:tr>
        <w:trPr>
          <w:trHeight w:val="216" w:hRule="exact"/>
        </w:trPr>
        <w:tc>
          <w:tcPr>
            <w:tcW w:w="250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7"/>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日年末余额</w:t>
            </w:r>
          </w:p>
        </w:tc>
        <w:tc>
          <w:tcPr>
            <w:tcW w:w="103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5"/>
              <w:jc w:val="right"/>
              <w:rPr>
                <w:rFonts w:ascii="Arial" w:hAnsi="Arial" w:cs="Arial" w:eastAsia="Arial" w:hint="default"/>
                <w:sz w:val="18"/>
                <w:szCs w:val="18"/>
              </w:rPr>
            </w:pPr>
            <w:r>
              <w:rPr>
                <w:rFonts w:ascii="Arial"/>
                <w:spacing w:val="-1"/>
                <w:sz w:val="18"/>
              </w:rPr>
              <w:t>6,996,212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9" w:right="0"/>
              <w:jc w:val="left"/>
              <w:rPr>
                <w:rFonts w:ascii="Arial" w:hAnsi="Arial" w:cs="Arial" w:eastAsia="Arial" w:hint="default"/>
                <w:sz w:val="18"/>
                <w:szCs w:val="18"/>
              </w:rPr>
            </w:pPr>
            <w:r>
              <w:rPr>
                <w:rFonts w:ascii="Arial"/>
                <w:sz w:val="18"/>
              </w:rPr>
              <w:t>655,288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4"/>
              <w:jc w:val="right"/>
              <w:rPr>
                <w:rFonts w:ascii="Arial" w:hAnsi="Arial" w:cs="Arial" w:eastAsia="Arial" w:hint="default"/>
                <w:sz w:val="18"/>
                <w:szCs w:val="18"/>
              </w:rPr>
            </w:pPr>
            <w:r>
              <w:rPr>
                <w:rFonts w:ascii="Arial"/>
                <w:spacing w:val="-1"/>
                <w:sz w:val="18"/>
              </w:rPr>
              <w:t>746,529</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6" w:right="0"/>
              <w:jc w:val="left"/>
              <w:rPr>
                <w:rFonts w:ascii="Arial" w:hAnsi="Arial" w:cs="Arial" w:eastAsia="Arial" w:hint="default"/>
                <w:sz w:val="18"/>
                <w:szCs w:val="18"/>
              </w:rPr>
            </w:pPr>
            <w:r>
              <w:rPr>
                <w:rFonts w:ascii="Arial"/>
                <w:sz w:val="18"/>
              </w:rPr>
              <w:t>9,932,866</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Arial" w:hAnsi="Arial" w:cs="Arial" w:eastAsia="Arial" w:hint="default"/>
                <w:sz w:val="18"/>
                <w:szCs w:val="18"/>
              </w:rPr>
            </w:pPr>
            <w:r>
              <w:rPr>
                <w:rFonts w:ascii="Arial"/>
                <w:spacing w:val="-1"/>
                <w:w w:val="95"/>
                <w:sz w:val="18"/>
              </w:rPr>
              <w:t>7,294</w:t>
            </w:r>
            <w:r>
              <w:rPr>
                <w:rFonts w:ascii="Arial"/>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4"/>
              <w:jc w:val="right"/>
              <w:rPr>
                <w:rFonts w:ascii="Arial" w:hAnsi="Arial" w:cs="Arial" w:eastAsia="Arial" w:hint="default"/>
                <w:sz w:val="18"/>
                <w:szCs w:val="18"/>
              </w:rPr>
            </w:pPr>
            <w:r>
              <w:rPr>
                <w:rFonts w:ascii="Arial"/>
                <w:spacing w:val="-1"/>
                <w:sz w:val="18"/>
              </w:rPr>
              <w:t>507,202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
              <w:jc w:val="right"/>
              <w:rPr>
                <w:rFonts w:ascii="Arial" w:hAnsi="Arial" w:cs="Arial" w:eastAsia="Arial" w:hint="default"/>
                <w:sz w:val="18"/>
                <w:szCs w:val="18"/>
              </w:rPr>
            </w:pPr>
            <w:r>
              <w:rPr>
                <w:rFonts w:ascii="Arial"/>
                <w:spacing w:val="-11"/>
                <w:sz w:val="18"/>
              </w:rPr>
              <w:t>18,845,391</w:t>
            </w:r>
            <w:r>
              <w:rPr>
                <w:rFonts w:ascii="Arial"/>
                <w:sz w:val="18"/>
              </w:rPr>
            </w:r>
          </w:p>
        </w:tc>
      </w:tr>
    </w:tbl>
    <w:p>
      <w:pPr>
        <w:spacing w:line="240" w:lineRule="auto" w:before="2"/>
        <w:rPr>
          <w:rFonts w:ascii="宋体" w:hAnsi="宋体" w:cs="宋体" w:eastAsia="宋体" w:hint="default"/>
          <w:sz w:val="13"/>
          <w:szCs w:val="13"/>
        </w:rPr>
      </w:pPr>
    </w:p>
    <w:p>
      <w:pPr>
        <w:spacing w:before="35"/>
        <w:ind w:left="609" w:right="0" w:firstLine="0"/>
        <w:jc w:val="left"/>
        <w:rPr>
          <w:rFonts w:ascii="宋体" w:hAnsi="宋体" w:cs="宋体" w:eastAsia="宋体" w:hint="default"/>
          <w:sz w:val="21"/>
          <w:szCs w:val="21"/>
        </w:rPr>
      </w:pPr>
      <w:r>
        <w:rPr>
          <w:rFonts w:ascii="宋体" w:hAnsi="宋体" w:cs="宋体" w:eastAsia="宋体" w:hint="default"/>
          <w:sz w:val="21"/>
          <w:szCs w:val="21"/>
        </w:rPr>
        <w:t>后附财务报表附注为财务报表的组成部分。</w:t>
      </w:r>
    </w:p>
    <w:p>
      <w:pPr>
        <w:spacing w:line="240" w:lineRule="auto" w:before="4"/>
        <w:rPr>
          <w:rFonts w:ascii="宋体" w:hAnsi="宋体" w:cs="宋体" w:eastAsia="宋体" w:hint="default"/>
          <w:sz w:val="18"/>
          <w:szCs w:val="18"/>
        </w:rPr>
      </w:pPr>
    </w:p>
    <w:p>
      <w:pPr>
        <w:tabs>
          <w:tab w:pos="3444" w:val="left" w:leader="none"/>
          <w:tab w:pos="7013" w:val="left" w:leader="none"/>
        </w:tabs>
        <w:spacing w:before="0"/>
        <w:ind w:left="609" w:right="0" w:firstLine="0"/>
        <w:jc w:val="left"/>
        <w:rPr>
          <w:rFonts w:ascii="宋体" w:hAnsi="宋体" w:cs="宋体" w:eastAsia="宋体" w:hint="default"/>
          <w:sz w:val="21"/>
          <w:szCs w:val="21"/>
        </w:rPr>
      </w:pPr>
      <w:r>
        <w:rPr>
          <w:rFonts w:ascii="宋体" w:hAnsi="宋体" w:cs="宋体" w:eastAsia="宋体" w:hint="default"/>
          <w:sz w:val="21"/>
          <w:szCs w:val="21"/>
        </w:rPr>
        <w:t>企业负责人： 张近东</w:t>
        <w:tab/>
        <w:t>主管会计工作的负责人：</w:t>
      </w:r>
      <w:r>
        <w:rPr>
          <w:rFonts w:ascii="宋体" w:hAnsi="宋体" w:cs="宋体" w:eastAsia="宋体" w:hint="default"/>
          <w:spacing w:val="-4"/>
          <w:sz w:val="21"/>
          <w:szCs w:val="21"/>
        </w:rPr>
        <w:t> </w:t>
      </w:r>
      <w:r>
        <w:rPr>
          <w:rFonts w:ascii="宋体" w:hAnsi="宋体" w:cs="宋体" w:eastAsia="宋体" w:hint="default"/>
          <w:sz w:val="21"/>
          <w:szCs w:val="21"/>
        </w:rPr>
        <w:t>朱华</w:t>
        <w:tab/>
        <w:t>会计机构负责人：肖忠祥</w:t>
      </w:r>
    </w:p>
    <w:p>
      <w:pPr>
        <w:spacing w:after="0"/>
        <w:jc w:val="left"/>
        <w:rPr>
          <w:rFonts w:ascii="宋体" w:hAnsi="宋体" w:cs="宋体" w:eastAsia="宋体" w:hint="default"/>
          <w:sz w:val="21"/>
          <w:szCs w:val="21"/>
        </w:rPr>
        <w:sectPr>
          <w:headerReference w:type="default" r:id="rId51"/>
          <w:pgSz w:w="11910" w:h="16840"/>
          <w:pgMar w:header="755" w:footer="708" w:top="2000" w:bottom="900" w:left="1120" w:right="8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2628"/>
        <w:gridCol w:w="1284"/>
        <w:gridCol w:w="1134"/>
        <w:gridCol w:w="1134"/>
        <w:gridCol w:w="1134"/>
        <w:gridCol w:w="1134"/>
        <w:gridCol w:w="1134"/>
      </w:tblGrid>
      <w:tr>
        <w:trPr>
          <w:trHeight w:val="245"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tabs>
                <w:tab w:pos="1669" w:val="left" w:leader="none"/>
              </w:tabs>
              <w:spacing w:line="205" w:lineRule="exact"/>
              <w:ind w:left="769" w:right="0"/>
              <w:jc w:val="left"/>
              <w:rPr>
                <w:rFonts w:ascii="黑体" w:hAnsi="黑体" w:cs="黑体" w:eastAsia="黑体" w:hint="default"/>
                <w:sz w:val="18"/>
                <w:szCs w:val="18"/>
              </w:rPr>
            </w:pPr>
            <w:r>
              <w:rPr>
                <w:rFonts w:ascii="黑体" w:hAnsi="黑体" w:cs="黑体" w:eastAsia="黑体" w:hint="default"/>
                <w:sz w:val="18"/>
                <w:szCs w:val="18"/>
              </w:rPr>
              <w:t>项</w:t>
              <w:tab/>
              <w:t>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黑体" w:hAnsi="黑体" w:cs="黑体" w:eastAsia="黑体" w:hint="default"/>
                <w:sz w:val="18"/>
                <w:szCs w:val="18"/>
              </w:rPr>
            </w:pPr>
            <w:r>
              <w:rPr>
                <w:rFonts w:ascii="黑体" w:hAnsi="黑体" w:cs="黑体" w:eastAsia="黑体" w:hint="default"/>
                <w:sz w:val="18"/>
                <w:szCs w:val="18"/>
              </w:rPr>
              <w:t>附注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黑体" w:hAnsi="黑体" w:cs="黑体" w:eastAsia="黑体" w:hint="default"/>
                <w:sz w:val="18"/>
                <w:szCs w:val="18"/>
              </w:rPr>
              <w:t>日年初余额</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2,991,008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1,086,191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364,270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2,373,535</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6,815,004</w:t>
            </w:r>
          </w:p>
        </w:tc>
      </w:tr>
      <w:tr>
        <w:trPr>
          <w:trHeight w:val="245" w:hRule="exact"/>
        </w:trPr>
        <w:tc>
          <w:tcPr>
            <w:tcW w:w="262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黑体" w:hAnsi="黑体" w:cs="黑体" w:eastAsia="黑体" w:hint="default"/>
                <w:sz w:val="18"/>
                <w:szCs w:val="18"/>
              </w:rPr>
              <w:t>年度增减变动额</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1,531,950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1,531,950</w:t>
            </w:r>
          </w:p>
        </w:tc>
      </w:tr>
      <w:tr>
        <w:trPr>
          <w:trHeight w:val="245"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股东投入和减少资本</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股东投入资本</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177,629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2,822,371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3,000,000</w:t>
            </w: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153,195</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
              <w:jc w:val="right"/>
              <w:rPr>
                <w:rFonts w:ascii="Arial" w:hAnsi="Arial" w:cs="Arial" w:eastAsia="Arial" w:hint="default"/>
                <w:sz w:val="18"/>
                <w:szCs w:val="18"/>
              </w:rPr>
            </w:pPr>
            <w:r>
              <w:rPr>
                <w:rFonts w:ascii="Arial"/>
                <w:spacing w:val="-1"/>
                <w:sz w:val="18"/>
              </w:rPr>
              <w:t>(153,195)</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2"/>
              <w:jc w:val="right"/>
              <w:rPr>
                <w:rFonts w:ascii="Arial" w:hAnsi="Arial" w:cs="Arial" w:eastAsia="Arial" w:hint="default"/>
                <w:sz w:val="18"/>
                <w:szCs w:val="18"/>
              </w:rPr>
            </w:pPr>
            <w:r>
              <w:rPr>
                <w:rFonts w:ascii="Arial"/>
                <w:spacing w:val="-1"/>
                <w:sz w:val="18"/>
              </w:rPr>
              <w:t>598,202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4"/>
              <w:jc w:val="right"/>
              <w:rPr>
                <w:rFonts w:ascii="Arial" w:hAnsi="Arial" w:cs="Arial" w:eastAsia="Arial" w:hint="default"/>
                <w:sz w:val="18"/>
                <w:szCs w:val="18"/>
              </w:rPr>
            </w:pPr>
            <w:r>
              <w:rPr>
                <w:rFonts w:ascii="Arial"/>
                <w:spacing w:val="-1"/>
                <w:sz w:val="18"/>
              </w:rPr>
              <w:t>(687,932)</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4"/>
              <w:jc w:val="right"/>
              <w:rPr>
                <w:rFonts w:ascii="Arial" w:hAnsi="Arial" w:cs="Arial" w:eastAsia="Arial" w:hint="default"/>
                <w:sz w:val="18"/>
                <w:szCs w:val="18"/>
              </w:rPr>
            </w:pPr>
            <w:r>
              <w:rPr>
                <w:rFonts w:ascii="Arial"/>
                <w:spacing w:val="-1"/>
                <w:sz w:val="18"/>
              </w:rPr>
              <w:t>(89,730)</w:t>
            </w:r>
            <w:r>
              <w:rPr>
                <w:rFonts w:ascii="Arial"/>
                <w:sz w:val="18"/>
              </w:rPr>
            </w: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股东权益内部结转</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897,302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
              <w:jc w:val="right"/>
              <w:rPr>
                <w:rFonts w:ascii="Arial" w:hAnsi="Arial" w:cs="Arial" w:eastAsia="Arial" w:hint="default"/>
                <w:sz w:val="18"/>
                <w:szCs w:val="18"/>
              </w:rPr>
            </w:pPr>
            <w:r>
              <w:rPr>
                <w:rFonts w:ascii="Arial"/>
                <w:spacing w:val="-1"/>
                <w:sz w:val="18"/>
              </w:rPr>
              <w:t>(897,302)</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2"/>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2"/>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日年末余额</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4,664,141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3"/>
                <w:sz w:val="18"/>
              </w:rPr>
              <w:t>3,011,260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517,465</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3,064,358</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3"/>
                <w:sz w:val="18"/>
              </w:rPr>
              <w:t>11,257,224</w:t>
            </w:r>
            <w:r>
              <w:rPr>
                <w:rFonts w:ascii="Arial"/>
                <w:sz w:val="18"/>
              </w:rPr>
            </w:r>
          </w:p>
        </w:tc>
      </w:tr>
      <w:tr>
        <w:trPr>
          <w:trHeight w:val="245" w:hRule="exact"/>
        </w:trPr>
        <w:tc>
          <w:tcPr>
            <w:tcW w:w="262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黑体" w:hAnsi="黑体" w:cs="黑体" w:eastAsia="黑体" w:hint="default"/>
                <w:sz w:val="18"/>
                <w:szCs w:val="18"/>
              </w:rPr>
              <w:t>日年初余额</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4,664,141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3"/>
                <w:sz w:val="18"/>
              </w:rPr>
              <w:t>3,011,260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517,465</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3,064,358</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3"/>
                <w:sz w:val="18"/>
              </w:rPr>
              <w:t>11,257,224</w:t>
            </w:r>
            <w:r>
              <w:rPr>
                <w:rFonts w:ascii="Arial"/>
                <w:sz w:val="18"/>
              </w:rPr>
            </w: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黑体" w:hAnsi="黑体" w:cs="黑体" w:eastAsia="黑体" w:hint="default"/>
                <w:sz w:val="18"/>
                <w:szCs w:val="18"/>
              </w:rPr>
              <w:t>年度增减变动额</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2,290,641</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2,290,641</w:t>
            </w: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股东投入和减少资本</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股份支付计入股东权益</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14,543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14,543</w:t>
            </w: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229,064</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
              <w:jc w:val="right"/>
              <w:rPr>
                <w:rFonts w:ascii="Arial" w:hAnsi="Arial" w:cs="Arial" w:eastAsia="Arial" w:hint="default"/>
                <w:sz w:val="18"/>
                <w:szCs w:val="18"/>
              </w:rPr>
            </w:pPr>
            <w:r>
              <w:rPr>
                <w:rFonts w:ascii="Arial"/>
                <w:spacing w:val="-1"/>
                <w:sz w:val="18"/>
              </w:rPr>
              <w:t>(229,064)</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4"/>
              <w:jc w:val="right"/>
              <w:rPr>
                <w:rFonts w:ascii="Arial" w:hAnsi="Arial" w:cs="Arial" w:eastAsia="Arial" w:hint="default"/>
                <w:sz w:val="18"/>
                <w:szCs w:val="18"/>
              </w:rPr>
            </w:pPr>
            <w:r>
              <w:rPr>
                <w:rFonts w:ascii="Arial"/>
                <w:spacing w:val="-1"/>
                <w:sz w:val="18"/>
              </w:rPr>
              <w:t>(233,207)</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4"/>
              <w:jc w:val="right"/>
              <w:rPr>
                <w:rFonts w:ascii="Arial" w:hAnsi="Arial" w:cs="Arial" w:eastAsia="Arial" w:hint="default"/>
                <w:sz w:val="18"/>
                <w:szCs w:val="18"/>
              </w:rPr>
            </w:pPr>
            <w:r>
              <w:rPr>
                <w:rFonts w:ascii="Arial"/>
                <w:spacing w:val="-1"/>
                <w:sz w:val="18"/>
              </w:rPr>
              <w:t>(233,207)</w:t>
            </w:r>
            <w:r>
              <w:rPr>
                <w:rFonts w:ascii="Arial"/>
                <w:sz w:val="18"/>
              </w:rPr>
            </w: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股东权益内部结转</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pacing w:val="-14"/>
                <w:sz w:val="18"/>
                <w:szCs w:val="18"/>
              </w:rPr>
              <w:t>五</w:t>
            </w:r>
            <w:r>
              <w:rPr>
                <w:rFonts w:ascii="Arial" w:hAnsi="Arial" w:cs="Arial" w:eastAsia="Arial" w:hint="default"/>
                <w:spacing w:val="-14"/>
                <w:sz w:val="18"/>
                <w:szCs w:val="18"/>
              </w:rPr>
              <w:t>.31</w:t>
            </w:r>
            <w:r>
              <w:rPr>
                <w:rFonts w:ascii="宋体" w:hAnsi="宋体" w:cs="宋体" w:eastAsia="宋体" w:hint="default"/>
                <w:spacing w:val="-14"/>
                <w:sz w:val="18"/>
                <w:szCs w:val="18"/>
              </w:rPr>
              <w:t>、五</w:t>
            </w:r>
            <w:r>
              <w:rPr>
                <w:rFonts w:ascii="Arial" w:hAnsi="Arial" w:cs="Arial" w:eastAsia="Arial" w:hint="default"/>
                <w:spacing w:val="-14"/>
                <w:sz w:val="18"/>
                <w:szCs w:val="18"/>
              </w:rPr>
              <w:t>.32</w:t>
            </w:r>
            <w:r>
              <w:rPr>
                <w:rFonts w:ascii="Arial" w:hAnsi="Arial" w:cs="Arial" w:eastAsia="Arial"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2,332,071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
              <w:jc w:val="right"/>
              <w:rPr>
                <w:rFonts w:ascii="Arial" w:hAnsi="Arial" w:cs="Arial" w:eastAsia="Arial" w:hint="default"/>
                <w:sz w:val="18"/>
                <w:szCs w:val="18"/>
              </w:rPr>
            </w:pPr>
            <w:r>
              <w:rPr>
                <w:rFonts w:ascii="Arial"/>
                <w:spacing w:val="-1"/>
                <w:sz w:val="18"/>
              </w:rPr>
              <w:t>(2,332,071)</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2"/>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17" w:hRule="exact"/>
        </w:trPr>
        <w:tc>
          <w:tcPr>
            <w:tcW w:w="262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日年末余额</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6,996,212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693,732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746,529</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4,892,728</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13,329,201</w:t>
            </w:r>
          </w:p>
        </w:tc>
      </w:tr>
    </w:tbl>
    <w:p>
      <w:pPr>
        <w:spacing w:line="240" w:lineRule="auto" w:before="2"/>
        <w:rPr>
          <w:rFonts w:ascii="宋体" w:hAnsi="宋体" w:cs="宋体" w:eastAsia="宋体" w:hint="default"/>
          <w:sz w:val="13"/>
          <w:szCs w:val="13"/>
        </w:rPr>
      </w:pPr>
    </w:p>
    <w:p>
      <w:pPr>
        <w:spacing w:before="35"/>
        <w:ind w:left="529" w:right="389" w:firstLine="0"/>
        <w:jc w:val="left"/>
        <w:rPr>
          <w:rFonts w:ascii="宋体" w:hAnsi="宋体" w:cs="宋体" w:eastAsia="宋体" w:hint="default"/>
          <w:sz w:val="21"/>
          <w:szCs w:val="21"/>
        </w:rPr>
      </w:pPr>
      <w:r>
        <w:rPr>
          <w:rFonts w:ascii="宋体" w:hAnsi="宋体" w:cs="宋体" w:eastAsia="宋体" w:hint="default"/>
          <w:sz w:val="21"/>
          <w:szCs w:val="21"/>
        </w:rPr>
        <w:t>后附财务报表附注为财务报表的组成部分。</w:t>
      </w:r>
    </w:p>
    <w:p>
      <w:pPr>
        <w:spacing w:line="240" w:lineRule="auto" w:before="3"/>
        <w:rPr>
          <w:rFonts w:ascii="宋体" w:hAnsi="宋体" w:cs="宋体" w:eastAsia="宋体" w:hint="default"/>
          <w:sz w:val="18"/>
          <w:szCs w:val="18"/>
        </w:rPr>
      </w:pPr>
    </w:p>
    <w:p>
      <w:pPr>
        <w:tabs>
          <w:tab w:pos="3364" w:val="left" w:leader="none"/>
          <w:tab w:pos="6933" w:val="left" w:leader="none"/>
        </w:tabs>
        <w:spacing w:before="0"/>
        <w:ind w:left="529" w:right="389" w:firstLine="0"/>
        <w:jc w:val="left"/>
        <w:rPr>
          <w:rFonts w:ascii="宋体" w:hAnsi="宋体" w:cs="宋体" w:eastAsia="宋体" w:hint="default"/>
          <w:sz w:val="21"/>
          <w:szCs w:val="21"/>
        </w:rPr>
      </w:pPr>
      <w:r>
        <w:rPr>
          <w:rFonts w:ascii="宋体" w:hAnsi="宋体" w:cs="宋体" w:eastAsia="宋体" w:hint="default"/>
          <w:sz w:val="21"/>
          <w:szCs w:val="21"/>
        </w:rPr>
        <w:t>企业负责人： 张近东</w:t>
        <w:tab/>
        <w:t>主管会计工作的负责人：</w:t>
      </w:r>
      <w:r>
        <w:rPr>
          <w:rFonts w:ascii="宋体" w:hAnsi="宋体" w:cs="宋体" w:eastAsia="宋体" w:hint="default"/>
          <w:spacing w:val="-4"/>
          <w:sz w:val="21"/>
          <w:szCs w:val="21"/>
        </w:rPr>
        <w:t> </w:t>
      </w:r>
      <w:r>
        <w:rPr>
          <w:rFonts w:ascii="宋体" w:hAnsi="宋体" w:cs="宋体" w:eastAsia="宋体" w:hint="default"/>
          <w:sz w:val="21"/>
          <w:szCs w:val="21"/>
        </w:rPr>
        <w:t>朱华</w:t>
        <w:tab/>
        <w:t>会计机构负责人：肖忠祥</w:t>
      </w:r>
    </w:p>
    <w:p>
      <w:pPr>
        <w:spacing w:after="0"/>
        <w:jc w:val="left"/>
        <w:rPr>
          <w:rFonts w:ascii="宋体" w:hAnsi="宋体" w:cs="宋体" w:eastAsia="宋体" w:hint="default"/>
          <w:sz w:val="21"/>
          <w:szCs w:val="21"/>
        </w:rPr>
        <w:sectPr>
          <w:headerReference w:type="default" r:id="rId52"/>
          <w:pgSz w:w="11910" w:h="16840"/>
          <w:pgMar w:header="755" w:footer="708" w:top="2000" w:bottom="900" w:left="1200" w:right="90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104"/>
        <w:jc w:val="left"/>
        <w:rPr>
          <w:b w:val="0"/>
          <w:bCs w:val="0"/>
        </w:rPr>
      </w:pPr>
      <w:r>
        <w:rPr>
          <w:w w:val="95"/>
        </w:rPr>
        <w:t>一</w:t>
        <w:tab/>
      </w:r>
      <w:r>
        <w:rPr/>
        <w:t>公司基本情况</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left="817" w:right="218"/>
        <w:jc w:val="both"/>
      </w:pPr>
      <w:r>
        <w:rPr/>
        <w:t>苏宁电器股份有限公司</w:t>
      </w:r>
      <w:r>
        <w:rPr>
          <w:rFonts w:ascii="Arial" w:hAnsi="Arial" w:cs="Arial" w:eastAsia="Arial" w:hint="default"/>
        </w:rPr>
        <w:t>(</w:t>
      </w:r>
      <w:r>
        <w:rPr/>
        <w:t>以下简称</w:t>
      </w:r>
      <w:r>
        <w:rPr>
          <w:rFonts w:ascii="Arial" w:hAnsi="Arial" w:cs="Arial" w:eastAsia="Arial" w:hint="default"/>
        </w:rPr>
        <w:t>“</w:t>
      </w:r>
      <w:r>
        <w:rPr/>
        <w:t>本公司</w:t>
      </w:r>
      <w:r>
        <w:rPr>
          <w:rFonts w:ascii="Arial" w:hAnsi="Arial" w:cs="Arial" w:eastAsia="Arial" w:hint="default"/>
        </w:rPr>
        <w:t>”)</w:t>
      </w:r>
      <w:r>
        <w:rPr/>
        <w:t>的前身系于</w:t>
      </w:r>
      <w:r>
        <w:rPr>
          <w:spacing w:val="-48"/>
        </w:rPr>
        <w:t> </w:t>
      </w:r>
      <w:r>
        <w:rPr>
          <w:rFonts w:ascii="Arial" w:hAnsi="Arial" w:cs="Arial" w:eastAsia="Arial" w:hint="default"/>
        </w:rPr>
        <w:t>1996</w:t>
      </w:r>
      <w:r>
        <w:rPr>
          <w:rFonts w:ascii="Arial" w:hAnsi="Arial" w:cs="Arial" w:eastAsia="Arial" w:hint="default"/>
          <w:spacing w:val="5"/>
        </w:rPr>
        <w:t> </w:t>
      </w:r>
      <w:r>
        <w:rPr/>
        <w:t>年</w:t>
      </w:r>
      <w:r>
        <w:rPr>
          <w:spacing w:val="-48"/>
        </w:rPr>
        <w:t> </w:t>
      </w:r>
      <w:r>
        <w:rPr>
          <w:rFonts w:ascii="Arial" w:hAnsi="Arial" w:cs="Arial" w:eastAsia="Arial" w:hint="default"/>
        </w:rPr>
        <w:t>5</w:t>
      </w:r>
      <w:r>
        <w:rPr>
          <w:rFonts w:ascii="Arial" w:hAnsi="Arial" w:cs="Arial" w:eastAsia="Arial" w:hint="default"/>
          <w:spacing w:val="6"/>
        </w:rPr>
        <w:t> </w:t>
      </w:r>
      <w:r>
        <w:rPr/>
        <w:t>月</w:t>
      </w:r>
      <w:r>
        <w:rPr>
          <w:spacing w:val="-48"/>
        </w:rPr>
        <w:t> </w:t>
      </w:r>
      <w:r>
        <w:rPr>
          <w:rFonts w:ascii="Arial" w:hAnsi="Arial" w:cs="Arial" w:eastAsia="Arial" w:hint="default"/>
        </w:rPr>
        <w:t>15</w:t>
      </w:r>
      <w:r>
        <w:rPr>
          <w:rFonts w:ascii="Arial" w:hAnsi="Arial" w:cs="Arial" w:eastAsia="Arial" w:hint="default"/>
          <w:spacing w:val="5"/>
        </w:rPr>
        <w:t> </w:t>
      </w:r>
      <w:r>
        <w:rPr/>
        <w:t>日在中华人民共 </w:t>
      </w:r>
      <w:r>
        <w:rPr>
          <w:spacing w:val="7"/>
        </w:rPr>
        <w:t>和国江苏省南京市注册成立的江苏苏宁交家电有限公司，成立时的注册资本为人民币</w:t>
      </w:r>
      <w:r>
        <w:rPr>
          <w:spacing w:val="7"/>
        </w:rPr>
        <w:t> </w:t>
      </w:r>
      <w:r>
        <w:rPr>
          <w:rFonts w:ascii="Arial" w:hAnsi="Arial" w:cs="Arial" w:eastAsia="Arial" w:hint="default"/>
        </w:rPr>
        <w:t>120</w:t>
      </w:r>
      <w:r>
        <w:rPr>
          <w:rFonts w:ascii="Arial" w:hAnsi="Arial" w:cs="Arial" w:eastAsia="Arial" w:hint="default"/>
          <w:spacing w:val="-12"/>
        </w:rPr>
        <w:t> </w:t>
      </w:r>
      <w:r>
        <w:rPr>
          <w:spacing w:val="-7"/>
        </w:rPr>
        <w:t>万元。于</w:t>
      </w:r>
      <w:r>
        <w:rPr>
          <w:spacing w:val="-65"/>
        </w:rPr>
        <w:t> </w:t>
      </w:r>
      <w:r>
        <w:rPr>
          <w:rFonts w:ascii="Arial" w:hAnsi="Arial" w:cs="Arial" w:eastAsia="Arial" w:hint="default"/>
        </w:rPr>
        <w:t>2000</w:t>
      </w:r>
      <w:r>
        <w:rPr>
          <w:rFonts w:ascii="Arial" w:hAnsi="Arial" w:cs="Arial" w:eastAsia="Arial" w:hint="default"/>
          <w:spacing w:val="-12"/>
        </w:rPr>
        <w:t> </w:t>
      </w:r>
      <w:r>
        <w:rPr/>
        <w:t>年</w:t>
      </w:r>
      <w:r>
        <w:rPr>
          <w:spacing w:val="-64"/>
        </w:rPr>
        <w:t> </w:t>
      </w:r>
      <w:r>
        <w:rPr>
          <w:rFonts w:ascii="Arial" w:hAnsi="Arial" w:cs="Arial" w:eastAsia="Arial" w:hint="default"/>
        </w:rPr>
        <w:t>7</w:t>
      </w:r>
      <w:r>
        <w:rPr>
          <w:rFonts w:ascii="Arial" w:hAnsi="Arial" w:cs="Arial" w:eastAsia="Arial" w:hint="default"/>
          <w:spacing w:val="-12"/>
        </w:rPr>
        <w:t> </w:t>
      </w:r>
      <w:r>
        <w:rPr/>
        <w:t>月</w:t>
      </w:r>
      <w:r>
        <w:rPr>
          <w:spacing w:val="-65"/>
        </w:rPr>
        <w:t> </w:t>
      </w:r>
      <w:r>
        <w:rPr>
          <w:rFonts w:ascii="Arial" w:hAnsi="Arial" w:cs="Arial" w:eastAsia="Arial" w:hint="default"/>
        </w:rPr>
        <w:t>28</w:t>
      </w:r>
      <w:r>
        <w:rPr>
          <w:rFonts w:ascii="Arial" w:hAnsi="Arial" w:cs="Arial" w:eastAsia="Arial" w:hint="default"/>
          <w:spacing w:val="-12"/>
        </w:rPr>
        <w:t> </w:t>
      </w:r>
      <w:r>
        <w:rPr/>
        <w:t>日，经江苏省工商行政管理局批准更名为江苏苏宁交家电</w:t>
      </w:r>
    </w:p>
    <w:p>
      <w:pPr>
        <w:pStyle w:val="BodyText"/>
        <w:spacing w:line="291" w:lineRule="exact"/>
        <w:ind w:left="817" w:right="0"/>
        <w:jc w:val="both"/>
      </w:pPr>
      <w:r>
        <w:rPr/>
        <w:t>集团有限公司。于</w:t>
      </w:r>
      <w:r>
        <w:rPr>
          <w:spacing w:val="-47"/>
        </w:rPr>
        <w:t> </w:t>
      </w:r>
      <w:r>
        <w:rPr>
          <w:rFonts w:ascii="Arial" w:hAnsi="Arial" w:cs="Arial" w:eastAsia="Arial" w:hint="default"/>
        </w:rPr>
        <w:t>2000</w:t>
      </w:r>
      <w:r>
        <w:rPr>
          <w:rFonts w:ascii="Arial" w:hAnsi="Arial" w:cs="Arial" w:eastAsia="Arial" w:hint="default"/>
          <w:spacing w:val="6"/>
        </w:rPr>
        <w:t> </w:t>
      </w:r>
      <w:r>
        <w:rPr/>
        <w:t>年</w:t>
      </w:r>
      <w:r>
        <w:rPr>
          <w:spacing w:val="-47"/>
        </w:rPr>
        <w:t> </w:t>
      </w:r>
      <w:r>
        <w:rPr>
          <w:rFonts w:ascii="Arial" w:hAnsi="Arial" w:cs="Arial" w:eastAsia="Arial" w:hint="default"/>
        </w:rPr>
        <w:t>8</w:t>
      </w:r>
      <w:r>
        <w:rPr>
          <w:rFonts w:ascii="Arial" w:hAnsi="Arial" w:cs="Arial" w:eastAsia="Arial" w:hint="default"/>
          <w:spacing w:val="6"/>
        </w:rPr>
        <w:t> </w:t>
      </w:r>
      <w:r>
        <w:rPr/>
        <w:t>月</w:t>
      </w:r>
      <w:r>
        <w:rPr>
          <w:spacing w:val="-47"/>
        </w:rPr>
        <w:t> </w:t>
      </w:r>
      <w:r>
        <w:rPr>
          <w:rFonts w:ascii="Arial" w:hAnsi="Arial" w:cs="Arial" w:eastAsia="Arial" w:hint="default"/>
        </w:rPr>
        <w:t>30</w:t>
      </w:r>
      <w:r>
        <w:rPr>
          <w:rFonts w:ascii="Arial" w:hAnsi="Arial" w:cs="Arial" w:eastAsia="Arial" w:hint="default"/>
          <w:spacing w:val="6"/>
        </w:rPr>
        <w:t> </w:t>
      </w:r>
      <w:r>
        <w:rPr/>
        <w:t>日经国家工商行政管理局批准更名为苏宁交家电</w:t>
      </w:r>
      <w:r>
        <w:rPr>
          <w:rFonts w:ascii="Arial" w:hAnsi="Arial" w:cs="Arial" w:eastAsia="Arial" w:hint="default"/>
        </w:rPr>
        <w:t>(</w:t>
      </w:r>
      <w:r>
        <w:rPr/>
        <w:t>集</w:t>
      </w:r>
    </w:p>
    <w:p>
      <w:pPr>
        <w:pStyle w:val="BodyText"/>
        <w:spacing w:line="312" w:lineRule="exact"/>
        <w:ind w:left="817" w:right="0"/>
        <w:jc w:val="both"/>
      </w:pPr>
      <w:r>
        <w:rPr>
          <w:spacing w:val="-4"/>
        </w:rPr>
        <w:t>团</w:t>
      </w:r>
      <w:r>
        <w:rPr>
          <w:rFonts w:ascii="Arial" w:hAnsi="Arial" w:cs="Arial" w:eastAsia="Arial" w:hint="default"/>
          <w:spacing w:val="-4"/>
        </w:rPr>
        <w:t>)</w:t>
      </w:r>
      <w:r>
        <w:rPr>
          <w:spacing w:val="-4"/>
        </w:rPr>
        <w:t>有限公司。于</w:t>
      </w:r>
      <w:r>
        <w:rPr>
          <w:spacing w:val="-65"/>
        </w:rPr>
        <w:t> </w:t>
      </w:r>
      <w:r>
        <w:rPr>
          <w:rFonts w:ascii="Arial" w:hAnsi="Arial" w:cs="Arial" w:eastAsia="Arial" w:hint="default"/>
        </w:rPr>
        <w:t>2001</w:t>
      </w:r>
      <w:r>
        <w:rPr>
          <w:rFonts w:ascii="Arial" w:hAnsi="Arial" w:cs="Arial" w:eastAsia="Arial" w:hint="default"/>
          <w:spacing w:val="-12"/>
        </w:rPr>
        <w:t> </w:t>
      </w:r>
      <w:r>
        <w:rPr/>
        <w:t>年</w:t>
      </w:r>
      <w:r>
        <w:rPr>
          <w:spacing w:val="-65"/>
        </w:rPr>
        <w:t> </w:t>
      </w:r>
      <w:r>
        <w:rPr>
          <w:rFonts w:ascii="Arial" w:hAnsi="Arial" w:cs="Arial" w:eastAsia="Arial" w:hint="default"/>
        </w:rPr>
        <w:t>6</w:t>
      </w:r>
      <w:r>
        <w:rPr>
          <w:rFonts w:ascii="Arial" w:hAnsi="Arial" w:cs="Arial" w:eastAsia="Arial" w:hint="default"/>
          <w:spacing w:val="-12"/>
        </w:rPr>
        <w:t> </w:t>
      </w:r>
      <w:r>
        <w:rPr/>
        <w:t>月</w:t>
      </w:r>
      <w:r>
        <w:rPr>
          <w:spacing w:val="-65"/>
        </w:rPr>
        <w:t> </w:t>
      </w:r>
      <w:r>
        <w:rPr>
          <w:rFonts w:ascii="Arial" w:hAnsi="Arial" w:cs="Arial" w:eastAsia="Arial" w:hint="default"/>
        </w:rPr>
        <w:t>28</w:t>
      </w:r>
      <w:r>
        <w:rPr>
          <w:rFonts w:ascii="Arial" w:hAnsi="Arial" w:cs="Arial" w:eastAsia="Arial" w:hint="default"/>
          <w:spacing w:val="-12"/>
        </w:rPr>
        <w:t> </w:t>
      </w:r>
      <w:r>
        <w:rPr/>
        <w:t>日，经江苏省人民政府苏政复</w:t>
      </w:r>
      <w:r>
        <w:rPr>
          <w:rFonts w:ascii="Arial" w:hAnsi="Arial" w:cs="Arial" w:eastAsia="Arial" w:hint="default"/>
        </w:rPr>
        <w:t>[2001]109</w:t>
      </w:r>
      <w:r>
        <w:rPr>
          <w:rFonts w:ascii="Arial" w:hAnsi="Arial" w:cs="Arial" w:eastAsia="Arial" w:hint="default"/>
          <w:spacing w:val="-12"/>
        </w:rPr>
        <w:t> </w:t>
      </w:r>
      <w:r>
        <w:rPr>
          <w:spacing w:val="-5"/>
        </w:rPr>
        <w:t>号文批准，以</w:t>
      </w:r>
    </w:p>
    <w:p>
      <w:pPr>
        <w:pStyle w:val="BodyText"/>
        <w:spacing w:line="312" w:lineRule="exact"/>
        <w:ind w:left="817" w:right="0"/>
        <w:jc w:val="both"/>
      </w:pPr>
      <w:r>
        <w:rPr/>
        <w:t>苏宁交家电</w:t>
      </w:r>
      <w:r>
        <w:rPr>
          <w:rFonts w:ascii="Arial" w:hAnsi="Arial" w:cs="Arial" w:eastAsia="Arial" w:hint="default"/>
        </w:rPr>
        <w:t>(</w:t>
      </w:r>
      <w:r>
        <w:rPr/>
        <w:t>集团</w:t>
      </w:r>
      <w:r>
        <w:rPr>
          <w:rFonts w:ascii="Arial" w:hAnsi="Arial" w:cs="Arial" w:eastAsia="Arial" w:hint="default"/>
        </w:rPr>
        <w:t>)</w:t>
      </w:r>
      <w:r>
        <w:rPr/>
        <w:t>有限公司于</w:t>
      </w:r>
      <w:r>
        <w:rPr>
          <w:spacing w:val="-44"/>
        </w:rPr>
        <w:t> </w:t>
      </w:r>
      <w:r>
        <w:rPr>
          <w:rFonts w:ascii="Arial" w:hAnsi="Arial" w:cs="Arial" w:eastAsia="Arial" w:hint="default"/>
        </w:rPr>
        <w:t>2000</w:t>
      </w:r>
      <w:r>
        <w:rPr>
          <w:rFonts w:ascii="Arial" w:hAnsi="Arial" w:cs="Arial" w:eastAsia="Arial" w:hint="default"/>
          <w:spacing w:val="10"/>
        </w:rPr>
        <w:t> </w:t>
      </w:r>
      <w:r>
        <w:rPr/>
        <w:t>年</w:t>
      </w:r>
      <w:r>
        <w:rPr>
          <w:spacing w:val="-43"/>
        </w:rPr>
        <w:t> </w:t>
      </w:r>
      <w:r>
        <w:rPr>
          <w:rFonts w:ascii="Arial" w:hAnsi="Arial" w:cs="Arial" w:eastAsia="Arial" w:hint="default"/>
        </w:rPr>
        <w:t>12</w:t>
      </w:r>
      <w:r>
        <w:rPr>
          <w:rFonts w:ascii="Arial" w:hAnsi="Arial" w:cs="Arial" w:eastAsia="Arial" w:hint="default"/>
          <w:spacing w:val="10"/>
        </w:rPr>
        <w:t> </w:t>
      </w:r>
      <w:r>
        <w:rPr/>
        <w:t>月</w:t>
      </w:r>
      <w:r>
        <w:rPr>
          <w:spacing w:val="-44"/>
        </w:rPr>
        <w:t> </w:t>
      </w:r>
      <w:r>
        <w:rPr>
          <w:rFonts w:ascii="Arial" w:hAnsi="Arial" w:cs="Arial" w:eastAsia="Arial" w:hint="default"/>
        </w:rPr>
        <w:t>31</w:t>
      </w:r>
      <w:r>
        <w:rPr>
          <w:rFonts w:ascii="Arial" w:hAnsi="Arial" w:cs="Arial" w:eastAsia="Arial" w:hint="default"/>
          <w:spacing w:val="10"/>
        </w:rPr>
        <w:t> </w:t>
      </w:r>
      <w:r>
        <w:rPr/>
        <w:t>日的净资产整体变更为苏宁电器连锁集</w:t>
      </w:r>
    </w:p>
    <w:p>
      <w:pPr>
        <w:pStyle w:val="BodyText"/>
        <w:spacing w:line="312" w:lineRule="exact"/>
        <w:ind w:left="817" w:right="0"/>
        <w:jc w:val="both"/>
      </w:pPr>
      <w:r>
        <w:rPr>
          <w:spacing w:val="-3"/>
        </w:rPr>
        <w:t>团股份有限公司，股本总额人民币</w:t>
      </w:r>
      <w:r>
        <w:rPr>
          <w:spacing w:val="-61"/>
        </w:rPr>
        <w:t> </w:t>
      </w:r>
      <w:r>
        <w:rPr>
          <w:rFonts w:ascii="Arial" w:hAnsi="Arial" w:cs="Arial" w:eastAsia="Arial" w:hint="default"/>
        </w:rPr>
        <w:t>68,160,000</w:t>
      </w:r>
      <w:r>
        <w:rPr>
          <w:rFonts w:ascii="Arial" w:hAnsi="Arial" w:cs="Arial" w:eastAsia="Arial" w:hint="default"/>
          <w:spacing w:val="-8"/>
        </w:rPr>
        <w:t> </w:t>
      </w:r>
      <w:r>
        <w:rPr>
          <w:spacing w:val="-13"/>
        </w:rPr>
        <w:t>元，于</w:t>
      </w:r>
      <w:r>
        <w:rPr>
          <w:spacing w:val="-61"/>
        </w:rPr>
        <w:t> </w:t>
      </w:r>
      <w:r>
        <w:rPr>
          <w:rFonts w:ascii="Arial" w:hAnsi="Arial" w:cs="Arial" w:eastAsia="Arial" w:hint="default"/>
        </w:rPr>
        <w:t>2001</w:t>
      </w:r>
      <w:r>
        <w:rPr>
          <w:rFonts w:ascii="Arial" w:hAnsi="Arial" w:cs="Arial" w:eastAsia="Arial" w:hint="default"/>
          <w:spacing w:val="-8"/>
        </w:rPr>
        <w:t> </w:t>
      </w:r>
      <w:r>
        <w:rPr/>
        <w:t>年</w:t>
      </w:r>
      <w:r>
        <w:rPr>
          <w:spacing w:val="-61"/>
        </w:rPr>
        <w:t> </w:t>
      </w:r>
      <w:r>
        <w:rPr>
          <w:rFonts w:ascii="Arial" w:hAnsi="Arial" w:cs="Arial" w:eastAsia="Arial" w:hint="default"/>
        </w:rPr>
        <w:t>6</w:t>
      </w:r>
      <w:r>
        <w:rPr>
          <w:rFonts w:ascii="Arial" w:hAnsi="Arial" w:cs="Arial" w:eastAsia="Arial" w:hint="default"/>
          <w:spacing w:val="-7"/>
        </w:rPr>
        <w:t> </w:t>
      </w:r>
      <w:r>
        <w:rPr/>
        <w:t>月</w:t>
      </w:r>
      <w:r>
        <w:rPr>
          <w:spacing w:val="-61"/>
        </w:rPr>
        <w:t> </w:t>
      </w:r>
      <w:r>
        <w:rPr>
          <w:rFonts w:ascii="Arial" w:hAnsi="Arial" w:cs="Arial" w:eastAsia="Arial" w:hint="default"/>
        </w:rPr>
        <w:t>29</w:t>
      </w:r>
      <w:r>
        <w:rPr>
          <w:rFonts w:ascii="Arial" w:hAnsi="Arial" w:cs="Arial" w:eastAsia="Arial" w:hint="default"/>
          <w:spacing w:val="-8"/>
        </w:rPr>
        <w:t> </w:t>
      </w:r>
      <w:r>
        <w:rPr/>
        <w:t>日领取营业执照。</w:t>
      </w:r>
    </w:p>
    <w:p>
      <w:pPr>
        <w:pStyle w:val="BodyText"/>
        <w:spacing w:line="322" w:lineRule="exact"/>
        <w:ind w:left="817" w:right="0"/>
        <w:jc w:val="both"/>
      </w:pPr>
      <w:r>
        <w:rPr/>
        <w:t>此后，根据</w:t>
      </w:r>
      <w:r>
        <w:rPr>
          <w:spacing w:val="-62"/>
        </w:rPr>
        <w:t> </w:t>
      </w:r>
      <w:r>
        <w:rPr>
          <w:rFonts w:ascii="Arial" w:hAnsi="Arial" w:cs="Arial" w:eastAsia="Arial" w:hint="default"/>
        </w:rPr>
        <w:t>2005</w:t>
      </w:r>
      <w:r>
        <w:rPr>
          <w:rFonts w:ascii="Arial" w:hAnsi="Arial" w:cs="Arial" w:eastAsia="Arial" w:hint="default"/>
          <w:spacing w:val="-9"/>
        </w:rPr>
        <w:t> </w:t>
      </w:r>
      <w:r>
        <w:rPr/>
        <w:t>年第二次临时股东大会决议，本公司更名为苏宁电器股份有限公司。</w:t>
      </w:r>
    </w:p>
    <w:p>
      <w:pPr>
        <w:spacing w:line="240" w:lineRule="auto" w:before="13"/>
        <w:rPr>
          <w:rFonts w:ascii="宋体" w:hAnsi="宋体" w:cs="宋体" w:eastAsia="宋体" w:hint="default"/>
          <w:sz w:val="21"/>
          <w:szCs w:val="21"/>
        </w:rPr>
      </w:pPr>
    </w:p>
    <w:p>
      <w:pPr>
        <w:pStyle w:val="BodyText"/>
        <w:spacing w:line="312" w:lineRule="exact"/>
        <w:ind w:left="817" w:right="222"/>
        <w:jc w:val="both"/>
      </w:pPr>
      <w:r>
        <w:rPr/>
        <w:t>经中国证券监督管理委员会证监发行字</w:t>
      </w:r>
      <w:r>
        <w:rPr>
          <w:rFonts w:ascii="Arial" w:hAnsi="Arial" w:cs="Arial" w:eastAsia="Arial" w:hint="default"/>
        </w:rPr>
        <w:t>[2004]97</w:t>
      </w:r>
      <w:r>
        <w:rPr>
          <w:rFonts w:ascii="Arial" w:hAnsi="Arial" w:cs="Arial" w:eastAsia="Arial" w:hint="default"/>
          <w:spacing w:val="36"/>
        </w:rPr>
        <w:t> </w:t>
      </w:r>
      <w:r>
        <w:rPr/>
        <w:t>号文</w:t>
      </w:r>
      <w:r>
        <w:rPr>
          <w:rFonts w:ascii="Arial" w:hAnsi="Arial" w:cs="Arial" w:eastAsia="Arial" w:hint="default"/>
        </w:rPr>
        <w:t>“</w:t>
      </w:r>
      <w:r>
        <w:rPr/>
        <w:t>关于核准苏宁电器连锁集团股份</w:t>
      </w:r>
      <w:r>
        <w:rPr>
          <w:spacing w:val="-107"/>
        </w:rPr>
        <w:t> </w:t>
      </w:r>
      <w:r>
        <w:rPr/>
        <w:t>有限公司公开发行股票的通知</w:t>
      </w:r>
      <w:r>
        <w:rPr>
          <w:rFonts w:ascii="Arial" w:hAnsi="Arial" w:cs="Arial" w:eastAsia="Arial" w:hint="default"/>
        </w:rPr>
        <w:t>”</w:t>
      </w:r>
      <w:r>
        <w:rPr/>
        <w:t>批准，本公司于 </w:t>
      </w:r>
      <w:r>
        <w:rPr>
          <w:rFonts w:ascii="Arial" w:hAnsi="Arial" w:cs="Arial" w:eastAsia="Arial" w:hint="default"/>
        </w:rPr>
        <w:t>2004 </w:t>
      </w:r>
      <w:r>
        <w:rPr/>
        <w:t>年 </w:t>
      </w:r>
      <w:r>
        <w:rPr>
          <w:rFonts w:ascii="Arial" w:hAnsi="Arial" w:cs="Arial" w:eastAsia="Arial" w:hint="default"/>
        </w:rPr>
        <w:t>7 </w:t>
      </w:r>
      <w:r>
        <w:rPr/>
        <w:t>月 </w:t>
      </w:r>
      <w:r>
        <w:rPr>
          <w:rFonts w:ascii="Arial" w:hAnsi="Arial" w:cs="Arial" w:eastAsia="Arial" w:hint="default"/>
        </w:rPr>
        <w:t>7</w:t>
      </w:r>
      <w:r>
        <w:rPr>
          <w:rFonts w:ascii="Arial" w:hAnsi="Arial" w:cs="Arial" w:eastAsia="Arial" w:hint="default"/>
          <w:spacing w:val="17"/>
        </w:rPr>
        <w:t> </w:t>
      </w:r>
      <w:r>
        <w:rPr/>
        <w:t>日向境内投资者发行了</w:t>
      </w:r>
    </w:p>
    <w:p>
      <w:pPr>
        <w:pStyle w:val="BodyText"/>
        <w:spacing w:line="291" w:lineRule="exact"/>
        <w:ind w:left="817" w:right="0"/>
        <w:jc w:val="both"/>
      </w:pPr>
      <w:r>
        <w:rPr>
          <w:rFonts w:ascii="Arial" w:hAnsi="Arial" w:cs="Arial" w:eastAsia="Arial" w:hint="default"/>
        </w:rPr>
        <w:t>2,500</w:t>
      </w:r>
      <w:r>
        <w:rPr>
          <w:rFonts w:ascii="Arial" w:hAnsi="Arial" w:cs="Arial" w:eastAsia="Arial" w:hint="default"/>
          <w:spacing w:val="-9"/>
        </w:rPr>
        <w:t> </w:t>
      </w:r>
      <w:r>
        <w:rPr/>
        <w:t>万股人民币普通股</w:t>
      </w:r>
      <w:r>
        <w:rPr>
          <w:rFonts w:ascii="Arial" w:hAnsi="Arial" w:cs="Arial" w:eastAsia="Arial" w:hint="default"/>
        </w:rPr>
        <w:t>(</w:t>
      </w:r>
      <w:r>
        <w:rPr/>
        <w:t>以下称为</w:t>
      </w:r>
      <w:r>
        <w:rPr>
          <w:rFonts w:ascii="Arial" w:hAnsi="Arial" w:cs="Arial" w:eastAsia="Arial" w:hint="default"/>
        </w:rPr>
        <w:t>“A</w:t>
      </w:r>
      <w:r>
        <w:rPr>
          <w:rFonts w:ascii="Arial" w:hAnsi="Arial" w:cs="Arial" w:eastAsia="Arial" w:hint="default"/>
          <w:spacing w:val="-9"/>
        </w:rPr>
        <w:t> </w:t>
      </w:r>
      <w:r>
        <w:rPr/>
        <w:t>股</w:t>
      </w:r>
      <w:r>
        <w:rPr>
          <w:rFonts w:ascii="Arial" w:hAnsi="Arial" w:cs="Arial" w:eastAsia="Arial" w:hint="default"/>
        </w:rPr>
        <w:t>”)</w:t>
      </w:r>
      <w:r>
        <w:rPr/>
        <w:t>，每股面值人民币</w:t>
      </w:r>
      <w:r>
        <w:rPr>
          <w:spacing w:val="-62"/>
        </w:rPr>
        <w:t> </w:t>
      </w:r>
      <w:r>
        <w:rPr>
          <w:rFonts w:ascii="Arial" w:hAnsi="Arial" w:cs="Arial" w:eastAsia="Arial" w:hint="default"/>
        </w:rPr>
        <w:t>1</w:t>
      </w:r>
      <w:r>
        <w:rPr>
          <w:rFonts w:ascii="Arial" w:hAnsi="Arial" w:cs="Arial" w:eastAsia="Arial" w:hint="default"/>
          <w:spacing w:val="-9"/>
        </w:rPr>
        <w:t> </w:t>
      </w:r>
      <w:r>
        <w:rPr/>
        <w:t>元，每股发行价为人民币</w:t>
      </w:r>
    </w:p>
    <w:p>
      <w:pPr>
        <w:pStyle w:val="BodyText"/>
        <w:spacing w:line="312" w:lineRule="exact"/>
        <w:ind w:left="817" w:right="0"/>
        <w:jc w:val="both"/>
      </w:pPr>
      <w:r>
        <w:rPr>
          <w:rFonts w:ascii="Arial" w:hAnsi="Arial" w:cs="Arial" w:eastAsia="Arial" w:hint="default"/>
        </w:rPr>
        <w:t>16.33</w:t>
      </w:r>
      <w:r>
        <w:rPr>
          <w:rFonts w:ascii="Arial" w:hAnsi="Arial" w:cs="Arial" w:eastAsia="Arial" w:hint="default"/>
          <w:spacing w:val="-12"/>
        </w:rPr>
        <w:t> </w:t>
      </w:r>
      <w:r>
        <w:rPr/>
        <w:t>元，发行后总股本增至人民币</w:t>
      </w:r>
      <w:r>
        <w:rPr>
          <w:spacing w:val="-65"/>
        </w:rPr>
        <w:t> </w:t>
      </w:r>
      <w:r>
        <w:rPr>
          <w:rFonts w:ascii="Arial" w:hAnsi="Arial" w:cs="Arial" w:eastAsia="Arial" w:hint="default"/>
        </w:rPr>
        <w:t>93,160,000</w:t>
      </w:r>
      <w:r>
        <w:rPr>
          <w:rFonts w:ascii="Arial" w:hAnsi="Arial" w:cs="Arial" w:eastAsia="Arial" w:hint="default"/>
          <w:spacing w:val="-12"/>
        </w:rPr>
        <w:t> </w:t>
      </w:r>
      <w:r>
        <w:rPr/>
        <w:t>元，本公司发行的</w:t>
      </w:r>
      <w:r>
        <w:rPr>
          <w:spacing w:val="-65"/>
        </w:rPr>
        <w:t> </w:t>
      </w:r>
      <w:r>
        <w:rPr>
          <w:rFonts w:ascii="Arial" w:hAnsi="Arial" w:cs="Arial" w:eastAsia="Arial" w:hint="default"/>
        </w:rPr>
        <w:t>A</w:t>
      </w:r>
      <w:r>
        <w:rPr>
          <w:rFonts w:ascii="Arial" w:hAnsi="Arial" w:cs="Arial" w:eastAsia="Arial" w:hint="default"/>
          <w:spacing w:val="-13"/>
        </w:rPr>
        <w:t> </w:t>
      </w:r>
      <w:r>
        <w:rPr/>
        <w:t>股于</w:t>
      </w:r>
      <w:r>
        <w:rPr>
          <w:spacing w:val="-65"/>
        </w:rPr>
        <w:t> </w:t>
      </w:r>
      <w:r>
        <w:rPr>
          <w:rFonts w:ascii="Arial" w:hAnsi="Arial" w:cs="Arial" w:eastAsia="Arial" w:hint="default"/>
        </w:rPr>
        <w:t>2004</w:t>
      </w:r>
      <w:r>
        <w:rPr>
          <w:rFonts w:ascii="Arial" w:hAnsi="Arial" w:cs="Arial" w:eastAsia="Arial" w:hint="default"/>
          <w:spacing w:val="-12"/>
        </w:rPr>
        <w:t> </w:t>
      </w:r>
      <w:r>
        <w:rPr/>
        <w:t>年</w:t>
      </w:r>
      <w:r>
        <w:rPr>
          <w:spacing w:val="-65"/>
        </w:rPr>
        <w:t> </w:t>
      </w:r>
      <w:r>
        <w:rPr>
          <w:rFonts w:ascii="Arial" w:hAnsi="Arial" w:cs="Arial" w:eastAsia="Arial" w:hint="default"/>
        </w:rPr>
        <w:t>7</w:t>
      </w:r>
      <w:r>
        <w:rPr>
          <w:rFonts w:ascii="Arial" w:hAnsi="Arial" w:cs="Arial" w:eastAsia="Arial" w:hint="default"/>
          <w:spacing w:val="-12"/>
        </w:rPr>
        <w:t> </w:t>
      </w:r>
      <w:r>
        <w:rPr/>
        <w:t>月</w:t>
      </w:r>
    </w:p>
    <w:p>
      <w:pPr>
        <w:pStyle w:val="BodyText"/>
        <w:spacing w:line="322" w:lineRule="exact"/>
        <w:ind w:left="817" w:right="0"/>
        <w:jc w:val="both"/>
      </w:pPr>
      <w:r>
        <w:rPr>
          <w:rFonts w:ascii="Arial" w:hAnsi="Arial" w:cs="Arial" w:eastAsia="Arial" w:hint="default"/>
        </w:rPr>
        <w:t>21</w:t>
      </w:r>
      <w:r>
        <w:rPr>
          <w:rFonts w:ascii="Arial" w:hAnsi="Arial" w:cs="Arial" w:eastAsia="Arial" w:hint="default"/>
          <w:spacing w:val="-9"/>
        </w:rPr>
        <w:t> </w:t>
      </w:r>
      <w:r>
        <w:rPr/>
        <w:t>日在深圳证券交易所中小企业板块挂牌上市交易。</w:t>
      </w:r>
    </w:p>
    <w:p>
      <w:pPr>
        <w:spacing w:line="240" w:lineRule="auto" w:before="13"/>
        <w:rPr>
          <w:rFonts w:ascii="宋体" w:hAnsi="宋体" w:cs="宋体" w:eastAsia="宋体" w:hint="default"/>
          <w:sz w:val="21"/>
          <w:szCs w:val="21"/>
        </w:rPr>
      </w:pPr>
    </w:p>
    <w:p>
      <w:pPr>
        <w:pStyle w:val="BodyText"/>
        <w:spacing w:line="312" w:lineRule="exact"/>
        <w:ind w:left="817" w:right="224"/>
        <w:jc w:val="both"/>
      </w:pPr>
      <w:r>
        <w:rPr>
          <w:spacing w:val="-1"/>
        </w:rPr>
        <w:t>经于</w:t>
      </w:r>
      <w:r>
        <w:rPr>
          <w:rFonts w:ascii="Arial" w:hAnsi="Arial" w:cs="Arial" w:eastAsia="Arial" w:hint="default"/>
          <w:spacing w:val="-1"/>
        </w:rPr>
        <w:t>2005</w:t>
      </w:r>
      <w:r>
        <w:rPr>
          <w:spacing w:val="-1"/>
        </w:rPr>
        <w:t>年</w:t>
      </w:r>
      <w:r>
        <w:rPr>
          <w:rFonts w:ascii="Arial" w:hAnsi="Arial" w:cs="Arial" w:eastAsia="Arial" w:hint="default"/>
          <w:spacing w:val="-1"/>
        </w:rPr>
        <w:t>5</w:t>
      </w:r>
      <w:r>
        <w:rPr>
          <w:spacing w:val="-1"/>
        </w:rPr>
        <w:t>月</w:t>
      </w:r>
      <w:r>
        <w:rPr>
          <w:rFonts w:ascii="Arial" w:hAnsi="Arial" w:cs="Arial" w:eastAsia="Arial" w:hint="default"/>
          <w:spacing w:val="-1"/>
        </w:rPr>
        <w:t>22</w:t>
      </w:r>
      <w:r>
        <w:rPr>
          <w:spacing w:val="-1"/>
        </w:rPr>
        <w:t>日召开的</w:t>
      </w:r>
      <w:r>
        <w:rPr>
          <w:rFonts w:ascii="Arial" w:hAnsi="Arial" w:cs="Arial" w:eastAsia="Arial" w:hint="default"/>
          <w:spacing w:val="-1"/>
        </w:rPr>
        <w:t>2004</w:t>
      </w:r>
      <w:r>
        <w:rPr>
          <w:spacing w:val="-1"/>
        </w:rPr>
        <w:t>年年度股东大会通过，本公司以资本公积转增股本人民</w:t>
      </w:r>
      <w:r>
        <w:rPr>
          <w:spacing w:val="-93"/>
        </w:rPr>
        <w:t> </w:t>
      </w:r>
      <w:r>
        <w:rPr>
          <w:spacing w:val="-93"/>
        </w:rPr>
      </w:r>
      <w:r>
        <w:rPr/>
        <w:t>币</w:t>
      </w:r>
      <w:r>
        <w:rPr>
          <w:rFonts w:ascii="Arial" w:hAnsi="Arial" w:cs="Arial" w:eastAsia="Arial" w:hint="default"/>
        </w:rPr>
        <w:t>93,160,000</w:t>
      </w:r>
      <w:r>
        <w:rPr/>
        <w:t>元。经此次转增后，股本总额变更为人民币</w:t>
      </w:r>
      <w:r>
        <w:rPr>
          <w:rFonts w:ascii="Arial" w:hAnsi="Arial" w:cs="Arial" w:eastAsia="Arial" w:hint="default"/>
        </w:rPr>
        <w:t>186,320,000</w:t>
      </w:r>
      <w:r>
        <w:rPr/>
        <w:t>元。</w:t>
      </w:r>
    </w:p>
    <w:p>
      <w:pPr>
        <w:spacing w:line="240" w:lineRule="auto" w:before="1"/>
        <w:rPr>
          <w:rFonts w:ascii="宋体" w:hAnsi="宋体" w:cs="宋体" w:eastAsia="宋体" w:hint="default"/>
          <w:sz w:val="21"/>
          <w:szCs w:val="21"/>
        </w:rPr>
      </w:pPr>
    </w:p>
    <w:p>
      <w:pPr>
        <w:pStyle w:val="BodyText"/>
        <w:spacing w:line="312" w:lineRule="exact"/>
        <w:ind w:left="817" w:right="217"/>
        <w:jc w:val="both"/>
      </w:pPr>
      <w:r>
        <w:rPr/>
        <w:t>经于</w:t>
      </w:r>
      <w:r>
        <w:rPr>
          <w:rFonts w:ascii="Arial" w:hAnsi="Arial" w:cs="Arial" w:eastAsia="Arial" w:hint="default"/>
        </w:rPr>
        <w:t>2005</w:t>
      </w:r>
      <w:r>
        <w:rPr/>
        <w:t>年</w:t>
      </w:r>
      <w:r>
        <w:rPr>
          <w:rFonts w:ascii="Arial" w:hAnsi="Arial" w:cs="Arial" w:eastAsia="Arial" w:hint="default"/>
        </w:rPr>
        <w:t>9</w:t>
      </w:r>
      <w:r>
        <w:rPr/>
        <w:t>月</w:t>
      </w:r>
      <w:r>
        <w:rPr>
          <w:rFonts w:ascii="Arial" w:hAnsi="Arial" w:cs="Arial" w:eastAsia="Arial" w:hint="default"/>
        </w:rPr>
        <w:t>29</w:t>
      </w:r>
      <w:r>
        <w:rPr/>
        <w:t>日召开的</w:t>
      </w:r>
      <w:r>
        <w:rPr>
          <w:rFonts w:ascii="Arial" w:hAnsi="Arial" w:cs="Arial" w:eastAsia="Arial" w:hint="default"/>
        </w:rPr>
        <w:t>2005</w:t>
      </w:r>
      <w:r>
        <w:rPr/>
        <w:t>年第二次临时股东大会决议通过，本公司以资本公积转 </w:t>
      </w:r>
      <w:r>
        <w:rPr>
          <w:spacing w:val="-1"/>
        </w:rPr>
        <w:t>增股本人民币</w:t>
      </w:r>
      <w:r>
        <w:rPr>
          <w:rFonts w:ascii="Arial" w:hAnsi="Arial" w:cs="Arial" w:eastAsia="Arial" w:hint="default"/>
          <w:spacing w:val="-1"/>
        </w:rPr>
        <w:t>149,056,000</w:t>
      </w:r>
      <w:r>
        <w:rPr>
          <w:spacing w:val="-1"/>
        </w:rPr>
        <w:t>元。经此次转增后，股本总额变更为人民币</w:t>
      </w:r>
      <w:r>
        <w:rPr>
          <w:rFonts w:ascii="Arial" w:hAnsi="Arial" w:cs="Arial" w:eastAsia="Arial" w:hint="default"/>
          <w:spacing w:val="-1"/>
        </w:rPr>
        <w:t>335,376,000</w:t>
      </w:r>
      <w:r>
        <w:rPr>
          <w:spacing w:val="-1"/>
        </w:rPr>
        <w:t>元。</w:t>
      </w:r>
    </w:p>
    <w:p>
      <w:pPr>
        <w:spacing w:line="240" w:lineRule="auto" w:before="1"/>
        <w:rPr>
          <w:rFonts w:ascii="宋体" w:hAnsi="宋体" w:cs="宋体" w:eastAsia="宋体" w:hint="default"/>
          <w:sz w:val="21"/>
          <w:szCs w:val="21"/>
        </w:rPr>
      </w:pPr>
    </w:p>
    <w:p>
      <w:pPr>
        <w:pStyle w:val="BodyText"/>
        <w:spacing w:line="312" w:lineRule="exact"/>
        <w:ind w:left="817" w:right="204"/>
        <w:jc w:val="both"/>
      </w:pPr>
      <w:r>
        <w:rPr>
          <w:spacing w:val="4"/>
        </w:rPr>
        <w:t>经中国证券监督管理委员会证监发行字</w:t>
      </w:r>
      <w:r>
        <w:rPr>
          <w:rFonts w:ascii="Arial" w:hAnsi="Arial" w:cs="Arial" w:eastAsia="Arial" w:hint="default"/>
          <w:spacing w:val="4"/>
        </w:rPr>
        <w:t>[2006]21</w:t>
      </w:r>
      <w:r>
        <w:rPr>
          <w:spacing w:val="4"/>
        </w:rPr>
        <w:t>号文</w:t>
      </w:r>
      <w:r>
        <w:rPr>
          <w:rFonts w:ascii="Arial" w:hAnsi="Arial" w:cs="Arial" w:eastAsia="Arial" w:hint="default"/>
          <w:spacing w:val="4"/>
        </w:rPr>
        <w:t>“</w:t>
      </w:r>
      <w:r>
        <w:rPr>
          <w:spacing w:val="4"/>
        </w:rPr>
        <w:t>关于核准苏宁电器股份有限公司</w:t>
      </w:r>
      <w:r>
        <w:rPr>
          <w:spacing w:val="-86"/>
        </w:rPr>
        <w:t> </w:t>
      </w:r>
      <w:r>
        <w:rPr/>
        <w:t>非公开发行股票的通知</w:t>
      </w:r>
      <w:r>
        <w:rPr>
          <w:rFonts w:ascii="Arial" w:hAnsi="Arial" w:cs="Arial" w:eastAsia="Arial" w:hint="default"/>
        </w:rPr>
        <w:t>”</w:t>
      </w:r>
      <w:r>
        <w:rPr/>
        <w:t>批准，本公司于</w:t>
      </w:r>
      <w:r>
        <w:rPr>
          <w:rFonts w:ascii="Arial" w:hAnsi="Arial" w:cs="Arial" w:eastAsia="Arial" w:hint="default"/>
        </w:rPr>
        <w:t>2006</w:t>
      </w:r>
      <w:r>
        <w:rPr/>
        <w:t>年</w:t>
      </w:r>
      <w:r>
        <w:rPr>
          <w:rFonts w:ascii="Arial" w:hAnsi="Arial" w:cs="Arial" w:eastAsia="Arial" w:hint="default"/>
        </w:rPr>
        <w:t>6</w:t>
      </w:r>
      <w:r>
        <w:rPr/>
        <w:t>月</w:t>
      </w:r>
      <w:r>
        <w:rPr>
          <w:rFonts w:ascii="Arial" w:hAnsi="Arial" w:cs="Arial" w:eastAsia="Arial" w:hint="default"/>
        </w:rPr>
        <w:t>20</w:t>
      </w:r>
      <w:r>
        <w:rPr/>
        <w:t>日向特定投资者非公开发行</w:t>
      </w:r>
      <w:r>
        <w:rPr>
          <w:rFonts w:ascii="Arial" w:hAnsi="Arial" w:cs="Arial" w:eastAsia="Arial" w:hint="default"/>
        </w:rPr>
        <w:t>2,500</w:t>
      </w:r>
      <w:r>
        <w:rPr>
          <w:rFonts w:ascii="Arial" w:hAnsi="Arial" w:cs="Arial" w:eastAsia="Arial" w:hint="default"/>
          <w:spacing w:val="-3"/>
        </w:rPr>
        <w:t> </w:t>
      </w:r>
      <w:r>
        <w:rPr>
          <w:spacing w:val="17"/>
        </w:rPr>
        <w:t>万</w:t>
      </w:r>
      <w:r>
        <w:rPr>
          <w:rFonts w:ascii="Arial" w:hAnsi="Arial" w:cs="Arial" w:eastAsia="Arial" w:hint="default"/>
          <w:spacing w:val="17"/>
        </w:rPr>
        <w:t>A</w:t>
      </w:r>
      <w:r>
        <w:rPr>
          <w:spacing w:val="17"/>
        </w:rPr>
        <w:t>股，每股面值人民币</w:t>
      </w:r>
      <w:r>
        <w:rPr>
          <w:rFonts w:ascii="Arial" w:hAnsi="Arial" w:cs="Arial" w:eastAsia="Arial" w:hint="default"/>
          <w:spacing w:val="17"/>
        </w:rPr>
        <w:t>1</w:t>
      </w:r>
      <w:r>
        <w:rPr>
          <w:spacing w:val="17"/>
        </w:rPr>
        <w:t>元，每股发行价为人民币</w:t>
      </w:r>
      <w:r>
        <w:rPr>
          <w:rFonts w:ascii="Arial" w:hAnsi="Arial" w:cs="Arial" w:eastAsia="Arial" w:hint="default"/>
          <w:spacing w:val="17"/>
        </w:rPr>
        <w:t>48</w:t>
      </w:r>
      <w:r>
        <w:rPr>
          <w:spacing w:val="17"/>
        </w:rPr>
        <w:t>元，股本总额变更为人民币</w:t>
      </w:r>
      <w:r>
        <w:rPr>
          <w:spacing w:val="-100"/>
        </w:rPr>
        <w:t> </w:t>
      </w:r>
      <w:r>
        <w:rPr>
          <w:rFonts w:ascii="Arial" w:hAnsi="Arial" w:cs="Arial" w:eastAsia="Arial" w:hint="default"/>
        </w:rPr>
        <w:t>360,376,000</w:t>
      </w:r>
      <w:r>
        <w:rPr/>
        <w:t>元。</w:t>
      </w:r>
    </w:p>
    <w:p>
      <w:pPr>
        <w:spacing w:line="240" w:lineRule="auto" w:before="1"/>
        <w:rPr>
          <w:rFonts w:ascii="宋体" w:hAnsi="宋体" w:cs="宋体" w:eastAsia="宋体" w:hint="default"/>
          <w:sz w:val="21"/>
          <w:szCs w:val="21"/>
        </w:rPr>
      </w:pPr>
    </w:p>
    <w:p>
      <w:pPr>
        <w:pStyle w:val="BodyText"/>
        <w:spacing w:line="312" w:lineRule="exact"/>
        <w:ind w:left="817" w:right="217"/>
        <w:jc w:val="both"/>
      </w:pPr>
      <w:r>
        <w:rPr/>
        <w:t>经于</w:t>
      </w:r>
      <w:r>
        <w:rPr>
          <w:rFonts w:ascii="Arial" w:hAnsi="Arial" w:cs="Arial" w:eastAsia="Arial" w:hint="default"/>
        </w:rPr>
        <w:t>2006</w:t>
      </w:r>
      <w:r>
        <w:rPr/>
        <w:t>年</w:t>
      </w:r>
      <w:r>
        <w:rPr>
          <w:rFonts w:ascii="Arial" w:hAnsi="Arial" w:cs="Arial" w:eastAsia="Arial" w:hint="default"/>
        </w:rPr>
        <w:t>9</w:t>
      </w:r>
      <w:r>
        <w:rPr/>
        <w:t>月</w:t>
      </w:r>
      <w:r>
        <w:rPr>
          <w:rFonts w:ascii="Arial" w:hAnsi="Arial" w:cs="Arial" w:eastAsia="Arial" w:hint="default"/>
        </w:rPr>
        <w:t>13</w:t>
      </w:r>
      <w:r>
        <w:rPr/>
        <w:t>日召开的</w:t>
      </w:r>
      <w:r>
        <w:rPr>
          <w:rFonts w:ascii="Arial" w:hAnsi="Arial" w:cs="Arial" w:eastAsia="Arial" w:hint="default"/>
        </w:rPr>
        <w:t>2006</w:t>
      </w:r>
      <w:r>
        <w:rPr/>
        <w:t>年第二次临时股东大会决议通过，本公司以资本公积转 </w:t>
      </w:r>
      <w:r>
        <w:rPr>
          <w:spacing w:val="-1"/>
        </w:rPr>
        <w:t>增股本人民币</w:t>
      </w:r>
      <w:r>
        <w:rPr>
          <w:rFonts w:ascii="Arial" w:hAnsi="Arial" w:cs="Arial" w:eastAsia="Arial" w:hint="default"/>
          <w:spacing w:val="-1"/>
        </w:rPr>
        <w:t>360,376,000</w:t>
      </w:r>
      <w:r>
        <w:rPr>
          <w:spacing w:val="-1"/>
        </w:rPr>
        <w:t>元。经此次转增后，股本总额变更为人民币</w:t>
      </w:r>
      <w:r>
        <w:rPr>
          <w:rFonts w:ascii="Arial" w:hAnsi="Arial" w:cs="Arial" w:eastAsia="Arial" w:hint="default"/>
          <w:spacing w:val="-1"/>
        </w:rPr>
        <w:t>720,752,000</w:t>
      </w:r>
      <w:r>
        <w:rPr>
          <w:spacing w:val="-1"/>
        </w:rPr>
        <w:t>元。</w:t>
      </w:r>
    </w:p>
    <w:p>
      <w:pPr>
        <w:spacing w:line="240" w:lineRule="auto" w:before="10"/>
        <w:rPr>
          <w:rFonts w:ascii="宋体" w:hAnsi="宋体" w:cs="宋体" w:eastAsia="宋体" w:hint="default"/>
          <w:sz w:val="18"/>
          <w:szCs w:val="18"/>
        </w:rPr>
      </w:pPr>
    </w:p>
    <w:p>
      <w:pPr>
        <w:pStyle w:val="BodyText"/>
        <w:spacing w:line="322" w:lineRule="exact"/>
        <w:ind w:left="817" w:right="0"/>
        <w:jc w:val="both"/>
      </w:pPr>
      <w:r>
        <w:rPr/>
        <w:t>经于</w:t>
      </w:r>
      <w:r>
        <w:rPr>
          <w:spacing w:val="-61"/>
        </w:rPr>
        <w:t> </w:t>
      </w:r>
      <w:r>
        <w:rPr>
          <w:rFonts w:ascii="Arial" w:hAnsi="Arial" w:cs="Arial" w:eastAsia="Arial" w:hint="default"/>
        </w:rPr>
        <w:t>2007</w:t>
      </w:r>
      <w:r>
        <w:rPr>
          <w:rFonts w:ascii="Arial" w:hAnsi="Arial" w:cs="Arial" w:eastAsia="Arial" w:hint="default"/>
          <w:spacing w:val="-7"/>
        </w:rPr>
        <w:t> </w:t>
      </w:r>
      <w:r>
        <w:rPr/>
        <w:t>年</w:t>
      </w:r>
      <w:r>
        <w:rPr>
          <w:spacing w:val="-61"/>
        </w:rPr>
        <w:t> </w:t>
      </w:r>
      <w:r>
        <w:rPr>
          <w:rFonts w:ascii="Arial" w:hAnsi="Arial" w:cs="Arial" w:eastAsia="Arial" w:hint="default"/>
        </w:rPr>
        <w:t>3</w:t>
      </w:r>
      <w:r>
        <w:rPr>
          <w:rFonts w:ascii="Arial" w:hAnsi="Arial" w:cs="Arial" w:eastAsia="Arial" w:hint="default"/>
          <w:spacing w:val="-8"/>
        </w:rPr>
        <w:t> </w:t>
      </w:r>
      <w:r>
        <w:rPr/>
        <w:t>月</w:t>
      </w:r>
      <w:r>
        <w:rPr>
          <w:spacing w:val="-61"/>
        </w:rPr>
        <w:t> </w:t>
      </w:r>
      <w:r>
        <w:rPr>
          <w:rFonts w:ascii="Arial" w:hAnsi="Arial" w:cs="Arial" w:eastAsia="Arial" w:hint="default"/>
        </w:rPr>
        <w:t>30</w:t>
      </w:r>
      <w:r>
        <w:rPr>
          <w:rFonts w:ascii="Arial" w:hAnsi="Arial" w:cs="Arial" w:eastAsia="Arial" w:hint="default"/>
          <w:spacing w:val="-7"/>
        </w:rPr>
        <w:t> </w:t>
      </w:r>
      <w:r>
        <w:rPr/>
        <w:t>日召开的</w:t>
      </w:r>
      <w:r>
        <w:rPr>
          <w:spacing w:val="-61"/>
        </w:rPr>
        <w:t> </w:t>
      </w:r>
      <w:r>
        <w:rPr>
          <w:rFonts w:ascii="Arial" w:hAnsi="Arial" w:cs="Arial" w:eastAsia="Arial" w:hint="default"/>
        </w:rPr>
        <w:t>2006</w:t>
      </w:r>
      <w:r>
        <w:rPr>
          <w:rFonts w:ascii="Arial" w:hAnsi="Arial" w:cs="Arial" w:eastAsia="Arial" w:hint="default"/>
          <w:spacing w:val="45"/>
        </w:rPr>
        <w:t> </w:t>
      </w:r>
      <w:r>
        <w:rPr>
          <w:spacing w:val="-3"/>
        </w:rPr>
        <w:t>年年度股东大会决议通过，本公司以资本公积转增</w:t>
      </w:r>
    </w:p>
    <w:p>
      <w:pPr>
        <w:pStyle w:val="BodyText"/>
        <w:spacing w:line="322" w:lineRule="exact"/>
        <w:ind w:left="817" w:right="0"/>
        <w:jc w:val="both"/>
      </w:pPr>
      <w:r>
        <w:rPr/>
        <w:t>股本人民币</w:t>
      </w:r>
      <w:r>
        <w:rPr>
          <w:spacing w:val="-65"/>
        </w:rPr>
        <w:t> </w:t>
      </w:r>
      <w:r>
        <w:rPr>
          <w:rFonts w:ascii="Arial" w:hAnsi="Arial" w:cs="Arial" w:eastAsia="Arial" w:hint="default"/>
        </w:rPr>
        <w:t>720,752,000</w:t>
      </w:r>
      <w:r>
        <w:rPr>
          <w:rFonts w:ascii="Arial" w:hAnsi="Arial" w:cs="Arial" w:eastAsia="Arial" w:hint="default"/>
          <w:spacing w:val="-12"/>
        </w:rPr>
        <w:t> </w:t>
      </w:r>
      <w:r>
        <w:rPr>
          <w:spacing w:val="-5"/>
        </w:rPr>
        <w:t>元。经此次转增后，股本总额变更为人民币</w:t>
      </w:r>
      <w:r>
        <w:rPr>
          <w:spacing w:val="-65"/>
        </w:rPr>
        <w:t> </w:t>
      </w:r>
      <w:r>
        <w:rPr>
          <w:rFonts w:ascii="Arial" w:hAnsi="Arial" w:cs="Arial" w:eastAsia="Arial" w:hint="default"/>
        </w:rPr>
        <w:t>1,441,504,000</w:t>
      </w:r>
      <w:r>
        <w:rPr>
          <w:rFonts w:ascii="Arial" w:hAnsi="Arial" w:cs="Arial" w:eastAsia="Arial" w:hint="default"/>
          <w:spacing w:val="-12"/>
        </w:rPr>
        <w:t> </w:t>
      </w:r>
      <w:r>
        <w:rPr/>
        <w:t>元。</w:t>
      </w:r>
    </w:p>
    <w:p>
      <w:pPr>
        <w:spacing w:after="0" w:line="322" w:lineRule="exact"/>
        <w:jc w:val="both"/>
        <w:sectPr>
          <w:headerReference w:type="default" r:id="rId53"/>
          <w:pgSz w:w="11910" w:h="16840"/>
          <w:pgMar w:header="1475" w:footer="708" w:top="3020" w:bottom="900" w:left="1020" w:right="70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104"/>
        <w:jc w:val="left"/>
        <w:rPr>
          <w:rFonts w:ascii="Arial" w:hAnsi="Arial" w:cs="Arial" w:eastAsia="Arial" w:hint="default"/>
          <w:b w:val="0"/>
          <w:bCs w:val="0"/>
        </w:rPr>
      </w:pPr>
      <w:r>
        <w:rPr>
          <w:w w:val="95"/>
        </w:rPr>
        <w:t>一</w:t>
        <w:tab/>
      </w:r>
      <w:r>
        <w:rPr/>
        <w:t>公司基本情况</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0"/>
        <w:rPr>
          <w:rFonts w:ascii="Arial" w:hAnsi="Arial" w:cs="Arial" w:eastAsia="Arial" w:hint="default"/>
          <w:b/>
          <w:bCs/>
          <w:sz w:val="25"/>
          <w:szCs w:val="25"/>
        </w:rPr>
      </w:pPr>
    </w:p>
    <w:p>
      <w:pPr>
        <w:pStyle w:val="BodyText"/>
        <w:spacing w:line="312" w:lineRule="exact"/>
        <w:ind w:left="817" w:right="224"/>
        <w:jc w:val="both"/>
      </w:pPr>
      <w:r>
        <w:rPr/>
        <w:t>经中国证券监督管理委员会证监许可</w:t>
      </w:r>
      <w:r>
        <w:rPr>
          <w:rFonts w:ascii="Arial" w:hAnsi="Arial" w:cs="Arial" w:eastAsia="Arial" w:hint="default"/>
        </w:rPr>
        <w:t>[2008]647</w:t>
      </w:r>
      <w:r>
        <w:rPr>
          <w:rFonts w:ascii="Arial" w:hAnsi="Arial" w:cs="Arial" w:eastAsia="Arial" w:hint="default"/>
          <w:spacing w:val="-2"/>
        </w:rPr>
        <w:t> </w:t>
      </w:r>
      <w:r>
        <w:rPr/>
        <w:t>号文</w:t>
      </w:r>
      <w:r>
        <w:rPr>
          <w:rFonts w:ascii="Arial" w:hAnsi="Arial" w:cs="Arial" w:eastAsia="Arial" w:hint="default"/>
        </w:rPr>
        <w:t>“</w:t>
      </w:r>
      <w:r>
        <w:rPr/>
        <w:t>关于核准苏宁电器股份有限公司非 </w:t>
      </w:r>
      <w:r>
        <w:rPr>
          <w:spacing w:val="-6"/>
        </w:rPr>
        <w:t>公开发行股票的批复</w:t>
      </w:r>
      <w:r>
        <w:rPr>
          <w:rFonts w:ascii="Arial" w:hAnsi="Arial" w:cs="Arial" w:eastAsia="Arial" w:hint="default"/>
          <w:spacing w:val="-6"/>
        </w:rPr>
        <w:t>”</w:t>
      </w:r>
      <w:r>
        <w:rPr>
          <w:spacing w:val="-6"/>
        </w:rPr>
        <w:t>批准，本公司于</w:t>
      </w:r>
      <w:r>
        <w:rPr>
          <w:spacing w:val="-61"/>
        </w:rPr>
        <w:t> </w:t>
      </w:r>
      <w:r>
        <w:rPr>
          <w:rFonts w:ascii="Arial" w:hAnsi="Arial" w:cs="Arial" w:eastAsia="Arial" w:hint="default"/>
        </w:rPr>
        <w:t>2008</w:t>
      </w:r>
      <w:r>
        <w:rPr>
          <w:rFonts w:ascii="Arial" w:hAnsi="Arial" w:cs="Arial" w:eastAsia="Arial" w:hint="default"/>
          <w:spacing w:val="-7"/>
        </w:rPr>
        <w:t> </w:t>
      </w:r>
      <w:r>
        <w:rPr/>
        <w:t>年</w:t>
      </w:r>
      <w:r>
        <w:rPr>
          <w:spacing w:val="-61"/>
        </w:rPr>
        <w:t> </w:t>
      </w:r>
      <w:r>
        <w:rPr>
          <w:rFonts w:ascii="Arial" w:hAnsi="Arial" w:cs="Arial" w:eastAsia="Arial" w:hint="default"/>
        </w:rPr>
        <w:t>5</w:t>
      </w:r>
      <w:r>
        <w:rPr>
          <w:rFonts w:ascii="Arial" w:hAnsi="Arial" w:cs="Arial" w:eastAsia="Arial" w:hint="default"/>
          <w:spacing w:val="-8"/>
        </w:rPr>
        <w:t> </w:t>
      </w:r>
      <w:r>
        <w:rPr/>
        <w:t>月</w:t>
      </w:r>
      <w:r>
        <w:rPr>
          <w:spacing w:val="-61"/>
        </w:rPr>
        <w:t> </w:t>
      </w:r>
      <w:r>
        <w:rPr>
          <w:rFonts w:ascii="Arial" w:hAnsi="Arial" w:cs="Arial" w:eastAsia="Arial" w:hint="default"/>
        </w:rPr>
        <w:t>16</w:t>
      </w:r>
      <w:r>
        <w:rPr>
          <w:rFonts w:ascii="Arial" w:hAnsi="Arial" w:cs="Arial" w:eastAsia="Arial" w:hint="default"/>
          <w:spacing w:val="-7"/>
        </w:rPr>
        <w:t> </w:t>
      </w:r>
      <w:r>
        <w:rPr/>
        <w:t>日向特定投资者非公开发行</w:t>
      </w:r>
      <w:r>
        <w:rPr>
          <w:spacing w:val="-61"/>
        </w:rPr>
        <w:t> </w:t>
      </w:r>
      <w:r>
        <w:rPr>
          <w:rFonts w:ascii="Arial" w:hAnsi="Arial" w:cs="Arial" w:eastAsia="Arial" w:hint="default"/>
        </w:rPr>
        <w:t>5,400</w:t>
      </w:r>
      <w:r>
        <w:rPr>
          <w:rFonts w:ascii="Arial" w:hAnsi="Arial" w:cs="Arial" w:eastAsia="Arial" w:hint="default"/>
          <w:spacing w:val="-1"/>
          <w:w w:val="99"/>
        </w:rPr>
        <w:t> </w:t>
      </w:r>
      <w:r>
        <w:rPr/>
        <w:t>万 </w:t>
      </w:r>
      <w:r>
        <w:rPr>
          <w:rFonts w:ascii="Arial" w:hAnsi="Arial" w:cs="Arial" w:eastAsia="Arial" w:hint="default"/>
        </w:rPr>
        <w:t>A </w:t>
      </w:r>
      <w:r>
        <w:rPr/>
        <w:t>股，每股面值人民币 </w:t>
      </w:r>
      <w:r>
        <w:rPr>
          <w:rFonts w:ascii="Arial" w:hAnsi="Arial" w:cs="Arial" w:eastAsia="Arial" w:hint="default"/>
        </w:rPr>
        <w:t>1 </w:t>
      </w:r>
      <w:r>
        <w:rPr/>
        <w:t>元，每股发行价为人民币 </w:t>
      </w:r>
      <w:r>
        <w:rPr>
          <w:rFonts w:ascii="Arial" w:hAnsi="Arial" w:cs="Arial" w:eastAsia="Arial" w:hint="default"/>
        </w:rPr>
        <w:t>45</w:t>
      </w:r>
      <w:r>
        <w:rPr>
          <w:rFonts w:ascii="Arial" w:hAnsi="Arial" w:cs="Arial" w:eastAsia="Arial" w:hint="default"/>
          <w:spacing w:val="20"/>
        </w:rPr>
        <w:t> </w:t>
      </w:r>
      <w:r>
        <w:rPr/>
        <w:t>元，股本总额变更为人民币 </w:t>
      </w:r>
      <w:r>
        <w:rPr>
          <w:rFonts w:ascii="Arial" w:hAnsi="Arial" w:cs="Arial" w:eastAsia="Arial" w:hint="default"/>
        </w:rPr>
        <w:t>1,495,504,000</w:t>
      </w:r>
      <w:r>
        <w:rPr>
          <w:rFonts w:ascii="Arial" w:hAnsi="Arial" w:cs="Arial" w:eastAsia="Arial" w:hint="default"/>
          <w:spacing w:val="-20"/>
        </w:rPr>
        <w:t> </w:t>
      </w:r>
      <w:r>
        <w:rPr/>
        <w:t>元。</w:t>
      </w:r>
    </w:p>
    <w:p>
      <w:pPr>
        <w:spacing w:line="240" w:lineRule="auto" w:before="10"/>
        <w:rPr>
          <w:rFonts w:ascii="宋体" w:hAnsi="宋体" w:cs="宋体" w:eastAsia="宋体" w:hint="default"/>
          <w:sz w:val="18"/>
          <w:szCs w:val="18"/>
        </w:rPr>
      </w:pPr>
    </w:p>
    <w:p>
      <w:pPr>
        <w:pStyle w:val="BodyText"/>
        <w:spacing w:line="322" w:lineRule="exact"/>
        <w:ind w:left="817" w:right="0"/>
        <w:jc w:val="both"/>
      </w:pPr>
      <w:r>
        <w:rPr/>
        <w:t>经于</w:t>
      </w:r>
      <w:r>
        <w:rPr>
          <w:spacing w:val="-63"/>
        </w:rPr>
        <w:t> </w:t>
      </w:r>
      <w:r>
        <w:rPr>
          <w:rFonts w:ascii="Arial" w:hAnsi="Arial" w:cs="Arial" w:eastAsia="Arial" w:hint="default"/>
        </w:rPr>
        <w:t>2008</w:t>
      </w:r>
      <w:r>
        <w:rPr>
          <w:rFonts w:ascii="Arial" w:hAnsi="Arial" w:cs="Arial" w:eastAsia="Arial" w:hint="default"/>
          <w:spacing w:val="-9"/>
        </w:rPr>
        <w:t> </w:t>
      </w:r>
      <w:r>
        <w:rPr/>
        <w:t>年</w:t>
      </w:r>
      <w:r>
        <w:rPr>
          <w:spacing w:val="-63"/>
        </w:rPr>
        <w:t> </w:t>
      </w:r>
      <w:r>
        <w:rPr>
          <w:rFonts w:ascii="Arial" w:hAnsi="Arial" w:cs="Arial" w:eastAsia="Arial" w:hint="default"/>
        </w:rPr>
        <w:t>9</w:t>
      </w:r>
      <w:r>
        <w:rPr>
          <w:rFonts w:ascii="Arial" w:hAnsi="Arial" w:cs="Arial" w:eastAsia="Arial" w:hint="default"/>
          <w:spacing w:val="-10"/>
        </w:rPr>
        <w:t> </w:t>
      </w:r>
      <w:r>
        <w:rPr/>
        <w:t>月</w:t>
      </w:r>
      <w:r>
        <w:rPr>
          <w:spacing w:val="-63"/>
        </w:rPr>
        <w:t> </w:t>
      </w:r>
      <w:r>
        <w:rPr>
          <w:rFonts w:ascii="Arial" w:hAnsi="Arial" w:cs="Arial" w:eastAsia="Arial" w:hint="default"/>
        </w:rPr>
        <w:t>16</w:t>
      </w:r>
      <w:r>
        <w:rPr>
          <w:rFonts w:ascii="Arial" w:hAnsi="Arial" w:cs="Arial" w:eastAsia="Arial" w:hint="default"/>
          <w:spacing w:val="-9"/>
        </w:rPr>
        <w:t> </w:t>
      </w:r>
      <w:r>
        <w:rPr/>
        <w:t>日召开的</w:t>
      </w:r>
      <w:r>
        <w:rPr>
          <w:spacing w:val="-63"/>
        </w:rPr>
        <w:t> </w:t>
      </w:r>
      <w:r>
        <w:rPr>
          <w:rFonts w:ascii="Arial" w:hAnsi="Arial" w:cs="Arial" w:eastAsia="Arial" w:hint="default"/>
        </w:rPr>
        <w:t>2008</w:t>
      </w:r>
      <w:r>
        <w:rPr>
          <w:rFonts w:ascii="Arial" w:hAnsi="Arial" w:cs="Arial" w:eastAsia="Arial" w:hint="default"/>
          <w:spacing w:val="-10"/>
        </w:rPr>
        <w:t> </w:t>
      </w:r>
      <w:r>
        <w:rPr/>
        <w:t>年第一次临时股东大会决议通过，本公司以资本公</w:t>
      </w:r>
    </w:p>
    <w:p>
      <w:pPr>
        <w:pStyle w:val="BodyText"/>
        <w:spacing w:line="312" w:lineRule="exact"/>
        <w:ind w:left="817" w:right="0"/>
        <w:jc w:val="both"/>
      </w:pPr>
      <w:r>
        <w:rPr>
          <w:spacing w:val="28"/>
        </w:rPr>
        <w:t>积转增股本人民币 </w:t>
      </w:r>
      <w:r>
        <w:rPr>
          <w:rFonts w:ascii="Arial" w:hAnsi="Arial" w:cs="Arial" w:eastAsia="Arial" w:hint="default"/>
        </w:rPr>
        <w:t>1,495,504,000  </w:t>
      </w:r>
      <w:r>
        <w:rPr>
          <w:spacing w:val="30"/>
        </w:rPr>
        <w:t>元。经此次转增后，股本总额变更为人民</w:t>
      </w:r>
      <w:r>
        <w:rPr>
          <w:spacing w:val="-71"/>
        </w:rPr>
        <w:t> </w:t>
      </w:r>
      <w:r>
        <w:rPr/>
        <w:t>币</w:t>
      </w:r>
    </w:p>
    <w:p>
      <w:pPr>
        <w:pStyle w:val="BodyText"/>
        <w:spacing w:line="322" w:lineRule="exact"/>
        <w:ind w:left="817" w:right="0"/>
        <w:jc w:val="both"/>
      </w:pPr>
      <w:r>
        <w:rPr>
          <w:rFonts w:ascii="Arial" w:hAnsi="Arial" w:cs="Arial" w:eastAsia="Arial" w:hint="default"/>
        </w:rPr>
        <w:t>2,991,008,000</w:t>
      </w:r>
      <w:r>
        <w:rPr>
          <w:rFonts w:ascii="Arial" w:hAnsi="Arial" w:cs="Arial" w:eastAsia="Arial" w:hint="default"/>
          <w:spacing w:val="-20"/>
        </w:rPr>
        <w:t> </w:t>
      </w:r>
      <w:r>
        <w:rPr/>
        <w:t>元。</w:t>
      </w:r>
    </w:p>
    <w:p>
      <w:pPr>
        <w:spacing w:line="240" w:lineRule="auto" w:before="8"/>
        <w:rPr>
          <w:rFonts w:ascii="宋体" w:hAnsi="宋体" w:cs="宋体" w:eastAsia="宋体" w:hint="default"/>
          <w:sz w:val="19"/>
          <w:szCs w:val="19"/>
        </w:rPr>
      </w:pPr>
    </w:p>
    <w:p>
      <w:pPr>
        <w:pStyle w:val="BodyText"/>
        <w:spacing w:line="322" w:lineRule="exact"/>
        <w:ind w:left="817" w:right="0"/>
        <w:jc w:val="both"/>
      </w:pPr>
      <w:r>
        <w:rPr/>
        <w:t>经于</w:t>
      </w:r>
      <w:r>
        <w:rPr>
          <w:spacing w:val="-37"/>
        </w:rPr>
        <w:t> </w:t>
      </w:r>
      <w:r>
        <w:rPr>
          <w:rFonts w:ascii="Arial" w:hAnsi="Arial" w:cs="Arial" w:eastAsia="Arial" w:hint="default"/>
        </w:rPr>
        <w:t>2009</w:t>
      </w:r>
      <w:r>
        <w:rPr>
          <w:rFonts w:ascii="Arial" w:hAnsi="Arial" w:cs="Arial" w:eastAsia="Arial" w:hint="default"/>
          <w:spacing w:val="17"/>
        </w:rPr>
        <w:t> </w:t>
      </w:r>
      <w:r>
        <w:rPr/>
        <w:t>年</w:t>
      </w:r>
      <w:r>
        <w:rPr>
          <w:spacing w:val="-37"/>
        </w:rPr>
        <w:t> </w:t>
      </w:r>
      <w:r>
        <w:rPr>
          <w:rFonts w:ascii="Arial" w:hAnsi="Arial" w:cs="Arial" w:eastAsia="Arial" w:hint="default"/>
        </w:rPr>
        <w:t>3</w:t>
      </w:r>
      <w:r>
        <w:rPr>
          <w:rFonts w:ascii="Arial" w:hAnsi="Arial" w:cs="Arial" w:eastAsia="Arial" w:hint="default"/>
          <w:spacing w:val="17"/>
        </w:rPr>
        <w:t> </w:t>
      </w:r>
      <w:r>
        <w:rPr/>
        <w:t>月</w:t>
      </w:r>
      <w:r>
        <w:rPr>
          <w:spacing w:val="-37"/>
        </w:rPr>
        <w:t> </w:t>
      </w:r>
      <w:r>
        <w:rPr>
          <w:rFonts w:ascii="Arial" w:hAnsi="Arial" w:cs="Arial" w:eastAsia="Arial" w:hint="default"/>
        </w:rPr>
        <w:t>31</w:t>
      </w:r>
      <w:r>
        <w:rPr>
          <w:rFonts w:ascii="Arial" w:hAnsi="Arial" w:cs="Arial" w:eastAsia="Arial" w:hint="default"/>
          <w:spacing w:val="17"/>
        </w:rPr>
        <w:t> </w:t>
      </w:r>
      <w:r>
        <w:rPr/>
        <w:t>日召开的</w:t>
      </w:r>
      <w:r>
        <w:rPr>
          <w:spacing w:val="-37"/>
        </w:rPr>
        <w:t> </w:t>
      </w:r>
      <w:r>
        <w:rPr>
          <w:rFonts w:ascii="Arial" w:hAnsi="Arial" w:cs="Arial" w:eastAsia="Arial" w:hint="default"/>
        </w:rPr>
        <w:t>2008</w:t>
      </w:r>
      <w:r>
        <w:rPr>
          <w:rFonts w:ascii="Arial" w:hAnsi="Arial" w:cs="Arial" w:eastAsia="Arial" w:hint="default"/>
          <w:spacing w:val="53"/>
        </w:rPr>
        <w:t> </w:t>
      </w:r>
      <w:r>
        <w:rPr/>
        <w:t>年年度股东大会决议通过，本公司以现有总股本</w:t>
      </w:r>
    </w:p>
    <w:p>
      <w:pPr>
        <w:pStyle w:val="BodyText"/>
        <w:spacing w:line="312" w:lineRule="exact"/>
        <w:ind w:left="817" w:right="0"/>
        <w:jc w:val="both"/>
      </w:pPr>
      <w:r>
        <w:rPr>
          <w:rFonts w:ascii="Arial" w:hAnsi="Arial" w:cs="Arial" w:eastAsia="Arial" w:hint="default"/>
        </w:rPr>
        <w:t>2,991,008,000 </w:t>
      </w:r>
      <w:r>
        <w:rPr/>
        <w:t>股为基数，向全体股东每 </w:t>
      </w:r>
      <w:r>
        <w:rPr>
          <w:rFonts w:ascii="Arial" w:hAnsi="Arial" w:cs="Arial" w:eastAsia="Arial" w:hint="default"/>
        </w:rPr>
        <w:t>10 </w:t>
      </w:r>
      <w:r>
        <w:rPr/>
        <w:t>股送 </w:t>
      </w:r>
      <w:r>
        <w:rPr>
          <w:rFonts w:ascii="Arial" w:hAnsi="Arial" w:cs="Arial" w:eastAsia="Arial" w:hint="default"/>
        </w:rPr>
        <w:t>2 </w:t>
      </w:r>
      <w:r>
        <w:rPr/>
        <w:t>股红股并派发现金红利 </w:t>
      </w:r>
      <w:r>
        <w:rPr>
          <w:rFonts w:ascii="Arial" w:hAnsi="Arial" w:cs="Arial" w:eastAsia="Arial" w:hint="default"/>
        </w:rPr>
        <w:t>0.3</w:t>
      </w:r>
      <w:r>
        <w:rPr>
          <w:rFonts w:ascii="Arial" w:hAnsi="Arial" w:cs="Arial" w:eastAsia="Arial" w:hint="default"/>
          <w:spacing w:val="-22"/>
        </w:rPr>
        <w:t> </w:t>
      </w:r>
      <w:r>
        <w:rPr/>
        <w:t>元人民</w:t>
      </w:r>
    </w:p>
    <w:p>
      <w:pPr>
        <w:pStyle w:val="BodyText"/>
        <w:spacing w:line="312" w:lineRule="exact"/>
        <w:ind w:left="817" w:right="0"/>
        <w:jc w:val="both"/>
      </w:pPr>
      <w:r>
        <w:rPr/>
        <w:t>币；同时，公司以资本公积金向全体股东每</w:t>
      </w:r>
      <w:r>
        <w:rPr>
          <w:spacing w:val="-64"/>
        </w:rPr>
        <w:t> </w:t>
      </w:r>
      <w:r>
        <w:rPr>
          <w:rFonts w:ascii="Arial" w:hAnsi="Arial" w:cs="Arial" w:eastAsia="Arial" w:hint="default"/>
        </w:rPr>
        <w:t>10</w:t>
      </w:r>
      <w:r>
        <w:rPr>
          <w:rFonts w:ascii="Arial" w:hAnsi="Arial" w:cs="Arial" w:eastAsia="Arial" w:hint="default"/>
          <w:spacing w:val="39"/>
        </w:rPr>
        <w:t> </w:t>
      </w:r>
      <w:r>
        <w:rPr/>
        <w:t>股转增</w:t>
      </w:r>
      <w:r>
        <w:rPr>
          <w:spacing w:val="-64"/>
        </w:rPr>
        <w:t> </w:t>
      </w:r>
      <w:r>
        <w:rPr>
          <w:rFonts w:ascii="Arial" w:hAnsi="Arial" w:cs="Arial" w:eastAsia="Arial" w:hint="default"/>
        </w:rPr>
        <w:t>3</w:t>
      </w:r>
      <w:r>
        <w:rPr>
          <w:rFonts w:ascii="Arial" w:hAnsi="Arial" w:cs="Arial" w:eastAsia="Arial" w:hint="default"/>
          <w:spacing w:val="39"/>
        </w:rPr>
        <w:t> </w:t>
      </w:r>
      <w:r>
        <w:rPr/>
        <w:t>股。经过此次分红派息以及资</w:t>
      </w:r>
    </w:p>
    <w:p>
      <w:pPr>
        <w:pStyle w:val="BodyText"/>
        <w:spacing w:line="322" w:lineRule="exact"/>
        <w:ind w:left="817" w:right="0"/>
        <w:jc w:val="both"/>
      </w:pPr>
      <w:r>
        <w:rPr/>
        <w:t>本公积金转增股本后，股本总额变更为人民币</w:t>
      </w:r>
      <w:r>
        <w:rPr>
          <w:spacing w:val="-66"/>
        </w:rPr>
        <w:t> </w:t>
      </w:r>
      <w:r>
        <w:rPr>
          <w:rFonts w:ascii="Arial" w:hAnsi="Arial" w:cs="Arial" w:eastAsia="Arial" w:hint="default"/>
        </w:rPr>
        <w:t>4,486,512,000</w:t>
      </w:r>
      <w:r>
        <w:rPr>
          <w:rFonts w:ascii="Arial" w:hAnsi="Arial" w:cs="Arial" w:eastAsia="Arial" w:hint="default"/>
          <w:spacing w:val="-13"/>
        </w:rPr>
        <w:t> </w:t>
      </w:r>
      <w:r>
        <w:rPr/>
        <w:t>元。</w:t>
      </w:r>
    </w:p>
    <w:p>
      <w:pPr>
        <w:spacing w:line="240" w:lineRule="auto" w:before="13"/>
        <w:rPr>
          <w:rFonts w:ascii="宋体" w:hAnsi="宋体" w:cs="宋体" w:eastAsia="宋体" w:hint="default"/>
          <w:sz w:val="21"/>
          <w:szCs w:val="21"/>
        </w:rPr>
      </w:pPr>
    </w:p>
    <w:p>
      <w:pPr>
        <w:pStyle w:val="BodyText"/>
        <w:spacing w:line="312" w:lineRule="exact"/>
        <w:ind w:left="817" w:right="224"/>
        <w:jc w:val="both"/>
      </w:pPr>
      <w:r>
        <w:rPr/>
        <w:t>经中国证券监督管理委员会证监许可字</w:t>
      </w:r>
      <w:r>
        <w:rPr>
          <w:rFonts w:ascii="Arial" w:hAnsi="Arial" w:cs="Arial" w:eastAsia="Arial" w:hint="default"/>
        </w:rPr>
        <w:t>[2009]1351</w:t>
      </w:r>
      <w:r>
        <w:rPr>
          <w:rFonts w:ascii="Arial" w:hAnsi="Arial" w:cs="Arial" w:eastAsia="Arial" w:hint="default"/>
          <w:spacing w:val="-8"/>
        </w:rPr>
        <w:t> </w:t>
      </w:r>
      <w:r>
        <w:rPr>
          <w:spacing w:val="-3"/>
        </w:rPr>
        <w:t>号《关于核准苏宁电器股份有限公司</w:t>
      </w:r>
      <w:r>
        <w:rPr/>
        <w:t> 非公开发行股票的批复》批准，本公司于</w:t>
      </w:r>
      <w:r>
        <w:rPr>
          <w:spacing w:val="-55"/>
        </w:rPr>
        <w:t> </w:t>
      </w:r>
      <w:r>
        <w:rPr>
          <w:rFonts w:ascii="Arial" w:hAnsi="Arial" w:cs="Arial" w:eastAsia="Arial" w:hint="default"/>
        </w:rPr>
        <w:t>2009</w:t>
      </w:r>
      <w:r>
        <w:rPr>
          <w:rFonts w:ascii="Arial" w:hAnsi="Arial" w:cs="Arial" w:eastAsia="Arial" w:hint="default"/>
          <w:spacing w:val="-2"/>
        </w:rPr>
        <w:t> </w:t>
      </w:r>
      <w:r>
        <w:rPr/>
        <w:t>年</w:t>
      </w:r>
      <w:r>
        <w:rPr>
          <w:spacing w:val="-55"/>
        </w:rPr>
        <w:t> </w:t>
      </w:r>
      <w:r>
        <w:rPr>
          <w:rFonts w:ascii="Arial" w:hAnsi="Arial" w:cs="Arial" w:eastAsia="Arial" w:hint="default"/>
        </w:rPr>
        <w:t>12</w:t>
      </w:r>
      <w:r>
        <w:rPr>
          <w:rFonts w:ascii="Arial" w:hAnsi="Arial" w:cs="Arial" w:eastAsia="Arial" w:hint="default"/>
          <w:spacing w:val="-2"/>
        </w:rPr>
        <w:t> </w:t>
      </w:r>
      <w:r>
        <w:rPr/>
        <w:t>月</w:t>
      </w:r>
      <w:r>
        <w:rPr>
          <w:spacing w:val="-57"/>
        </w:rPr>
        <w:t> </w:t>
      </w:r>
      <w:r>
        <w:rPr>
          <w:rFonts w:ascii="Arial" w:hAnsi="Arial" w:cs="Arial" w:eastAsia="Arial" w:hint="default"/>
        </w:rPr>
        <w:t>23</w:t>
      </w:r>
      <w:r>
        <w:rPr>
          <w:rFonts w:ascii="Arial" w:hAnsi="Arial" w:cs="Arial" w:eastAsia="Arial" w:hint="default"/>
          <w:spacing w:val="-2"/>
        </w:rPr>
        <w:t> </w:t>
      </w:r>
      <w:r>
        <w:rPr/>
        <w:t>日以非公开发行股票的方式 向证券投资基金等特定投资者发行人民币普通股</w:t>
      </w:r>
      <w:r>
        <w:rPr>
          <w:rFonts w:ascii="Arial" w:hAnsi="Arial" w:cs="Arial" w:eastAsia="Arial" w:hint="default"/>
        </w:rPr>
        <w:t>(A </w:t>
      </w:r>
      <w:r>
        <w:rPr/>
        <w:t>股</w:t>
      </w:r>
      <w:r>
        <w:rPr>
          <w:rFonts w:ascii="Arial" w:hAnsi="Arial" w:cs="Arial" w:eastAsia="Arial" w:hint="default"/>
        </w:rPr>
        <w:t>)177,629,244</w:t>
      </w:r>
      <w:r>
        <w:rPr>
          <w:rFonts w:ascii="Arial" w:hAnsi="Arial" w:cs="Arial" w:eastAsia="Arial" w:hint="default"/>
          <w:spacing w:val="-19"/>
        </w:rPr>
        <w:t> </w:t>
      </w:r>
      <w:r>
        <w:rPr>
          <w:spacing w:val="-9"/>
        </w:rPr>
        <w:t>股，每股面值人民币</w:t>
      </w:r>
      <w:r>
        <w:rPr/>
        <w:t> </w:t>
      </w:r>
      <w:r>
        <w:rPr>
          <w:rFonts w:ascii="Arial" w:hAnsi="Arial" w:cs="Arial" w:eastAsia="Arial" w:hint="default"/>
        </w:rPr>
        <w:t>1</w:t>
      </w:r>
      <w:r>
        <w:rPr>
          <w:rFonts w:ascii="Arial" w:hAnsi="Arial" w:cs="Arial" w:eastAsia="Arial" w:hint="default"/>
          <w:spacing w:val="-10"/>
        </w:rPr>
        <w:t> </w:t>
      </w:r>
      <w:r>
        <w:rPr/>
        <w:t>元，每股发行价为人民币</w:t>
      </w:r>
      <w:r>
        <w:rPr>
          <w:spacing w:val="-63"/>
        </w:rPr>
        <w:t> </w:t>
      </w:r>
      <w:r>
        <w:rPr>
          <w:rFonts w:ascii="Arial" w:hAnsi="Arial" w:cs="Arial" w:eastAsia="Arial" w:hint="default"/>
        </w:rPr>
        <w:t>17.20</w:t>
      </w:r>
      <w:r>
        <w:rPr>
          <w:rFonts w:ascii="Arial" w:hAnsi="Arial" w:cs="Arial" w:eastAsia="Arial" w:hint="default"/>
          <w:spacing w:val="-10"/>
        </w:rPr>
        <w:t> </w:t>
      </w:r>
      <w:r>
        <w:rPr/>
        <w:t>元，股本总额变更为人民币</w:t>
      </w:r>
      <w:r>
        <w:rPr>
          <w:spacing w:val="-63"/>
        </w:rPr>
        <w:t> </w:t>
      </w:r>
      <w:r>
        <w:rPr>
          <w:rFonts w:ascii="Arial" w:hAnsi="Arial" w:cs="Arial" w:eastAsia="Arial" w:hint="default"/>
        </w:rPr>
        <w:t>4,664,141,244</w:t>
      </w:r>
      <w:r>
        <w:rPr>
          <w:rFonts w:ascii="Arial" w:hAnsi="Arial" w:cs="Arial" w:eastAsia="Arial" w:hint="default"/>
          <w:spacing w:val="-10"/>
        </w:rPr>
        <w:t> </w:t>
      </w:r>
      <w:r>
        <w:rPr/>
        <w:t>元。</w:t>
      </w:r>
    </w:p>
    <w:p>
      <w:pPr>
        <w:spacing w:line="240" w:lineRule="auto" w:before="10"/>
        <w:rPr>
          <w:rFonts w:ascii="宋体" w:hAnsi="宋体" w:cs="宋体" w:eastAsia="宋体" w:hint="default"/>
          <w:sz w:val="18"/>
          <w:szCs w:val="18"/>
        </w:rPr>
      </w:pPr>
    </w:p>
    <w:p>
      <w:pPr>
        <w:pStyle w:val="BodyText"/>
        <w:spacing w:line="322" w:lineRule="exact"/>
        <w:ind w:left="817" w:right="0"/>
        <w:jc w:val="both"/>
      </w:pPr>
      <w:r>
        <w:rPr/>
        <w:t>经于</w:t>
      </w:r>
      <w:r>
        <w:rPr>
          <w:spacing w:val="-60"/>
        </w:rPr>
        <w:t> </w:t>
      </w:r>
      <w:r>
        <w:rPr>
          <w:rFonts w:ascii="Arial" w:hAnsi="Arial" w:cs="Arial" w:eastAsia="Arial" w:hint="default"/>
          <w:spacing w:val="-1"/>
          <w:w w:val="99"/>
        </w:rPr>
        <w:t>201</w:t>
      </w:r>
      <w:r>
        <w:rPr>
          <w:rFonts w:ascii="Arial" w:hAnsi="Arial" w:cs="Arial" w:eastAsia="Arial" w:hint="default"/>
          <w:w w:val="99"/>
        </w:rPr>
        <w:t>0</w:t>
      </w:r>
      <w:r>
        <w:rPr>
          <w:rFonts w:ascii="Arial" w:hAnsi="Arial" w:cs="Arial" w:eastAsia="Arial" w:hint="default"/>
          <w:spacing w:val="-6"/>
        </w:rPr>
        <w:t> </w:t>
      </w:r>
      <w:r>
        <w:rPr/>
        <w:t>年</w:t>
      </w:r>
      <w:r>
        <w:rPr>
          <w:spacing w:val="-60"/>
        </w:rPr>
        <w:t> </w:t>
      </w:r>
      <w:r>
        <w:rPr>
          <w:rFonts w:ascii="Arial" w:hAnsi="Arial" w:cs="Arial" w:eastAsia="Arial" w:hint="default"/>
          <w:w w:val="99"/>
        </w:rPr>
        <w:t>4</w:t>
      </w:r>
      <w:r>
        <w:rPr>
          <w:rFonts w:ascii="Arial" w:hAnsi="Arial" w:cs="Arial" w:eastAsia="Arial" w:hint="default"/>
          <w:spacing w:val="-7"/>
        </w:rPr>
        <w:t> </w:t>
      </w:r>
      <w:r>
        <w:rPr/>
        <w:t>月</w:t>
      </w:r>
      <w:r>
        <w:rPr>
          <w:spacing w:val="-60"/>
        </w:rPr>
        <w:t> </w:t>
      </w:r>
      <w:r>
        <w:rPr>
          <w:rFonts w:ascii="Arial" w:hAnsi="Arial" w:cs="Arial" w:eastAsia="Arial" w:hint="default"/>
          <w:w w:val="99"/>
        </w:rPr>
        <w:t>6</w:t>
      </w:r>
      <w:r>
        <w:rPr>
          <w:rFonts w:ascii="Arial" w:hAnsi="Arial" w:cs="Arial" w:eastAsia="Arial" w:hint="default"/>
          <w:spacing w:val="-7"/>
        </w:rPr>
        <w:t> </w:t>
      </w:r>
      <w:r>
        <w:rPr/>
        <w:t>日召开的</w:t>
      </w:r>
      <w:r>
        <w:rPr>
          <w:spacing w:val="-60"/>
        </w:rPr>
        <w:t> </w:t>
      </w:r>
      <w:r>
        <w:rPr>
          <w:rFonts w:ascii="Arial" w:hAnsi="Arial" w:cs="Arial" w:eastAsia="Arial" w:hint="default"/>
          <w:w w:val="99"/>
        </w:rPr>
        <w:t>2009</w:t>
      </w:r>
      <w:r>
        <w:rPr>
          <w:rFonts w:ascii="Arial" w:hAnsi="Arial" w:cs="Arial" w:eastAsia="Arial" w:hint="default"/>
          <w:spacing w:val="-7"/>
        </w:rPr>
        <w:t> </w:t>
      </w:r>
      <w:r>
        <w:rPr/>
        <w:t>年年度股东大会决议通过</w:t>
      </w:r>
      <w:r>
        <w:rPr>
          <w:spacing w:val="-114"/>
        </w:rPr>
        <w:t>，</w:t>
      </w:r>
      <w:r>
        <w:rPr/>
        <w:t>本公司以资本公积转增股</w:t>
      </w:r>
    </w:p>
    <w:p>
      <w:pPr>
        <w:pStyle w:val="BodyText"/>
        <w:spacing w:line="322" w:lineRule="exact"/>
        <w:ind w:left="817" w:right="0"/>
        <w:jc w:val="both"/>
      </w:pPr>
      <w:r>
        <w:rPr/>
        <w:t>本人民币</w:t>
      </w:r>
      <w:r>
        <w:rPr>
          <w:spacing w:val="-66"/>
        </w:rPr>
        <w:t> </w:t>
      </w:r>
      <w:r>
        <w:rPr>
          <w:rFonts w:ascii="Arial" w:hAnsi="Arial" w:cs="Arial" w:eastAsia="Arial" w:hint="default"/>
        </w:rPr>
        <w:t>2,332,070,622</w:t>
      </w:r>
      <w:r>
        <w:rPr>
          <w:rFonts w:ascii="Arial" w:hAnsi="Arial" w:cs="Arial" w:eastAsia="Arial" w:hint="default"/>
          <w:spacing w:val="-13"/>
        </w:rPr>
        <w:t> </w:t>
      </w:r>
      <w:r>
        <w:rPr/>
        <w:t>元。经此次转增后，股本总额变更为人民币</w:t>
      </w:r>
      <w:r>
        <w:rPr>
          <w:spacing w:val="-66"/>
        </w:rPr>
        <w:t> </w:t>
      </w:r>
      <w:r>
        <w:rPr>
          <w:rFonts w:ascii="Arial" w:hAnsi="Arial" w:cs="Arial" w:eastAsia="Arial" w:hint="default"/>
          <w:spacing w:val="-3"/>
        </w:rPr>
        <w:t>6,996,211,866</w:t>
      </w:r>
      <w:r>
        <w:rPr>
          <w:rFonts w:ascii="Arial" w:hAnsi="Arial" w:cs="Arial" w:eastAsia="Arial" w:hint="default"/>
          <w:spacing w:val="-13"/>
        </w:rPr>
        <w:t> </w:t>
      </w:r>
      <w:r>
        <w:rPr/>
        <w:t>元。</w:t>
      </w:r>
    </w:p>
    <w:p>
      <w:pPr>
        <w:spacing w:line="240" w:lineRule="auto" w:before="13"/>
        <w:rPr>
          <w:rFonts w:ascii="宋体" w:hAnsi="宋体" w:cs="宋体" w:eastAsia="宋体" w:hint="default"/>
          <w:sz w:val="21"/>
          <w:szCs w:val="21"/>
        </w:rPr>
      </w:pPr>
    </w:p>
    <w:p>
      <w:pPr>
        <w:pStyle w:val="BodyText"/>
        <w:spacing w:line="312" w:lineRule="exact"/>
        <w:ind w:left="817" w:right="222"/>
        <w:jc w:val="both"/>
      </w:pPr>
      <w:r>
        <w:rPr>
          <w:spacing w:val="-3"/>
          <w:w w:val="99"/>
        </w:rPr>
        <w:t>经于</w:t>
      </w:r>
      <w:r>
        <w:rPr>
          <w:rFonts w:ascii="Arial" w:hAnsi="Arial" w:cs="Arial" w:eastAsia="Arial" w:hint="default"/>
          <w:spacing w:val="-3"/>
          <w:w w:val="99"/>
        </w:rPr>
        <w:t>2005</w:t>
      </w:r>
      <w:r>
        <w:rPr>
          <w:spacing w:val="-3"/>
          <w:w w:val="99"/>
        </w:rPr>
        <w:t>年</w:t>
      </w:r>
      <w:r>
        <w:rPr>
          <w:rFonts w:ascii="Arial" w:hAnsi="Arial" w:cs="Arial" w:eastAsia="Arial" w:hint="default"/>
          <w:spacing w:val="-3"/>
          <w:w w:val="99"/>
        </w:rPr>
        <w:t>8</w:t>
      </w:r>
      <w:r>
        <w:rPr>
          <w:spacing w:val="-3"/>
          <w:w w:val="99"/>
        </w:rPr>
        <w:t>月</w:t>
      </w:r>
      <w:r>
        <w:rPr>
          <w:rFonts w:ascii="Arial" w:hAnsi="Arial" w:cs="Arial" w:eastAsia="Arial" w:hint="default"/>
          <w:spacing w:val="-3"/>
          <w:w w:val="99"/>
        </w:rPr>
        <w:t>4</w:t>
      </w:r>
      <w:r>
        <w:rPr>
          <w:spacing w:val="-3"/>
          <w:w w:val="99"/>
        </w:rPr>
        <w:t>日召开的</w:t>
      </w:r>
      <w:r>
        <w:rPr>
          <w:rFonts w:ascii="Arial" w:hAnsi="Arial" w:cs="Arial" w:eastAsia="Arial" w:hint="default"/>
          <w:spacing w:val="-3"/>
          <w:w w:val="99"/>
        </w:rPr>
        <w:t>2005</w:t>
      </w:r>
      <w:r>
        <w:rPr>
          <w:spacing w:val="-3"/>
          <w:w w:val="99"/>
        </w:rPr>
        <w:t>年第一次临时股东大会审议通过，本公司全体非流通股股</w:t>
      </w:r>
      <w:r>
        <w:rPr>
          <w:spacing w:val="-111"/>
          <w:w w:val="99"/>
        </w:rPr>
        <w:t> </w:t>
      </w:r>
      <w:r>
        <w:rPr>
          <w:spacing w:val="-111"/>
          <w:w w:val="99"/>
        </w:rPr>
      </w:r>
      <w:r>
        <w:rPr/>
        <w:t>东根据《股权分置改革方案》向股份变更登记日</w:t>
      </w:r>
      <w:r>
        <w:rPr>
          <w:rFonts w:ascii="Arial" w:hAnsi="Arial" w:cs="Arial" w:eastAsia="Arial" w:hint="default"/>
        </w:rPr>
        <w:t>(2005</w:t>
      </w:r>
      <w:r>
        <w:rPr/>
        <w:t>年</w:t>
      </w:r>
      <w:r>
        <w:rPr>
          <w:rFonts w:ascii="Arial" w:hAnsi="Arial" w:cs="Arial" w:eastAsia="Arial" w:hint="default"/>
        </w:rPr>
        <w:t>8</w:t>
      </w:r>
      <w:r>
        <w:rPr/>
        <w:t>月</w:t>
      </w:r>
      <w:r>
        <w:rPr>
          <w:rFonts w:ascii="Arial" w:hAnsi="Arial" w:cs="Arial" w:eastAsia="Arial" w:hint="default"/>
        </w:rPr>
        <w:t>9</w:t>
      </w:r>
      <w:r>
        <w:rPr/>
        <w:t>日</w:t>
      </w:r>
      <w:r>
        <w:rPr>
          <w:rFonts w:ascii="Arial" w:hAnsi="Arial" w:cs="Arial" w:eastAsia="Arial" w:hint="default"/>
        </w:rPr>
        <w:t>)</w:t>
      </w:r>
      <w:r>
        <w:rPr/>
        <w:t>登记在册的流通股股东 </w:t>
      </w:r>
      <w:r>
        <w:rPr>
          <w:spacing w:val="-2"/>
        </w:rPr>
        <w:t>每</w:t>
      </w:r>
      <w:r>
        <w:rPr>
          <w:rFonts w:ascii="Arial" w:hAnsi="Arial" w:cs="Arial" w:eastAsia="Arial" w:hint="default"/>
          <w:spacing w:val="-2"/>
        </w:rPr>
        <w:t>10</w:t>
      </w:r>
      <w:r>
        <w:rPr>
          <w:spacing w:val="-2"/>
        </w:rPr>
        <w:t>股支付</w:t>
      </w:r>
      <w:r>
        <w:rPr>
          <w:rFonts w:ascii="Arial" w:hAnsi="Arial" w:cs="Arial" w:eastAsia="Arial" w:hint="default"/>
          <w:spacing w:val="-2"/>
        </w:rPr>
        <w:t>2.5</w:t>
      </w:r>
      <w:r>
        <w:rPr>
          <w:spacing w:val="-2"/>
        </w:rPr>
        <w:t>股对价股份，共</w:t>
      </w:r>
      <w:r>
        <w:rPr>
          <w:rFonts w:ascii="Arial" w:hAnsi="Arial" w:cs="Arial" w:eastAsia="Arial" w:hint="default"/>
          <w:spacing w:val="-2"/>
        </w:rPr>
        <w:t>12,500,000</w:t>
      </w:r>
      <w:r>
        <w:rPr>
          <w:spacing w:val="-2"/>
        </w:rPr>
        <w:t>股对价股份。由此，自</w:t>
      </w:r>
      <w:r>
        <w:rPr>
          <w:rFonts w:ascii="Arial" w:hAnsi="Arial" w:cs="Arial" w:eastAsia="Arial" w:hint="default"/>
          <w:spacing w:val="-2"/>
        </w:rPr>
        <w:t>2005</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10</w:t>
      </w:r>
      <w:r>
        <w:rPr>
          <w:spacing w:val="-2"/>
        </w:rPr>
        <w:t>日起，本</w:t>
      </w:r>
      <w:r>
        <w:rPr>
          <w:spacing w:val="-107"/>
        </w:rPr>
        <w:t> </w:t>
      </w:r>
      <w:r>
        <w:rPr>
          <w:spacing w:val="-107"/>
        </w:rPr>
      </w:r>
      <w:r>
        <w:rPr/>
        <w:t>公司原非流通股股东持有的非流通股股份的性质，变更为有限售条件的流通股。</w:t>
      </w:r>
    </w:p>
    <w:p>
      <w:pPr>
        <w:spacing w:line="240" w:lineRule="auto" w:before="1"/>
        <w:rPr>
          <w:rFonts w:ascii="宋体" w:hAnsi="宋体" w:cs="宋体" w:eastAsia="宋体" w:hint="default"/>
          <w:sz w:val="21"/>
          <w:szCs w:val="21"/>
        </w:rPr>
      </w:pPr>
    </w:p>
    <w:p>
      <w:pPr>
        <w:pStyle w:val="BodyText"/>
        <w:spacing w:line="312" w:lineRule="exact"/>
        <w:ind w:left="817" w:right="107"/>
        <w:jc w:val="both"/>
      </w:pPr>
      <w:r>
        <w:rPr/>
        <w:t>本公司于</w:t>
      </w:r>
      <w:r>
        <w:rPr>
          <w:rFonts w:ascii="Arial" w:hAnsi="Arial" w:cs="Arial" w:eastAsia="Arial" w:hint="default"/>
        </w:rPr>
        <w:t>2009</w:t>
      </w:r>
      <w:r>
        <w:rPr/>
        <w:t>年</w:t>
      </w:r>
      <w:r>
        <w:rPr>
          <w:rFonts w:ascii="Arial" w:hAnsi="Arial" w:cs="Arial" w:eastAsia="Arial" w:hint="default"/>
        </w:rPr>
        <w:t>5</w:t>
      </w:r>
      <w:r>
        <w:rPr/>
        <w:t>月</w:t>
      </w:r>
      <w:r>
        <w:rPr>
          <w:rFonts w:ascii="Arial" w:hAnsi="Arial" w:cs="Arial" w:eastAsia="Arial" w:hint="default"/>
        </w:rPr>
        <w:t>22</w:t>
      </w:r>
      <w:r>
        <w:rPr/>
        <w:t>日解禁有限售条件流通股股份</w:t>
      </w:r>
      <w:r>
        <w:rPr>
          <w:rFonts w:ascii="Arial" w:hAnsi="Arial" w:cs="Arial" w:eastAsia="Arial" w:hint="default"/>
        </w:rPr>
        <w:t>16,200</w:t>
      </w:r>
      <w:r>
        <w:rPr/>
        <w:t>万股；于</w:t>
      </w:r>
      <w:r>
        <w:rPr>
          <w:rFonts w:ascii="Arial" w:hAnsi="Arial" w:cs="Arial" w:eastAsia="Arial" w:hint="default"/>
        </w:rPr>
        <w:t>2010</w:t>
      </w:r>
      <w:r>
        <w:rPr/>
        <w:t>年</w:t>
      </w:r>
      <w:r>
        <w:rPr>
          <w:rFonts w:ascii="Arial" w:hAnsi="Arial" w:cs="Arial" w:eastAsia="Arial" w:hint="default"/>
        </w:rPr>
        <w:t>8</w:t>
      </w:r>
      <w:r>
        <w:rPr/>
        <w:t>月</w:t>
      </w:r>
      <w:r>
        <w:rPr>
          <w:rFonts w:ascii="Arial" w:hAnsi="Arial" w:cs="Arial" w:eastAsia="Arial" w:hint="default"/>
        </w:rPr>
        <w:t>11</w:t>
      </w:r>
      <w:r>
        <w:rPr/>
        <w:t>日解</w:t>
      </w:r>
      <w:r>
        <w:rPr>
          <w:spacing w:val="-83"/>
        </w:rPr>
        <w:t> </w:t>
      </w:r>
      <w:r>
        <w:rPr/>
        <w:t>禁有限售条件流通股股份</w:t>
      </w:r>
      <w:r>
        <w:rPr>
          <w:rFonts w:ascii="Arial" w:hAnsi="Arial" w:cs="Arial" w:eastAsia="Arial" w:hint="default"/>
        </w:rPr>
        <w:t>487,952,857</w:t>
      </w:r>
      <w:r>
        <w:rPr/>
        <w:t>股，于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日解禁有限售条件流通股股 </w:t>
      </w:r>
      <w:r>
        <w:rPr>
          <w:spacing w:val="-2"/>
        </w:rPr>
        <w:t>份</w:t>
      </w:r>
      <w:r>
        <w:rPr>
          <w:rFonts w:ascii="Arial" w:hAnsi="Arial" w:cs="Arial" w:eastAsia="Arial" w:hint="default"/>
          <w:spacing w:val="-2"/>
        </w:rPr>
        <w:t>240,281,076</w:t>
      </w:r>
      <w:r>
        <w:rPr>
          <w:spacing w:val="-2"/>
        </w:rPr>
        <w:t>股。截止</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日，有限售条件的流通股的情况详见附注五</w:t>
      </w:r>
      <w:r>
        <w:rPr>
          <w:rFonts w:ascii="Arial" w:hAnsi="Arial" w:cs="Arial" w:eastAsia="Arial" w:hint="default"/>
          <w:spacing w:val="-2"/>
        </w:rPr>
        <w:t>(31)</w:t>
      </w:r>
      <w:r>
        <w:rPr>
          <w:spacing w:val="-2"/>
        </w:rPr>
        <w:t>。</w:t>
      </w:r>
    </w:p>
    <w:p>
      <w:pPr>
        <w:spacing w:line="240" w:lineRule="auto" w:before="1"/>
        <w:rPr>
          <w:rFonts w:ascii="宋体" w:hAnsi="宋体" w:cs="宋体" w:eastAsia="宋体" w:hint="default"/>
          <w:sz w:val="21"/>
          <w:szCs w:val="21"/>
        </w:rPr>
      </w:pPr>
    </w:p>
    <w:p>
      <w:pPr>
        <w:pStyle w:val="BodyText"/>
        <w:spacing w:line="312" w:lineRule="exact"/>
        <w:ind w:left="817" w:right="104"/>
        <w:jc w:val="left"/>
      </w:pPr>
      <w:r>
        <w:rPr>
          <w:spacing w:val="-3"/>
        </w:rPr>
        <w:t>本公司及子公司</w:t>
      </w:r>
      <w:r>
        <w:rPr>
          <w:rFonts w:ascii="Arial" w:hAnsi="Arial" w:cs="Arial" w:eastAsia="Arial" w:hint="default"/>
          <w:spacing w:val="-3"/>
        </w:rPr>
        <w:t>(</w:t>
      </w:r>
      <w:r>
        <w:rPr>
          <w:spacing w:val="-3"/>
        </w:rPr>
        <w:t>以下合称</w:t>
      </w:r>
      <w:r>
        <w:rPr>
          <w:rFonts w:ascii="Arial" w:hAnsi="Arial" w:cs="Arial" w:eastAsia="Arial" w:hint="default"/>
          <w:spacing w:val="-3"/>
        </w:rPr>
        <w:t>“</w:t>
      </w:r>
      <w:r>
        <w:rPr>
          <w:spacing w:val="-3"/>
        </w:rPr>
        <w:t>本集团</w:t>
      </w:r>
      <w:r>
        <w:rPr>
          <w:rFonts w:ascii="Arial" w:hAnsi="Arial" w:cs="Arial" w:eastAsia="Arial" w:hint="default"/>
          <w:spacing w:val="-3"/>
        </w:rPr>
        <w:t>”)</w:t>
      </w:r>
      <w:r>
        <w:rPr>
          <w:spacing w:val="-3"/>
        </w:rPr>
        <w:t>主要经营家用电器、电子产品、办公设备、通讯产品</w:t>
      </w:r>
      <w:r>
        <w:rPr>
          <w:spacing w:val="-80"/>
        </w:rPr>
        <w:t> </w:t>
      </w:r>
      <w:r>
        <w:rPr>
          <w:spacing w:val="-80"/>
        </w:rPr>
      </w:r>
      <w:r>
        <w:rPr/>
        <w:t>及配件的连锁销售和服务，计算机软件开发、销售和系统集成，百货、自行车、电动助</w:t>
      </w:r>
      <w:r>
        <w:rPr/>
        <w:t> </w:t>
      </w:r>
      <w:r>
        <w:rPr>
          <w:spacing w:val="-3"/>
        </w:rPr>
        <w:t>力车、摩托车、汽车的连锁销售，实业投资，场地租赁，柜台出租，国内商品展览服务，</w:t>
      </w:r>
      <w:r>
        <w:rPr>
          <w:spacing w:val="-105"/>
        </w:rPr>
        <w:t> </w:t>
      </w:r>
      <w:r>
        <w:rPr>
          <w:spacing w:val="-105"/>
        </w:rPr>
      </w:r>
      <w:r>
        <w:rPr/>
        <w:t>企业形象策划，经济信息咨询，人才培训，商务代理，仓储，微型计算机配件、软件的</w:t>
      </w:r>
      <w:r>
        <w:rPr/>
        <w:t> 销售，微型计算机的安装及维修，废旧物资的回收与销售业务。</w:t>
      </w:r>
    </w:p>
    <w:p>
      <w:pPr>
        <w:spacing w:after="0" w:line="312" w:lineRule="exact"/>
        <w:jc w:val="left"/>
        <w:sectPr>
          <w:pgSz w:w="11910" w:h="16840"/>
          <w:pgMar w:header="1475" w:footer="708" w:top="3020" w:bottom="900" w:left="1020" w:right="700"/>
        </w:sectPr>
      </w:pPr>
    </w:p>
    <w:p>
      <w:pPr>
        <w:spacing w:line="240" w:lineRule="auto" w:before="6"/>
        <w:rPr>
          <w:rFonts w:ascii="宋体" w:hAnsi="宋体" w:cs="宋体" w:eastAsia="宋体" w:hint="default"/>
          <w:sz w:val="13"/>
          <w:szCs w:val="13"/>
        </w:rPr>
      </w:pPr>
    </w:p>
    <w:p>
      <w:pPr>
        <w:tabs>
          <w:tab w:pos="817" w:val="left" w:leader="none"/>
        </w:tabs>
        <w:spacing w:line="427" w:lineRule="auto" w:before="26"/>
        <w:ind w:left="817" w:right="3288" w:hanging="710"/>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公司基本情况</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宋体" w:hAnsi="宋体" w:cs="宋体" w:eastAsia="宋体" w:hint="default"/>
          <w:spacing w:val="-1"/>
          <w:sz w:val="24"/>
          <w:szCs w:val="24"/>
        </w:rPr>
        <w:t>本财务报表由本公司董事会于</w:t>
      </w:r>
      <w:r>
        <w:rPr>
          <w:rFonts w:ascii="Arial" w:hAnsi="Arial" w:cs="Arial" w:eastAsia="Arial" w:hint="default"/>
          <w:spacing w:val="-1"/>
          <w:sz w:val="24"/>
          <w:szCs w:val="24"/>
        </w:rPr>
        <w:t>2011</w:t>
      </w:r>
      <w:r>
        <w:rPr>
          <w:rFonts w:ascii="宋体" w:hAnsi="宋体" w:cs="宋体" w:eastAsia="宋体" w:hint="default"/>
          <w:spacing w:val="-1"/>
          <w:sz w:val="24"/>
          <w:szCs w:val="24"/>
        </w:rPr>
        <w:t>年</w:t>
      </w:r>
      <w:r>
        <w:rPr>
          <w:rFonts w:ascii="Arial" w:hAnsi="Arial" w:cs="Arial" w:eastAsia="Arial" w:hint="default"/>
          <w:spacing w:val="-1"/>
          <w:sz w:val="24"/>
          <w:szCs w:val="24"/>
        </w:rPr>
        <w:t>3</w:t>
      </w:r>
      <w:r>
        <w:rPr>
          <w:rFonts w:ascii="宋体" w:hAnsi="宋体" w:cs="宋体" w:eastAsia="宋体" w:hint="default"/>
          <w:spacing w:val="-1"/>
          <w:sz w:val="24"/>
          <w:szCs w:val="24"/>
        </w:rPr>
        <w:t>月</w:t>
      </w:r>
      <w:r>
        <w:rPr>
          <w:rFonts w:ascii="Arial" w:hAnsi="Arial" w:cs="Arial" w:eastAsia="Arial" w:hint="default"/>
          <w:spacing w:val="-1"/>
          <w:sz w:val="24"/>
          <w:szCs w:val="24"/>
        </w:rPr>
        <w:t>14</w:t>
      </w:r>
      <w:r>
        <w:rPr>
          <w:rFonts w:ascii="宋体" w:hAnsi="宋体" w:cs="宋体" w:eastAsia="宋体" w:hint="default"/>
          <w:spacing w:val="-1"/>
          <w:sz w:val="24"/>
          <w:szCs w:val="24"/>
        </w:rPr>
        <w:t>日批准报出。</w:t>
      </w:r>
    </w:p>
    <w:p>
      <w:pPr>
        <w:pStyle w:val="Heading2"/>
        <w:tabs>
          <w:tab w:pos="817" w:val="left" w:leader="none"/>
        </w:tabs>
        <w:spacing w:line="240" w:lineRule="auto" w:before="13"/>
        <w:ind w:right="497"/>
        <w:jc w:val="left"/>
        <w:rPr>
          <w:b w:val="0"/>
          <w:bCs w:val="0"/>
        </w:rPr>
      </w:pPr>
      <w:r>
        <w:rPr>
          <w:w w:val="95"/>
        </w:rPr>
        <w:t>二</w:t>
        <w:tab/>
      </w:r>
      <w:r>
        <w:rPr/>
        <w:t>主要会计政策和会计估计</w:t>
      </w:r>
      <w:r>
        <w:rPr>
          <w:b w:val="0"/>
          <w:bCs w:val="0"/>
        </w:rPr>
      </w:r>
    </w:p>
    <w:p>
      <w:pPr>
        <w:spacing w:line="240" w:lineRule="auto" w:before="12"/>
        <w:rPr>
          <w:rFonts w:ascii="宋体" w:hAnsi="宋体" w:cs="宋体" w:eastAsia="宋体" w:hint="default"/>
          <w:b/>
          <w:bCs/>
          <w:sz w:val="20"/>
          <w:szCs w:val="20"/>
        </w:rPr>
      </w:pPr>
    </w:p>
    <w:p>
      <w:pPr>
        <w:tabs>
          <w:tab w:pos="817" w:val="left" w:leader="none"/>
        </w:tabs>
        <w:spacing w:before="0"/>
        <w:ind w:left="107" w:right="497" w:firstLine="0"/>
        <w:jc w:val="left"/>
        <w:rPr>
          <w:rFonts w:ascii="宋体" w:hAnsi="宋体" w:cs="宋体" w:eastAsia="宋体" w:hint="default"/>
          <w:sz w:val="24"/>
          <w:szCs w:val="24"/>
        </w:rPr>
      </w:pPr>
      <w:r>
        <w:rPr>
          <w:rFonts w:ascii="Arial" w:hAnsi="Arial" w:cs="Arial" w:eastAsia="Arial" w:hint="default"/>
          <w:w w:val="95"/>
          <w:position w:val="2"/>
          <w:sz w:val="24"/>
          <w:szCs w:val="24"/>
        </w:rPr>
        <w:t>(1)</w:t>
        <w:tab/>
      </w:r>
      <w:r>
        <w:rPr>
          <w:rFonts w:ascii="宋体" w:hAnsi="宋体" w:cs="宋体" w:eastAsia="宋体" w:hint="default"/>
          <w:b/>
          <w:bCs/>
          <w:sz w:val="24"/>
          <w:szCs w:val="24"/>
        </w:rPr>
        <w:t>财务报表的编制基础</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17" w:right="104"/>
        <w:jc w:val="both"/>
      </w:pPr>
      <w:r>
        <w:rPr/>
        <w:t>本财务报表按照财政部于</w:t>
      </w:r>
      <w:r>
        <w:rPr>
          <w:spacing w:val="-61"/>
        </w:rPr>
        <w:t> </w:t>
      </w:r>
      <w:r>
        <w:rPr>
          <w:rFonts w:ascii="Arial" w:hAnsi="Arial" w:cs="Arial" w:eastAsia="Arial" w:hint="default"/>
        </w:rPr>
        <w:t>2006</w:t>
      </w:r>
      <w:r>
        <w:rPr>
          <w:rFonts w:ascii="Arial" w:hAnsi="Arial" w:cs="Arial" w:eastAsia="Arial" w:hint="default"/>
          <w:spacing w:val="-8"/>
        </w:rPr>
        <w:t> </w:t>
      </w:r>
      <w:r>
        <w:rPr/>
        <w:t>年</w:t>
      </w:r>
      <w:r>
        <w:rPr>
          <w:spacing w:val="-60"/>
        </w:rPr>
        <w:t> </w:t>
      </w:r>
      <w:r>
        <w:rPr>
          <w:rFonts w:ascii="Arial" w:hAnsi="Arial" w:cs="Arial" w:eastAsia="Arial" w:hint="default"/>
        </w:rPr>
        <w:t>2</w:t>
      </w:r>
      <w:r>
        <w:rPr>
          <w:rFonts w:ascii="Arial" w:hAnsi="Arial" w:cs="Arial" w:eastAsia="Arial" w:hint="default"/>
          <w:spacing w:val="-8"/>
        </w:rPr>
        <w:t> </w:t>
      </w:r>
      <w:r>
        <w:rPr/>
        <w:t>月</w:t>
      </w:r>
      <w:r>
        <w:rPr>
          <w:spacing w:val="-61"/>
        </w:rPr>
        <w:t> </w:t>
      </w:r>
      <w:r>
        <w:rPr>
          <w:rFonts w:ascii="Arial" w:hAnsi="Arial" w:cs="Arial" w:eastAsia="Arial" w:hint="default"/>
        </w:rPr>
        <w:t>15</w:t>
      </w:r>
      <w:r>
        <w:rPr>
          <w:rFonts w:ascii="Arial" w:hAnsi="Arial" w:cs="Arial" w:eastAsia="Arial" w:hint="default"/>
          <w:spacing w:val="-8"/>
        </w:rPr>
        <w:t> </w:t>
      </w:r>
      <w:r>
        <w:rPr/>
        <w:t>日颁布的《企业会计准则</w:t>
      </w:r>
      <w:r>
        <w:rPr>
          <w:spacing w:val="-2"/>
        </w:rPr>
        <w:t> </w:t>
      </w:r>
      <w:r>
        <w:rPr>
          <w:rFonts w:ascii="Arial" w:hAnsi="Arial" w:cs="Arial" w:eastAsia="Arial" w:hint="default"/>
        </w:rPr>
        <w:t>-</w:t>
      </w:r>
      <w:r>
        <w:rPr>
          <w:rFonts w:ascii="Arial" w:hAnsi="Arial" w:cs="Arial" w:eastAsia="Arial" w:hint="default"/>
          <w:spacing w:val="51"/>
        </w:rPr>
        <w:t> </w:t>
      </w:r>
      <w:r>
        <w:rPr/>
        <w:t>基本准则》和</w:t>
      </w:r>
      <w:r>
        <w:rPr>
          <w:spacing w:val="-62"/>
        </w:rPr>
        <w:t> </w:t>
      </w:r>
      <w:r>
        <w:rPr>
          <w:rFonts w:ascii="Arial" w:hAnsi="Arial" w:cs="Arial" w:eastAsia="Arial" w:hint="default"/>
        </w:rPr>
        <w:t>38</w:t>
      </w:r>
      <w:r>
        <w:rPr>
          <w:rFonts w:ascii="Arial" w:hAnsi="Arial" w:cs="Arial" w:eastAsia="Arial" w:hint="default"/>
          <w:spacing w:val="-1"/>
          <w:w w:val="99"/>
        </w:rPr>
        <w:t> </w:t>
      </w:r>
      <w:r>
        <w:rPr/>
        <w:t>项具体会计准则、其后颁布的企业会计准则应用指南、企业会计准则解释以及其他相关 </w:t>
      </w:r>
      <w:r>
        <w:rPr>
          <w:spacing w:val="-2"/>
        </w:rPr>
        <w:t>规定</w:t>
      </w:r>
      <w:r>
        <w:rPr>
          <w:rFonts w:ascii="Arial" w:hAnsi="Arial" w:cs="Arial" w:eastAsia="Arial" w:hint="default"/>
          <w:spacing w:val="-2"/>
        </w:rPr>
        <w:t>(</w:t>
      </w:r>
      <w:r>
        <w:rPr>
          <w:spacing w:val="-2"/>
        </w:rPr>
        <w:t>以下合称</w:t>
      </w:r>
      <w:r>
        <w:rPr>
          <w:rFonts w:ascii="Arial" w:hAnsi="Arial" w:cs="Arial" w:eastAsia="Arial" w:hint="default"/>
          <w:spacing w:val="-2"/>
        </w:rPr>
        <w:t>“</w:t>
      </w:r>
      <w:r>
        <w:rPr>
          <w:spacing w:val="-2"/>
        </w:rPr>
        <w:t>企业会计准则</w:t>
      </w:r>
      <w:r>
        <w:rPr>
          <w:rFonts w:ascii="Arial" w:hAnsi="Arial" w:cs="Arial" w:eastAsia="Arial" w:hint="default"/>
          <w:spacing w:val="-2"/>
        </w:rPr>
        <w:t>”)</w:t>
      </w:r>
      <w:r>
        <w:rPr>
          <w:spacing w:val="-2"/>
        </w:rPr>
        <w:t>、以及中国证券监督管理委员会《公开发行证券的公司信</w:t>
      </w:r>
      <w:r>
        <w:rPr>
          <w:spacing w:val="-99"/>
        </w:rPr>
        <w:t> </w:t>
      </w:r>
      <w:r>
        <w:rPr>
          <w:spacing w:val="-99"/>
        </w:rPr>
      </w:r>
      <w:r>
        <w:rPr/>
        <w:t>息披露编报规则第 </w:t>
      </w:r>
      <w:r>
        <w:rPr>
          <w:rFonts w:ascii="Arial" w:hAnsi="Arial" w:cs="Arial" w:eastAsia="Arial" w:hint="default"/>
        </w:rPr>
        <w:t>15  </w:t>
      </w:r>
      <w:r>
        <w:rPr/>
        <w:t>号  </w:t>
      </w:r>
      <w:r>
        <w:rPr>
          <w:rFonts w:ascii="Arial" w:hAnsi="Arial" w:cs="Arial" w:eastAsia="Arial" w:hint="default"/>
        </w:rPr>
        <w:t>-   </w:t>
      </w:r>
      <w:r>
        <w:rPr/>
        <w:t>财务报告的一般规定》</w:t>
      </w:r>
      <w:r>
        <w:rPr>
          <w:rFonts w:ascii="Arial" w:hAnsi="Arial" w:cs="Arial" w:eastAsia="Arial" w:hint="default"/>
        </w:rPr>
        <w:t>(2010</w:t>
      </w:r>
      <w:r>
        <w:rPr>
          <w:rFonts w:ascii="Arial" w:hAnsi="Arial" w:cs="Arial" w:eastAsia="Arial" w:hint="default"/>
          <w:spacing w:val="-46"/>
        </w:rPr>
        <w:t> </w:t>
      </w:r>
      <w:r>
        <w:rPr/>
        <w:t>年修订</w:t>
      </w:r>
      <w:r>
        <w:rPr>
          <w:rFonts w:ascii="Arial" w:hAnsi="Arial" w:cs="Arial" w:eastAsia="Arial" w:hint="default"/>
        </w:rPr>
        <w:t>)</w:t>
      </w:r>
      <w:r>
        <w:rPr/>
        <w:t>的披露规定编制。</w:t>
      </w:r>
    </w:p>
    <w:p>
      <w:pPr>
        <w:tabs>
          <w:tab w:pos="817" w:val="left" w:leader="none"/>
        </w:tabs>
        <w:spacing w:before="211"/>
        <w:ind w:left="107" w:right="497" w:firstLine="0"/>
        <w:jc w:val="left"/>
        <w:rPr>
          <w:rFonts w:ascii="宋体" w:hAnsi="宋体" w:cs="宋体" w:eastAsia="宋体" w:hint="default"/>
          <w:sz w:val="24"/>
          <w:szCs w:val="24"/>
        </w:rPr>
      </w:pPr>
      <w:r>
        <w:rPr>
          <w:rFonts w:ascii="Arial" w:hAnsi="Arial" w:cs="Arial" w:eastAsia="Arial" w:hint="default"/>
          <w:w w:val="95"/>
          <w:position w:val="2"/>
          <w:sz w:val="24"/>
          <w:szCs w:val="24"/>
        </w:rPr>
        <w:t>(2)</w:t>
        <w:tab/>
      </w:r>
      <w:r>
        <w:rPr>
          <w:rFonts w:ascii="宋体" w:hAnsi="宋体" w:cs="宋体" w:eastAsia="宋体" w:hint="default"/>
          <w:b/>
          <w:bCs/>
          <w:sz w:val="24"/>
          <w:szCs w:val="24"/>
        </w:rPr>
        <w:t>遵循企业会计准则的声明</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spacing w:line="322" w:lineRule="exact"/>
        <w:ind w:left="817" w:right="0"/>
        <w:jc w:val="both"/>
        <w:rPr>
          <w:rFonts w:ascii="Arial" w:hAnsi="Arial" w:cs="Arial" w:eastAsia="Arial" w:hint="default"/>
        </w:rPr>
      </w:pPr>
      <w:r>
        <w:rPr/>
        <w:t>本公司</w:t>
      </w:r>
      <w:r>
        <w:rPr>
          <w:spacing w:val="-71"/>
        </w:rPr>
        <w:t> </w:t>
      </w:r>
      <w:r>
        <w:rPr>
          <w:rFonts w:ascii="Arial" w:hAnsi="Arial" w:cs="Arial" w:eastAsia="Arial" w:hint="default"/>
        </w:rPr>
        <w:t>2010</w:t>
      </w:r>
      <w:r>
        <w:rPr>
          <w:rFonts w:ascii="Arial" w:hAnsi="Arial" w:cs="Arial" w:eastAsia="Arial" w:hint="default"/>
          <w:spacing w:val="-18"/>
        </w:rPr>
        <w:t> </w:t>
      </w:r>
      <w:r>
        <w:rPr/>
        <w:t>年度财务报表符合企业会计准则的要求，真实、完整地反映了本公司</w:t>
      </w:r>
      <w:r>
        <w:rPr>
          <w:spacing w:val="-71"/>
        </w:rPr>
        <w:t> </w:t>
      </w:r>
      <w:r>
        <w:rPr>
          <w:rFonts w:ascii="Arial" w:hAnsi="Arial" w:cs="Arial" w:eastAsia="Arial" w:hint="default"/>
        </w:rPr>
        <w:t>2010</w:t>
      </w:r>
    </w:p>
    <w:p>
      <w:pPr>
        <w:pStyle w:val="BodyText"/>
        <w:spacing w:line="312" w:lineRule="exact" w:before="21"/>
        <w:ind w:left="817" w:right="104"/>
        <w:jc w:val="both"/>
      </w:pPr>
      <w:r>
        <w:rPr/>
        <w:t>年</w:t>
      </w:r>
      <w:r>
        <w:rPr>
          <w:spacing w:val="-55"/>
        </w:rPr>
        <w:t> </w:t>
      </w:r>
      <w:r>
        <w:rPr>
          <w:rFonts w:ascii="Arial" w:hAnsi="Arial" w:cs="Arial" w:eastAsia="Arial" w:hint="default"/>
        </w:rPr>
        <w:t>12</w:t>
      </w:r>
      <w:r>
        <w:rPr>
          <w:rFonts w:ascii="Arial" w:hAnsi="Arial" w:cs="Arial" w:eastAsia="Arial" w:hint="default"/>
          <w:spacing w:val="-2"/>
        </w:rPr>
        <w:t> </w:t>
      </w:r>
      <w:r>
        <w:rPr/>
        <w:t>月</w:t>
      </w:r>
      <w:r>
        <w:rPr>
          <w:spacing w:val="-55"/>
        </w:rPr>
        <w:t> </w:t>
      </w:r>
      <w:r>
        <w:rPr>
          <w:rFonts w:ascii="Arial" w:hAnsi="Arial" w:cs="Arial" w:eastAsia="Arial" w:hint="default"/>
        </w:rPr>
        <w:t>31</w:t>
      </w:r>
      <w:r>
        <w:rPr>
          <w:rFonts w:ascii="Arial" w:hAnsi="Arial" w:cs="Arial" w:eastAsia="Arial" w:hint="default"/>
          <w:spacing w:val="-2"/>
        </w:rPr>
        <w:t> </w:t>
      </w:r>
      <w:r>
        <w:rPr/>
        <w:t>日的合并及公司财务状况以及</w:t>
      </w:r>
      <w:r>
        <w:rPr>
          <w:spacing w:val="-55"/>
        </w:rPr>
        <w:t> </w:t>
      </w:r>
      <w:r>
        <w:rPr>
          <w:rFonts w:ascii="Arial" w:hAnsi="Arial" w:cs="Arial" w:eastAsia="Arial" w:hint="default"/>
        </w:rPr>
        <w:t>2010</w:t>
      </w:r>
      <w:r>
        <w:rPr>
          <w:rFonts w:ascii="Arial" w:hAnsi="Arial" w:cs="Arial" w:eastAsia="Arial" w:hint="default"/>
          <w:spacing w:val="-2"/>
        </w:rPr>
        <w:t> </w:t>
      </w:r>
      <w:r>
        <w:rPr/>
        <w:t>年度的合并及公司经营成果和现金流量 等有关信息。</w:t>
      </w:r>
    </w:p>
    <w:p>
      <w:pPr>
        <w:tabs>
          <w:tab w:pos="817" w:val="left" w:leader="none"/>
        </w:tabs>
        <w:spacing w:before="210"/>
        <w:ind w:left="107" w:right="497" w:firstLine="0"/>
        <w:jc w:val="left"/>
        <w:rPr>
          <w:rFonts w:ascii="宋体" w:hAnsi="宋体" w:cs="宋体" w:eastAsia="宋体" w:hint="default"/>
          <w:sz w:val="24"/>
          <w:szCs w:val="24"/>
        </w:rPr>
      </w:pPr>
      <w:r>
        <w:rPr>
          <w:rFonts w:ascii="Arial" w:hAnsi="Arial" w:cs="Arial" w:eastAsia="Arial" w:hint="default"/>
          <w:w w:val="95"/>
          <w:position w:val="2"/>
          <w:sz w:val="24"/>
          <w:szCs w:val="24"/>
        </w:rPr>
        <w:t>(3)</w:t>
        <w:tab/>
      </w:r>
      <w:r>
        <w:rPr>
          <w:rFonts w:ascii="宋体" w:hAnsi="宋体" w:cs="宋体" w:eastAsia="宋体" w:hint="default"/>
          <w:b/>
          <w:bCs/>
          <w:sz w:val="24"/>
          <w:szCs w:val="24"/>
        </w:rPr>
        <w:t>会计年度</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spacing w:line="240" w:lineRule="auto"/>
        <w:ind w:left="817" w:right="0"/>
        <w:jc w:val="both"/>
      </w:pPr>
      <w:r>
        <w:rPr/>
        <w:t>会计年度为公历</w:t>
      </w:r>
      <w:r>
        <w:rPr>
          <w:spacing w:val="-61"/>
        </w:rPr>
        <w:t> </w:t>
      </w:r>
      <w:r>
        <w:rPr>
          <w:rFonts w:ascii="Arial" w:hAnsi="Arial" w:cs="Arial" w:eastAsia="Arial" w:hint="default"/>
        </w:rPr>
        <w:t>1</w:t>
      </w:r>
      <w:r>
        <w:rPr>
          <w:rFonts w:ascii="Arial" w:hAnsi="Arial" w:cs="Arial" w:eastAsia="Arial" w:hint="default"/>
          <w:spacing w:val="-8"/>
        </w:rPr>
        <w:t> </w:t>
      </w:r>
      <w:r>
        <w:rPr/>
        <w:t>月</w:t>
      </w:r>
      <w:r>
        <w:rPr>
          <w:spacing w:val="-61"/>
        </w:rPr>
        <w:t> </w:t>
      </w:r>
      <w:r>
        <w:rPr>
          <w:rFonts w:ascii="Arial" w:hAnsi="Arial" w:cs="Arial" w:eastAsia="Arial" w:hint="default"/>
        </w:rPr>
        <w:t>1</w:t>
      </w:r>
      <w:r>
        <w:rPr>
          <w:rFonts w:ascii="Arial" w:hAnsi="Arial" w:cs="Arial" w:eastAsia="Arial" w:hint="default"/>
          <w:spacing w:val="-8"/>
        </w:rPr>
        <w:t> </w:t>
      </w:r>
      <w:r>
        <w:rPr/>
        <w:t>日起至</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日止。</w:t>
      </w:r>
    </w:p>
    <w:p>
      <w:pPr>
        <w:spacing w:line="240" w:lineRule="auto" w:before="8"/>
        <w:rPr>
          <w:rFonts w:ascii="宋体" w:hAnsi="宋体" w:cs="宋体" w:eastAsia="宋体" w:hint="default"/>
          <w:sz w:val="19"/>
          <w:szCs w:val="19"/>
        </w:rPr>
      </w:pPr>
    </w:p>
    <w:p>
      <w:pPr>
        <w:tabs>
          <w:tab w:pos="817" w:val="left" w:leader="none"/>
        </w:tabs>
        <w:spacing w:line="448" w:lineRule="auto" w:before="0"/>
        <w:ind w:left="817" w:right="6845" w:hanging="710"/>
        <w:jc w:val="left"/>
        <w:rPr>
          <w:rFonts w:ascii="宋体" w:hAnsi="宋体" w:cs="宋体" w:eastAsia="宋体" w:hint="default"/>
          <w:sz w:val="24"/>
          <w:szCs w:val="24"/>
        </w:rPr>
      </w:pPr>
      <w:r>
        <w:rPr>
          <w:rFonts w:ascii="Arial" w:hAnsi="Arial" w:cs="Arial" w:eastAsia="Arial" w:hint="default"/>
          <w:w w:val="95"/>
          <w:position w:val="2"/>
          <w:sz w:val="24"/>
          <w:szCs w:val="24"/>
        </w:rPr>
        <w:t>(4)</w:t>
        <w:tab/>
      </w:r>
      <w:r>
        <w:rPr>
          <w:rFonts w:ascii="宋体" w:hAnsi="宋体" w:cs="宋体" w:eastAsia="宋体" w:hint="default"/>
          <w:b/>
          <w:bCs/>
          <w:sz w:val="24"/>
          <w:szCs w:val="24"/>
        </w:rPr>
        <w:t>记账本位币</w:t>
      </w:r>
      <w:r>
        <w:rPr>
          <w:rFonts w:ascii="宋体" w:hAnsi="宋体" w:cs="宋体" w:eastAsia="宋体" w:hint="default"/>
          <w:b/>
          <w:bCs/>
          <w:w w:val="99"/>
          <w:sz w:val="24"/>
          <w:szCs w:val="24"/>
        </w:rPr>
        <w:t> </w:t>
      </w:r>
      <w:r>
        <w:rPr>
          <w:rFonts w:ascii="宋体" w:hAnsi="宋体" w:cs="宋体" w:eastAsia="宋体" w:hint="default"/>
          <w:sz w:val="24"/>
          <w:szCs w:val="24"/>
        </w:rPr>
        <w:t>记账本位币为人民币。</w:t>
      </w:r>
    </w:p>
    <w:p>
      <w:pPr>
        <w:tabs>
          <w:tab w:pos="817" w:val="left" w:leader="none"/>
        </w:tabs>
        <w:spacing w:before="65"/>
        <w:ind w:left="107" w:right="497" w:firstLine="0"/>
        <w:jc w:val="left"/>
        <w:rPr>
          <w:rFonts w:ascii="宋体" w:hAnsi="宋体" w:cs="宋体" w:eastAsia="宋体" w:hint="default"/>
          <w:sz w:val="24"/>
          <w:szCs w:val="24"/>
        </w:rPr>
      </w:pPr>
      <w:r>
        <w:rPr>
          <w:rFonts w:ascii="Arial" w:hAnsi="Arial" w:cs="Arial" w:eastAsia="Arial" w:hint="default"/>
          <w:w w:val="95"/>
          <w:position w:val="2"/>
          <w:sz w:val="24"/>
          <w:szCs w:val="24"/>
        </w:rPr>
        <w:t>(5)</w:t>
        <w:tab/>
      </w:r>
      <w:r>
        <w:rPr>
          <w:rFonts w:ascii="宋体" w:hAnsi="宋体" w:cs="宋体" w:eastAsia="宋体" w:hint="default"/>
          <w:b/>
          <w:bCs/>
          <w:sz w:val="24"/>
          <w:szCs w:val="24"/>
        </w:rPr>
        <w:t>企业合并</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817" w:val="left" w:leader="none"/>
        </w:tabs>
        <w:spacing w:line="240" w:lineRule="auto"/>
        <w:ind w:left="107" w:right="497"/>
        <w:jc w:val="left"/>
      </w:pPr>
      <w:r>
        <w:rPr>
          <w:rFonts w:ascii="Arial" w:hAnsi="Arial" w:cs="Arial" w:eastAsia="Arial" w:hint="default"/>
          <w:w w:val="95"/>
          <w:position w:val="2"/>
        </w:rPr>
        <w:t>(a)</w:t>
        <w:tab/>
      </w:r>
      <w:r>
        <w:rPr/>
        <w:t>同一控制下的企业合并</w:t>
      </w:r>
    </w:p>
    <w:p>
      <w:pPr>
        <w:spacing w:line="240" w:lineRule="auto" w:before="4"/>
        <w:rPr>
          <w:rFonts w:ascii="宋体" w:hAnsi="宋体" w:cs="宋体" w:eastAsia="宋体" w:hint="default"/>
          <w:sz w:val="23"/>
          <w:szCs w:val="23"/>
        </w:rPr>
      </w:pPr>
    </w:p>
    <w:p>
      <w:pPr>
        <w:pStyle w:val="BodyText"/>
        <w:spacing w:line="312" w:lineRule="exact"/>
        <w:ind w:left="817" w:right="105"/>
        <w:jc w:val="both"/>
      </w:pPr>
      <w:r>
        <w:rPr/>
        <w:t>合并方支付的合并对价及取得的净资产均按账面价值计量。合并方取得的净资产账面价 </w:t>
      </w:r>
      <w:r>
        <w:rPr>
          <w:spacing w:val="3"/>
        </w:rPr>
        <w:t>值与支付的合并对价账面价值的差额，调整资本公积</w:t>
      </w:r>
      <w:r>
        <w:rPr>
          <w:rFonts w:ascii="Arial" w:hAnsi="Arial" w:cs="Arial" w:eastAsia="Arial" w:hint="default"/>
          <w:spacing w:val="3"/>
        </w:rPr>
        <w:t>(</w:t>
      </w:r>
      <w:r>
        <w:rPr>
          <w:spacing w:val="3"/>
        </w:rPr>
        <w:t>股本溢价</w:t>
      </w:r>
      <w:r>
        <w:rPr>
          <w:rFonts w:ascii="Arial" w:hAnsi="Arial" w:cs="Arial" w:eastAsia="Arial" w:hint="default"/>
          <w:spacing w:val="3"/>
        </w:rPr>
        <w:t>)</w:t>
      </w:r>
      <w:r>
        <w:rPr>
          <w:spacing w:val="3"/>
        </w:rPr>
        <w:t>；资本公积</w:t>
      </w:r>
      <w:r>
        <w:rPr>
          <w:rFonts w:ascii="Arial" w:hAnsi="Arial" w:cs="Arial" w:eastAsia="Arial" w:hint="default"/>
          <w:spacing w:val="3"/>
        </w:rPr>
        <w:t>(</w:t>
      </w:r>
      <w:r>
        <w:rPr>
          <w:spacing w:val="3"/>
        </w:rPr>
        <w:t>股本溢价</w:t>
      </w:r>
      <w:r>
        <w:rPr>
          <w:rFonts w:ascii="Arial" w:hAnsi="Arial" w:cs="Arial" w:eastAsia="Arial" w:hint="default"/>
          <w:spacing w:val="3"/>
        </w:rPr>
        <w:t>)</w:t>
      </w:r>
      <w:r>
        <w:rPr>
          <w:rFonts w:ascii="Arial" w:hAnsi="Arial" w:cs="Arial" w:eastAsia="Arial" w:hint="default"/>
          <w:spacing w:val="-30"/>
        </w:rPr>
        <w:t> </w:t>
      </w:r>
      <w:r>
        <w:rPr/>
        <w:t>不足以冲减的，调整留存收益。</w:t>
      </w:r>
    </w:p>
    <w:p>
      <w:pPr>
        <w:spacing w:line="240" w:lineRule="auto" w:before="10"/>
        <w:rPr>
          <w:rFonts w:ascii="宋体" w:hAnsi="宋体" w:cs="宋体" w:eastAsia="宋体" w:hint="default"/>
          <w:sz w:val="18"/>
          <w:szCs w:val="18"/>
        </w:rPr>
      </w:pPr>
    </w:p>
    <w:p>
      <w:pPr>
        <w:pStyle w:val="BodyText"/>
        <w:spacing w:line="240" w:lineRule="auto"/>
        <w:ind w:left="817" w:right="0"/>
        <w:jc w:val="both"/>
      </w:pPr>
      <w:r>
        <w:rPr/>
        <w:t>为进行企业合并发生的直接相关费用于发生时计入当期损益。</w:t>
      </w:r>
    </w:p>
    <w:p>
      <w:pPr>
        <w:spacing w:after="0" w:line="240" w:lineRule="auto"/>
        <w:jc w:val="both"/>
        <w:sectPr>
          <w:pgSz w:w="11910" w:h="16840"/>
          <w:pgMar w:header="1475" w:footer="708" w:top="3020" w:bottom="900" w:left="1020" w:right="820"/>
        </w:sectPr>
      </w:pPr>
    </w:p>
    <w:p>
      <w:pPr>
        <w:spacing w:line="240" w:lineRule="auto" w:before="6"/>
        <w:rPr>
          <w:rFonts w:ascii="宋体" w:hAnsi="宋体" w:cs="宋体" w:eastAsia="宋体" w:hint="default"/>
          <w:sz w:val="13"/>
          <w:szCs w:val="13"/>
        </w:rPr>
      </w:pPr>
    </w:p>
    <w:p>
      <w:pPr>
        <w:pStyle w:val="Heading2"/>
        <w:tabs>
          <w:tab w:pos="817" w:val="left" w:leader="none"/>
        </w:tabs>
        <w:spacing w:line="427" w:lineRule="auto"/>
        <w:ind w:left="108" w:right="6204"/>
        <w:jc w:val="left"/>
        <w:rPr>
          <w:rFonts w:ascii="Arial" w:hAnsi="Arial" w:cs="Arial" w:eastAsia="Arial" w:hint="default"/>
          <w:b w:val="0"/>
          <w:bCs w:val="0"/>
        </w:rPr>
      </w:pPr>
      <w:r>
        <w:rPr>
          <w:w w:val="95"/>
        </w:rPr>
        <w:t>二</w:t>
        <w:tab/>
        <w:t>主要会计政策和会计估计</w:t>
      </w:r>
      <w:r>
        <w:rPr>
          <w:rFonts w:ascii="Arial" w:hAnsi="Arial" w:cs="Arial" w:eastAsia="Arial" w:hint="default"/>
          <w:w w:val="95"/>
        </w:rPr>
        <w:t>(</w:t>
      </w:r>
      <w:r>
        <w:rPr>
          <w:w w:val="95"/>
        </w:rPr>
        <w:t>续</w:t>
      </w:r>
      <w:r>
        <w:rPr>
          <w:rFonts w:ascii="Arial" w:hAnsi="Arial" w:cs="Arial" w:eastAsia="Arial" w:hint="default"/>
          <w:w w:val="95"/>
        </w:rPr>
        <w:t>)</w:t>
      </w:r>
      <w:r>
        <w:rPr>
          <w:rFonts w:ascii="Arial" w:hAnsi="Arial" w:cs="Arial" w:eastAsia="Arial" w:hint="default"/>
          <w:spacing w:val="15"/>
          <w:w w:val="95"/>
        </w:rPr>
        <w:t> </w:t>
      </w:r>
      <w:r>
        <w:rPr>
          <w:rFonts w:ascii="Arial" w:hAnsi="Arial" w:cs="Arial" w:eastAsia="Arial" w:hint="default"/>
          <w:w w:val="95"/>
          <w:position w:val="2"/>
        </w:rPr>
        <w:t>(5)</w:t>
        <w:tab/>
      </w:r>
      <w:r>
        <w:rPr/>
        <w:t>企业合并</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tabs>
          <w:tab w:pos="817" w:val="left" w:leader="none"/>
        </w:tabs>
        <w:spacing w:line="240" w:lineRule="auto" w:before="32"/>
        <w:ind w:left="108" w:right="497"/>
        <w:jc w:val="left"/>
      </w:pPr>
      <w:r>
        <w:rPr>
          <w:rFonts w:ascii="Arial" w:hAnsi="Arial" w:cs="Arial" w:eastAsia="Arial" w:hint="default"/>
          <w:w w:val="95"/>
          <w:position w:val="2"/>
        </w:rPr>
        <w:t>(b)</w:t>
        <w:tab/>
      </w:r>
      <w:r>
        <w:rPr/>
        <w:t>非同一控制下的企业合并</w:t>
      </w:r>
    </w:p>
    <w:p>
      <w:pPr>
        <w:spacing w:line="240" w:lineRule="auto" w:before="4"/>
        <w:rPr>
          <w:rFonts w:ascii="宋体" w:hAnsi="宋体" w:cs="宋体" w:eastAsia="宋体" w:hint="default"/>
          <w:sz w:val="23"/>
          <w:szCs w:val="23"/>
        </w:rPr>
      </w:pPr>
    </w:p>
    <w:p>
      <w:pPr>
        <w:pStyle w:val="BodyText"/>
        <w:spacing w:line="312" w:lineRule="exact"/>
        <w:ind w:left="817" w:right="106"/>
        <w:jc w:val="both"/>
      </w:pPr>
      <w:r>
        <w:rPr/>
        <w:t>购买方发生的合并成本及在合并中取得的可辨认净资产按购买日的公允价值计量。合并 成本大于合并中取得的被购买方于购买日可辨认净资产公允价值份额的差额，确认为商 誉；合并成本小于合并中取得的被购买方可辨认净资产公允价值份额的差额，计入当期 损益。</w:t>
      </w:r>
    </w:p>
    <w:p>
      <w:pPr>
        <w:spacing w:line="240" w:lineRule="auto" w:before="10"/>
        <w:rPr>
          <w:rFonts w:ascii="宋体" w:hAnsi="宋体" w:cs="宋体" w:eastAsia="宋体" w:hint="default"/>
          <w:sz w:val="18"/>
          <w:szCs w:val="18"/>
        </w:rPr>
      </w:pPr>
    </w:p>
    <w:p>
      <w:pPr>
        <w:pStyle w:val="BodyText"/>
        <w:spacing w:line="240" w:lineRule="auto"/>
        <w:ind w:left="817" w:right="0"/>
        <w:jc w:val="both"/>
      </w:pPr>
      <w:r>
        <w:rPr/>
        <w:t>为进行企业合并发生的直接相关费用于发生时计入当期损益。</w:t>
      </w:r>
    </w:p>
    <w:p>
      <w:pPr>
        <w:spacing w:line="240" w:lineRule="auto" w:before="12"/>
        <w:rPr>
          <w:rFonts w:ascii="宋体" w:hAnsi="宋体" w:cs="宋体" w:eastAsia="宋体" w:hint="default"/>
          <w:sz w:val="20"/>
          <w:szCs w:val="20"/>
        </w:rPr>
      </w:pPr>
    </w:p>
    <w:p>
      <w:pPr>
        <w:tabs>
          <w:tab w:pos="817" w:val="left" w:leader="none"/>
        </w:tabs>
        <w:spacing w:line="448" w:lineRule="auto" w:before="0"/>
        <w:ind w:left="817" w:right="3005" w:hanging="710"/>
        <w:jc w:val="left"/>
        <w:rPr>
          <w:rFonts w:ascii="宋体" w:hAnsi="宋体" w:cs="宋体" w:eastAsia="宋体" w:hint="default"/>
          <w:sz w:val="24"/>
          <w:szCs w:val="24"/>
        </w:rPr>
      </w:pPr>
      <w:r>
        <w:rPr>
          <w:rFonts w:ascii="Arial" w:hAnsi="Arial" w:cs="Arial" w:eastAsia="Arial" w:hint="default"/>
          <w:w w:val="95"/>
          <w:position w:val="2"/>
          <w:sz w:val="24"/>
          <w:szCs w:val="24"/>
        </w:rPr>
        <w:t>(6)</w:t>
        <w:tab/>
      </w:r>
      <w:r>
        <w:rPr>
          <w:rFonts w:ascii="宋体" w:hAnsi="宋体" w:cs="宋体" w:eastAsia="宋体" w:hint="default"/>
          <w:b/>
          <w:bCs/>
          <w:sz w:val="24"/>
          <w:szCs w:val="24"/>
        </w:rPr>
        <w:t>合并财务报表的编制方法</w:t>
      </w:r>
      <w:r>
        <w:rPr>
          <w:rFonts w:ascii="宋体" w:hAnsi="宋体" w:cs="宋体" w:eastAsia="宋体" w:hint="default"/>
          <w:b/>
          <w:bCs/>
          <w:w w:val="99"/>
          <w:sz w:val="24"/>
          <w:szCs w:val="24"/>
        </w:rPr>
        <w:t> </w:t>
      </w:r>
      <w:r>
        <w:rPr>
          <w:rFonts w:ascii="宋体" w:hAnsi="宋体" w:cs="宋体" w:eastAsia="宋体" w:hint="default"/>
          <w:sz w:val="24"/>
          <w:szCs w:val="24"/>
        </w:rPr>
        <w:t>编制合并财务报表时，合并范围包括本公司及全部子公司。</w:t>
      </w:r>
    </w:p>
    <w:p>
      <w:pPr>
        <w:pStyle w:val="BodyText"/>
        <w:spacing w:line="312" w:lineRule="exact" w:before="96"/>
        <w:ind w:left="817" w:right="106"/>
        <w:jc w:val="both"/>
      </w:pPr>
      <w:r>
        <w:rPr/>
        <w:t>从取得子公司的实际控制权之日起，本集团开始将其纳入合并范围；从丧失实际控制权 之日起停止纳入合并范围。对于同一控制下企业合并取得的子公司，自其与本公司同受 最终控制方控制之日起纳入本公司合并范围，并将其在合并日前实现的净利润在合并利 润表中单列项目反映。</w:t>
      </w:r>
    </w:p>
    <w:p>
      <w:pPr>
        <w:spacing w:line="240" w:lineRule="auto" w:before="1"/>
        <w:rPr>
          <w:rFonts w:ascii="宋体" w:hAnsi="宋体" w:cs="宋体" w:eastAsia="宋体" w:hint="default"/>
          <w:sz w:val="21"/>
          <w:szCs w:val="21"/>
        </w:rPr>
      </w:pPr>
    </w:p>
    <w:p>
      <w:pPr>
        <w:pStyle w:val="BodyText"/>
        <w:spacing w:line="312" w:lineRule="exact"/>
        <w:ind w:left="817" w:right="106"/>
        <w:jc w:val="both"/>
      </w:pPr>
      <w:r>
        <w:rPr/>
        <w:t>在编制合并财务报表时，子公司与本公司采用的会计政策或会计期间不一致的，按照本 公司的会计政策和会计期间对子公司财务报表进行必要的调整。对于非同一控制下企业 合并取得的子公司，以购买日可辨认净资产公允价值为基础对其财务报表进行调整。</w:t>
      </w:r>
    </w:p>
    <w:p>
      <w:pPr>
        <w:spacing w:line="240" w:lineRule="auto" w:before="1"/>
        <w:rPr>
          <w:rFonts w:ascii="宋体" w:hAnsi="宋体" w:cs="宋体" w:eastAsia="宋体" w:hint="default"/>
          <w:sz w:val="21"/>
          <w:szCs w:val="21"/>
        </w:rPr>
      </w:pPr>
    </w:p>
    <w:p>
      <w:pPr>
        <w:pStyle w:val="BodyText"/>
        <w:spacing w:line="312" w:lineRule="exact"/>
        <w:ind w:left="817" w:right="106"/>
        <w:jc w:val="both"/>
      </w:pPr>
      <w:r>
        <w:rPr/>
        <w:t>集团内所有重大往来余额、交易及未实现利润在合并财务报表编制时予以抵销。子公司 的股东权益及当期净损益中不属于本公司所拥有的部分分别作为少数股东权益及少数股 东损益在合并财务报表中股东权益及净利润项下单独列示。</w:t>
      </w:r>
    </w:p>
    <w:p>
      <w:pPr>
        <w:spacing w:line="240" w:lineRule="auto" w:before="10"/>
        <w:rPr>
          <w:rFonts w:ascii="宋体" w:hAnsi="宋体" w:cs="宋体" w:eastAsia="宋体" w:hint="default"/>
          <w:sz w:val="18"/>
          <w:szCs w:val="18"/>
        </w:rPr>
      </w:pPr>
    </w:p>
    <w:p>
      <w:pPr>
        <w:tabs>
          <w:tab w:pos="817" w:val="left" w:leader="none"/>
        </w:tabs>
        <w:spacing w:before="0"/>
        <w:ind w:left="108" w:right="497" w:firstLine="0"/>
        <w:jc w:val="left"/>
        <w:rPr>
          <w:rFonts w:ascii="宋体" w:hAnsi="宋体" w:cs="宋体" w:eastAsia="宋体" w:hint="default"/>
          <w:sz w:val="24"/>
          <w:szCs w:val="24"/>
        </w:rPr>
      </w:pPr>
      <w:r>
        <w:rPr>
          <w:rFonts w:ascii="Arial" w:hAnsi="Arial" w:cs="Arial" w:eastAsia="Arial" w:hint="default"/>
          <w:w w:val="95"/>
          <w:position w:val="2"/>
          <w:sz w:val="24"/>
          <w:szCs w:val="24"/>
        </w:rPr>
        <w:t>(7)</w:t>
        <w:tab/>
      </w:r>
      <w:r>
        <w:rPr>
          <w:rFonts w:ascii="宋体" w:hAnsi="宋体" w:cs="宋体" w:eastAsia="宋体" w:hint="default"/>
          <w:b/>
          <w:bCs/>
          <w:sz w:val="24"/>
          <w:szCs w:val="24"/>
        </w:rPr>
        <w:t>现金及现金等价物</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17" w:right="106"/>
        <w:jc w:val="both"/>
      </w:pPr>
      <w:r>
        <w:rPr/>
        <w:t>现金及现金等价物是指库存现金，可随时用于支付的存款，以及持有的期限短、流动性 强、易于转换为已知金额现金、价值变动风险很小的投资。</w:t>
      </w:r>
    </w:p>
    <w:p>
      <w:pPr>
        <w:spacing w:after="0" w:line="312" w:lineRule="exact"/>
        <w:jc w:val="both"/>
        <w:sectPr>
          <w:pgSz w:w="11910" w:h="16840"/>
          <w:pgMar w:header="1475" w:footer="708" w:top="3020" w:bottom="900" w:left="1020" w:right="82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497"/>
        <w:jc w:val="left"/>
        <w:rPr>
          <w:rFonts w:ascii="Arial" w:hAnsi="Arial" w:cs="Arial" w:eastAsia="Arial" w:hint="default"/>
          <w:b w:val="0"/>
          <w:bCs w:val="0"/>
        </w:rPr>
      </w:pPr>
      <w:r>
        <w:rPr>
          <w:w w:val="95"/>
        </w:rPr>
        <w:t>二</w:t>
        <w:tab/>
      </w:r>
      <w:r>
        <w:rPr/>
        <w:t>主要会计政策和会计估计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08" w:right="497" w:firstLine="0"/>
        <w:jc w:val="left"/>
        <w:rPr>
          <w:rFonts w:ascii="宋体" w:hAnsi="宋体" w:cs="宋体" w:eastAsia="宋体" w:hint="default"/>
          <w:sz w:val="24"/>
          <w:szCs w:val="24"/>
        </w:rPr>
      </w:pPr>
      <w:r>
        <w:rPr>
          <w:rFonts w:ascii="Arial" w:hAnsi="Arial" w:cs="Arial" w:eastAsia="Arial" w:hint="default"/>
          <w:w w:val="95"/>
          <w:position w:val="2"/>
          <w:sz w:val="24"/>
          <w:szCs w:val="24"/>
        </w:rPr>
        <w:t>(8)</w:t>
        <w:tab/>
      </w:r>
      <w:r>
        <w:rPr>
          <w:rFonts w:ascii="宋体" w:hAnsi="宋体" w:cs="宋体" w:eastAsia="宋体" w:hint="default"/>
          <w:b/>
          <w:bCs/>
          <w:sz w:val="24"/>
          <w:szCs w:val="24"/>
        </w:rPr>
        <w:t>外币折算</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817" w:val="left" w:leader="none"/>
        </w:tabs>
        <w:spacing w:line="448" w:lineRule="auto"/>
        <w:ind w:left="817" w:right="2285" w:hanging="710"/>
        <w:jc w:val="left"/>
      </w:pPr>
      <w:r>
        <w:rPr>
          <w:rFonts w:ascii="Arial" w:hAnsi="Arial" w:cs="Arial" w:eastAsia="Arial" w:hint="default"/>
          <w:w w:val="95"/>
          <w:position w:val="2"/>
        </w:rPr>
        <w:t>(a)</w:t>
        <w:tab/>
      </w:r>
      <w:r>
        <w:rPr/>
        <w:t>外币交易 外币交易按交易发生日的即期汇率将外币金额折算为人民币入账。</w:t>
      </w:r>
    </w:p>
    <w:p>
      <w:pPr>
        <w:pStyle w:val="BodyText"/>
        <w:spacing w:line="312" w:lineRule="exact" w:before="96"/>
        <w:ind w:left="817" w:right="106"/>
        <w:jc w:val="both"/>
      </w:pPr>
      <w:r>
        <w:rPr/>
        <w:t>于资产负债表日，外币货币性项目采用资产负债表日的即期汇率折算为人民币。为购建 符合资本化条件的资产而借入的外币专门借款产生的汇兑差额在资本化期间内予以资本 化；其他汇兑差额直接计入当期损益。以历史成本计量的外币非货币性项目，于资产负 债表日采用交易发生日的即期汇率折算。汇率变动对现金的影响额在现金流量表中单独 列示。</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497"/>
        <w:jc w:val="left"/>
      </w:pPr>
      <w:r>
        <w:rPr>
          <w:rFonts w:ascii="Arial" w:hAnsi="Arial" w:cs="Arial" w:eastAsia="Arial" w:hint="default"/>
          <w:w w:val="95"/>
          <w:position w:val="2"/>
        </w:rPr>
        <w:t>(b)</w:t>
        <w:tab/>
      </w:r>
      <w:r>
        <w:rPr/>
        <w:t>外币财务报表的折算</w:t>
      </w:r>
    </w:p>
    <w:p>
      <w:pPr>
        <w:spacing w:line="240" w:lineRule="auto" w:before="4"/>
        <w:rPr>
          <w:rFonts w:ascii="宋体" w:hAnsi="宋体" w:cs="宋体" w:eastAsia="宋体" w:hint="default"/>
          <w:sz w:val="23"/>
          <w:szCs w:val="23"/>
        </w:rPr>
      </w:pPr>
    </w:p>
    <w:p>
      <w:pPr>
        <w:pStyle w:val="BodyText"/>
        <w:spacing w:line="312" w:lineRule="exact"/>
        <w:ind w:left="817" w:right="106"/>
        <w:jc w:val="both"/>
      </w:pPr>
      <w:r>
        <w:rPr/>
        <w:t>境外经营的资产负债表中的资产和负债项目，采用资产负债表日的即期汇率折算，股东 权益中除未分配利润项目外，其他项目采用发生时的即期汇率折算。境外经营的利润表 中的收入与费用项目，采用交易发生日的即期汇率折算。上述折算产生的外币报表折算 差额，在股东权益中以单独项目列示。境外经营的现金流量项目，采用现金流量发生日 的即期汇率折算。汇率变动对现金的影响额，在现金流量表中单独列示。</w:t>
      </w:r>
    </w:p>
    <w:p>
      <w:pPr>
        <w:spacing w:line="240" w:lineRule="auto" w:before="10"/>
        <w:rPr>
          <w:rFonts w:ascii="宋体" w:hAnsi="宋体" w:cs="宋体" w:eastAsia="宋体" w:hint="default"/>
          <w:sz w:val="18"/>
          <w:szCs w:val="18"/>
        </w:rPr>
      </w:pPr>
    </w:p>
    <w:p>
      <w:pPr>
        <w:tabs>
          <w:tab w:pos="817" w:val="left" w:leader="none"/>
        </w:tabs>
        <w:spacing w:before="0"/>
        <w:ind w:left="108" w:right="497" w:firstLine="0"/>
        <w:jc w:val="left"/>
        <w:rPr>
          <w:rFonts w:ascii="宋体" w:hAnsi="宋体" w:cs="宋体" w:eastAsia="宋体" w:hint="default"/>
          <w:sz w:val="24"/>
          <w:szCs w:val="24"/>
        </w:rPr>
      </w:pPr>
      <w:r>
        <w:rPr>
          <w:rFonts w:ascii="Arial" w:hAnsi="Arial" w:cs="Arial" w:eastAsia="Arial" w:hint="default"/>
          <w:w w:val="95"/>
          <w:position w:val="2"/>
          <w:sz w:val="24"/>
          <w:szCs w:val="24"/>
        </w:rPr>
        <w:t>(9)</w:t>
        <w:tab/>
      </w:r>
      <w:r>
        <w:rPr>
          <w:rFonts w:ascii="宋体" w:hAnsi="宋体" w:cs="宋体" w:eastAsia="宋体" w:hint="default"/>
          <w:b/>
          <w:bCs/>
          <w:sz w:val="24"/>
          <w:szCs w:val="24"/>
        </w:rPr>
        <w:t>金融工具</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817" w:val="left" w:leader="none"/>
        </w:tabs>
        <w:spacing w:line="240" w:lineRule="auto"/>
        <w:ind w:left="108" w:right="497"/>
        <w:jc w:val="left"/>
      </w:pPr>
      <w:r>
        <w:rPr>
          <w:rFonts w:ascii="Arial" w:hAnsi="Arial" w:cs="Arial" w:eastAsia="Arial" w:hint="default"/>
          <w:w w:val="95"/>
          <w:position w:val="2"/>
        </w:rPr>
        <w:t>(a)</w:t>
        <w:tab/>
      </w:r>
      <w:r>
        <w:rPr/>
        <w:t>金融资产</w:t>
      </w:r>
    </w:p>
    <w:p>
      <w:pPr>
        <w:spacing w:line="240" w:lineRule="auto" w:before="12"/>
        <w:rPr>
          <w:rFonts w:ascii="宋体" w:hAnsi="宋体" w:cs="宋体" w:eastAsia="宋体" w:hint="default"/>
          <w:sz w:val="20"/>
          <w:szCs w:val="20"/>
        </w:rPr>
      </w:pPr>
    </w:p>
    <w:p>
      <w:pPr>
        <w:pStyle w:val="BodyText"/>
        <w:tabs>
          <w:tab w:pos="817" w:val="left" w:leader="none"/>
        </w:tabs>
        <w:spacing w:line="240" w:lineRule="auto"/>
        <w:ind w:left="108" w:right="497"/>
        <w:jc w:val="left"/>
      </w:pPr>
      <w:r>
        <w:rPr>
          <w:rFonts w:ascii="Arial" w:hAnsi="Arial" w:cs="Arial" w:eastAsia="Arial" w:hint="default"/>
          <w:w w:val="95"/>
          <w:position w:val="2"/>
        </w:rPr>
        <w:t>(i)</w:t>
        <w:tab/>
      </w:r>
      <w:r>
        <w:rPr/>
        <w:t>金融资产分类</w:t>
      </w:r>
    </w:p>
    <w:p>
      <w:pPr>
        <w:spacing w:line="240" w:lineRule="auto" w:before="4"/>
        <w:rPr>
          <w:rFonts w:ascii="宋体" w:hAnsi="宋体" w:cs="宋体" w:eastAsia="宋体" w:hint="default"/>
          <w:sz w:val="23"/>
          <w:szCs w:val="23"/>
        </w:rPr>
      </w:pPr>
    </w:p>
    <w:p>
      <w:pPr>
        <w:pStyle w:val="BodyText"/>
        <w:spacing w:line="312" w:lineRule="exact"/>
        <w:ind w:left="817" w:right="106"/>
        <w:jc w:val="both"/>
      </w:pPr>
      <w:r>
        <w:rPr/>
        <w:t>金融资产于初始确认时分类为：以公允价值计量且其变动计入当期损益的金融资产、应 收款项、可供出售金融资产和持有至到期投资。金融资产的分类取决于本集团对金融资 产的持有意图和持有能力。</w:t>
      </w:r>
    </w:p>
    <w:p>
      <w:pPr>
        <w:spacing w:line="240" w:lineRule="auto" w:before="10"/>
        <w:rPr>
          <w:rFonts w:ascii="宋体" w:hAnsi="宋体" w:cs="宋体" w:eastAsia="宋体" w:hint="default"/>
          <w:sz w:val="18"/>
          <w:szCs w:val="18"/>
        </w:rPr>
      </w:pPr>
    </w:p>
    <w:p>
      <w:pPr>
        <w:pStyle w:val="BodyText"/>
        <w:spacing w:line="240" w:lineRule="auto"/>
        <w:ind w:left="817" w:right="0"/>
        <w:jc w:val="both"/>
      </w:pPr>
      <w:r>
        <w:rPr/>
        <w:t>以公允价值计量且其变动计入当期损益的金融资产</w:t>
      </w:r>
    </w:p>
    <w:p>
      <w:pPr>
        <w:spacing w:line="240" w:lineRule="auto" w:before="4"/>
        <w:rPr>
          <w:rFonts w:ascii="宋体" w:hAnsi="宋体" w:cs="宋体" w:eastAsia="宋体" w:hint="default"/>
          <w:sz w:val="23"/>
          <w:szCs w:val="23"/>
        </w:rPr>
      </w:pPr>
    </w:p>
    <w:p>
      <w:pPr>
        <w:pStyle w:val="BodyText"/>
        <w:spacing w:line="312" w:lineRule="exact"/>
        <w:ind w:left="817" w:right="106"/>
        <w:jc w:val="both"/>
      </w:pPr>
      <w:r>
        <w:rPr/>
        <w:t>以公允价值计量且其变动计入当期损益的金融资产主要包括衍生工具等，该资产在资产 负债表中以交易性金融资产列示。</w:t>
      </w:r>
    </w:p>
    <w:p>
      <w:pPr>
        <w:spacing w:line="240" w:lineRule="auto" w:before="10"/>
        <w:rPr>
          <w:rFonts w:ascii="宋体" w:hAnsi="宋体" w:cs="宋体" w:eastAsia="宋体" w:hint="default"/>
          <w:sz w:val="18"/>
          <w:szCs w:val="18"/>
        </w:rPr>
      </w:pPr>
    </w:p>
    <w:p>
      <w:pPr>
        <w:pStyle w:val="BodyText"/>
        <w:spacing w:line="448" w:lineRule="auto"/>
        <w:ind w:left="817" w:right="587"/>
        <w:jc w:val="left"/>
      </w:pPr>
      <w:r>
        <w:rPr/>
        <w:t>应收款项 应收款项是指在活跃市场中没有报价、回收金额固定或可确定的非衍生金融资产。</w:t>
      </w:r>
    </w:p>
    <w:p>
      <w:pPr>
        <w:spacing w:after="0" w:line="448" w:lineRule="auto"/>
        <w:jc w:val="left"/>
        <w:sectPr>
          <w:pgSz w:w="11910" w:h="16840"/>
          <w:pgMar w:header="1475" w:footer="708" w:top="3020" w:bottom="900" w:left="1020" w:right="82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497"/>
        <w:jc w:val="left"/>
        <w:rPr>
          <w:rFonts w:ascii="Arial" w:hAnsi="Arial" w:cs="Arial" w:eastAsia="Arial" w:hint="default"/>
          <w:b w:val="0"/>
          <w:bCs w:val="0"/>
        </w:rPr>
      </w:pPr>
      <w:r>
        <w:rPr>
          <w:w w:val="95"/>
        </w:rPr>
        <w:t>二</w:t>
        <w:tab/>
      </w:r>
      <w:r>
        <w:rPr/>
        <w:t>主要会计政策和会计估计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19"/>
          <w:szCs w:val="19"/>
        </w:rPr>
      </w:pPr>
    </w:p>
    <w:p>
      <w:pPr>
        <w:tabs>
          <w:tab w:pos="817" w:val="left" w:leader="none"/>
        </w:tabs>
        <w:spacing w:before="0"/>
        <w:ind w:left="107" w:right="497" w:firstLine="0"/>
        <w:jc w:val="left"/>
        <w:rPr>
          <w:rFonts w:ascii="Arial" w:hAnsi="Arial" w:cs="Arial" w:eastAsia="Arial" w:hint="default"/>
          <w:sz w:val="24"/>
          <w:szCs w:val="24"/>
        </w:rPr>
      </w:pPr>
      <w:r>
        <w:rPr>
          <w:rFonts w:ascii="Arial" w:hAnsi="Arial" w:cs="Arial" w:eastAsia="Arial" w:hint="default"/>
          <w:w w:val="95"/>
          <w:position w:val="2"/>
          <w:sz w:val="24"/>
          <w:szCs w:val="24"/>
        </w:rPr>
        <w:t>(9)</w:t>
        <w:tab/>
      </w:r>
      <w:r>
        <w:rPr>
          <w:rFonts w:ascii="宋体" w:hAnsi="宋体" w:cs="宋体" w:eastAsia="宋体" w:hint="default"/>
          <w:b/>
          <w:bCs/>
          <w:sz w:val="24"/>
          <w:szCs w:val="24"/>
        </w:rPr>
        <w:t>金融工具</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8" w:right="497"/>
        <w:jc w:val="left"/>
        <w:rPr>
          <w:rFonts w:ascii="Arial" w:hAnsi="Arial" w:cs="Arial" w:eastAsia="Arial" w:hint="default"/>
        </w:rPr>
      </w:pPr>
      <w:r>
        <w:rPr>
          <w:rFonts w:ascii="Arial" w:hAnsi="Arial" w:cs="Arial" w:eastAsia="Arial" w:hint="default"/>
          <w:w w:val="95"/>
          <w:position w:val="2"/>
        </w:rPr>
        <w:t>(a)</w:t>
        <w:tab/>
      </w:r>
      <w:r>
        <w:rPr/>
        <w:t>金融资产</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817" w:val="left" w:leader="none"/>
        </w:tabs>
        <w:spacing w:line="427" w:lineRule="auto"/>
        <w:ind w:left="817" w:right="7325" w:hanging="710"/>
        <w:jc w:val="left"/>
      </w:pPr>
      <w:r>
        <w:rPr>
          <w:rFonts w:ascii="Arial" w:hAnsi="Arial" w:cs="Arial" w:eastAsia="Arial" w:hint="default"/>
          <w:w w:val="95"/>
          <w:position w:val="2"/>
        </w:rPr>
        <w:t>(i)</w:t>
        <w:tab/>
      </w:r>
      <w:r>
        <w:rPr/>
        <w:t>金融资产分类</w:t>
      </w:r>
      <w:r>
        <w:rPr>
          <w:rFonts w:ascii="Arial" w:hAnsi="Arial" w:cs="Arial" w:eastAsia="Arial" w:hint="default"/>
        </w:rPr>
        <w:t>(</w:t>
      </w:r>
      <w:r>
        <w:rPr/>
        <w:t>续</w:t>
      </w:r>
      <w:r>
        <w:rPr>
          <w:rFonts w:ascii="Arial" w:hAnsi="Arial" w:cs="Arial" w:eastAsia="Arial" w:hint="default"/>
        </w:rPr>
        <w:t>) </w:t>
      </w:r>
      <w:r>
        <w:rPr/>
        <w:t>可供出售金融资产</w:t>
      </w:r>
    </w:p>
    <w:p>
      <w:pPr>
        <w:pStyle w:val="BodyText"/>
        <w:spacing w:line="312" w:lineRule="exact" w:before="117"/>
        <w:ind w:left="817" w:right="104"/>
        <w:jc w:val="both"/>
      </w:pPr>
      <w:r>
        <w:rPr/>
        <w:t>可供出售金融资产包括初始确认时即被指定为可供出售的非衍生金融资产及未被划分为 其他类的金融资产。自资产负债表日起 </w:t>
      </w:r>
      <w:r>
        <w:rPr>
          <w:rFonts w:ascii="Arial" w:hAnsi="Arial" w:cs="Arial" w:eastAsia="Arial" w:hint="default"/>
        </w:rPr>
        <w:t>12</w:t>
      </w:r>
      <w:r>
        <w:rPr>
          <w:rFonts w:ascii="Arial" w:hAnsi="Arial" w:cs="Arial" w:eastAsia="Arial" w:hint="default"/>
          <w:spacing w:val="43"/>
        </w:rPr>
        <w:t> </w:t>
      </w:r>
      <w:r>
        <w:rPr/>
        <w:t>个月内将出售的可供出售金融资产在资产负</w:t>
      </w:r>
    </w:p>
    <w:p>
      <w:pPr>
        <w:pStyle w:val="BodyText"/>
        <w:spacing w:line="300" w:lineRule="exact"/>
        <w:ind w:left="817" w:right="0"/>
        <w:jc w:val="both"/>
      </w:pPr>
      <w:r>
        <w:rPr/>
        <w:t>债表中列示为其他流动资产。于</w:t>
      </w:r>
      <w:r>
        <w:rPr>
          <w:spacing w:val="-62"/>
        </w:rPr>
        <w:t> </w:t>
      </w:r>
      <w:r>
        <w:rPr>
          <w:rFonts w:ascii="Arial" w:hAnsi="Arial" w:cs="Arial" w:eastAsia="Arial" w:hint="default"/>
        </w:rPr>
        <w:t>2009</w:t>
      </w:r>
      <w:r>
        <w:rPr>
          <w:rFonts w:ascii="Arial" w:hAnsi="Arial" w:cs="Arial" w:eastAsia="Arial" w:hint="default"/>
          <w:spacing w:val="-9"/>
        </w:rPr>
        <w:t> </w:t>
      </w:r>
      <w:r>
        <w:rPr/>
        <w:t>年度及</w:t>
      </w:r>
      <w:r>
        <w:rPr>
          <w:spacing w:val="-62"/>
        </w:rPr>
        <w:t> </w:t>
      </w:r>
      <w:r>
        <w:rPr>
          <w:rFonts w:ascii="Arial" w:hAnsi="Arial" w:cs="Arial" w:eastAsia="Arial" w:hint="default"/>
        </w:rPr>
        <w:t>2010</w:t>
      </w:r>
      <w:r>
        <w:rPr>
          <w:rFonts w:ascii="Arial" w:hAnsi="Arial" w:cs="Arial" w:eastAsia="Arial" w:hint="default"/>
          <w:spacing w:val="-9"/>
        </w:rPr>
        <w:t> </w:t>
      </w:r>
      <w:r>
        <w:rPr/>
        <w:t>年度，本集团无此类金融资产。</w:t>
      </w:r>
    </w:p>
    <w:p>
      <w:pPr>
        <w:spacing w:line="240" w:lineRule="auto" w:before="8"/>
        <w:rPr>
          <w:rFonts w:ascii="宋体" w:hAnsi="宋体" w:cs="宋体" w:eastAsia="宋体" w:hint="default"/>
          <w:sz w:val="19"/>
          <w:szCs w:val="19"/>
        </w:rPr>
      </w:pPr>
    </w:p>
    <w:p>
      <w:pPr>
        <w:pStyle w:val="BodyText"/>
        <w:spacing w:line="240" w:lineRule="auto"/>
        <w:ind w:left="817" w:right="0"/>
        <w:jc w:val="both"/>
      </w:pPr>
      <w:r>
        <w:rPr/>
        <w:t>持有至到期投资</w:t>
      </w:r>
    </w:p>
    <w:p>
      <w:pPr>
        <w:spacing w:line="240" w:lineRule="auto" w:before="4"/>
        <w:rPr>
          <w:rFonts w:ascii="宋体" w:hAnsi="宋体" w:cs="宋体" w:eastAsia="宋体" w:hint="default"/>
          <w:sz w:val="23"/>
          <w:szCs w:val="23"/>
        </w:rPr>
      </w:pPr>
    </w:p>
    <w:p>
      <w:pPr>
        <w:pStyle w:val="BodyText"/>
        <w:spacing w:line="312" w:lineRule="exact"/>
        <w:ind w:left="817" w:right="107"/>
        <w:jc w:val="both"/>
      </w:pPr>
      <w:r>
        <w:rPr/>
        <w:t>持有至到期投资是指到期日固定、回收金额固定或可确定，且管理层有明确意图和能力 </w:t>
      </w:r>
      <w:r>
        <w:rPr>
          <w:spacing w:val="-6"/>
        </w:rPr>
        <w:t>持有至到期的非衍生金融资产。取得时期限超过</w:t>
      </w:r>
      <w:r>
        <w:rPr>
          <w:spacing w:val="-57"/>
        </w:rPr>
        <w:t> </w:t>
      </w:r>
      <w:r>
        <w:rPr>
          <w:rFonts w:ascii="Arial" w:hAnsi="Arial" w:cs="Arial" w:eastAsia="Arial" w:hint="default"/>
          <w:spacing w:val="-1"/>
          <w:w w:val="99"/>
        </w:rPr>
        <w:t>12</w:t>
      </w:r>
      <w:r>
        <w:rPr>
          <w:rFonts w:ascii="Arial" w:hAnsi="Arial" w:cs="Arial" w:eastAsia="Arial" w:hint="default"/>
          <w:spacing w:val="-4"/>
          <w:w w:val="99"/>
        </w:rPr>
        <w:t> </w:t>
      </w:r>
      <w:r>
        <w:rPr/>
        <w:t>个月但自资产负债表日起</w:t>
      </w:r>
      <w:r>
        <w:rPr>
          <w:spacing w:val="-57"/>
        </w:rPr>
        <w:t> </w:t>
      </w:r>
      <w:r>
        <w:rPr>
          <w:rFonts w:ascii="Arial" w:hAnsi="Arial" w:cs="Arial" w:eastAsia="Arial" w:hint="default"/>
          <w:spacing w:val="-1"/>
          <w:w w:val="99"/>
        </w:rPr>
        <w:t>12</w:t>
      </w:r>
      <w:r>
        <w:rPr>
          <w:rFonts w:ascii="Arial" w:hAnsi="Arial" w:cs="Arial" w:eastAsia="Arial" w:hint="default"/>
          <w:spacing w:val="-4"/>
          <w:w w:val="99"/>
        </w:rPr>
        <w:t> </w:t>
      </w:r>
      <w:r>
        <w:rPr/>
        <w:t>个月</w:t>
      </w:r>
      <w:r>
        <w:rPr>
          <w:rFonts w:ascii="Arial" w:hAnsi="Arial" w:cs="Arial" w:eastAsia="Arial" w:hint="default"/>
        </w:rPr>
        <w:t>(</w:t>
      </w:r>
      <w:r>
        <w:rPr/>
        <w:t>含</w:t>
      </w:r>
    </w:p>
    <w:p>
      <w:pPr>
        <w:pStyle w:val="BodyText"/>
        <w:spacing w:line="291" w:lineRule="exact"/>
        <w:ind w:left="817" w:right="0"/>
        <w:jc w:val="both"/>
        <w:rPr>
          <w:rFonts w:ascii="Arial" w:hAnsi="Arial" w:cs="Arial" w:eastAsia="Arial" w:hint="default"/>
        </w:rPr>
      </w:pPr>
      <w:r>
        <w:rPr>
          <w:rFonts w:ascii="Arial" w:hAnsi="Arial" w:cs="Arial" w:eastAsia="Arial" w:hint="default"/>
        </w:rPr>
        <w:t>12 </w:t>
      </w:r>
      <w:r>
        <w:rPr/>
        <w:t>个月</w:t>
      </w:r>
      <w:r>
        <w:rPr>
          <w:rFonts w:ascii="Arial" w:hAnsi="Arial" w:cs="Arial" w:eastAsia="Arial" w:hint="default"/>
        </w:rPr>
        <w:t>)</w:t>
      </w:r>
      <w:r>
        <w:rPr/>
        <w:t>内到期的持有至到期投资，列示为一年内到期的非流动资产；取得时期限在</w:t>
      </w:r>
      <w:r>
        <w:rPr>
          <w:spacing w:val="-65"/>
        </w:rPr>
        <w:t> </w:t>
      </w:r>
      <w:r>
        <w:rPr>
          <w:rFonts w:ascii="Arial" w:hAnsi="Arial" w:cs="Arial" w:eastAsia="Arial" w:hint="default"/>
        </w:rPr>
        <w:t>12</w:t>
      </w:r>
    </w:p>
    <w:p>
      <w:pPr>
        <w:pStyle w:val="BodyText"/>
        <w:spacing w:line="312" w:lineRule="exact"/>
        <w:ind w:left="817" w:right="0"/>
        <w:jc w:val="both"/>
        <w:rPr>
          <w:rFonts w:ascii="Arial" w:hAnsi="Arial" w:cs="Arial" w:eastAsia="Arial" w:hint="default"/>
        </w:rPr>
      </w:pPr>
      <w:r>
        <w:rPr/>
        <w:t>个月之内</w:t>
      </w:r>
      <w:r>
        <w:rPr>
          <w:rFonts w:ascii="Arial" w:hAnsi="Arial" w:cs="Arial" w:eastAsia="Arial" w:hint="default"/>
        </w:rPr>
        <w:t>(</w:t>
      </w:r>
      <w:r>
        <w:rPr/>
        <w:t>含 </w:t>
      </w:r>
      <w:r>
        <w:rPr>
          <w:rFonts w:ascii="Arial" w:hAnsi="Arial" w:cs="Arial" w:eastAsia="Arial" w:hint="default"/>
        </w:rPr>
        <w:t>12 </w:t>
      </w:r>
      <w:r>
        <w:rPr/>
        <w:t>个月</w:t>
      </w:r>
      <w:r>
        <w:rPr>
          <w:rFonts w:ascii="Arial" w:hAnsi="Arial" w:cs="Arial" w:eastAsia="Arial" w:hint="default"/>
        </w:rPr>
        <w:t>)</w:t>
      </w:r>
      <w:r>
        <w:rPr/>
        <w:t>的持有至到期投资，列示为其他流动资产。于 </w:t>
      </w:r>
      <w:r>
        <w:rPr>
          <w:rFonts w:ascii="Arial" w:hAnsi="Arial" w:cs="Arial" w:eastAsia="Arial" w:hint="default"/>
        </w:rPr>
        <w:t>2009 </w:t>
      </w:r>
      <w:r>
        <w:rPr/>
        <w:t>年度及</w:t>
      </w:r>
      <w:r>
        <w:rPr>
          <w:spacing w:val="-61"/>
        </w:rPr>
        <w:t> </w:t>
      </w:r>
      <w:r>
        <w:rPr>
          <w:rFonts w:ascii="Arial" w:hAnsi="Arial" w:cs="Arial" w:eastAsia="Arial" w:hint="default"/>
        </w:rPr>
        <w:t>2010</w:t>
      </w:r>
    </w:p>
    <w:p>
      <w:pPr>
        <w:pStyle w:val="BodyText"/>
        <w:spacing w:line="304" w:lineRule="exact"/>
        <w:ind w:left="817" w:right="0"/>
        <w:jc w:val="both"/>
      </w:pPr>
      <w:r>
        <w:rPr/>
        <w:t>年度，本集团无此类金融资产。</w:t>
      </w:r>
    </w:p>
    <w:p>
      <w:pPr>
        <w:spacing w:line="240" w:lineRule="auto" w:before="12"/>
        <w:rPr>
          <w:rFonts w:ascii="宋体" w:hAnsi="宋体" w:cs="宋体" w:eastAsia="宋体" w:hint="default"/>
          <w:sz w:val="20"/>
          <w:szCs w:val="20"/>
        </w:rPr>
      </w:pPr>
    </w:p>
    <w:p>
      <w:pPr>
        <w:pStyle w:val="BodyText"/>
        <w:tabs>
          <w:tab w:pos="817" w:val="left" w:leader="none"/>
        </w:tabs>
        <w:spacing w:line="240" w:lineRule="auto"/>
        <w:ind w:left="108" w:right="497"/>
        <w:jc w:val="left"/>
      </w:pPr>
      <w:r>
        <w:rPr>
          <w:rFonts w:ascii="Arial" w:hAnsi="Arial" w:cs="Arial" w:eastAsia="Arial" w:hint="default"/>
          <w:spacing w:val="-1"/>
          <w:position w:val="2"/>
        </w:rPr>
        <w:t>(ii)</w:t>
        <w:tab/>
      </w:r>
      <w:r>
        <w:rPr/>
        <w:t>确认和计量</w:t>
      </w:r>
    </w:p>
    <w:p>
      <w:pPr>
        <w:spacing w:line="240" w:lineRule="auto" w:before="4"/>
        <w:rPr>
          <w:rFonts w:ascii="宋体" w:hAnsi="宋体" w:cs="宋体" w:eastAsia="宋体" w:hint="default"/>
          <w:sz w:val="23"/>
          <w:szCs w:val="23"/>
        </w:rPr>
      </w:pPr>
    </w:p>
    <w:p>
      <w:pPr>
        <w:pStyle w:val="BodyText"/>
        <w:spacing w:line="312" w:lineRule="exact"/>
        <w:ind w:left="817" w:right="106"/>
        <w:jc w:val="both"/>
      </w:pPr>
      <w:r>
        <w:rPr/>
        <w:t>金融资产于本集团成为金融工具合同的一方时，按公允价值在资产负债表内确认。以公 允价值计量且其变动计入当期损益的金融资产，取得时发生的相关交易费用计入当期损 益；其他金融资产的相关交易费用计入初始确认金额。</w:t>
      </w:r>
    </w:p>
    <w:p>
      <w:pPr>
        <w:spacing w:line="240" w:lineRule="auto" w:before="1"/>
        <w:rPr>
          <w:rFonts w:ascii="宋体" w:hAnsi="宋体" w:cs="宋体" w:eastAsia="宋体" w:hint="default"/>
          <w:sz w:val="21"/>
          <w:szCs w:val="21"/>
        </w:rPr>
      </w:pPr>
    </w:p>
    <w:p>
      <w:pPr>
        <w:pStyle w:val="BodyText"/>
        <w:spacing w:line="312" w:lineRule="exact"/>
        <w:ind w:left="817" w:right="106"/>
        <w:jc w:val="both"/>
      </w:pPr>
      <w:r>
        <w:rPr/>
        <w:t>以公允价值计量且其变动计入当期损益的金融资产按照公允价值进行后续计量；应收款 项以及持有至到期投资采用实际利率法，以摊余成本计量。</w:t>
      </w:r>
    </w:p>
    <w:p>
      <w:pPr>
        <w:spacing w:line="240" w:lineRule="auto" w:before="1"/>
        <w:rPr>
          <w:rFonts w:ascii="宋体" w:hAnsi="宋体" w:cs="宋体" w:eastAsia="宋体" w:hint="default"/>
          <w:sz w:val="21"/>
          <w:szCs w:val="21"/>
        </w:rPr>
      </w:pPr>
    </w:p>
    <w:p>
      <w:pPr>
        <w:pStyle w:val="BodyText"/>
        <w:spacing w:line="312" w:lineRule="exact"/>
        <w:ind w:left="817" w:right="106"/>
        <w:jc w:val="both"/>
      </w:pPr>
      <w:r>
        <w:rPr/>
        <w:t>以公允价值计量且其变动计入当期损益的金融资产的公允价值变动作为公允价值变动损 益计入当期损益；在资产持有期间所取得的利息或现金股利以及处置时产生的处置损益 计入当期损益。</w:t>
      </w:r>
    </w:p>
    <w:p>
      <w:pPr>
        <w:spacing w:after="0" w:line="312" w:lineRule="exact"/>
        <w:jc w:val="both"/>
        <w:sectPr>
          <w:pgSz w:w="11910" w:h="16840"/>
          <w:pgMar w:header="1475" w:footer="708" w:top="3020" w:bottom="900" w:left="1020" w:right="82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497"/>
        <w:jc w:val="left"/>
        <w:rPr>
          <w:rFonts w:ascii="Arial" w:hAnsi="Arial" w:cs="Arial" w:eastAsia="Arial" w:hint="default"/>
          <w:b w:val="0"/>
          <w:bCs w:val="0"/>
        </w:rPr>
      </w:pPr>
      <w:r>
        <w:rPr>
          <w:w w:val="95"/>
        </w:rPr>
        <w:t>二</w:t>
        <w:tab/>
      </w:r>
      <w:r>
        <w:rPr/>
        <w:t>主要会计政策和会计估计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19"/>
          <w:szCs w:val="19"/>
        </w:rPr>
      </w:pPr>
    </w:p>
    <w:p>
      <w:pPr>
        <w:tabs>
          <w:tab w:pos="817" w:val="left" w:leader="none"/>
        </w:tabs>
        <w:spacing w:before="0"/>
        <w:ind w:left="107" w:right="497" w:firstLine="0"/>
        <w:jc w:val="left"/>
        <w:rPr>
          <w:rFonts w:ascii="Arial" w:hAnsi="Arial" w:cs="Arial" w:eastAsia="Arial" w:hint="default"/>
          <w:sz w:val="24"/>
          <w:szCs w:val="24"/>
        </w:rPr>
      </w:pPr>
      <w:r>
        <w:rPr>
          <w:rFonts w:ascii="Arial" w:hAnsi="Arial" w:cs="Arial" w:eastAsia="Arial" w:hint="default"/>
          <w:w w:val="95"/>
          <w:position w:val="2"/>
          <w:sz w:val="24"/>
          <w:szCs w:val="24"/>
        </w:rPr>
        <w:t>(9)</w:t>
        <w:tab/>
      </w:r>
      <w:r>
        <w:rPr>
          <w:rFonts w:ascii="宋体" w:hAnsi="宋体" w:cs="宋体" w:eastAsia="宋体" w:hint="default"/>
          <w:b/>
          <w:bCs/>
          <w:sz w:val="24"/>
          <w:szCs w:val="24"/>
        </w:rPr>
        <w:t>金融工具</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8" w:right="497"/>
        <w:jc w:val="left"/>
        <w:rPr>
          <w:rFonts w:ascii="Arial" w:hAnsi="Arial" w:cs="Arial" w:eastAsia="Arial" w:hint="default"/>
        </w:rPr>
      </w:pPr>
      <w:r>
        <w:rPr>
          <w:rFonts w:ascii="Arial" w:hAnsi="Arial" w:cs="Arial" w:eastAsia="Arial" w:hint="default"/>
          <w:w w:val="95"/>
          <w:position w:val="2"/>
        </w:rPr>
        <w:t>(a)</w:t>
        <w:tab/>
      </w:r>
      <w:r>
        <w:rPr/>
        <w:t>金融资产</w:t>
      </w:r>
      <w:r>
        <w:rPr>
          <w:rFonts w:ascii="Arial" w:hAnsi="Arial" w:cs="Arial" w:eastAsia="Arial" w:hint="default"/>
        </w:rPr>
        <w:t>(</w:t>
      </w:r>
      <w:r>
        <w:rPr/>
        <w:t>续</w:t>
      </w:r>
      <w:r>
        <w:rPr>
          <w:rFonts w:ascii="Arial" w:hAnsi="Arial" w:cs="Arial" w:eastAsia="Arial" w:hint="default"/>
        </w:rPr>
        <w:t>)</w:t>
      </w:r>
    </w:p>
    <w:p>
      <w:pPr>
        <w:pStyle w:val="BodyText"/>
        <w:tabs>
          <w:tab w:pos="817" w:val="left" w:leader="none"/>
        </w:tabs>
        <w:spacing w:line="240" w:lineRule="auto" w:before="222"/>
        <w:ind w:left="107" w:right="497"/>
        <w:jc w:val="left"/>
      </w:pPr>
      <w:r>
        <w:rPr>
          <w:rFonts w:ascii="Arial" w:hAnsi="Arial" w:cs="Arial" w:eastAsia="Arial" w:hint="default"/>
          <w:spacing w:val="-1"/>
          <w:position w:val="2"/>
        </w:rPr>
        <w:t>(iii)</w:t>
        <w:tab/>
      </w:r>
      <w:r>
        <w:rPr/>
        <w:t>金融资产减值</w:t>
      </w:r>
    </w:p>
    <w:p>
      <w:pPr>
        <w:spacing w:line="240" w:lineRule="auto" w:before="4"/>
        <w:rPr>
          <w:rFonts w:ascii="宋体" w:hAnsi="宋体" w:cs="宋体" w:eastAsia="宋体" w:hint="default"/>
          <w:sz w:val="23"/>
          <w:szCs w:val="23"/>
        </w:rPr>
      </w:pPr>
    </w:p>
    <w:p>
      <w:pPr>
        <w:pStyle w:val="BodyText"/>
        <w:spacing w:line="312" w:lineRule="exact"/>
        <w:ind w:left="817" w:right="104"/>
        <w:jc w:val="both"/>
      </w:pPr>
      <w:r>
        <w:rPr/>
        <w:t>除以公允价值计量且其变动计入当期损益的金融资产外，本集团于资产负债表日对金融 资产的账面价值进行检查，如果有客观证据表明某项金融资产发生减值的，计提减值准 备。</w:t>
      </w:r>
    </w:p>
    <w:p>
      <w:pPr>
        <w:spacing w:line="240" w:lineRule="auto" w:before="1"/>
        <w:rPr>
          <w:rFonts w:ascii="宋体" w:hAnsi="宋体" w:cs="宋体" w:eastAsia="宋体" w:hint="default"/>
          <w:sz w:val="21"/>
          <w:szCs w:val="21"/>
        </w:rPr>
      </w:pPr>
    </w:p>
    <w:p>
      <w:pPr>
        <w:pStyle w:val="BodyText"/>
        <w:spacing w:line="312" w:lineRule="exact"/>
        <w:ind w:left="817" w:right="104"/>
        <w:jc w:val="both"/>
      </w:pPr>
      <w:r>
        <w:rPr>
          <w:spacing w:val="-2"/>
        </w:rPr>
        <w:t>以摊余成本计量的金融资产发生减值时，按预计未来现金流量</w:t>
      </w:r>
      <w:r>
        <w:rPr>
          <w:rFonts w:ascii="Arial" w:hAnsi="Arial" w:cs="Arial" w:eastAsia="Arial" w:hint="default"/>
          <w:spacing w:val="-2"/>
        </w:rPr>
        <w:t>(</w:t>
      </w:r>
      <w:r>
        <w:rPr>
          <w:spacing w:val="-2"/>
        </w:rPr>
        <w:t>不包括尚未发生的未来信</w:t>
      </w:r>
      <w:r>
        <w:rPr>
          <w:spacing w:val="-102"/>
        </w:rPr>
        <w:t> </w:t>
      </w:r>
      <w:r>
        <w:rPr>
          <w:spacing w:val="-2"/>
        </w:rPr>
        <w:t>用损失</w:t>
      </w:r>
      <w:r>
        <w:rPr>
          <w:rFonts w:ascii="Arial" w:hAnsi="Arial" w:cs="Arial" w:eastAsia="Arial" w:hint="default"/>
          <w:spacing w:val="-2"/>
        </w:rPr>
        <w:t>)</w:t>
      </w:r>
      <w:r>
        <w:rPr>
          <w:spacing w:val="-2"/>
        </w:rPr>
        <w:t>现值低于账面价值的差额，计提减值准备。如果有客观证据表明该金融资产价值</w:t>
      </w:r>
      <w:r>
        <w:rPr>
          <w:spacing w:val="-102"/>
        </w:rPr>
        <w:t> </w:t>
      </w:r>
      <w:r>
        <w:rPr>
          <w:spacing w:val="-102"/>
        </w:rPr>
      </w:r>
      <w:r>
        <w:rPr/>
        <w:t>已恢复，且客观上与确认该损失后发生的事项有关，原确认的减值损失予以转回，计入</w:t>
      </w:r>
      <w:r>
        <w:rPr/>
        <w:t> 当期损益。</w:t>
      </w:r>
    </w:p>
    <w:p>
      <w:pPr>
        <w:pStyle w:val="BodyText"/>
        <w:tabs>
          <w:tab w:pos="817" w:val="left" w:leader="none"/>
        </w:tabs>
        <w:spacing w:line="240" w:lineRule="auto" w:before="210"/>
        <w:ind w:left="107" w:right="497"/>
        <w:jc w:val="left"/>
      </w:pPr>
      <w:r>
        <w:rPr>
          <w:rFonts w:ascii="Arial" w:hAnsi="Arial" w:cs="Arial" w:eastAsia="Arial" w:hint="default"/>
          <w:w w:val="95"/>
          <w:position w:val="2"/>
        </w:rPr>
        <w:t>(iv)</w:t>
        <w:tab/>
      </w:r>
      <w:r>
        <w:rPr/>
        <w:t>金融资产的终止确认</w:t>
      </w:r>
    </w:p>
    <w:p>
      <w:pPr>
        <w:spacing w:line="240" w:lineRule="auto" w:before="4"/>
        <w:rPr>
          <w:rFonts w:ascii="宋体" w:hAnsi="宋体" w:cs="宋体" w:eastAsia="宋体" w:hint="default"/>
          <w:sz w:val="23"/>
          <w:szCs w:val="23"/>
        </w:rPr>
      </w:pPr>
    </w:p>
    <w:p>
      <w:pPr>
        <w:pStyle w:val="BodyText"/>
        <w:spacing w:line="312" w:lineRule="exact"/>
        <w:ind w:left="817" w:right="102"/>
        <w:jc w:val="both"/>
      </w:pPr>
      <w:r>
        <w:rPr/>
        <w:t>金融资产满足下列条件之一的，予以终止确认：</w:t>
      </w:r>
      <w:r>
        <w:rPr>
          <w:rFonts w:ascii="Arial" w:hAnsi="Arial" w:cs="Arial" w:eastAsia="Arial" w:hint="default"/>
        </w:rPr>
        <w:t>(1)</w:t>
      </w:r>
      <w:r>
        <w:rPr>
          <w:rFonts w:ascii="Arial" w:hAnsi="Arial" w:cs="Arial" w:eastAsia="Arial" w:hint="default"/>
          <w:spacing w:val="49"/>
        </w:rPr>
        <w:t> </w:t>
      </w:r>
      <w:r>
        <w:rPr/>
        <w:t>收取该金融资产现金流量的合同权</w:t>
      </w:r>
      <w:r>
        <w:rPr>
          <w:spacing w:val="-109"/>
        </w:rPr>
        <w:t> </w:t>
      </w:r>
      <w:r>
        <w:rPr/>
        <w:t>利终止；</w:t>
      </w:r>
      <w:r>
        <w:rPr>
          <w:rFonts w:ascii="Arial" w:hAnsi="Arial" w:cs="Arial" w:eastAsia="Arial" w:hint="default"/>
        </w:rPr>
        <w:t>(2)</w:t>
      </w:r>
      <w:r>
        <w:rPr>
          <w:rFonts w:ascii="Arial" w:hAnsi="Arial" w:cs="Arial" w:eastAsia="Arial" w:hint="default"/>
          <w:spacing w:val="49"/>
        </w:rPr>
        <w:t> </w:t>
      </w:r>
      <w:r>
        <w:rPr/>
        <w:t>该金融资产已转移，且本集团将金融资产所有权上几乎所有的风险和报酬</w:t>
      </w:r>
      <w:r>
        <w:rPr>
          <w:spacing w:val="-109"/>
        </w:rPr>
        <w:t> </w:t>
      </w:r>
      <w:r>
        <w:rPr/>
        <w:t>转移给转入方；</w:t>
      </w:r>
      <w:r>
        <w:rPr>
          <w:rFonts w:ascii="Arial" w:hAnsi="Arial" w:cs="Arial" w:eastAsia="Arial" w:hint="default"/>
        </w:rPr>
        <w:t>(3)</w:t>
      </w:r>
      <w:r>
        <w:rPr>
          <w:rFonts w:ascii="Arial" w:hAnsi="Arial" w:cs="Arial" w:eastAsia="Arial" w:hint="default"/>
          <w:spacing w:val="49"/>
        </w:rPr>
        <w:t> </w:t>
      </w:r>
      <w:r>
        <w:rPr/>
        <w:t>该金融资产已转移，虽然本集团既没有转移也没有保留金融资产所</w:t>
      </w:r>
      <w:r>
        <w:rPr>
          <w:spacing w:val="-109"/>
        </w:rPr>
        <w:t> </w:t>
      </w:r>
      <w:r>
        <w:rPr/>
        <w:t>有权上几乎所有的风险和报酬，但是放弃了对该金融资产控制。</w:t>
      </w:r>
    </w:p>
    <w:p>
      <w:pPr>
        <w:spacing w:line="240" w:lineRule="auto" w:before="1"/>
        <w:rPr>
          <w:rFonts w:ascii="宋体" w:hAnsi="宋体" w:cs="宋体" w:eastAsia="宋体" w:hint="default"/>
          <w:sz w:val="21"/>
          <w:szCs w:val="21"/>
        </w:rPr>
      </w:pPr>
    </w:p>
    <w:p>
      <w:pPr>
        <w:pStyle w:val="BodyText"/>
        <w:spacing w:line="312" w:lineRule="exact"/>
        <w:ind w:left="817" w:right="106"/>
        <w:jc w:val="both"/>
      </w:pPr>
      <w:r>
        <w:rPr/>
        <w:t>金融资产终止确认时，其账面价值与收到的对价以及原直接计入所有者权益的公允价值 变动累计额之和的差额，计入当期损益。</w:t>
      </w:r>
    </w:p>
    <w:p>
      <w:pPr>
        <w:spacing w:after="0" w:line="312" w:lineRule="exact"/>
        <w:jc w:val="both"/>
        <w:sectPr>
          <w:pgSz w:w="11910" w:h="16840"/>
          <w:pgMar w:header="1475" w:footer="708" w:top="3020" w:bottom="900" w:left="1020" w:right="82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497"/>
        <w:jc w:val="left"/>
        <w:rPr>
          <w:rFonts w:ascii="Arial" w:hAnsi="Arial" w:cs="Arial" w:eastAsia="Arial" w:hint="default"/>
          <w:b w:val="0"/>
          <w:bCs w:val="0"/>
        </w:rPr>
      </w:pPr>
      <w:r>
        <w:rPr>
          <w:w w:val="95"/>
        </w:rPr>
        <w:t>二</w:t>
        <w:tab/>
      </w:r>
      <w:r>
        <w:rPr/>
        <w:t>主要会计政策和会计估计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19"/>
          <w:szCs w:val="19"/>
        </w:rPr>
      </w:pPr>
    </w:p>
    <w:p>
      <w:pPr>
        <w:tabs>
          <w:tab w:pos="817" w:val="left" w:leader="none"/>
        </w:tabs>
        <w:spacing w:before="0"/>
        <w:ind w:left="107" w:right="497" w:firstLine="0"/>
        <w:jc w:val="left"/>
        <w:rPr>
          <w:rFonts w:ascii="Arial" w:hAnsi="Arial" w:cs="Arial" w:eastAsia="Arial" w:hint="default"/>
          <w:sz w:val="24"/>
          <w:szCs w:val="24"/>
        </w:rPr>
      </w:pPr>
      <w:r>
        <w:rPr>
          <w:rFonts w:ascii="Arial" w:hAnsi="Arial" w:cs="Arial" w:eastAsia="Arial" w:hint="default"/>
          <w:w w:val="95"/>
          <w:position w:val="2"/>
          <w:sz w:val="24"/>
          <w:szCs w:val="24"/>
        </w:rPr>
        <w:t>(9)</w:t>
        <w:tab/>
      </w:r>
      <w:r>
        <w:rPr>
          <w:rFonts w:ascii="宋体" w:hAnsi="宋体" w:cs="宋体" w:eastAsia="宋体" w:hint="default"/>
          <w:b/>
          <w:bCs/>
          <w:sz w:val="24"/>
          <w:szCs w:val="24"/>
        </w:rPr>
        <w:t>金融工具</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BodyText"/>
        <w:tabs>
          <w:tab w:pos="817" w:val="left" w:leader="none"/>
        </w:tabs>
        <w:spacing w:line="240" w:lineRule="auto" w:before="222"/>
        <w:ind w:left="107" w:right="497"/>
        <w:jc w:val="left"/>
      </w:pPr>
      <w:r>
        <w:rPr>
          <w:rFonts w:ascii="Arial" w:hAnsi="Arial" w:cs="Arial" w:eastAsia="Arial" w:hint="default"/>
          <w:w w:val="95"/>
          <w:position w:val="2"/>
        </w:rPr>
        <w:t>(b)</w:t>
        <w:tab/>
      </w:r>
      <w:r>
        <w:rPr/>
        <w:t>金融负债</w:t>
      </w:r>
    </w:p>
    <w:p>
      <w:pPr>
        <w:spacing w:line="240" w:lineRule="auto" w:before="4"/>
        <w:rPr>
          <w:rFonts w:ascii="宋体" w:hAnsi="宋体" w:cs="宋体" w:eastAsia="宋体" w:hint="default"/>
          <w:sz w:val="23"/>
          <w:szCs w:val="23"/>
        </w:rPr>
      </w:pPr>
    </w:p>
    <w:p>
      <w:pPr>
        <w:pStyle w:val="BodyText"/>
        <w:spacing w:line="312" w:lineRule="exact"/>
        <w:ind w:left="817" w:right="106"/>
        <w:jc w:val="both"/>
      </w:pPr>
      <w:r>
        <w:rPr/>
        <w:t>金融负债于初始确认时分类为以公允价值计量且其变动计入当期损益的金融负债和其他 金融负债。本集团金融负债主要为其他金融负债，包括短期借款、应付款项等。</w:t>
      </w:r>
    </w:p>
    <w:p>
      <w:pPr>
        <w:spacing w:line="240" w:lineRule="auto" w:before="1"/>
        <w:rPr>
          <w:rFonts w:ascii="宋体" w:hAnsi="宋体" w:cs="宋体" w:eastAsia="宋体" w:hint="default"/>
          <w:sz w:val="21"/>
          <w:szCs w:val="21"/>
        </w:rPr>
      </w:pPr>
    </w:p>
    <w:p>
      <w:pPr>
        <w:pStyle w:val="BodyText"/>
        <w:spacing w:line="312" w:lineRule="exact"/>
        <w:ind w:left="817" w:right="106"/>
        <w:jc w:val="both"/>
      </w:pPr>
      <w:r>
        <w:rPr/>
        <w:t>应付款项包括应付账款、其他应付款等，以公允价值进行初始计量，并采用实际利率法 按摊余成本进行后续计量。</w:t>
      </w:r>
    </w:p>
    <w:p>
      <w:pPr>
        <w:spacing w:line="240" w:lineRule="auto" w:before="1"/>
        <w:rPr>
          <w:rFonts w:ascii="宋体" w:hAnsi="宋体" w:cs="宋体" w:eastAsia="宋体" w:hint="default"/>
          <w:sz w:val="21"/>
          <w:szCs w:val="21"/>
        </w:rPr>
      </w:pPr>
    </w:p>
    <w:p>
      <w:pPr>
        <w:pStyle w:val="BodyText"/>
        <w:spacing w:line="312" w:lineRule="exact"/>
        <w:ind w:left="817" w:right="102"/>
        <w:jc w:val="both"/>
      </w:pPr>
      <w:r>
        <w:rPr/>
        <w:t>借款按其公允价值扣除交易费用后的金额进行初始计量，并采用实际利率法按摊余成本 进行后续计量。</w:t>
      </w:r>
    </w:p>
    <w:p>
      <w:pPr>
        <w:spacing w:line="240" w:lineRule="auto" w:before="1"/>
        <w:rPr>
          <w:rFonts w:ascii="宋体" w:hAnsi="宋体" w:cs="宋体" w:eastAsia="宋体" w:hint="default"/>
          <w:sz w:val="21"/>
          <w:szCs w:val="21"/>
        </w:rPr>
      </w:pPr>
    </w:p>
    <w:p>
      <w:pPr>
        <w:pStyle w:val="BodyText"/>
        <w:spacing w:line="312" w:lineRule="exact"/>
        <w:ind w:left="817" w:right="102"/>
        <w:jc w:val="both"/>
      </w:pPr>
      <w:r>
        <w:rPr>
          <w:spacing w:val="2"/>
        </w:rPr>
        <w:t>其他金融负债期限在一年以下</w:t>
      </w:r>
      <w:r>
        <w:rPr>
          <w:rFonts w:ascii="Arial" w:hAnsi="Arial" w:cs="Arial" w:eastAsia="Arial" w:hint="default"/>
          <w:spacing w:val="2"/>
        </w:rPr>
        <w:t>(</w:t>
      </w:r>
      <w:r>
        <w:rPr>
          <w:spacing w:val="2"/>
        </w:rPr>
        <w:t>含一年</w:t>
      </w:r>
      <w:r>
        <w:rPr>
          <w:rFonts w:ascii="Arial" w:hAnsi="Arial" w:cs="Arial" w:eastAsia="Arial" w:hint="default"/>
          <w:spacing w:val="2"/>
        </w:rPr>
        <w:t>)</w:t>
      </w:r>
      <w:r>
        <w:rPr>
          <w:spacing w:val="2"/>
        </w:rPr>
        <w:t>的，列示为流动负债；期限在一年以上但自资产 负债表日起一年内</w:t>
      </w:r>
      <w:r>
        <w:rPr>
          <w:rFonts w:ascii="Arial" w:hAnsi="Arial" w:cs="Arial" w:eastAsia="Arial" w:hint="default"/>
          <w:spacing w:val="2"/>
        </w:rPr>
        <w:t>(</w:t>
      </w:r>
      <w:r>
        <w:rPr>
          <w:spacing w:val="2"/>
        </w:rPr>
        <w:t>含一年</w:t>
      </w:r>
      <w:r>
        <w:rPr>
          <w:rFonts w:ascii="Arial" w:hAnsi="Arial" w:cs="Arial" w:eastAsia="Arial" w:hint="default"/>
          <w:spacing w:val="2"/>
        </w:rPr>
        <w:t>)</w:t>
      </w:r>
      <w:r>
        <w:rPr>
          <w:spacing w:val="2"/>
        </w:rPr>
        <w:t>到期的，列示为一年内到期的非流动负债；其余列示为非流 </w:t>
      </w:r>
      <w:r>
        <w:rPr/>
        <w:t>动负债。</w:t>
      </w:r>
    </w:p>
    <w:p>
      <w:pPr>
        <w:spacing w:line="240" w:lineRule="auto" w:before="1"/>
        <w:rPr>
          <w:rFonts w:ascii="宋体" w:hAnsi="宋体" w:cs="宋体" w:eastAsia="宋体" w:hint="default"/>
          <w:sz w:val="21"/>
          <w:szCs w:val="21"/>
        </w:rPr>
      </w:pPr>
    </w:p>
    <w:p>
      <w:pPr>
        <w:pStyle w:val="BodyText"/>
        <w:spacing w:line="312" w:lineRule="exact"/>
        <w:ind w:left="817" w:right="106"/>
        <w:jc w:val="both"/>
      </w:pPr>
      <w:r>
        <w:rPr/>
        <w:t>当金融负债的现时义务全部或部分已经解除时，终止确认该金融负债或义务已解除的部 分。终止确认部分的账面价值与支付的对价之间的差额，计入当期损益。</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497"/>
        <w:jc w:val="left"/>
      </w:pPr>
      <w:r>
        <w:rPr>
          <w:rFonts w:ascii="Arial" w:hAnsi="Arial" w:cs="Arial" w:eastAsia="Arial" w:hint="default"/>
          <w:position w:val="2"/>
        </w:rPr>
        <w:t>(c)</w:t>
        <w:tab/>
      </w:r>
      <w:r>
        <w:rPr/>
        <w:t>金融工具的公允价值确定</w:t>
      </w:r>
    </w:p>
    <w:p>
      <w:pPr>
        <w:spacing w:line="240" w:lineRule="auto" w:before="4"/>
        <w:rPr>
          <w:rFonts w:ascii="宋体" w:hAnsi="宋体" w:cs="宋体" w:eastAsia="宋体" w:hint="default"/>
          <w:sz w:val="23"/>
          <w:szCs w:val="23"/>
        </w:rPr>
      </w:pPr>
    </w:p>
    <w:p>
      <w:pPr>
        <w:pStyle w:val="BodyText"/>
        <w:spacing w:line="312" w:lineRule="exact"/>
        <w:ind w:left="817" w:right="106"/>
        <w:jc w:val="both"/>
      </w:pPr>
      <w:r>
        <w:rPr/>
        <w:t>存在活跃市场的金融工具，以活跃市场中的报价确定其公允价值。不存在活跃市场的金 融工具，采用估值技术确定其公允价值。估值技术包括参考熟悉情况并自愿交易的各方 最近进行的市场交易中使用的价格、参照实质上相同的其他金融资产的当前公允价值、 现金流量折现法等。采用估值技术时，尽可能最大程度使用可观察到的市场参数，减少 使用与本集团特定相关的参数。</w:t>
      </w:r>
    </w:p>
    <w:p>
      <w:pPr>
        <w:spacing w:after="0" w:line="312" w:lineRule="exact"/>
        <w:jc w:val="both"/>
        <w:sectPr>
          <w:pgSz w:w="11910" w:h="16840"/>
          <w:pgMar w:header="1475" w:footer="708" w:top="3020" w:bottom="900" w:left="1020" w:right="82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497"/>
        <w:jc w:val="left"/>
        <w:rPr>
          <w:rFonts w:ascii="Arial" w:hAnsi="Arial" w:cs="Arial" w:eastAsia="Arial" w:hint="default"/>
          <w:b w:val="0"/>
          <w:bCs w:val="0"/>
        </w:rPr>
      </w:pPr>
      <w:r>
        <w:rPr>
          <w:w w:val="95"/>
        </w:rPr>
        <w:t>二</w:t>
        <w:tab/>
      </w:r>
      <w:r>
        <w:rPr/>
        <w:t>主要会计政策和会计估计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08" w:right="497" w:firstLine="0"/>
        <w:jc w:val="left"/>
        <w:rPr>
          <w:rFonts w:ascii="宋体" w:hAnsi="宋体" w:cs="宋体" w:eastAsia="宋体" w:hint="default"/>
          <w:sz w:val="24"/>
          <w:szCs w:val="24"/>
        </w:rPr>
      </w:pPr>
      <w:r>
        <w:rPr>
          <w:rFonts w:ascii="Arial" w:hAnsi="Arial" w:cs="Arial" w:eastAsia="Arial" w:hint="default"/>
          <w:w w:val="95"/>
          <w:position w:val="2"/>
          <w:sz w:val="24"/>
          <w:szCs w:val="24"/>
        </w:rPr>
        <w:t>(10)</w:t>
        <w:tab/>
      </w:r>
      <w:r>
        <w:rPr>
          <w:rFonts w:ascii="宋体" w:hAnsi="宋体" w:cs="宋体" w:eastAsia="宋体" w:hint="default"/>
          <w:b/>
          <w:bCs/>
          <w:sz w:val="24"/>
          <w:szCs w:val="24"/>
        </w:rPr>
        <w:t>应收款项</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17" w:right="0"/>
        <w:jc w:val="left"/>
      </w:pPr>
      <w:r>
        <w:rPr/>
        <w:t>应收款项包括应收账款、其他应收款等。本集团对外销售商品或提供劳务形成的应收账 款，按从购货方或劳务接受方应收的合同或协议价款的公允价值作为初始确认金额。</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497"/>
        <w:jc w:val="left"/>
      </w:pPr>
      <w:r>
        <w:rPr>
          <w:rFonts w:ascii="Arial" w:hAnsi="Arial" w:cs="Arial" w:eastAsia="Arial" w:hint="default"/>
          <w:w w:val="95"/>
          <w:position w:val="2"/>
        </w:rPr>
        <w:t>(a)</w:t>
        <w:tab/>
      </w:r>
      <w:r>
        <w:rPr/>
        <w:t>单项金额重大并单独计提坏账准备的应收款项</w:t>
      </w:r>
    </w:p>
    <w:p>
      <w:pPr>
        <w:spacing w:line="240" w:lineRule="auto" w:before="4"/>
        <w:rPr>
          <w:rFonts w:ascii="宋体" w:hAnsi="宋体" w:cs="宋体" w:eastAsia="宋体" w:hint="default"/>
          <w:sz w:val="23"/>
          <w:szCs w:val="23"/>
        </w:rPr>
      </w:pPr>
    </w:p>
    <w:p>
      <w:pPr>
        <w:pStyle w:val="BodyText"/>
        <w:spacing w:line="312" w:lineRule="exact"/>
        <w:ind w:left="817" w:right="0"/>
        <w:jc w:val="left"/>
      </w:pPr>
      <w:r>
        <w:rPr/>
        <w:t>对于单项金额重大的应收款项，单独进行减值测试。当存在客观证据表明本集团将无法 按应收款项的原有条款收回款项时，计提坏账准备。</w:t>
      </w:r>
    </w:p>
    <w:p>
      <w:pPr>
        <w:spacing w:line="240" w:lineRule="auto" w:before="10"/>
        <w:rPr>
          <w:rFonts w:ascii="宋体" w:hAnsi="宋体" w:cs="宋体" w:eastAsia="宋体" w:hint="default"/>
          <w:sz w:val="18"/>
          <w:szCs w:val="18"/>
        </w:rPr>
      </w:pPr>
    </w:p>
    <w:p>
      <w:pPr>
        <w:pStyle w:val="BodyText"/>
        <w:spacing w:line="240" w:lineRule="auto"/>
        <w:ind w:left="817" w:right="497"/>
        <w:jc w:val="left"/>
      </w:pPr>
      <w:r>
        <w:rPr/>
        <w:t>单项金额重大的判断依据或金额标准为：单项金额超过人民币</w:t>
      </w:r>
      <w:r>
        <w:rPr>
          <w:spacing w:val="-65"/>
        </w:rPr>
        <w:t> </w:t>
      </w:r>
      <w:r>
        <w:rPr>
          <w:rFonts w:ascii="Arial" w:hAnsi="Arial" w:cs="Arial" w:eastAsia="Arial" w:hint="default"/>
        </w:rPr>
        <w:t>100,000,000</w:t>
      </w:r>
      <w:r>
        <w:rPr>
          <w:rFonts w:ascii="Arial" w:hAnsi="Arial" w:cs="Arial" w:eastAsia="Arial" w:hint="default"/>
          <w:spacing w:val="-12"/>
        </w:rPr>
        <w:t> </w:t>
      </w:r>
      <w:r>
        <w:rPr/>
        <w:t>元。</w:t>
      </w:r>
    </w:p>
    <w:p>
      <w:pPr>
        <w:spacing w:line="240" w:lineRule="auto" w:before="13"/>
        <w:rPr>
          <w:rFonts w:ascii="宋体" w:hAnsi="宋体" w:cs="宋体" w:eastAsia="宋体" w:hint="default"/>
          <w:sz w:val="21"/>
          <w:szCs w:val="21"/>
        </w:rPr>
      </w:pPr>
    </w:p>
    <w:p>
      <w:pPr>
        <w:pStyle w:val="BodyText"/>
        <w:spacing w:line="312" w:lineRule="exact"/>
        <w:ind w:left="817" w:right="0"/>
        <w:jc w:val="left"/>
      </w:pPr>
      <w:r>
        <w:rPr/>
        <w:t>单项金额重大并单独计提坏账准备的计提方法为：根据应收款项的预计未来现金流量现 值低于其账面价值的差额进行计提。</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497"/>
        <w:jc w:val="left"/>
      </w:pPr>
      <w:r>
        <w:rPr>
          <w:rFonts w:ascii="Arial" w:hAnsi="Arial" w:cs="Arial" w:eastAsia="Arial" w:hint="default"/>
          <w:w w:val="95"/>
          <w:position w:val="2"/>
        </w:rPr>
        <w:t>(b)</w:t>
        <w:tab/>
      </w:r>
      <w:r>
        <w:rPr/>
        <w:t>按组合计提坏账准备的应收款项</w:t>
      </w:r>
    </w:p>
    <w:p>
      <w:pPr>
        <w:spacing w:line="240" w:lineRule="auto" w:before="4"/>
        <w:rPr>
          <w:rFonts w:ascii="宋体" w:hAnsi="宋体" w:cs="宋体" w:eastAsia="宋体" w:hint="default"/>
          <w:sz w:val="23"/>
          <w:szCs w:val="23"/>
        </w:rPr>
      </w:pPr>
    </w:p>
    <w:p>
      <w:pPr>
        <w:pStyle w:val="BodyText"/>
        <w:spacing w:line="312" w:lineRule="exact"/>
        <w:ind w:left="817" w:right="106"/>
        <w:jc w:val="both"/>
      </w:pPr>
      <w:r>
        <w:rPr/>
        <w:t>对于单项金额不重大的应收款项，与经单独测试后未减值的应收款项一起按信用风险特 征划分为若干组合，根据以前年度与之相同或相类似的、具有类似信用风险特征的应收 款项组合的实际损失率为基础，结合现时情况确定应计提的坏账准备。</w:t>
      </w:r>
    </w:p>
    <w:p>
      <w:pPr>
        <w:spacing w:line="240" w:lineRule="auto" w:before="10"/>
        <w:rPr>
          <w:rFonts w:ascii="宋体" w:hAnsi="宋体" w:cs="宋体" w:eastAsia="宋体" w:hint="default"/>
          <w:sz w:val="18"/>
          <w:szCs w:val="18"/>
        </w:rPr>
      </w:pPr>
    </w:p>
    <w:p>
      <w:pPr>
        <w:pStyle w:val="BodyText"/>
        <w:spacing w:line="240" w:lineRule="auto"/>
        <w:ind w:left="817" w:right="497"/>
        <w:jc w:val="left"/>
      </w:pPr>
      <w:r>
        <w:rPr/>
        <w:t>确定组合的依据如下：</w:t>
      </w:r>
    </w:p>
    <w:p>
      <w:pPr>
        <w:spacing w:line="240" w:lineRule="auto" w:before="12"/>
        <w:rPr>
          <w:rFonts w:ascii="宋体" w:hAnsi="宋体" w:cs="宋体" w:eastAsia="宋体" w:hint="default"/>
          <w:sz w:val="20"/>
          <w:szCs w:val="20"/>
        </w:rPr>
      </w:pPr>
    </w:p>
    <w:p>
      <w:pPr>
        <w:pStyle w:val="BodyText"/>
        <w:tabs>
          <w:tab w:pos="4107" w:val="left" w:leader="none"/>
        </w:tabs>
        <w:spacing w:line="313" w:lineRule="exact"/>
        <w:ind w:left="817" w:right="497"/>
        <w:jc w:val="left"/>
      </w:pPr>
      <w:r>
        <w:rPr/>
        <w:t>政府补贴组合</w:t>
        <w:tab/>
        <w:t>所有应收的政府补贴款项</w:t>
      </w:r>
    </w:p>
    <w:p>
      <w:pPr>
        <w:pStyle w:val="BodyText"/>
        <w:tabs>
          <w:tab w:pos="4107" w:val="left" w:leader="none"/>
        </w:tabs>
        <w:spacing w:line="312" w:lineRule="exact" w:before="29"/>
        <w:ind w:left="817" w:right="194"/>
        <w:jc w:val="left"/>
      </w:pPr>
      <w:r>
        <w:rPr/>
        <w:t>其他单项金额不重大的款项</w:t>
        <w:tab/>
        <w:t>应收款项中除政府补贴外的其他单项金额不重大的款项 房屋租赁保证金组合</w:t>
        <w:tab/>
        <w:t>所有其他应收款和长期应收款中的房屋租赁保证金</w:t>
      </w:r>
    </w:p>
    <w:p>
      <w:pPr>
        <w:spacing w:line="240" w:lineRule="auto" w:before="10"/>
        <w:rPr>
          <w:rFonts w:ascii="宋体" w:hAnsi="宋体" w:cs="宋体" w:eastAsia="宋体" w:hint="default"/>
          <w:sz w:val="18"/>
          <w:szCs w:val="18"/>
        </w:rPr>
      </w:pPr>
    </w:p>
    <w:p>
      <w:pPr>
        <w:pStyle w:val="BodyText"/>
        <w:spacing w:line="240" w:lineRule="auto"/>
        <w:ind w:left="817" w:right="497"/>
        <w:jc w:val="left"/>
      </w:pPr>
      <w:r>
        <w:rPr/>
        <w:t>按组合计提坏账准备的计提方法如下：</w:t>
      </w:r>
    </w:p>
    <w:p>
      <w:pPr>
        <w:spacing w:line="240" w:lineRule="auto" w:before="0"/>
        <w:rPr>
          <w:rFonts w:ascii="宋体" w:hAnsi="宋体" w:cs="宋体" w:eastAsia="宋体" w:hint="default"/>
          <w:sz w:val="26"/>
          <w:szCs w:val="26"/>
        </w:rPr>
      </w:pPr>
    </w:p>
    <w:p>
      <w:pPr>
        <w:pStyle w:val="BodyText"/>
        <w:tabs>
          <w:tab w:pos="4057" w:val="left" w:leader="none"/>
        </w:tabs>
        <w:spacing w:line="312" w:lineRule="exact"/>
        <w:ind w:left="817" w:right="4303"/>
        <w:jc w:val="left"/>
      </w:pPr>
      <w:r>
        <w:rPr/>
        <w:t>政府补贴组合</w:t>
        <w:tab/>
        <w:t>不计提坏账准备 其他单项金额不重大的款项</w:t>
        <w:tab/>
        <w:t>账龄分析法 房屋租赁保证金组合</w:t>
        <w:tab/>
        <w:t>不计提坏账准备</w:t>
      </w:r>
    </w:p>
    <w:p>
      <w:pPr>
        <w:spacing w:after="0" w:line="312" w:lineRule="exact"/>
        <w:jc w:val="left"/>
        <w:sectPr>
          <w:pgSz w:w="11910" w:h="16840"/>
          <w:pgMar w:header="1475" w:footer="708" w:top="3020" w:bottom="900" w:left="1020" w:right="820"/>
        </w:sectPr>
      </w:pPr>
    </w:p>
    <w:p>
      <w:pPr>
        <w:spacing w:line="240" w:lineRule="auto" w:before="6"/>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603"/>
        <w:gridCol w:w="6817"/>
        <w:gridCol w:w="2525"/>
      </w:tblGrid>
      <w:tr>
        <w:trPr>
          <w:trHeight w:val="1696" w:hRule="exact"/>
        </w:trPr>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5" w:right="0"/>
              <w:jc w:val="left"/>
              <w:rPr>
                <w:rFonts w:ascii="Arial" w:hAnsi="Arial" w:cs="Arial" w:eastAsia="Arial" w:hint="default"/>
                <w:sz w:val="24"/>
                <w:szCs w:val="24"/>
              </w:rPr>
            </w:pPr>
            <w:r>
              <w:rPr>
                <w:rFonts w:ascii="Arial"/>
                <w:sz w:val="24"/>
              </w:rPr>
              <w:t>(10)</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5" w:right="0"/>
              <w:jc w:val="left"/>
              <w:rPr>
                <w:rFonts w:ascii="Arial" w:hAnsi="Arial" w:cs="Arial" w:eastAsia="Arial" w:hint="default"/>
                <w:sz w:val="24"/>
                <w:szCs w:val="24"/>
              </w:rPr>
            </w:pPr>
            <w:r>
              <w:rPr>
                <w:rFonts w:ascii="Arial"/>
                <w:sz w:val="24"/>
              </w:rPr>
              <w:t>(b)</w:t>
            </w:r>
          </w:p>
        </w:tc>
        <w:tc>
          <w:tcPr>
            <w:tcW w:w="6817"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41" w:right="2913"/>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宋体" w:hAnsi="宋体" w:cs="宋体" w:eastAsia="宋体" w:hint="default"/>
                <w:b/>
                <w:bCs/>
                <w:sz w:val="24"/>
                <w:szCs w:val="24"/>
              </w:rPr>
              <w:t>应收款项</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7"/>
              <w:ind w:left="141" w:right="0"/>
              <w:jc w:val="left"/>
              <w:rPr>
                <w:rFonts w:ascii="Arial" w:hAnsi="Arial" w:cs="Arial" w:eastAsia="Arial" w:hint="default"/>
                <w:sz w:val="24"/>
                <w:szCs w:val="24"/>
              </w:rPr>
            </w:pPr>
            <w:r>
              <w:rPr>
                <w:rFonts w:ascii="宋体" w:hAnsi="宋体" w:cs="宋体" w:eastAsia="宋体" w:hint="default"/>
                <w:sz w:val="24"/>
                <w:szCs w:val="24"/>
              </w:rPr>
              <w:t>按组合计提坏账准备的应收款项</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2525" w:type="dxa"/>
            <w:vMerge w:val="restart"/>
            <w:tcBorders>
              <w:top w:val="nil" w:sz="6" w:space="0" w:color="auto"/>
              <w:left w:val="nil" w:sz="6" w:space="0" w:color="auto"/>
              <w:right w:val="nil" w:sz="6" w:space="0" w:color="auto"/>
            </w:tcBorders>
          </w:tcPr>
          <w:p>
            <w:pPr/>
          </w:p>
        </w:tc>
      </w:tr>
      <w:tr>
        <w:trPr>
          <w:trHeight w:val="582" w:hRule="exact"/>
        </w:trPr>
        <w:tc>
          <w:tcPr>
            <w:tcW w:w="603" w:type="dxa"/>
            <w:tcBorders>
              <w:top w:val="nil" w:sz="6" w:space="0" w:color="auto"/>
              <w:left w:val="nil" w:sz="6" w:space="0" w:color="auto"/>
              <w:bottom w:val="nil" w:sz="6" w:space="0" w:color="auto"/>
              <w:right w:val="nil" w:sz="6" w:space="0" w:color="auto"/>
            </w:tcBorders>
          </w:tcPr>
          <w:p>
            <w:pPr/>
          </w:p>
        </w:tc>
        <w:tc>
          <w:tcPr>
            <w:tcW w:w="68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1" w:right="0"/>
              <w:jc w:val="left"/>
              <w:rPr>
                <w:rFonts w:ascii="宋体" w:hAnsi="宋体" w:cs="宋体" w:eastAsia="宋体" w:hint="default"/>
                <w:sz w:val="24"/>
                <w:szCs w:val="24"/>
              </w:rPr>
            </w:pPr>
            <w:r>
              <w:rPr>
                <w:rFonts w:ascii="宋体" w:hAnsi="宋体" w:cs="宋体" w:eastAsia="宋体" w:hint="default"/>
                <w:sz w:val="24"/>
                <w:szCs w:val="24"/>
              </w:rPr>
              <w:t>组合中，采用账龄分析法的计提比例列示如下：</w:t>
            </w:r>
          </w:p>
        </w:tc>
        <w:tc>
          <w:tcPr>
            <w:tcW w:w="2525" w:type="dxa"/>
            <w:vMerge/>
            <w:tcBorders>
              <w:left w:val="nil" w:sz="6" w:space="0" w:color="auto"/>
              <w:bottom w:val="nil" w:sz="6" w:space="0" w:color="auto"/>
              <w:right w:val="nil" w:sz="6" w:space="0" w:color="auto"/>
            </w:tcBorders>
          </w:tcPr>
          <w:p>
            <w:pPr/>
          </w:p>
        </w:tc>
      </w:tr>
      <w:tr>
        <w:trPr>
          <w:trHeight w:val="585" w:hRule="exact"/>
        </w:trPr>
        <w:tc>
          <w:tcPr>
            <w:tcW w:w="603" w:type="dxa"/>
            <w:tcBorders>
              <w:top w:val="nil" w:sz="6" w:space="0" w:color="auto"/>
              <w:left w:val="nil" w:sz="6" w:space="0" w:color="auto"/>
              <w:bottom w:val="nil" w:sz="6" w:space="0" w:color="auto"/>
              <w:right w:val="nil" w:sz="6" w:space="0" w:color="auto"/>
            </w:tcBorders>
          </w:tcPr>
          <w:p>
            <w:pPr/>
          </w:p>
        </w:tc>
        <w:tc>
          <w:tcPr>
            <w:tcW w:w="681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075" w:right="0"/>
              <w:jc w:val="left"/>
              <w:rPr>
                <w:rFonts w:ascii="宋体" w:hAnsi="宋体" w:cs="宋体" w:eastAsia="宋体" w:hint="default"/>
                <w:sz w:val="24"/>
                <w:szCs w:val="24"/>
              </w:rPr>
            </w:pPr>
            <w:r>
              <w:rPr>
                <w:rFonts w:ascii="宋体" w:hAnsi="宋体" w:cs="宋体" w:eastAsia="宋体" w:hint="default"/>
                <w:sz w:val="24"/>
                <w:szCs w:val="24"/>
              </w:rPr>
              <w:t>应收账款计提比例</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right"/>
              <w:rPr>
                <w:rFonts w:ascii="宋体" w:hAnsi="宋体" w:cs="宋体" w:eastAsia="宋体" w:hint="default"/>
                <w:sz w:val="24"/>
                <w:szCs w:val="24"/>
              </w:rPr>
            </w:pPr>
            <w:r>
              <w:rPr>
                <w:rFonts w:ascii="宋体" w:hAnsi="宋体" w:cs="宋体" w:eastAsia="宋体" w:hint="default"/>
                <w:sz w:val="24"/>
                <w:szCs w:val="24"/>
              </w:rPr>
              <w:t>其他应收款计提比例</w:t>
            </w:r>
          </w:p>
        </w:tc>
      </w:tr>
      <w:tr>
        <w:trPr>
          <w:trHeight w:val="450" w:hRule="exact"/>
        </w:trPr>
        <w:tc>
          <w:tcPr>
            <w:tcW w:w="603" w:type="dxa"/>
            <w:tcBorders>
              <w:top w:val="nil" w:sz="6" w:space="0" w:color="auto"/>
              <w:left w:val="nil" w:sz="6" w:space="0" w:color="auto"/>
              <w:bottom w:val="nil" w:sz="6" w:space="0" w:color="auto"/>
              <w:right w:val="nil" w:sz="6" w:space="0" w:color="auto"/>
            </w:tcBorders>
          </w:tcPr>
          <w:p>
            <w:pPr/>
          </w:p>
        </w:tc>
        <w:tc>
          <w:tcPr>
            <w:tcW w:w="6817" w:type="dxa"/>
            <w:tcBorders>
              <w:top w:val="nil" w:sz="6" w:space="0" w:color="auto"/>
              <w:left w:val="nil" w:sz="6" w:space="0" w:color="auto"/>
              <w:bottom w:val="nil" w:sz="6" w:space="0" w:color="auto"/>
              <w:right w:val="nil" w:sz="6" w:space="0" w:color="auto"/>
            </w:tcBorders>
          </w:tcPr>
          <w:p>
            <w:pPr>
              <w:pStyle w:val="TableParagraph"/>
              <w:tabs>
                <w:tab w:pos="6142" w:val="left" w:leader="none"/>
              </w:tabs>
              <w:spacing w:line="240" w:lineRule="auto" w:before="103"/>
              <w:ind w:left="141" w:right="0"/>
              <w:jc w:val="left"/>
              <w:rPr>
                <w:rFonts w:ascii="Arial" w:hAnsi="Arial" w:cs="Arial" w:eastAsia="Arial" w:hint="default"/>
                <w:sz w:val="24"/>
                <w:szCs w:val="24"/>
              </w:rPr>
            </w:pPr>
            <w:r>
              <w:rPr>
                <w:rFonts w:ascii="宋体" w:hAnsi="宋体" w:cs="宋体" w:eastAsia="宋体" w:hint="default"/>
                <w:sz w:val="24"/>
                <w:szCs w:val="24"/>
              </w:rPr>
              <w:t>一年以内</w:t>
              <w:tab/>
            </w:r>
            <w:r>
              <w:rPr>
                <w:rFonts w:ascii="Arial" w:hAnsi="Arial" w:cs="Arial" w:eastAsia="Arial" w:hint="default"/>
                <w:position w:val="2"/>
                <w:sz w:val="24"/>
                <w:szCs w:val="24"/>
              </w:rPr>
              <w:t>5%</w:t>
            </w:r>
            <w:r>
              <w:rPr>
                <w:rFonts w:ascii="Arial" w:hAnsi="Arial" w:cs="Arial" w:eastAsia="Arial" w:hint="default"/>
                <w:sz w:val="24"/>
                <w:szCs w:val="24"/>
              </w:rPr>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3"/>
              <w:jc w:val="right"/>
              <w:rPr>
                <w:rFonts w:ascii="Arial" w:hAnsi="Arial" w:cs="Arial" w:eastAsia="Arial" w:hint="default"/>
                <w:sz w:val="24"/>
                <w:szCs w:val="24"/>
              </w:rPr>
            </w:pPr>
            <w:r>
              <w:rPr>
                <w:rFonts w:ascii="Arial"/>
                <w:spacing w:val="-1"/>
                <w:w w:val="95"/>
                <w:sz w:val="24"/>
              </w:rPr>
              <w:t>5%</w:t>
            </w:r>
            <w:r>
              <w:rPr>
                <w:rFonts w:ascii="Arial"/>
                <w:sz w:val="24"/>
              </w:rPr>
            </w:r>
          </w:p>
        </w:tc>
      </w:tr>
      <w:tr>
        <w:trPr>
          <w:trHeight w:val="312" w:hRule="exact"/>
        </w:trPr>
        <w:tc>
          <w:tcPr>
            <w:tcW w:w="603" w:type="dxa"/>
            <w:tcBorders>
              <w:top w:val="nil" w:sz="6" w:space="0" w:color="auto"/>
              <w:left w:val="nil" w:sz="6" w:space="0" w:color="auto"/>
              <w:bottom w:val="nil" w:sz="6" w:space="0" w:color="auto"/>
              <w:right w:val="nil" w:sz="6" w:space="0" w:color="auto"/>
            </w:tcBorders>
          </w:tcPr>
          <w:p>
            <w:pPr/>
          </w:p>
        </w:tc>
        <w:tc>
          <w:tcPr>
            <w:tcW w:w="6817" w:type="dxa"/>
            <w:tcBorders>
              <w:top w:val="nil" w:sz="6" w:space="0" w:color="auto"/>
              <w:left w:val="nil" w:sz="6" w:space="0" w:color="auto"/>
              <w:bottom w:val="nil" w:sz="6" w:space="0" w:color="auto"/>
              <w:right w:val="nil" w:sz="6" w:space="0" w:color="auto"/>
            </w:tcBorders>
          </w:tcPr>
          <w:p>
            <w:pPr>
              <w:pStyle w:val="TableParagraph"/>
              <w:tabs>
                <w:tab w:pos="6008" w:val="left" w:leader="none"/>
              </w:tabs>
              <w:spacing w:line="279" w:lineRule="exact"/>
              <w:ind w:left="141" w:right="0"/>
              <w:jc w:val="left"/>
              <w:rPr>
                <w:rFonts w:ascii="Arial" w:hAnsi="Arial" w:cs="Arial" w:eastAsia="Arial" w:hint="default"/>
                <w:sz w:val="24"/>
                <w:szCs w:val="24"/>
              </w:rPr>
            </w:pPr>
            <w:r>
              <w:rPr>
                <w:rFonts w:ascii="宋体" w:hAnsi="宋体" w:cs="宋体" w:eastAsia="宋体" w:hint="default"/>
                <w:sz w:val="24"/>
                <w:szCs w:val="24"/>
              </w:rPr>
              <w:t>一到二年</w:t>
              <w:tab/>
            </w:r>
            <w:r>
              <w:rPr>
                <w:rFonts w:ascii="Arial" w:hAnsi="Arial" w:cs="Arial" w:eastAsia="Arial" w:hint="default"/>
                <w:position w:val="2"/>
                <w:sz w:val="24"/>
                <w:szCs w:val="24"/>
              </w:rPr>
              <w:t>10%</w:t>
            </w:r>
            <w:r>
              <w:rPr>
                <w:rFonts w:ascii="Arial" w:hAnsi="Arial" w:cs="Arial" w:eastAsia="Arial" w:hint="default"/>
                <w:sz w:val="24"/>
                <w:szCs w:val="24"/>
              </w:rPr>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24"/>
                <w:szCs w:val="24"/>
              </w:rPr>
            </w:pPr>
            <w:r>
              <w:rPr>
                <w:rFonts w:ascii="Arial"/>
                <w:spacing w:val="-1"/>
                <w:w w:val="95"/>
                <w:sz w:val="24"/>
              </w:rPr>
              <w:t>10%</w:t>
            </w:r>
            <w:r>
              <w:rPr>
                <w:rFonts w:ascii="Arial"/>
                <w:sz w:val="24"/>
              </w:rPr>
            </w:r>
          </w:p>
        </w:tc>
      </w:tr>
      <w:tr>
        <w:trPr>
          <w:trHeight w:val="312" w:hRule="exact"/>
        </w:trPr>
        <w:tc>
          <w:tcPr>
            <w:tcW w:w="603" w:type="dxa"/>
            <w:tcBorders>
              <w:top w:val="nil" w:sz="6" w:space="0" w:color="auto"/>
              <w:left w:val="nil" w:sz="6" w:space="0" w:color="auto"/>
              <w:bottom w:val="nil" w:sz="6" w:space="0" w:color="auto"/>
              <w:right w:val="nil" w:sz="6" w:space="0" w:color="auto"/>
            </w:tcBorders>
          </w:tcPr>
          <w:p>
            <w:pPr/>
          </w:p>
        </w:tc>
        <w:tc>
          <w:tcPr>
            <w:tcW w:w="6817" w:type="dxa"/>
            <w:tcBorders>
              <w:top w:val="nil" w:sz="6" w:space="0" w:color="auto"/>
              <w:left w:val="nil" w:sz="6" w:space="0" w:color="auto"/>
              <w:bottom w:val="nil" w:sz="6" w:space="0" w:color="auto"/>
              <w:right w:val="nil" w:sz="6" w:space="0" w:color="auto"/>
            </w:tcBorders>
          </w:tcPr>
          <w:p>
            <w:pPr>
              <w:pStyle w:val="TableParagraph"/>
              <w:tabs>
                <w:tab w:pos="6008" w:val="left" w:leader="none"/>
              </w:tabs>
              <w:spacing w:line="279" w:lineRule="exact"/>
              <w:ind w:left="141" w:right="0"/>
              <w:jc w:val="left"/>
              <w:rPr>
                <w:rFonts w:ascii="Arial" w:hAnsi="Arial" w:cs="Arial" w:eastAsia="Arial" w:hint="default"/>
                <w:sz w:val="24"/>
                <w:szCs w:val="24"/>
              </w:rPr>
            </w:pPr>
            <w:r>
              <w:rPr>
                <w:rFonts w:ascii="宋体" w:hAnsi="宋体" w:cs="宋体" w:eastAsia="宋体" w:hint="default"/>
                <w:sz w:val="24"/>
                <w:szCs w:val="24"/>
              </w:rPr>
              <w:t>二到三年</w:t>
              <w:tab/>
            </w:r>
            <w:r>
              <w:rPr>
                <w:rFonts w:ascii="Arial" w:hAnsi="Arial" w:cs="Arial" w:eastAsia="Arial" w:hint="default"/>
                <w:position w:val="2"/>
                <w:sz w:val="24"/>
                <w:szCs w:val="24"/>
              </w:rPr>
              <w:t>20%</w:t>
            </w:r>
            <w:r>
              <w:rPr>
                <w:rFonts w:ascii="Arial" w:hAnsi="Arial" w:cs="Arial" w:eastAsia="Arial" w:hint="default"/>
                <w:sz w:val="24"/>
                <w:szCs w:val="24"/>
              </w:rPr>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24"/>
                <w:szCs w:val="24"/>
              </w:rPr>
            </w:pPr>
            <w:r>
              <w:rPr>
                <w:rFonts w:ascii="Arial"/>
                <w:spacing w:val="-1"/>
                <w:w w:val="95"/>
                <w:sz w:val="24"/>
              </w:rPr>
              <w:t>20%</w:t>
            </w:r>
            <w:r>
              <w:rPr>
                <w:rFonts w:ascii="Arial"/>
                <w:sz w:val="24"/>
              </w:rPr>
            </w:r>
          </w:p>
        </w:tc>
      </w:tr>
      <w:tr>
        <w:trPr>
          <w:trHeight w:val="312" w:hRule="exact"/>
        </w:trPr>
        <w:tc>
          <w:tcPr>
            <w:tcW w:w="603" w:type="dxa"/>
            <w:tcBorders>
              <w:top w:val="nil" w:sz="6" w:space="0" w:color="auto"/>
              <w:left w:val="nil" w:sz="6" w:space="0" w:color="auto"/>
              <w:bottom w:val="nil" w:sz="6" w:space="0" w:color="auto"/>
              <w:right w:val="nil" w:sz="6" w:space="0" w:color="auto"/>
            </w:tcBorders>
          </w:tcPr>
          <w:p>
            <w:pPr/>
          </w:p>
        </w:tc>
        <w:tc>
          <w:tcPr>
            <w:tcW w:w="6817" w:type="dxa"/>
            <w:tcBorders>
              <w:top w:val="nil" w:sz="6" w:space="0" w:color="auto"/>
              <w:left w:val="nil" w:sz="6" w:space="0" w:color="auto"/>
              <w:bottom w:val="nil" w:sz="6" w:space="0" w:color="auto"/>
              <w:right w:val="nil" w:sz="6" w:space="0" w:color="auto"/>
            </w:tcBorders>
          </w:tcPr>
          <w:p>
            <w:pPr>
              <w:pStyle w:val="TableParagraph"/>
              <w:tabs>
                <w:tab w:pos="6008" w:val="left" w:leader="none"/>
              </w:tabs>
              <w:spacing w:line="279" w:lineRule="exact"/>
              <w:ind w:left="141" w:right="0"/>
              <w:jc w:val="left"/>
              <w:rPr>
                <w:rFonts w:ascii="Arial" w:hAnsi="Arial" w:cs="Arial" w:eastAsia="Arial" w:hint="default"/>
                <w:sz w:val="24"/>
                <w:szCs w:val="24"/>
              </w:rPr>
            </w:pPr>
            <w:r>
              <w:rPr>
                <w:rFonts w:ascii="宋体" w:hAnsi="宋体" w:cs="宋体" w:eastAsia="宋体" w:hint="default"/>
                <w:sz w:val="24"/>
                <w:szCs w:val="24"/>
              </w:rPr>
              <w:t>三到四年</w:t>
              <w:tab/>
            </w:r>
            <w:r>
              <w:rPr>
                <w:rFonts w:ascii="Arial" w:hAnsi="Arial" w:cs="Arial" w:eastAsia="Arial" w:hint="default"/>
                <w:position w:val="2"/>
                <w:sz w:val="24"/>
                <w:szCs w:val="24"/>
              </w:rPr>
              <w:t>30%</w:t>
            </w:r>
            <w:r>
              <w:rPr>
                <w:rFonts w:ascii="Arial" w:hAnsi="Arial" w:cs="Arial" w:eastAsia="Arial" w:hint="default"/>
                <w:sz w:val="24"/>
                <w:szCs w:val="24"/>
              </w:rPr>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24"/>
                <w:szCs w:val="24"/>
              </w:rPr>
            </w:pPr>
            <w:r>
              <w:rPr>
                <w:rFonts w:ascii="Arial"/>
                <w:spacing w:val="-1"/>
                <w:w w:val="95"/>
                <w:sz w:val="24"/>
              </w:rPr>
              <w:t>30%</w:t>
            </w:r>
            <w:r>
              <w:rPr>
                <w:rFonts w:ascii="Arial"/>
                <w:sz w:val="24"/>
              </w:rPr>
            </w:r>
          </w:p>
        </w:tc>
      </w:tr>
      <w:tr>
        <w:trPr>
          <w:trHeight w:val="312" w:hRule="exact"/>
        </w:trPr>
        <w:tc>
          <w:tcPr>
            <w:tcW w:w="603" w:type="dxa"/>
            <w:tcBorders>
              <w:top w:val="nil" w:sz="6" w:space="0" w:color="auto"/>
              <w:left w:val="nil" w:sz="6" w:space="0" w:color="auto"/>
              <w:bottom w:val="nil" w:sz="6" w:space="0" w:color="auto"/>
              <w:right w:val="nil" w:sz="6" w:space="0" w:color="auto"/>
            </w:tcBorders>
          </w:tcPr>
          <w:p>
            <w:pPr/>
          </w:p>
        </w:tc>
        <w:tc>
          <w:tcPr>
            <w:tcW w:w="6817" w:type="dxa"/>
            <w:tcBorders>
              <w:top w:val="nil" w:sz="6" w:space="0" w:color="auto"/>
              <w:left w:val="nil" w:sz="6" w:space="0" w:color="auto"/>
              <w:bottom w:val="nil" w:sz="6" w:space="0" w:color="auto"/>
              <w:right w:val="nil" w:sz="6" w:space="0" w:color="auto"/>
            </w:tcBorders>
          </w:tcPr>
          <w:p>
            <w:pPr>
              <w:pStyle w:val="TableParagraph"/>
              <w:tabs>
                <w:tab w:pos="6008" w:val="left" w:leader="none"/>
              </w:tabs>
              <w:spacing w:line="279" w:lineRule="exact"/>
              <w:ind w:left="141" w:right="0"/>
              <w:jc w:val="left"/>
              <w:rPr>
                <w:rFonts w:ascii="Arial" w:hAnsi="Arial" w:cs="Arial" w:eastAsia="Arial" w:hint="default"/>
                <w:sz w:val="24"/>
                <w:szCs w:val="24"/>
              </w:rPr>
            </w:pPr>
            <w:r>
              <w:rPr>
                <w:rFonts w:ascii="宋体" w:hAnsi="宋体" w:cs="宋体" w:eastAsia="宋体" w:hint="default"/>
                <w:sz w:val="24"/>
                <w:szCs w:val="24"/>
              </w:rPr>
              <w:t>四到五年</w:t>
              <w:tab/>
            </w:r>
            <w:r>
              <w:rPr>
                <w:rFonts w:ascii="Arial" w:hAnsi="Arial" w:cs="Arial" w:eastAsia="Arial" w:hint="default"/>
                <w:position w:val="2"/>
                <w:sz w:val="24"/>
                <w:szCs w:val="24"/>
              </w:rPr>
              <w:t>60%</w:t>
            </w:r>
            <w:r>
              <w:rPr>
                <w:rFonts w:ascii="Arial" w:hAnsi="Arial" w:cs="Arial" w:eastAsia="Arial" w:hint="default"/>
                <w:sz w:val="24"/>
                <w:szCs w:val="24"/>
              </w:rPr>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24"/>
                <w:szCs w:val="24"/>
              </w:rPr>
            </w:pPr>
            <w:r>
              <w:rPr>
                <w:rFonts w:ascii="Arial"/>
                <w:spacing w:val="-1"/>
                <w:w w:val="95"/>
                <w:sz w:val="24"/>
              </w:rPr>
              <w:t>60%</w:t>
            </w:r>
            <w:r>
              <w:rPr>
                <w:rFonts w:ascii="Arial"/>
                <w:sz w:val="24"/>
              </w:rPr>
            </w:r>
          </w:p>
        </w:tc>
      </w:tr>
      <w:tr>
        <w:trPr>
          <w:trHeight w:val="450" w:hRule="exact"/>
        </w:trPr>
        <w:tc>
          <w:tcPr>
            <w:tcW w:w="603" w:type="dxa"/>
            <w:tcBorders>
              <w:top w:val="nil" w:sz="6" w:space="0" w:color="auto"/>
              <w:left w:val="nil" w:sz="6" w:space="0" w:color="auto"/>
              <w:bottom w:val="nil" w:sz="6" w:space="0" w:color="auto"/>
              <w:right w:val="nil" w:sz="6" w:space="0" w:color="auto"/>
            </w:tcBorders>
          </w:tcPr>
          <w:p>
            <w:pPr/>
          </w:p>
        </w:tc>
        <w:tc>
          <w:tcPr>
            <w:tcW w:w="6817" w:type="dxa"/>
            <w:tcBorders>
              <w:top w:val="nil" w:sz="6" w:space="0" w:color="auto"/>
              <w:left w:val="nil" w:sz="6" w:space="0" w:color="auto"/>
              <w:bottom w:val="nil" w:sz="6" w:space="0" w:color="auto"/>
              <w:right w:val="nil" w:sz="6" w:space="0" w:color="auto"/>
            </w:tcBorders>
          </w:tcPr>
          <w:p>
            <w:pPr>
              <w:pStyle w:val="TableParagraph"/>
              <w:tabs>
                <w:tab w:pos="5875" w:val="left" w:leader="none"/>
              </w:tabs>
              <w:spacing w:line="279" w:lineRule="exact"/>
              <w:ind w:left="141" w:right="0"/>
              <w:jc w:val="left"/>
              <w:rPr>
                <w:rFonts w:ascii="Arial" w:hAnsi="Arial" w:cs="Arial" w:eastAsia="Arial" w:hint="default"/>
                <w:sz w:val="24"/>
                <w:szCs w:val="24"/>
              </w:rPr>
            </w:pPr>
            <w:r>
              <w:rPr>
                <w:rFonts w:ascii="宋体" w:hAnsi="宋体" w:cs="宋体" w:eastAsia="宋体" w:hint="default"/>
                <w:sz w:val="24"/>
                <w:szCs w:val="24"/>
              </w:rPr>
              <w:t>五年以上</w:t>
              <w:tab/>
            </w:r>
            <w:r>
              <w:rPr>
                <w:rFonts w:ascii="Arial" w:hAnsi="Arial" w:cs="Arial" w:eastAsia="Arial" w:hint="default"/>
                <w:position w:val="2"/>
                <w:sz w:val="24"/>
                <w:szCs w:val="24"/>
              </w:rPr>
              <w:t>100%</w:t>
            </w:r>
            <w:r>
              <w:rPr>
                <w:rFonts w:ascii="Arial" w:hAnsi="Arial" w:cs="Arial" w:eastAsia="Arial" w:hint="default"/>
                <w:sz w:val="24"/>
                <w:szCs w:val="24"/>
              </w:rPr>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Arial" w:hAnsi="Arial" w:cs="Arial" w:eastAsia="Arial" w:hint="default"/>
                <w:sz w:val="24"/>
                <w:szCs w:val="24"/>
              </w:rPr>
            </w:pPr>
            <w:r>
              <w:rPr>
                <w:rFonts w:ascii="Arial"/>
                <w:spacing w:val="-1"/>
                <w:w w:val="95"/>
                <w:sz w:val="24"/>
              </w:rPr>
              <w:t>100%</w:t>
            </w:r>
            <w:r>
              <w:rPr>
                <w:rFonts w:ascii="Arial"/>
                <w:sz w:val="24"/>
              </w:rPr>
            </w:r>
          </w:p>
        </w:tc>
      </w:tr>
      <w:tr>
        <w:trPr>
          <w:trHeight w:val="517" w:hRule="exact"/>
        </w:trPr>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(c)</w:t>
            </w:r>
          </w:p>
        </w:tc>
        <w:tc>
          <w:tcPr>
            <w:tcW w:w="681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1" w:right="0"/>
              <w:jc w:val="left"/>
              <w:rPr>
                <w:rFonts w:ascii="宋体" w:hAnsi="宋体" w:cs="宋体" w:eastAsia="宋体" w:hint="default"/>
                <w:sz w:val="24"/>
                <w:szCs w:val="24"/>
              </w:rPr>
            </w:pPr>
            <w:r>
              <w:rPr>
                <w:rFonts w:ascii="宋体" w:hAnsi="宋体" w:cs="宋体" w:eastAsia="宋体" w:hint="default"/>
                <w:sz w:val="24"/>
                <w:szCs w:val="24"/>
              </w:rPr>
              <w:t>单项金额虽不重大但单项计提坏账准备的应收款项</w:t>
            </w:r>
          </w:p>
        </w:tc>
        <w:tc>
          <w:tcPr>
            <w:tcW w:w="2525"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12"/>
          <w:szCs w:val="12"/>
        </w:rPr>
      </w:pPr>
    </w:p>
    <w:p>
      <w:pPr>
        <w:pStyle w:val="BodyText"/>
        <w:spacing w:line="312" w:lineRule="exact" w:before="56"/>
        <w:ind w:left="857" w:right="139"/>
        <w:jc w:val="left"/>
      </w:pPr>
      <w:r>
        <w:rPr/>
        <w:t>单项计提坏账准备的理由为：存在客观证据表明本集团将无法按应收款项的原有条款收</w:t>
      </w:r>
      <w:r>
        <w:rPr>
          <w:spacing w:val="-83"/>
        </w:rPr>
        <w:t> </w:t>
      </w:r>
      <w:r>
        <w:rPr/>
        <w:t>回款项。</w:t>
      </w:r>
    </w:p>
    <w:p>
      <w:pPr>
        <w:spacing w:line="240" w:lineRule="auto" w:before="6"/>
        <w:rPr>
          <w:rFonts w:ascii="宋体" w:hAnsi="宋体" w:cs="宋体" w:eastAsia="宋体" w:hint="default"/>
          <w:sz w:val="22"/>
          <w:szCs w:val="22"/>
        </w:rPr>
      </w:pPr>
    </w:p>
    <w:p>
      <w:pPr>
        <w:pStyle w:val="BodyText"/>
        <w:spacing w:line="312" w:lineRule="exact"/>
        <w:ind w:left="857" w:right="139"/>
        <w:jc w:val="left"/>
      </w:pPr>
      <w:r>
        <w:rPr/>
        <w:t>坏账准备的计提方法为：根据应收款项的预计未来现金流量现值低于其账面价值的差额</w:t>
      </w:r>
      <w:r>
        <w:rPr>
          <w:spacing w:val="-83"/>
        </w:rPr>
        <w:t> </w:t>
      </w:r>
      <w:r>
        <w:rPr/>
        <w:t>进行计提。</w:t>
      </w:r>
    </w:p>
    <w:p>
      <w:pPr>
        <w:spacing w:line="240" w:lineRule="auto" w:before="1"/>
        <w:rPr>
          <w:rFonts w:ascii="宋体" w:hAnsi="宋体" w:cs="宋体" w:eastAsia="宋体" w:hint="default"/>
          <w:sz w:val="21"/>
          <w:szCs w:val="21"/>
        </w:rPr>
      </w:pPr>
    </w:p>
    <w:p>
      <w:pPr>
        <w:pStyle w:val="BodyText"/>
        <w:tabs>
          <w:tab w:pos="857" w:val="left" w:leader="none"/>
        </w:tabs>
        <w:spacing w:line="312" w:lineRule="exact"/>
        <w:ind w:left="857" w:right="139" w:hanging="710"/>
        <w:jc w:val="left"/>
      </w:pPr>
      <w:r>
        <w:rPr>
          <w:rFonts w:ascii="Arial" w:hAnsi="Arial" w:cs="Arial" w:eastAsia="Arial" w:hint="default"/>
          <w:w w:val="95"/>
          <w:position w:val="2"/>
        </w:rPr>
        <w:t>(d)</w:t>
        <w:tab/>
      </w:r>
      <w:r>
        <w:rPr/>
        <w:t>本集团向金融机构以不附追索权方式转让应收款项的，按交易款项扣除已转销应收账款</w:t>
      </w:r>
      <w:r>
        <w:rPr>
          <w:spacing w:val="-83"/>
        </w:rPr>
        <w:t> </w:t>
      </w:r>
      <w:r>
        <w:rPr/>
        <w:t>的账面价值和相关税费后的差额计入当期损益。</w:t>
      </w:r>
    </w:p>
    <w:p>
      <w:pPr>
        <w:spacing w:after="0" w:line="312" w:lineRule="exact"/>
        <w:jc w:val="left"/>
        <w:sectPr>
          <w:pgSz w:w="11910" w:h="16840"/>
          <w:pgMar w:header="1475" w:footer="708" w:top="3020" w:bottom="900" w:left="980" w:right="76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0"/>
        <w:jc w:val="left"/>
        <w:rPr>
          <w:rFonts w:ascii="Arial" w:hAnsi="Arial" w:cs="Arial" w:eastAsia="Arial" w:hint="default"/>
          <w:b w:val="0"/>
          <w:bCs w:val="0"/>
        </w:rPr>
      </w:pPr>
      <w:r>
        <w:rPr>
          <w:w w:val="95"/>
        </w:rPr>
        <w:t>二</w:t>
        <w:tab/>
      </w:r>
      <w:r>
        <w:rPr/>
        <w:t>主要会计政策和会计估计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08" w:right="0" w:firstLine="0"/>
        <w:jc w:val="left"/>
        <w:rPr>
          <w:rFonts w:ascii="宋体" w:hAnsi="宋体" w:cs="宋体" w:eastAsia="宋体" w:hint="default"/>
          <w:sz w:val="24"/>
          <w:szCs w:val="24"/>
        </w:rPr>
      </w:pPr>
      <w:r>
        <w:rPr>
          <w:rFonts w:ascii="Arial" w:hAnsi="Arial" w:cs="Arial" w:eastAsia="Arial" w:hint="default"/>
          <w:spacing w:val="-5"/>
          <w:position w:val="2"/>
          <w:sz w:val="24"/>
          <w:szCs w:val="24"/>
        </w:rPr>
        <w:t>(11)</w:t>
        <w:tab/>
      </w:r>
      <w:r>
        <w:rPr>
          <w:rFonts w:ascii="宋体" w:hAnsi="宋体" w:cs="宋体" w:eastAsia="宋体" w:hint="default"/>
          <w:b/>
          <w:bCs/>
          <w:sz w:val="24"/>
          <w:szCs w:val="24"/>
        </w:rPr>
        <w:t>存货</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ListParagraph"/>
        <w:numPr>
          <w:ilvl w:val="0"/>
          <w:numId w:val="2"/>
        </w:numPr>
        <w:tabs>
          <w:tab w:pos="818" w:val="left" w:leader="none"/>
        </w:tabs>
        <w:spacing w:line="448" w:lineRule="auto" w:before="0" w:after="0"/>
        <w:ind w:left="817" w:right="1825" w:hanging="709"/>
        <w:jc w:val="left"/>
        <w:rPr>
          <w:rFonts w:ascii="宋体" w:hAnsi="宋体" w:cs="宋体" w:eastAsia="宋体" w:hint="default"/>
          <w:sz w:val="24"/>
          <w:szCs w:val="24"/>
        </w:rPr>
      </w:pPr>
      <w:r>
        <w:rPr>
          <w:rFonts w:ascii="宋体" w:hAnsi="宋体" w:cs="宋体" w:eastAsia="宋体" w:hint="default"/>
          <w:sz w:val="24"/>
          <w:szCs w:val="24"/>
        </w:rPr>
        <w:t>分类 存货包括库存商品和安装维修用备件，按成本与可变现净值孰低列示。</w:t>
      </w:r>
    </w:p>
    <w:p>
      <w:pPr>
        <w:pStyle w:val="BodyText"/>
        <w:tabs>
          <w:tab w:pos="817" w:val="left" w:leader="none"/>
        </w:tabs>
        <w:spacing w:line="448" w:lineRule="auto" w:before="65"/>
        <w:ind w:left="817" w:right="4705" w:hanging="710"/>
        <w:jc w:val="left"/>
      </w:pPr>
      <w:r>
        <w:rPr>
          <w:rFonts w:ascii="Arial" w:hAnsi="Arial" w:cs="Arial" w:eastAsia="Arial" w:hint="default"/>
          <w:w w:val="95"/>
          <w:position w:val="2"/>
        </w:rPr>
        <w:t>(b)</w:t>
        <w:tab/>
      </w:r>
      <w:r>
        <w:rPr/>
        <w:t>发出存货的计价方法 库存商品销售时的成本按先进先出法核算。</w:t>
      </w:r>
    </w:p>
    <w:p>
      <w:pPr>
        <w:pStyle w:val="BodyText"/>
        <w:tabs>
          <w:tab w:pos="817" w:val="left" w:leader="none"/>
        </w:tabs>
        <w:spacing w:line="240" w:lineRule="auto" w:before="65"/>
        <w:ind w:left="108" w:right="0"/>
        <w:jc w:val="left"/>
      </w:pPr>
      <w:r>
        <w:rPr>
          <w:rFonts w:ascii="Arial" w:hAnsi="Arial" w:cs="Arial" w:eastAsia="Arial" w:hint="default"/>
          <w:position w:val="2"/>
        </w:rPr>
        <w:t>(c)</w:t>
        <w:tab/>
      </w:r>
      <w:r>
        <w:rPr/>
        <w:t>存货可变现净值的确定依据及存货跌价准备的计提方法</w:t>
      </w:r>
    </w:p>
    <w:p>
      <w:pPr>
        <w:spacing w:line="240" w:lineRule="auto" w:before="4"/>
        <w:rPr>
          <w:rFonts w:ascii="宋体" w:hAnsi="宋体" w:cs="宋体" w:eastAsia="宋体" w:hint="default"/>
          <w:sz w:val="23"/>
          <w:szCs w:val="23"/>
        </w:rPr>
      </w:pPr>
    </w:p>
    <w:p>
      <w:pPr>
        <w:pStyle w:val="BodyText"/>
        <w:spacing w:line="312" w:lineRule="exact"/>
        <w:ind w:left="817" w:right="99"/>
        <w:jc w:val="both"/>
      </w:pPr>
      <w:r>
        <w:rPr/>
        <w:t>存货跌价准备按存货成本高于其可变现净值的差额计提。可变现净值按日常活动中，以</w:t>
      </w:r>
      <w:r>
        <w:rPr>
          <w:spacing w:val="-83"/>
        </w:rPr>
        <w:t> </w:t>
      </w:r>
      <w:r>
        <w:rPr/>
        <w:t>存货的估计售价减去估计的销售费用以及相关税费后的金额确定。</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0"/>
        <w:jc w:val="left"/>
      </w:pPr>
      <w:r>
        <w:rPr>
          <w:rFonts w:ascii="Arial" w:hAnsi="Arial" w:cs="Arial" w:eastAsia="Arial" w:hint="default"/>
          <w:w w:val="95"/>
          <w:position w:val="2"/>
        </w:rPr>
        <w:t>(d)</w:t>
        <w:tab/>
      </w:r>
      <w:r>
        <w:rPr/>
        <w:t>本集团的存货盘存制度采用永续盘存制。</w:t>
      </w:r>
    </w:p>
    <w:p>
      <w:pPr>
        <w:spacing w:line="240" w:lineRule="auto" w:before="12"/>
        <w:rPr>
          <w:rFonts w:ascii="宋体" w:hAnsi="宋体" w:cs="宋体" w:eastAsia="宋体" w:hint="default"/>
          <w:sz w:val="20"/>
          <w:szCs w:val="20"/>
        </w:rPr>
      </w:pPr>
    </w:p>
    <w:p>
      <w:pPr>
        <w:pStyle w:val="BodyText"/>
        <w:tabs>
          <w:tab w:pos="817" w:val="left" w:leader="none"/>
        </w:tabs>
        <w:spacing w:line="448" w:lineRule="auto"/>
        <w:ind w:left="817" w:right="4705" w:hanging="710"/>
        <w:jc w:val="left"/>
      </w:pPr>
      <w:r>
        <w:rPr>
          <w:rFonts w:ascii="Arial" w:hAnsi="Arial" w:cs="Arial" w:eastAsia="Arial" w:hint="default"/>
          <w:w w:val="95"/>
          <w:position w:val="2"/>
        </w:rPr>
        <w:t>(e)</w:t>
        <w:tab/>
      </w:r>
      <w:r>
        <w:rPr/>
        <w:t>安装维修用备件的摊销方法 安装维修用备件采用一次转销法进行摊销。</w:t>
      </w:r>
    </w:p>
    <w:p>
      <w:pPr>
        <w:tabs>
          <w:tab w:pos="817" w:val="left" w:leader="none"/>
        </w:tabs>
        <w:spacing w:before="30"/>
        <w:ind w:left="107"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(12)</w:t>
        <w:tab/>
      </w:r>
      <w:r>
        <w:rPr>
          <w:rFonts w:ascii="宋体" w:hAnsi="宋体" w:cs="宋体" w:eastAsia="宋体" w:hint="default"/>
          <w:b/>
          <w:bCs/>
          <w:sz w:val="24"/>
          <w:szCs w:val="24"/>
        </w:rPr>
        <w:t>长期股权投资</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17" w:right="99"/>
        <w:jc w:val="both"/>
      </w:pPr>
      <w:r>
        <w:rPr/>
        <w:t>长期股权投资包括：本公司对子公司的长期股权投资；本集团对联营企业的长期股权投</w:t>
      </w:r>
      <w:r>
        <w:rPr>
          <w:spacing w:val="-83"/>
        </w:rPr>
        <w:t> </w:t>
      </w:r>
      <w:r>
        <w:rPr/>
        <w:t>资；以及本集团对被投资单位不具有控制、共同控制或重大影响，并且在活跃市场中没</w:t>
      </w:r>
      <w:r>
        <w:rPr>
          <w:spacing w:val="-83"/>
        </w:rPr>
        <w:t> </w:t>
      </w:r>
      <w:r>
        <w:rPr/>
        <w:t>有报价、公允价值不能可靠计量的长期股权投资。</w:t>
      </w:r>
    </w:p>
    <w:p>
      <w:pPr>
        <w:spacing w:line="240" w:lineRule="auto" w:before="1"/>
        <w:rPr>
          <w:rFonts w:ascii="宋体" w:hAnsi="宋体" w:cs="宋体" w:eastAsia="宋体" w:hint="default"/>
          <w:sz w:val="21"/>
          <w:szCs w:val="21"/>
        </w:rPr>
      </w:pPr>
    </w:p>
    <w:p>
      <w:pPr>
        <w:pStyle w:val="BodyText"/>
        <w:spacing w:line="312" w:lineRule="exact"/>
        <w:ind w:left="817" w:right="99"/>
        <w:jc w:val="both"/>
      </w:pPr>
      <w:r>
        <w:rPr/>
        <w:t>子公司是指本公司能够对其实施控制的被投资单位；联营企业是指本集团能够对其财务</w:t>
      </w:r>
      <w:r>
        <w:rPr>
          <w:spacing w:val="-83"/>
        </w:rPr>
        <w:t> </w:t>
      </w:r>
      <w:r>
        <w:rPr/>
        <w:t>和经营决策具有重大影响的被投资单位。</w:t>
      </w:r>
    </w:p>
    <w:p>
      <w:pPr>
        <w:spacing w:line="240" w:lineRule="auto" w:before="1"/>
        <w:rPr>
          <w:rFonts w:ascii="宋体" w:hAnsi="宋体" w:cs="宋体" w:eastAsia="宋体" w:hint="default"/>
          <w:sz w:val="21"/>
          <w:szCs w:val="21"/>
        </w:rPr>
      </w:pPr>
    </w:p>
    <w:p>
      <w:pPr>
        <w:pStyle w:val="BodyText"/>
        <w:spacing w:line="312" w:lineRule="exact"/>
        <w:ind w:left="817" w:right="99"/>
        <w:jc w:val="both"/>
      </w:pPr>
      <w:r>
        <w:rPr/>
        <w:t>对子公司的投资，在公司财务报表中按照成本法确定的金额列示，在编制合并财务报表</w:t>
      </w:r>
      <w:r>
        <w:rPr>
          <w:spacing w:val="-83"/>
        </w:rPr>
        <w:t> </w:t>
      </w:r>
      <w:r>
        <w:rPr/>
        <w:t>时按权益法调整后进行合并；对联营企业投资采用权益法核算；对被投资单位不具有控</w:t>
      </w:r>
      <w:r>
        <w:rPr>
          <w:spacing w:val="-83"/>
        </w:rPr>
        <w:t> </w:t>
      </w:r>
      <w:r>
        <w:rPr/>
        <w:t>制、共同控制或重大影响，并且在活跃市场中没有报价、公允价值不能可靠计量的长期</w:t>
      </w:r>
      <w:r>
        <w:rPr>
          <w:spacing w:val="-83"/>
        </w:rPr>
        <w:t> </w:t>
      </w:r>
      <w:r>
        <w:rPr/>
        <w:t>股权投资，采用成本法核算。</w:t>
      </w:r>
    </w:p>
    <w:p>
      <w:pPr>
        <w:spacing w:after="0" w:line="312" w:lineRule="exact"/>
        <w:jc w:val="both"/>
        <w:sectPr>
          <w:pgSz w:w="11910" w:h="16840"/>
          <w:pgMar w:header="1475" w:footer="708" w:top="3020" w:bottom="900" w:left="1020" w:right="80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0"/>
        <w:jc w:val="left"/>
        <w:rPr>
          <w:rFonts w:ascii="Arial" w:hAnsi="Arial" w:cs="Arial" w:eastAsia="Arial" w:hint="default"/>
          <w:b w:val="0"/>
          <w:bCs w:val="0"/>
        </w:rPr>
      </w:pPr>
      <w:r>
        <w:rPr>
          <w:w w:val="95"/>
        </w:rPr>
        <w:t>二</w:t>
        <w:tab/>
      </w:r>
      <w:r>
        <w:rPr/>
        <w:t>主要会计政策和会计估计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08" w:right="0" w:firstLine="0"/>
        <w:jc w:val="left"/>
        <w:rPr>
          <w:rFonts w:ascii="Arial" w:hAnsi="Arial" w:cs="Arial" w:eastAsia="Arial" w:hint="default"/>
          <w:sz w:val="24"/>
          <w:szCs w:val="24"/>
        </w:rPr>
      </w:pPr>
      <w:r>
        <w:rPr>
          <w:rFonts w:ascii="Arial" w:hAnsi="Arial" w:cs="Arial" w:eastAsia="Arial" w:hint="default"/>
          <w:w w:val="95"/>
          <w:position w:val="2"/>
          <w:sz w:val="24"/>
          <w:szCs w:val="24"/>
        </w:rPr>
        <w:t>(12)</w:t>
        <w:tab/>
      </w:r>
      <w:r>
        <w:rPr>
          <w:rFonts w:ascii="宋体" w:hAnsi="宋体" w:cs="宋体" w:eastAsia="宋体" w:hint="default"/>
          <w:b/>
          <w:bCs/>
          <w:sz w:val="24"/>
          <w:szCs w:val="24"/>
        </w:rPr>
        <w:t>长期股权投资</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8" w:right="0"/>
        <w:jc w:val="left"/>
      </w:pPr>
      <w:r>
        <w:rPr>
          <w:rFonts w:ascii="Arial" w:hAnsi="Arial" w:cs="Arial" w:eastAsia="Arial" w:hint="default"/>
          <w:w w:val="95"/>
          <w:position w:val="2"/>
        </w:rPr>
        <w:t>(a)</w:t>
        <w:tab/>
      </w:r>
      <w:r>
        <w:rPr/>
        <w:t>投资成本确定</w:t>
      </w:r>
    </w:p>
    <w:p>
      <w:pPr>
        <w:spacing w:line="240" w:lineRule="auto" w:before="4"/>
        <w:rPr>
          <w:rFonts w:ascii="宋体" w:hAnsi="宋体" w:cs="宋体" w:eastAsia="宋体" w:hint="default"/>
          <w:sz w:val="23"/>
          <w:szCs w:val="23"/>
        </w:rPr>
      </w:pPr>
    </w:p>
    <w:p>
      <w:pPr>
        <w:pStyle w:val="BodyText"/>
        <w:spacing w:line="312" w:lineRule="exact"/>
        <w:ind w:left="817" w:right="99"/>
        <w:jc w:val="both"/>
      </w:pPr>
      <w:r>
        <w:rPr/>
        <w:t>采用成本法核算的长期股权投资按照初始投资成本计量。采用权益法核算的长期股权投</w:t>
      </w:r>
      <w:r>
        <w:rPr>
          <w:spacing w:val="-83"/>
        </w:rPr>
        <w:t> </w:t>
      </w:r>
      <w:r>
        <w:rPr/>
        <w:t>资，初始投资成本大于投资时应享有被投资单位可辨认净资产公允价值份额的，以初始</w:t>
      </w:r>
      <w:r>
        <w:rPr>
          <w:spacing w:val="-83"/>
        </w:rPr>
        <w:t> </w:t>
      </w:r>
      <w:r>
        <w:rPr/>
        <w:t>投资成本作为长期股权投资成本；初始投资成本小于投资时应享有被投资单位可辨认净</w:t>
      </w:r>
      <w:r>
        <w:rPr>
          <w:spacing w:val="-83"/>
        </w:rPr>
        <w:t> </w:t>
      </w:r>
      <w:r>
        <w:rPr/>
        <w:t>资产公允价值份额的，其差额计入当期损益，并相应调增长期股权投资成本。</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0"/>
        <w:jc w:val="left"/>
      </w:pPr>
      <w:r>
        <w:rPr>
          <w:rFonts w:ascii="Arial" w:hAnsi="Arial" w:cs="Arial" w:eastAsia="Arial" w:hint="default"/>
          <w:w w:val="95"/>
          <w:position w:val="2"/>
        </w:rPr>
        <w:t>(b)</w:t>
        <w:tab/>
      </w:r>
      <w:r>
        <w:rPr/>
        <w:t>后续计量及损益确认方法</w:t>
      </w:r>
    </w:p>
    <w:p>
      <w:pPr>
        <w:spacing w:line="240" w:lineRule="auto" w:before="4"/>
        <w:rPr>
          <w:rFonts w:ascii="宋体" w:hAnsi="宋体" w:cs="宋体" w:eastAsia="宋体" w:hint="default"/>
          <w:sz w:val="23"/>
          <w:szCs w:val="23"/>
        </w:rPr>
      </w:pPr>
    </w:p>
    <w:p>
      <w:pPr>
        <w:pStyle w:val="BodyText"/>
        <w:spacing w:line="312" w:lineRule="exact"/>
        <w:ind w:left="817" w:right="99"/>
        <w:jc w:val="both"/>
      </w:pPr>
      <w:r>
        <w:rPr/>
        <w:t>采用成本法核算的长期股权投资，被投资单位宣告分派的现金股利或利润，确认为投资</w:t>
      </w:r>
      <w:r>
        <w:rPr>
          <w:spacing w:val="-83"/>
        </w:rPr>
        <w:t> </w:t>
      </w:r>
      <w:r>
        <w:rPr/>
        <w:t>收益计入当期损益。</w:t>
      </w:r>
    </w:p>
    <w:p>
      <w:pPr>
        <w:spacing w:line="240" w:lineRule="auto" w:before="1"/>
        <w:rPr>
          <w:rFonts w:ascii="宋体" w:hAnsi="宋体" w:cs="宋体" w:eastAsia="宋体" w:hint="default"/>
          <w:sz w:val="21"/>
          <w:szCs w:val="21"/>
        </w:rPr>
      </w:pPr>
    </w:p>
    <w:p>
      <w:pPr>
        <w:pStyle w:val="BodyText"/>
        <w:spacing w:line="312" w:lineRule="exact"/>
        <w:ind w:left="817" w:right="99"/>
        <w:jc w:val="both"/>
      </w:pPr>
      <w:r>
        <w:rPr/>
        <w:t>采用权益法核算的长期股权投资，本集团按应享有或应分担的被投资单位的净损益份额</w:t>
      </w:r>
      <w:r>
        <w:rPr>
          <w:spacing w:val="-83"/>
        </w:rPr>
        <w:t> </w:t>
      </w:r>
      <w:r>
        <w:rPr/>
        <w:t>确认当期投资损益。确认被投资单位发生的净亏损，以长期股权投资的账面价值以及其</w:t>
      </w:r>
      <w:r>
        <w:rPr>
          <w:spacing w:val="-83"/>
        </w:rPr>
        <w:t> </w:t>
      </w:r>
      <w:r>
        <w:rPr/>
        <w:t>他实质上构成对被投资单位净投资的长期权益减记至零为限，但本集团负有承担额外损</w:t>
      </w:r>
      <w:r>
        <w:rPr>
          <w:spacing w:val="-83"/>
        </w:rPr>
        <w:t> </w:t>
      </w:r>
      <w:r>
        <w:rPr/>
        <w:t>失义务且符合或有事项准则所规定的预计负债确认条件的，继续确认投资损失并作为预</w:t>
      </w:r>
      <w:r>
        <w:rPr>
          <w:spacing w:val="-83"/>
        </w:rPr>
        <w:t> </w:t>
      </w:r>
      <w:r>
        <w:rPr/>
        <w:t>计负债核算。被投资单位除净损益以外股东权益的其他变动，在本集团持股比例不变的</w:t>
      </w:r>
      <w:r>
        <w:rPr>
          <w:spacing w:val="-83"/>
        </w:rPr>
        <w:t> </w:t>
      </w:r>
      <w:r>
        <w:rPr/>
        <w:t>情况下，按照持股比例计算应享有或承担的部分直接计入资本公积。被投资单位分派的</w:t>
      </w:r>
      <w:r>
        <w:rPr>
          <w:spacing w:val="-83"/>
        </w:rPr>
        <w:t> </w:t>
      </w:r>
      <w:r>
        <w:rPr/>
        <w:t>利润或现金股利于宣告分派时按照本集团应分得的部分，相应减少长期股权投资的账面</w:t>
      </w:r>
      <w:r>
        <w:rPr>
          <w:spacing w:val="-83"/>
        </w:rPr>
        <w:t> </w:t>
      </w:r>
      <w:r>
        <w:rPr/>
        <w:t>价值。本集团与被投资单位之间未实现的内部交易损益按照持股比例计算归属于本集团</w:t>
      </w:r>
      <w:r>
        <w:rPr>
          <w:spacing w:val="-83"/>
        </w:rPr>
        <w:t> </w:t>
      </w:r>
      <w:r>
        <w:rPr/>
        <w:t>的部分，予以抵销，在此基础上确认投资损益。本集团与被投资单位发生的内部交易损</w:t>
      </w:r>
      <w:r>
        <w:rPr>
          <w:spacing w:val="-83"/>
        </w:rPr>
        <w:t> </w:t>
      </w:r>
      <w:r>
        <w:rPr/>
        <w:t>失，其中属于资产减值损失的部分，相应的未实现损失不予抵销。</w:t>
      </w:r>
    </w:p>
    <w:p>
      <w:pPr>
        <w:pStyle w:val="BodyText"/>
        <w:tabs>
          <w:tab w:pos="817" w:val="left" w:leader="none"/>
        </w:tabs>
        <w:spacing w:line="240" w:lineRule="auto" w:before="210"/>
        <w:ind w:left="107" w:right="0"/>
        <w:jc w:val="left"/>
      </w:pPr>
      <w:r>
        <w:rPr>
          <w:rFonts w:ascii="Arial" w:hAnsi="Arial" w:cs="Arial" w:eastAsia="Arial" w:hint="default"/>
          <w:position w:val="2"/>
        </w:rPr>
        <w:t>(c)</w:t>
        <w:tab/>
      </w:r>
      <w:r>
        <w:rPr/>
        <w:t>确定对被投资单位具有控制、共同控制、重大影响的依据</w:t>
      </w:r>
    </w:p>
    <w:p>
      <w:pPr>
        <w:spacing w:line="240" w:lineRule="auto" w:before="4"/>
        <w:rPr>
          <w:rFonts w:ascii="宋体" w:hAnsi="宋体" w:cs="宋体" w:eastAsia="宋体" w:hint="default"/>
          <w:sz w:val="23"/>
          <w:szCs w:val="23"/>
        </w:rPr>
      </w:pPr>
    </w:p>
    <w:p>
      <w:pPr>
        <w:pStyle w:val="BodyText"/>
        <w:spacing w:line="312" w:lineRule="exact"/>
        <w:ind w:left="817" w:right="99"/>
        <w:jc w:val="both"/>
      </w:pPr>
      <w:r>
        <w:rPr/>
        <w:t>控制是指有权决定被投资单位的财务和经营政策，并能据以从其经营活动中获取利益。</w:t>
      </w:r>
      <w:r>
        <w:rPr>
          <w:spacing w:val="-83"/>
        </w:rPr>
        <w:t> </w:t>
      </w:r>
      <w:r>
        <w:rPr/>
        <w:t>在确定能否对被投资单位实施控制时，被投资单位当期可转换公司债券、当期可执行认</w:t>
      </w:r>
      <w:r>
        <w:rPr>
          <w:spacing w:val="-83"/>
        </w:rPr>
        <w:t> </w:t>
      </w:r>
      <w:r>
        <w:rPr/>
        <w:t>股权证等潜在表决权因素也同时予以考虑。</w:t>
      </w:r>
    </w:p>
    <w:p>
      <w:pPr>
        <w:spacing w:line="240" w:lineRule="auto" w:before="1"/>
        <w:rPr>
          <w:rFonts w:ascii="宋体" w:hAnsi="宋体" w:cs="宋体" w:eastAsia="宋体" w:hint="default"/>
          <w:sz w:val="21"/>
          <w:szCs w:val="21"/>
        </w:rPr>
      </w:pPr>
    </w:p>
    <w:p>
      <w:pPr>
        <w:pStyle w:val="BodyText"/>
        <w:spacing w:line="312" w:lineRule="exact"/>
        <w:ind w:left="817" w:right="99"/>
        <w:jc w:val="both"/>
      </w:pPr>
      <w:r>
        <w:rPr/>
        <w:t>共同控制是指按照合同约定对某项经济活动所享有的控制，仅在与该项经济活动相关的</w:t>
      </w:r>
      <w:r>
        <w:rPr>
          <w:spacing w:val="-83"/>
        </w:rPr>
        <w:t> </w:t>
      </w:r>
      <w:r>
        <w:rPr/>
        <w:t>重要财务和经营决策需要分享控制权的投资方一致同意时存在。</w:t>
      </w:r>
    </w:p>
    <w:p>
      <w:pPr>
        <w:spacing w:line="240" w:lineRule="auto" w:before="1"/>
        <w:rPr>
          <w:rFonts w:ascii="宋体" w:hAnsi="宋体" w:cs="宋体" w:eastAsia="宋体" w:hint="default"/>
          <w:sz w:val="21"/>
          <w:szCs w:val="21"/>
        </w:rPr>
      </w:pPr>
    </w:p>
    <w:p>
      <w:pPr>
        <w:pStyle w:val="BodyText"/>
        <w:spacing w:line="312" w:lineRule="exact"/>
        <w:ind w:left="817" w:right="99"/>
        <w:jc w:val="both"/>
      </w:pPr>
      <w:r>
        <w:rPr/>
        <w:t>重大影响是指对被投资单位的财务和经营政策有参与决策的权力，但并不能够控制或者</w:t>
      </w:r>
      <w:r>
        <w:rPr>
          <w:spacing w:val="-83"/>
        </w:rPr>
        <w:t> </w:t>
      </w:r>
      <w:r>
        <w:rPr/>
        <w:t>与其他方一起共同控制这些政策的制定。</w:t>
      </w:r>
    </w:p>
    <w:p>
      <w:pPr>
        <w:spacing w:after="0" w:line="312" w:lineRule="exact"/>
        <w:jc w:val="both"/>
        <w:sectPr>
          <w:pgSz w:w="11910" w:h="16840"/>
          <w:pgMar w:header="1475" w:footer="708" w:top="3020" w:bottom="900" w:left="1020" w:right="80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104"/>
        <w:jc w:val="left"/>
        <w:rPr>
          <w:rFonts w:ascii="Arial" w:hAnsi="Arial" w:cs="Arial" w:eastAsia="Arial" w:hint="default"/>
          <w:b w:val="0"/>
          <w:bCs w:val="0"/>
        </w:rPr>
      </w:pPr>
      <w:r>
        <w:rPr>
          <w:w w:val="95"/>
        </w:rPr>
        <w:t>二</w:t>
        <w:tab/>
      </w:r>
      <w:r>
        <w:rPr/>
        <w:t>主要会计政策和会计估计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08" w:right="104" w:firstLine="0"/>
        <w:jc w:val="left"/>
        <w:rPr>
          <w:rFonts w:ascii="Arial" w:hAnsi="Arial" w:cs="Arial" w:eastAsia="Arial" w:hint="default"/>
          <w:sz w:val="24"/>
          <w:szCs w:val="24"/>
        </w:rPr>
      </w:pPr>
      <w:r>
        <w:rPr>
          <w:rFonts w:ascii="Arial" w:hAnsi="Arial" w:cs="Arial" w:eastAsia="Arial" w:hint="default"/>
          <w:w w:val="95"/>
          <w:position w:val="2"/>
          <w:sz w:val="24"/>
          <w:szCs w:val="24"/>
        </w:rPr>
        <w:t>(12)</w:t>
        <w:tab/>
      </w:r>
      <w:r>
        <w:rPr>
          <w:rFonts w:ascii="宋体" w:hAnsi="宋体" w:cs="宋体" w:eastAsia="宋体" w:hint="default"/>
          <w:b/>
          <w:bCs/>
          <w:sz w:val="24"/>
          <w:szCs w:val="24"/>
        </w:rPr>
        <w:t>长期股权投资</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8" w:right="104"/>
        <w:jc w:val="left"/>
      </w:pPr>
      <w:r>
        <w:rPr>
          <w:rFonts w:ascii="Arial" w:hAnsi="Arial" w:cs="Arial" w:eastAsia="Arial" w:hint="default"/>
          <w:w w:val="95"/>
          <w:position w:val="2"/>
        </w:rPr>
        <w:t>(d)</w:t>
        <w:tab/>
      </w:r>
      <w:r>
        <w:rPr/>
        <w:t>长期股权投资减值</w:t>
      </w:r>
    </w:p>
    <w:p>
      <w:pPr>
        <w:spacing w:line="240" w:lineRule="auto" w:before="4"/>
        <w:rPr>
          <w:rFonts w:ascii="宋体" w:hAnsi="宋体" w:cs="宋体" w:eastAsia="宋体" w:hint="default"/>
          <w:sz w:val="23"/>
          <w:szCs w:val="23"/>
        </w:rPr>
      </w:pPr>
    </w:p>
    <w:p>
      <w:pPr>
        <w:pStyle w:val="BodyText"/>
        <w:spacing w:line="312" w:lineRule="exact"/>
        <w:ind w:left="817" w:right="199"/>
        <w:jc w:val="both"/>
      </w:pPr>
      <w:r>
        <w:rPr/>
        <w:t>对子公司、合营企业、联营企业的长期股权投资，当其可收回金额低于其账面价值时，</w:t>
      </w:r>
      <w:r>
        <w:rPr>
          <w:spacing w:val="-83"/>
        </w:rPr>
        <w:t> </w:t>
      </w:r>
      <w:r>
        <w:rPr>
          <w:spacing w:val="-2"/>
        </w:rPr>
        <w:t>账面价值减记至可收回金额</w:t>
      </w:r>
      <w:r>
        <w:rPr>
          <w:rFonts w:ascii="Arial" w:hAnsi="Arial" w:cs="Arial" w:eastAsia="Arial" w:hint="default"/>
          <w:spacing w:val="-2"/>
        </w:rPr>
        <w:t>(</w:t>
      </w:r>
      <w:r>
        <w:rPr>
          <w:spacing w:val="-2"/>
        </w:rPr>
        <w:t>附注二</w:t>
      </w:r>
      <w:r>
        <w:rPr>
          <w:rFonts w:ascii="Arial" w:hAnsi="Arial" w:cs="Arial" w:eastAsia="Arial" w:hint="default"/>
          <w:spacing w:val="-2"/>
        </w:rPr>
        <w:t>(19))</w:t>
      </w:r>
      <w:r>
        <w:rPr>
          <w:spacing w:val="-2"/>
        </w:rPr>
        <w:t>。在活跃市场中没有报价且其公允价值不能可靠</w:t>
      </w:r>
      <w:r>
        <w:rPr>
          <w:spacing w:val="-118"/>
        </w:rPr>
        <w:t> </w:t>
      </w:r>
      <w:r>
        <w:rPr>
          <w:spacing w:val="-118"/>
        </w:rPr>
      </w:r>
      <w:r>
        <w:rPr/>
        <w:t>计量的其他长期股权投资发生减值时，按其账面价值超过按类似金融资产当时市场收益</w:t>
      </w:r>
      <w:r>
        <w:rPr>
          <w:spacing w:val="-83"/>
        </w:rPr>
        <w:t> </w:t>
      </w:r>
      <w:r>
        <w:rPr>
          <w:spacing w:val="-83"/>
        </w:rPr>
      </w:r>
      <w:r>
        <w:rPr/>
        <w:t>率对未来现金流量折现确定的现值之间的差额，确认减值损失。减值损失一经确认，以</w:t>
      </w:r>
      <w:r>
        <w:rPr>
          <w:spacing w:val="-83"/>
        </w:rPr>
        <w:t> </w:t>
      </w:r>
      <w:r>
        <w:rPr/>
        <w:t>后期间不予转回价值得以恢复的部分。</w:t>
      </w:r>
    </w:p>
    <w:p>
      <w:pPr>
        <w:tabs>
          <w:tab w:pos="817" w:val="left" w:leader="none"/>
        </w:tabs>
        <w:spacing w:before="210"/>
        <w:ind w:left="107"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(13)</w:t>
        <w:tab/>
      </w:r>
      <w:r>
        <w:rPr>
          <w:rFonts w:ascii="宋体" w:hAnsi="宋体" w:cs="宋体" w:eastAsia="宋体" w:hint="default"/>
          <w:b/>
          <w:bCs/>
          <w:sz w:val="24"/>
          <w:szCs w:val="24"/>
        </w:rPr>
        <w:t>投资性房地产</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17" w:right="226"/>
        <w:jc w:val="both"/>
      </w:pPr>
      <w:r>
        <w:rPr/>
        <w:t>投资性房地产包括已出租的土地使用权和以出租为目的的建筑物以及正在建造或开发过 程中将来用于出租的建筑物，以成本进行初始计量。与投资性房地产有关的后续支出， 在相关的经济利益很可能流入本集团且其成本能够可靠的计量时，计入投资性房地产成 本；否则，于发生时计入当期损益。</w:t>
      </w:r>
    </w:p>
    <w:p>
      <w:pPr>
        <w:spacing w:line="240" w:lineRule="auto" w:before="1"/>
        <w:rPr>
          <w:rFonts w:ascii="宋体" w:hAnsi="宋体" w:cs="宋体" w:eastAsia="宋体" w:hint="default"/>
          <w:sz w:val="21"/>
          <w:szCs w:val="21"/>
        </w:rPr>
      </w:pPr>
    </w:p>
    <w:p>
      <w:pPr>
        <w:pStyle w:val="BodyText"/>
        <w:spacing w:line="312" w:lineRule="exact"/>
        <w:ind w:left="817" w:right="226"/>
        <w:jc w:val="both"/>
      </w:pPr>
      <w:r>
        <w:rPr/>
        <w:t>本集团采用成本模式对所有投资性房地产进行后续计量，按其预计使用寿命及净残值率 对建筑物计提折旧。投资性房地产的预计使用寿命、净残值率及年折旧率列示如下：</w:t>
      </w:r>
    </w:p>
    <w:p>
      <w:pPr>
        <w:spacing w:line="240" w:lineRule="auto" w:before="10"/>
        <w:rPr>
          <w:rFonts w:ascii="宋体" w:hAnsi="宋体" w:cs="宋体" w:eastAsia="宋体" w:hint="default"/>
          <w:sz w:val="16"/>
          <w:szCs w:val="16"/>
        </w:rPr>
      </w:pPr>
    </w:p>
    <w:tbl>
      <w:tblPr>
        <w:tblW w:w="0" w:type="auto"/>
        <w:jc w:val="left"/>
        <w:tblInd w:w="782" w:type="dxa"/>
        <w:tblLayout w:type="fixed"/>
        <w:tblCellMar>
          <w:top w:w="0" w:type="dxa"/>
          <w:left w:w="0" w:type="dxa"/>
          <w:bottom w:w="0" w:type="dxa"/>
          <w:right w:w="0" w:type="dxa"/>
        </w:tblCellMar>
        <w:tblLook w:val="01E0"/>
      </w:tblPr>
      <w:tblGrid>
        <w:gridCol w:w="1462"/>
        <w:gridCol w:w="2424"/>
        <w:gridCol w:w="2194"/>
        <w:gridCol w:w="2172"/>
      </w:tblGrid>
      <w:tr>
        <w:trPr>
          <w:trHeight w:val="511" w:hRule="exact"/>
        </w:trPr>
        <w:tc>
          <w:tcPr>
            <w:tcW w:w="1462" w:type="dxa"/>
            <w:tcBorders>
              <w:top w:val="nil" w:sz="6" w:space="0" w:color="auto"/>
              <w:left w:val="nil" w:sz="6" w:space="0" w:color="auto"/>
              <w:bottom w:val="nil" w:sz="6" w:space="0" w:color="auto"/>
              <w:right w:val="nil" w:sz="6" w:space="0" w:color="auto"/>
            </w:tcBorders>
          </w:tcPr>
          <w:p>
            <w:pP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06" w:right="0"/>
              <w:jc w:val="left"/>
              <w:rPr>
                <w:rFonts w:ascii="宋体" w:hAnsi="宋体" w:cs="宋体" w:eastAsia="宋体" w:hint="default"/>
                <w:sz w:val="24"/>
                <w:szCs w:val="24"/>
              </w:rPr>
            </w:pPr>
            <w:r>
              <w:rPr>
                <w:rFonts w:ascii="宋体" w:hAnsi="宋体" w:cs="宋体" w:eastAsia="宋体" w:hint="default"/>
                <w:sz w:val="24"/>
                <w:szCs w:val="24"/>
              </w:rPr>
              <w:t>预计使用寿命</w:t>
            </w: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77" w:right="0"/>
              <w:jc w:val="left"/>
              <w:rPr>
                <w:rFonts w:ascii="宋体" w:hAnsi="宋体" w:cs="宋体" w:eastAsia="宋体" w:hint="default"/>
                <w:sz w:val="24"/>
                <w:szCs w:val="24"/>
              </w:rPr>
            </w:pPr>
            <w:r>
              <w:rPr>
                <w:rFonts w:ascii="宋体" w:hAnsi="宋体" w:cs="宋体" w:eastAsia="宋体" w:hint="default"/>
                <w:sz w:val="24"/>
                <w:szCs w:val="24"/>
              </w:rPr>
              <w:t>预计净残值率</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76" w:right="0"/>
              <w:jc w:val="left"/>
              <w:rPr>
                <w:rFonts w:ascii="宋体" w:hAnsi="宋体" w:cs="宋体" w:eastAsia="宋体" w:hint="default"/>
                <w:sz w:val="24"/>
                <w:szCs w:val="24"/>
              </w:rPr>
            </w:pPr>
            <w:r>
              <w:rPr>
                <w:rFonts w:ascii="宋体" w:hAnsi="宋体" w:cs="宋体" w:eastAsia="宋体" w:hint="default"/>
                <w:sz w:val="24"/>
                <w:szCs w:val="24"/>
              </w:rPr>
              <w:t>年折旧率</w:t>
            </w:r>
          </w:p>
        </w:tc>
      </w:tr>
      <w:tr>
        <w:trPr>
          <w:trHeight w:val="529"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5" w:right="0"/>
              <w:jc w:val="left"/>
              <w:rPr>
                <w:rFonts w:ascii="宋体" w:hAnsi="宋体" w:cs="宋体" w:eastAsia="宋体" w:hint="default"/>
                <w:sz w:val="24"/>
                <w:szCs w:val="24"/>
              </w:rPr>
            </w:pPr>
            <w:r>
              <w:rPr>
                <w:rFonts w:ascii="宋体" w:hAnsi="宋体" w:cs="宋体" w:eastAsia="宋体" w:hint="default"/>
                <w:sz w:val="24"/>
                <w:szCs w:val="24"/>
              </w:rPr>
              <w:t>建筑物</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706" w:right="0"/>
              <w:jc w:val="left"/>
              <w:rPr>
                <w:rFonts w:ascii="宋体" w:hAnsi="宋体" w:cs="宋体" w:eastAsia="宋体" w:hint="default"/>
                <w:sz w:val="24"/>
                <w:szCs w:val="24"/>
              </w:rPr>
            </w:pPr>
            <w:r>
              <w:rPr>
                <w:rFonts w:ascii="Arial" w:hAnsi="Arial" w:cs="Arial" w:eastAsia="Arial" w:hint="default"/>
                <w:sz w:val="24"/>
                <w:szCs w:val="24"/>
              </w:rPr>
              <w:t>20</w:t>
            </w:r>
            <w:r>
              <w:rPr>
                <w:rFonts w:ascii="Arial" w:hAnsi="Arial" w:cs="Arial" w:eastAsia="Arial" w:hint="default"/>
                <w:spacing w:val="-8"/>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40</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77" w:right="0"/>
              <w:jc w:val="left"/>
              <w:rPr>
                <w:rFonts w:ascii="Arial" w:hAnsi="Arial" w:cs="Arial" w:eastAsia="Arial" w:hint="default"/>
                <w:sz w:val="24"/>
                <w:szCs w:val="24"/>
              </w:rPr>
            </w:pPr>
            <w:r>
              <w:rPr>
                <w:rFonts w:ascii="Arial"/>
                <w:sz w:val="24"/>
              </w:rPr>
              <w:t>3%</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476" w:right="0"/>
              <w:jc w:val="left"/>
              <w:rPr>
                <w:rFonts w:ascii="Arial" w:hAnsi="Arial" w:cs="Arial" w:eastAsia="Arial" w:hint="default"/>
                <w:sz w:val="24"/>
                <w:szCs w:val="24"/>
              </w:rPr>
            </w:pPr>
            <w:r>
              <w:rPr>
                <w:rFonts w:ascii="Arial" w:hAnsi="Arial" w:cs="Arial" w:eastAsia="Arial" w:hint="default"/>
                <w:sz w:val="24"/>
                <w:szCs w:val="24"/>
              </w:rPr>
              <w:t>2.43%</w:t>
            </w:r>
            <w:r>
              <w:rPr>
                <w:rFonts w:ascii="宋体" w:hAnsi="宋体" w:cs="宋体" w:eastAsia="宋体" w:hint="default"/>
                <w:sz w:val="24"/>
                <w:szCs w:val="24"/>
              </w:rPr>
              <w:t>至</w:t>
            </w:r>
            <w:r>
              <w:rPr>
                <w:rFonts w:ascii="宋体" w:hAnsi="宋体" w:cs="宋体" w:eastAsia="宋体" w:hint="default"/>
                <w:spacing w:val="-70"/>
                <w:sz w:val="24"/>
                <w:szCs w:val="24"/>
              </w:rPr>
              <w:t> </w:t>
            </w:r>
            <w:r>
              <w:rPr>
                <w:rFonts w:ascii="Arial" w:hAnsi="Arial" w:cs="Arial" w:eastAsia="Arial" w:hint="default"/>
                <w:sz w:val="24"/>
                <w:szCs w:val="24"/>
              </w:rPr>
              <w:t>4.85%</w:t>
            </w:r>
          </w:p>
        </w:tc>
      </w:tr>
    </w:tbl>
    <w:p>
      <w:pPr>
        <w:spacing w:line="240" w:lineRule="auto" w:before="10"/>
        <w:rPr>
          <w:rFonts w:ascii="宋体" w:hAnsi="宋体" w:cs="宋体" w:eastAsia="宋体" w:hint="default"/>
          <w:sz w:val="7"/>
          <w:szCs w:val="7"/>
        </w:rPr>
      </w:pPr>
    </w:p>
    <w:p>
      <w:pPr>
        <w:pStyle w:val="BodyText"/>
        <w:spacing w:line="312" w:lineRule="exact" w:before="56"/>
        <w:ind w:left="817" w:right="104"/>
        <w:jc w:val="left"/>
      </w:pPr>
      <w:r>
        <w:rPr>
          <w:spacing w:val="-3"/>
        </w:rPr>
        <w:t>投资性房地产的用途改变为自用时，自改变之日起，将该投资性房地产转换为固定资产。</w:t>
      </w:r>
      <w:r>
        <w:rPr>
          <w:spacing w:val="-105"/>
        </w:rPr>
        <w:t> </w:t>
      </w:r>
      <w:r>
        <w:rPr>
          <w:spacing w:val="-105"/>
        </w:rPr>
      </w:r>
      <w:r>
        <w:rPr/>
        <w:t>自用房地产的用途改变为赚取租金或资本增值时，自改变之日起，将固定资产转换为投</w:t>
      </w:r>
      <w:r>
        <w:rPr/>
        <w:t> 资性房地产。发生转换时，以转换前的账面价值作为转换后的入账价值。</w:t>
      </w:r>
    </w:p>
    <w:p>
      <w:pPr>
        <w:spacing w:line="240" w:lineRule="auto" w:before="1"/>
        <w:rPr>
          <w:rFonts w:ascii="宋体" w:hAnsi="宋体" w:cs="宋体" w:eastAsia="宋体" w:hint="default"/>
          <w:sz w:val="21"/>
          <w:szCs w:val="21"/>
        </w:rPr>
      </w:pPr>
    </w:p>
    <w:p>
      <w:pPr>
        <w:pStyle w:val="BodyText"/>
        <w:spacing w:line="312" w:lineRule="exact"/>
        <w:ind w:left="817" w:right="104"/>
        <w:jc w:val="left"/>
      </w:pPr>
      <w:r>
        <w:rPr/>
        <w:t>对投资性房地产的预计使用寿命、预计净残值和折旧方法于每年年度终了进行复核并作 适当调整。</w:t>
      </w:r>
    </w:p>
    <w:p>
      <w:pPr>
        <w:spacing w:line="240" w:lineRule="auto" w:before="1"/>
        <w:rPr>
          <w:rFonts w:ascii="宋体" w:hAnsi="宋体" w:cs="宋体" w:eastAsia="宋体" w:hint="default"/>
          <w:sz w:val="21"/>
          <w:szCs w:val="21"/>
        </w:rPr>
      </w:pPr>
    </w:p>
    <w:p>
      <w:pPr>
        <w:pStyle w:val="BodyText"/>
        <w:spacing w:line="312" w:lineRule="exact"/>
        <w:ind w:left="817" w:right="220"/>
        <w:jc w:val="both"/>
      </w:pPr>
      <w:r>
        <w:rPr/>
        <w:t>当投资性房地产被处置、或者永久退出使用且预计不能从其处置中取得经济利益时，终 止确认该项投资性房地产。投资性房地产出售、转让、报废或毁损的处置收入扣除其账 面价值和相关税费后计入当期损益。</w:t>
      </w:r>
    </w:p>
    <w:p>
      <w:pPr>
        <w:spacing w:line="240" w:lineRule="auto" w:before="10"/>
        <w:rPr>
          <w:rFonts w:ascii="宋体" w:hAnsi="宋体" w:cs="宋体" w:eastAsia="宋体" w:hint="default"/>
          <w:sz w:val="18"/>
          <w:szCs w:val="18"/>
        </w:rPr>
      </w:pPr>
    </w:p>
    <w:p>
      <w:pPr>
        <w:pStyle w:val="BodyText"/>
        <w:spacing w:line="322" w:lineRule="exact"/>
        <w:ind w:left="817" w:right="104"/>
        <w:jc w:val="left"/>
      </w:pPr>
      <w:r>
        <w:rPr>
          <w:spacing w:val="4"/>
        </w:rPr>
        <w:t>当投资性房地产的可收回金额低于其账面价值时，账面价值减记至可收回金额</w:t>
      </w:r>
      <w:r>
        <w:rPr>
          <w:rFonts w:ascii="Arial" w:hAnsi="Arial" w:cs="Arial" w:eastAsia="Arial" w:hint="default"/>
          <w:spacing w:val="4"/>
        </w:rPr>
        <w:t>(</w:t>
      </w:r>
      <w:r>
        <w:rPr>
          <w:spacing w:val="4"/>
        </w:rPr>
        <w:t>附注二</w:t>
      </w:r>
      <w:r>
        <w:rPr/>
      </w:r>
    </w:p>
    <w:p>
      <w:pPr>
        <w:pStyle w:val="BodyText"/>
        <w:spacing w:line="322" w:lineRule="exact"/>
        <w:ind w:left="817" w:right="104"/>
        <w:jc w:val="left"/>
      </w:pPr>
      <w:r>
        <w:rPr>
          <w:rFonts w:ascii="Arial" w:hAnsi="Arial" w:cs="Arial" w:eastAsia="Arial" w:hint="default"/>
        </w:rPr>
        <w:t>(19))</w:t>
      </w:r>
      <w:r>
        <w:rPr/>
        <w:t>。</w:t>
      </w:r>
    </w:p>
    <w:p>
      <w:pPr>
        <w:spacing w:after="0" w:line="322" w:lineRule="exact"/>
        <w:jc w:val="left"/>
        <w:sectPr>
          <w:pgSz w:w="11910" w:h="16840"/>
          <w:pgMar w:header="1475" w:footer="708" w:top="3020" w:bottom="900" w:left="1020" w:right="70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104"/>
        <w:jc w:val="left"/>
        <w:rPr>
          <w:rFonts w:ascii="Arial" w:hAnsi="Arial" w:cs="Arial" w:eastAsia="Arial" w:hint="default"/>
          <w:b w:val="0"/>
          <w:bCs w:val="0"/>
        </w:rPr>
      </w:pPr>
      <w:r>
        <w:rPr>
          <w:rFonts w:ascii="宋体" w:hAnsi="宋体" w:cs="宋体" w:eastAsia="宋体" w:hint="default"/>
          <w:b w:val="0"/>
          <w:bCs w:val="0"/>
        </w:rPr>
        <w:t>二</w:t>
        <w:tab/>
      </w:r>
      <w:r>
        <w:rPr/>
        <w:t>主要会计政策和会计估计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08"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(14)</w:t>
        <w:tab/>
      </w:r>
      <w:r>
        <w:rPr>
          <w:rFonts w:ascii="宋体" w:hAnsi="宋体" w:cs="宋体" w:eastAsia="宋体" w:hint="default"/>
          <w:b/>
          <w:bCs/>
          <w:sz w:val="24"/>
          <w:szCs w:val="24"/>
        </w:rPr>
        <w:t>固定资产</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817" w:val="left" w:leader="none"/>
        </w:tabs>
        <w:spacing w:line="448" w:lineRule="auto"/>
        <w:ind w:left="817" w:right="104" w:hanging="710"/>
        <w:jc w:val="left"/>
      </w:pPr>
      <w:r>
        <w:rPr>
          <w:rFonts w:ascii="Arial" w:hAnsi="Arial" w:cs="Arial" w:eastAsia="Arial" w:hint="default"/>
          <w:w w:val="95"/>
          <w:position w:val="2"/>
        </w:rPr>
        <w:t>(a)</w:t>
        <w:tab/>
      </w:r>
      <w:r>
        <w:rPr/>
        <w:t>固定资产确认及初始计量 固定资产包括房屋及建筑物、机器设备、运输工具、电子设备以及其他设备等。</w:t>
      </w:r>
    </w:p>
    <w:p>
      <w:pPr>
        <w:pStyle w:val="BodyText"/>
        <w:spacing w:line="312" w:lineRule="exact" w:before="96"/>
        <w:ind w:left="817" w:right="0"/>
        <w:jc w:val="left"/>
      </w:pPr>
      <w:r>
        <w:rPr>
          <w:spacing w:val="-3"/>
        </w:rPr>
        <w:t>固定资产在与其有关的经济利益很可能流入本集团、且其成本能够可靠计量时予以确认。</w:t>
      </w:r>
      <w:r>
        <w:rPr>
          <w:spacing w:val="-103"/>
        </w:rPr>
        <w:t> </w:t>
      </w:r>
      <w:r>
        <w:rPr>
          <w:spacing w:val="-103"/>
        </w:rPr>
      </w:r>
      <w:r>
        <w:rPr/>
        <w:t>购置或新建的固定资产按取得时的成本进行初始计量。</w:t>
      </w:r>
    </w:p>
    <w:p>
      <w:pPr>
        <w:spacing w:line="240" w:lineRule="auto" w:before="1"/>
        <w:rPr>
          <w:rFonts w:ascii="宋体" w:hAnsi="宋体" w:cs="宋体" w:eastAsia="宋体" w:hint="default"/>
          <w:sz w:val="21"/>
          <w:szCs w:val="21"/>
        </w:rPr>
      </w:pPr>
    </w:p>
    <w:p>
      <w:pPr>
        <w:pStyle w:val="BodyText"/>
        <w:spacing w:line="312" w:lineRule="exact"/>
        <w:ind w:left="817" w:right="226"/>
        <w:jc w:val="both"/>
      </w:pPr>
      <w:r>
        <w:rPr/>
        <w:t>与固定资产有关的后续支出，在与其有关的经济利益很可能流入本集团且其成本能够可 靠计量时，计入固定资产成本；对于被替换的部分，终止确认其账面价值；所有其他后 续支出于发生时计入当期损益。</w:t>
      </w:r>
    </w:p>
    <w:p>
      <w:pPr>
        <w:pStyle w:val="BodyText"/>
        <w:tabs>
          <w:tab w:pos="817" w:val="left" w:leader="none"/>
        </w:tabs>
        <w:spacing w:line="240" w:lineRule="auto" w:before="210"/>
        <w:ind w:left="107" w:right="104"/>
        <w:jc w:val="left"/>
      </w:pPr>
      <w:r>
        <w:rPr>
          <w:rFonts w:ascii="Arial" w:hAnsi="Arial" w:cs="Arial" w:eastAsia="Arial" w:hint="default"/>
          <w:w w:val="95"/>
          <w:position w:val="2"/>
        </w:rPr>
        <w:t>(b)</w:t>
        <w:tab/>
      </w:r>
      <w:r>
        <w:rPr/>
        <w:t>固定资产的折旧方法</w:t>
      </w:r>
    </w:p>
    <w:p>
      <w:pPr>
        <w:spacing w:line="240" w:lineRule="auto" w:before="4"/>
        <w:rPr>
          <w:rFonts w:ascii="宋体" w:hAnsi="宋体" w:cs="宋体" w:eastAsia="宋体" w:hint="default"/>
          <w:sz w:val="23"/>
          <w:szCs w:val="23"/>
        </w:rPr>
      </w:pPr>
    </w:p>
    <w:p>
      <w:pPr>
        <w:pStyle w:val="BodyText"/>
        <w:spacing w:line="312" w:lineRule="exact"/>
        <w:ind w:left="817" w:right="218"/>
        <w:jc w:val="both"/>
      </w:pPr>
      <w:r>
        <w:rPr>
          <w:spacing w:val="7"/>
        </w:rPr>
        <w:t>固定资产折旧采用年限平均法并按其入账价值减去预计净残值后在预计使用寿命内计 </w:t>
      </w:r>
      <w:r>
        <w:rPr/>
        <w:t>提。对计提了减值准备的固定资产，则在未来期间按扣除减值准备后的账面价值及依据</w:t>
      </w:r>
      <w:r>
        <w:rPr/>
        <w:t> 尚可使用年限确定折旧额。</w:t>
      </w:r>
    </w:p>
    <w:p>
      <w:pPr>
        <w:spacing w:line="240" w:lineRule="auto" w:before="10"/>
        <w:rPr>
          <w:rFonts w:ascii="宋体" w:hAnsi="宋体" w:cs="宋体" w:eastAsia="宋体" w:hint="default"/>
          <w:sz w:val="18"/>
          <w:szCs w:val="18"/>
        </w:rPr>
      </w:pPr>
    </w:p>
    <w:p>
      <w:pPr>
        <w:pStyle w:val="BodyText"/>
        <w:spacing w:line="240" w:lineRule="auto"/>
        <w:ind w:left="817" w:right="0"/>
        <w:jc w:val="both"/>
      </w:pPr>
      <w:r>
        <w:rPr/>
        <w:t>固定资产的预计使用寿命、净残值率及年折旧率列示如下：</w:t>
      </w:r>
    </w:p>
    <w:p>
      <w:pPr>
        <w:spacing w:line="240" w:lineRule="auto" w:before="12"/>
        <w:rPr>
          <w:rFonts w:ascii="宋体" w:hAnsi="宋体" w:cs="宋体" w:eastAsia="宋体" w:hint="default"/>
          <w:sz w:val="18"/>
          <w:szCs w:val="18"/>
        </w:rPr>
      </w:pPr>
    </w:p>
    <w:tbl>
      <w:tblPr>
        <w:tblW w:w="0" w:type="auto"/>
        <w:jc w:val="left"/>
        <w:tblInd w:w="782" w:type="dxa"/>
        <w:tblLayout w:type="fixed"/>
        <w:tblCellMar>
          <w:top w:w="0" w:type="dxa"/>
          <w:left w:w="0" w:type="dxa"/>
          <w:bottom w:w="0" w:type="dxa"/>
          <w:right w:w="0" w:type="dxa"/>
        </w:tblCellMar>
        <w:tblLook w:val="01E0"/>
      </w:tblPr>
      <w:tblGrid>
        <w:gridCol w:w="2597"/>
        <w:gridCol w:w="2754"/>
        <w:gridCol w:w="1790"/>
        <w:gridCol w:w="2120"/>
      </w:tblGrid>
      <w:tr>
        <w:trPr>
          <w:trHeight w:val="967"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21" w:right="0"/>
              <w:jc w:val="left"/>
              <w:rPr>
                <w:rFonts w:ascii="宋体" w:hAnsi="宋体" w:cs="宋体" w:eastAsia="宋体" w:hint="default"/>
                <w:sz w:val="24"/>
                <w:szCs w:val="24"/>
              </w:rPr>
            </w:pPr>
            <w:r>
              <w:rPr>
                <w:rFonts w:ascii="宋体" w:hAnsi="宋体" w:cs="宋体" w:eastAsia="宋体" w:hint="default"/>
                <w:sz w:val="24"/>
                <w:szCs w:val="24"/>
              </w:rPr>
              <w:t>预计使用寿命</w:t>
            </w: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122" w:right="0"/>
              <w:jc w:val="left"/>
              <w:rPr>
                <w:rFonts w:ascii="宋体" w:hAnsi="宋体" w:cs="宋体" w:eastAsia="宋体" w:hint="default"/>
                <w:sz w:val="24"/>
                <w:szCs w:val="24"/>
              </w:rPr>
            </w:pPr>
            <w:r>
              <w:rPr>
                <w:rFonts w:ascii="Arial" w:hAnsi="Arial" w:cs="Arial" w:eastAsia="Arial" w:hint="default"/>
                <w:sz w:val="24"/>
                <w:szCs w:val="24"/>
              </w:rPr>
              <w:t>20</w:t>
            </w:r>
            <w:r>
              <w:rPr>
                <w:rFonts w:ascii="Arial" w:hAnsi="Arial" w:cs="Arial" w:eastAsia="Arial" w:hint="default"/>
                <w:spacing w:val="-8"/>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40</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91" w:right="0"/>
              <w:jc w:val="left"/>
              <w:rPr>
                <w:rFonts w:ascii="宋体" w:hAnsi="宋体" w:cs="宋体" w:eastAsia="宋体" w:hint="default"/>
                <w:sz w:val="24"/>
                <w:szCs w:val="24"/>
              </w:rPr>
            </w:pPr>
            <w:r>
              <w:rPr>
                <w:rFonts w:ascii="宋体" w:hAnsi="宋体" w:cs="宋体" w:eastAsia="宋体" w:hint="default"/>
                <w:sz w:val="24"/>
                <w:szCs w:val="24"/>
              </w:rPr>
              <w:t>预计净残值率</w:t>
            </w: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91" w:right="0"/>
              <w:jc w:val="left"/>
              <w:rPr>
                <w:rFonts w:ascii="Arial" w:hAnsi="Arial" w:cs="Arial" w:eastAsia="Arial" w:hint="default"/>
                <w:sz w:val="24"/>
                <w:szCs w:val="24"/>
              </w:rPr>
            </w:pPr>
            <w:r>
              <w:rPr>
                <w:rFonts w:ascii="Arial"/>
                <w:sz w:val="24"/>
              </w:rPr>
              <w:t>3%</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8" w:right="0"/>
              <w:jc w:val="left"/>
              <w:rPr>
                <w:rFonts w:ascii="宋体" w:hAnsi="宋体" w:cs="宋体" w:eastAsia="宋体" w:hint="default"/>
                <w:sz w:val="24"/>
                <w:szCs w:val="24"/>
              </w:rPr>
            </w:pPr>
            <w:r>
              <w:rPr>
                <w:rFonts w:ascii="宋体" w:hAnsi="宋体" w:cs="宋体" w:eastAsia="宋体" w:hint="default"/>
                <w:sz w:val="24"/>
                <w:szCs w:val="24"/>
              </w:rPr>
              <w:t>年折旧率</w:t>
            </w: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58" w:right="0"/>
              <w:jc w:val="left"/>
              <w:rPr>
                <w:rFonts w:ascii="Arial" w:hAnsi="Arial" w:cs="Arial" w:eastAsia="Arial" w:hint="default"/>
                <w:sz w:val="24"/>
                <w:szCs w:val="24"/>
              </w:rPr>
            </w:pPr>
            <w:r>
              <w:rPr>
                <w:rFonts w:ascii="Arial" w:hAnsi="Arial" w:cs="Arial" w:eastAsia="Arial" w:hint="default"/>
                <w:sz w:val="24"/>
                <w:szCs w:val="24"/>
              </w:rPr>
              <w:t>2.43%</w:t>
            </w:r>
            <w:r>
              <w:rPr>
                <w:rFonts w:ascii="宋体" w:hAnsi="宋体" w:cs="宋体" w:eastAsia="宋体" w:hint="default"/>
                <w:sz w:val="24"/>
                <w:szCs w:val="24"/>
              </w:rPr>
              <w:t>至</w:t>
            </w:r>
            <w:r>
              <w:rPr>
                <w:rFonts w:ascii="宋体" w:hAnsi="宋体" w:cs="宋体" w:eastAsia="宋体" w:hint="default"/>
                <w:spacing w:val="-65"/>
                <w:sz w:val="24"/>
                <w:szCs w:val="24"/>
              </w:rPr>
              <w:t> </w:t>
            </w:r>
            <w:r>
              <w:rPr>
                <w:rFonts w:ascii="Arial" w:hAnsi="Arial" w:cs="Arial" w:eastAsia="Arial" w:hint="default"/>
                <w:sz w:val="24"/>
                <w:szCs w:val="24"/>
              </w:rPr>
              <w:t>4.85%</w:t>
            </w:r>
          </w:p>
        </w:tc>
      </w:tr>
      <w:tr>
        <w:trPr>
          <w:trHeight w:val="312"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10</w:t>
            </w:r>
            <w:r>
              <w:rPr>
                <w:rFonts w:ascii="Arial" w:hAnsi="Arial" w:cs="Arial" w:eastAsia="Arial" w:hint="default"/>
                <w:spacing w:val="-9"/>
                <w:sz w:val="24"/>
                <w:szCs w:val="24"/>
              </w:rPr>
              <w:t> </w:t>
            </w:r>
            <w:r>
              <w:rPr>
                <w:rFonts w:ascii="宋体" w:hAnsi="宋体" w:cs="宋体" w:eastAsia="宋体" w:hint="default"/>
                <w:sz w:val="24"/>
                <w:szCs w:val="24"/>
              </w:rPr>
              <w:t>年</w:t>
            </w:r>
          </w:p>
        </w:tc>
        <w:tc>
          <w:tcPr>
            <w:tcW w:w="1790" w:type="dxa"/>
            <w:tcBorders>
              <w:top w:val="nil" w:sz="6" w:space="0" w:color="auto"/>
              <w:left w:val="nil" w:sz="6" w:space="0" w:color="auto"/>
              <w:bottom w:val="nil" w:sz="6" w:space="0" w:color="auto"/>
              <w:right w:val="nil" w:sz="6" w:space="0" w:color="auto"/>
            </w:tcBorders>
          </w:tcPr>
          <w:p>
            <w:pPr>
              <w:pStyle w:val="TableParagraph"/>
              <w:spacing w:line="272" w:lineRule="exact"/>
              <w:ind w:left="191" w:right="0"/>
              <w:jc w:val="left"/>
              <w:rPr>
                <w:rFonts w:ascii="Arial" w:hAnsi="Arial" w:cs="Arial" w:eastAsia="Arial" w:hint="default"/>
                <w:sz w:val="24"/>
                <w:szCs w:val="24"/>
              </w:rPr>
            </w:pPr>
            <w:r>
              <w:rPr>
                <w:rFonts w:ascii="Arial"/>
                <w:sz w:val="24"/>
              </w:rPr>
              <w:t>3%</w:t>
            </w:r>
          </w:p>
        </w:tc>
        <w:tc>
          <w:tcPr>
            <w:tcW w:w="2120" w:type="dxa"/>
            <w:tcBorders>
              <w:top w:val="nil" w:sz="6" w:space="0" w:color="auto"/>
              <w:left w:val="nil" w:sz="6" w:space="0" w:color="auto"/>
              <w:bottom w:val="nil" w:sz="6" w:space="0" w:color="auto"/>
              <w:right w:val="nil" w:sz="6" w:space="0" w:color="auto"/>
            </w:tcBorders>
          </w:tcPr>
          <w:p>
            <w:pPr>
              <w:pStyle w:val="TableParagraph"/>
              <w:spacing w:line="272" w:lineRule="exact"/>
              <w:ind w:left="158" w:right="0"/>
              <w:jc w:val="left"/>
              <w:rPr>
                <w:rFonts w:ascii="Arial" w:hAnsi="Arial" w:cs="Arial" w:eastAsia="Arial" w:hint="default"/>
                <w:sz w:val="24"/>
                <w:szCs w:val="24"/>
              </w:rPr>
            </w:pPr>
            <w:r>
              <w:rPr>
                <w:rFonts w:ascii="Arial"/>
                <w:sz w:val="24"/>
              </w:rPr>
              <w:t>9.70%</w:t>
            </w:r>
          </w:p>
        </w:tc>
      </w:tr>
      <w:tr>
        <w:trPr>
          <w:trHeight w:val="312"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790" w:type="dxa"/>
            <w:tcBorders>
              <w:top w:val="nil" w:sz="6" w:space="0" w:color="auto"/>
              <w:left w:val="nil" w:sz="6" w:space="0" w:color="auto"/>
              <w:bottom w:val="nil" w:sz="6" w:space="0" w:color="auto"/>
              <w:right w:val="nil" w:sz="6" w:space="0" w:color="auto"/>
            </w:tcBorders>
          </w:tcPr>
          <w:p>
            <w:pPr>
              <w:pStyle w:val="TableParagraph"/>
              <w:spacing w:line="272" w:lineRule="exact"/>
              <w:ind w:left="191" w:right="0"/>
              <w:jc w:val="left"/>
              <w:rPr>
                <w:rFonts w:ascii="Arial" w:hAnsi="Arial" w:cs="Arial" w:eastAsia="Arial" w:hint="default"/>
                <w:sz w:val="24"/>
                <w:szCs w:val="24"/>
              </w:rPr>
            </w:pPr>
            <w:r>
              <w:rPr>
                <w:rFonts w:ascii="Arial"/>
                <w:sz w:val="24"/>
              </w:rPr>
              <w:t>3%</w:t>
            </w:r>
          </w:p>
        </w:tc>
        <w:tc>
          <w:tcPr>
            <w:tcW w:w="2120" w:type="dxa"/>
            <w:tcBorders>
              <w:top w:val="nil" w:sz="6" w:space="0" w:color="auto"/>
              <w:left w:val="nil" w:sz="6" w:space="0" w:color="auto"/>
              <w:bottom w:val="nil" w:sz="6" w:space="0" w:color="auto"/>
              <w:right w:val="nil" w:sz="6" w:space="0" w:color="auto"/>
            </w:tcBorders>
          </w:tcPr>
          <w:p>
            <w:pPr>
              <w:pStyle w:val="TableParagraph"/>
              <w:spacing w:line="272" w:lineRule="exact"/>
              <w:ind w:left="158" w:right="0"/>
              <w:jc w:val="left"/>
              <w:rPr>
                <w:rFonts w:ascii="Arial" w:hAnsi="Arial" w:cs="Arial" w:eastAsia="Arial" w:hint="default"/>
                <w:sz w:val="24"/>
                <w:szCs w:val="24"/>
              </w:rPr>
            </w:pPr>
            <w:r>
              <w:rPr>
                <w:rFonts w:ascii="Arial"/>
                <w:sz w:val="24"/>
              </w:rPr>
              <w:t>19.40%</w:t>
            </w:r>
          </w:p>
        </w:tc>
      </w:tr>
      <w:tr>
        <w:trPr>
          <w:trHeight w:val="312"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790" w:type="dxa"/>
            <w:tcBorders>
              <w:top w:val="nil" w:sz="6" w:space="0" w:color="auto"/>
              <w:left w:val="nil" w:sz="6" w:space="0" w:color="auto"/>
              <w:bottom w:val="nil" w:sz="6" w:space="0" w:color="auto"/>
              <w:right w:val="nil" w:sz="6" w:space="0" w:color="auto"/>
            </w:tcBorders>
          </w:tcPr>
          <w:p>
            <w:pPr>
              <w:pStyle w:val="TableParagraph"/>
              <w:spacing w:line="272" w:lineRule="exact"/>
              <w:ind w:left="191" w:right="0"/>
              <w:jc w:val="left"/>
              <w:rPr>
                <w:rFonts w:ascii="Arial" w:hAnsi="Arial" w:cs="Arial" w:eastAsia="Arial" w:hint="default"/>
                <w:sz w:val="24"/>
                <w:szCs w:val="24"/>
              </w:rPr>
            </w:pPr>
            <w:r>
              <w:rPr>
                <w:rFonts w:ascii="Arial"/>
                <w:sz w:val="24"/>
              </w:rPr>
              <w:t>3%</w:t>
            </w:r>
          </w:p>
        </w:tc>
        <w:tc>
          <w:tcPr>
            <w:tcW w:w="2120" w:type="dxa"/>
            <w:tcBorders>
              <w:top w:val="nil" w:sz="6" w:space="0" w:color="auto"/>
              <w:left w:val="nil" w:sz="6" w:space="0" w:color="auto"/>
              <w:bottom w:val="nil" w:sz="6" w:space="0" w:color="auto"/>
              <w:right w:val="nil" w:sz="6" w:space="0" w:color="auto"/>
            </w:tcBorders>
          </w:tcPr>
          <w:p>
            <w:pPr>
              <w:pStyle w:val="TableParagraph"/>
              <w:spacing w:line="290" w:lineRule="exact"/>
              <w:ind w:left="158" w:right="0"/>
              <w:jc w:val="left"/>
              <w:rPr>
                <w:rFonts w:ascii="Arial" w:hAnsi="Arial" w:cs="Arial" w:eastAsia="Arial" w:hint="default"/>
                <w:sz w:val="24"/>
                <w:szCs w:val="24"/>
              </w:rPr>
            </w:pPr>
            <w:r>
              <w:rPr>
                <w:rFonts w:ascii="Arial" w:hAnsi="Arial" w:cs="Arial" w:eastAsia="Arial" w:hint="default"/>
                <w:sz w:val="24"/>
                <w:szCs w:val="24"/>
              </w:rPr>
              <w:t>19.40%</w:t>
            </w:r>
            <w:r>
              <w:rPr>
                <w:rFonts w:ascii="宋体" w:hAnsi="宋体" w:cs="宋体" w:eastAsia="宋体" w:hint="default"/>
                <w:sz w:val="24"/>
                <w:szCs w:val="24"/>
              </w:rPr>
              <w:t>至</w:t>
            </w:r>
            <w:r>
              <w:rPr>
                <w:rFonts w:ascii="宋体" w:hAnsi="宋体" w:cs="宋体" w:eastAsia="宋体" w:hint="default"/>
                <w:spacing w:val="-72"/>
                <w:sz w:val="24"/>
                <w:szCs w:val="24"/>
              </w:rPr>
              <w:t> </w:t>
            </w:r>
            <w:r>
              <w:rPr>
                <w:rFonts w:ascii="Arial" w:hAnsi="Arial" w:cs="Arial" w:eastAsia="Arial" w:hint="default"/>
                <w:sz w:val="24"/>
                <w:szCs w:val="24"/>
              </w:rPr>
              <w:t>32.33%</w:t>
            </w:r>
          </w:p>
        </w:tc>
      </w:tr>
      <w:tr>
        <w:trPr>
          <w:trHeight w:val="385"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73"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790" w:type="dxa"/>
            <w:tcBorders>
              <w:top w:val="nil" w:sz="6" w:space="0" w:color="auto"/>
              <w:left w:val="nil" w:sz="6" w:space="0" w:color="auto"/>
              <w:bottom w:val="nil" w:sz="6" w:space="0" w:color="auto"/>
              <w:right w:val="nil" w:sz="6" w:space="0" w:color="auto"/>
            </w:tcBorders>
          </w:tcPr>
          <w:p>
            <w:pPr>
              <w:pStyle w:val="TableParagraph"/>
              <w:spacing w:line="272" w:lineRule="exact"/>
              <w:ind w:left="191" w:right="0"/>
              <w:jc w:val="left"/>
              <w:rPr>
                <w:rFonts w:ascii="Arial" w:hAnsi="Arial" w:cs="Arial" w:eastAsia="Arial" w:hint="default"/>
                <w:sz w:val="24"/>
                <w:szCs w:val="24"/>
              </w:rPr>
            </w:pPr>
            <w:r>
              <w:rPr>
                <w:rFonts w:ascii="Arial"/>
                <w:sz w:val="24"/>
              </w:rPr>
              <w:t>3%</w:t>
            </w:r>
          </w:p>
        </w:tc>
        <w:tc>
          <w:tcPr>
            <w:tcW w:w="2120" w:type="dxa"/>
            <w:tcBorders>
              <w:top w:val="nil" w:sz="6" w:space="0" w:color="auto"/>
              <w:left w:val="nil" w:sz="6" w:space="0" w:color="auto"/>
              <w:bottom w:val="nil" w:sz="6" w:space="0" w:color="auto"/>
              <w:right w:val="nil" w:sz="6" w:space="0" w:color="auto"/>
            </w:tcBorders>
          </w:tcPr>
          <w:p>
            <w:pPr>
              <w:pStyle w:val="TableParagraph"/>
              <w:spacing w:line="272" w:lineRule="exact"/>
              <w:ind w:left="158" w:right="0"/>
              <w:jc w:val="left"/>
              <w:rPr>
                <w:rFonts w:ascii="Arial" w:hAnsi="Arial" w:cs="Arial" w:eastAsia="Arial" w:hint="default"/>
                <w:sz w:val="24"/>
                <w:szCs w:val="24"/>
              </w:rPr>
            </w:pPr>
            <w:r>
              <w:rPr>
                <w:rFonts w:ascii="Arial"/>
                <w:sz w:val="24"/>
              </w:rPr>
              <w:t>19.40%</w:t>
            </w:r>
          </w:p>
        </w:tc>
      </w:tr>
    </w:tbl>
    <w:p>
      <w:pPr>
        <w:spacing w:line="240" w:lineRule="auto" w:before="5"/>
        <w:rPr>
          <w:rFonts w:ascii="宋体" w:hAnsi="宋体" w:cs="宋体" w:eastAsia="宋体" w:hint="default"/>
          <w:sz w:val="10"/>
          <w:szCs w:val="10"/>
        </w:rPr>
      </w:pPr>
    </w:p>
    <w:p>
      <w:pPr>
        <w:pStyle w:val="BodyText"/>
        <w:spacing w:line="312" w:lineRule="exact" w:before="56"/>
        <w:ind w:left="817" w:right="104"/>
        <w:jc w:val="left"/>
      </w:pPr>
      <w:r>
        <w:rPr/>
        <w:t>对固定资产的预计使用寿命、预计净残值和折旧方法于每年年度终了进行复核并作适当 调整。</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0"/>
        <w:jc w:val="left"/>
      </w:pPr>
      <w:r>
        <w:rPr>
          <w:rFonts w:ascii="Arial" w:hAnsi="Arial" w:cs="Arial" w:eastAsia="Arial" w:hint="default"/>
          <w:position w:val="2"/>
        </w:rPr>
        <w:t>(c)</w:t>
        <w:tab/>
      </w:r>
      <w:r>
        <w:rPr/>
        <w:t>当固定资产的可收回金额低于其账面价值时，账面价值减记至可收回金额</w:t>
      </w:r>
      <w:r>
        <w:rPr>
          <w:rFonts w:ascii="Arial" w:hAnsi="Arial" w:cs="Arial" w:eastAsia="Arial" w:hint="default"/>
        </w:rPr>
        <w:t>(</w:t>
      </w:r>
      <w:r>
        <w:rPr/>
        <w:t>附注二</w:t>
      </w:r>
      <w:r>
        <w:rPr>
          <w:rFonts w:ascii="Arial" w:hAnsi="Arial" w:cs="Arial" w:eastAsia="Arial" w:hint="default"/>
        </w:rPr>
        <w:t>(19))</w:t>
      </w:r>
      <w:r>
        <w:rPr/>
        <w:t>。</w:t>
      </w:r>
    </w:p>
    <w:p>
      <w:pPr>
        <w:spacing w:after="0" w:line="240" w:lineRule="auto"/>
        <w:jc w:val="left"/>
        <w:sectPr>
          <w:pgSz w:w="11910" w:h="16840"/>
          <w:pgMar w:header="1475" w:footer="708" w:top="3020" w:bottom="900" w:left="1020" w:right="70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497"/>
        <w:jc w:val="left"/>
        <w:rPr>
          <w:rFonts w:ascii="Arial" w:hAnsi="Arial" w:cs="Arial" w:eastAsia="Arial" w:hint="default"/>
          <w:b w:val="0"/>
          <w:bCs w:val="0"/>
        </w:rPr>
      </w:pPr>
      <w:r>
        <w:rPr>
          <w:w w:val="95"/>
        </w:rPr>
        <w:t>二</w:t>
        <w:tab/>
      </w:r>
      <w:r>
        <w:rPr/>
        <w:t>主要会计政策和会计估计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08" w:right="497" w:firstLine="0"/>
        <w:jc w:val="left"/>
        <w:rPr>
          <w:rFonts w:ascii="Arial" w:hAnsi="Arial" w:cs="Arial" w:eastAsia="Arial" w:hint="default"/>
          <w:sz w:val="24"/>
          <w:szCs w:val="24"/>
        </w:rPr>
      </w:pPr>
      <w:r>
        <w:rPr>
          <w:rFonts w:ascii="Arial" w:hAnsi="Arial" w:cs="Arial" w:eastAsia="Arial" w:hint="default"/>
          <w:w w:val="95"/>
          <w:position w:val="2"/>
          <w:sz w:val="24"/>
          <w:szCs w:val="24"/>
        </w:rPr>
        <w:t>(14)</w:t>
        <w:tab/>
      </w:r>
      <w:r>
        <w:rPr>
          <w:rFonts w:ascii="宋体" w:hAnsi="宋体" w:cs="宋体" w:eastAsia="宋体" w:hint="default"/>
          <w:b/>
          <w:bCs/>
          <w:sz w:val="24"/>
          <w:szCs w:val="24"/>
        </w:rPr>
        <w:t>固定资产</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8" w:right="497"/>
        <w:jc w:val="left"/>
      </w:pPr>
      <w:r>
        <w:rPr>
          <w:rFonts w:ascii="Arial" w:hAnsi="Arial" w:cs="Arial" w:eastAsia="Arial" w:hint="default"/>
          <w:w w:val="95"/>
          <w:position w:val="2"/>
        </w:rPr>
        <w:t>(d)</w:t>
        <w:tab/>
      </w:r>
      <w:r>
        <w:rPr/>
        <w:t>固定资产的处置</w:t>
      </w:r>
    </w:p>
    <w:p>
      <w:pPr>
        <w:spacing w:line="240" w:lineRule="auto" w:before="4"/>
        <w:rPr>
          <w:rFonts w:ascii="宋体" w:hAnsi="宋体" w:cs="宋体" w:eastAsia="宋体" w:hint="default"/>
          <w:sz w:val="23"/>
          <w:szCs w:val="23"/>
        </w:rPr>
      </w:pPr>
    </w:p>
    <w:p>
      <w:pPr>
        <w:pStyle w:val="BodyText"/>
        <w:spacing w:line="312" w:lineRule="exact"/>
        <w:ind w:left="817" w:right="106"/>
        <w:jc w:val="both"/>
      </w:pPr>
      <w:r>
        <w:rPr/>
        <w:t>当固定资产被处置、或者预期通过使用或处置不能产生经济利益时，终止确认该固定资 产。固定资产出售、转让、报废或毁损的处置收入扣除其账面价值和相关税费后的金额 计入当期损益。</w:t>
      </w:r>
    </w:p>
    <w:p>
      <w:pPr>
        <w:spacing w:line="240" w:lineRule="auto" w:before="10"/>
        <w:rPr>
          <w:rFonts w:ascii="宋体" w:hAnsi="宋体" w:cs="宋体" w:eastAsia="宋体" w:hint="default"/>
          <w:sz w:val="18"/>
          <w:szCs w:val="18"/>
        </w:rPr>
      </w:pPr>
    </w:p>
    <w:p>
      <w:pPr>
        <w:tabs>
          <w:tab w:pos="817" w:val="left" w:leader="none"/>
        </w:tabs>
        <w:spacing w:before="0"/>
        <w:ind w:left="108" w:right="497" w:firstLine="0"/>
        <w:jc w:val="left"/>
        <w:rPr>
          <w:rFonts w:ascii="宋体" w:hAnsi="宋体" w:cs="宋体" w:eastAsia="宋体" w:hint="default"/>
          <w:sz w:val="24"/>
          <w:szCs w:val="24"/>
        </w:rPr>
      </w:pPr>
      <w:r>
        <w:rPr>
          <w:rFonts w:ascii="Arial" w:hAnsi="Arial" w:cs="Arial" w:eastAsia="Arial" w:hint="default"/>
          <w:w w:val="95"/>
          <w:position w:val="2"/>
          <w:sz w:val="24"/>
          <w:szCs w:val="24"/>
        </w:rPr>
        <w:t>(15)</w:t>
        <w:tab/>
      </w:r>
      <w:r>
        <w:rPr>
          <w:rFonts w:ascii="宋体" w:hAnsi="宋体" w:cs="宋体" w:eastAsia="宋体" w:hint="default"/>
          <w:b/>
          <w:bCs/>
          <w:sz w:val="24"/>
          <w:szCs w:val="24"/>
        </w:rPr>
        <w:t>在建工程</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17" w:right="106"/>
        <w:jc w:val="both"/>
      </w:pPr>
      <w:r>
        <w:rPr/>
        <w:t>在建工程按实际发生的成本计量。实际成本包括建筑成本、安装成本、符合资本化条件 的借款费用以及其他为使在建工程达到预定可使用状态所发生的必要支出。在建工程在 达到预定可使用状态时，转入固定资产并自次月起开始计提折旧。当在建工程的可收回 金额低于其账面价值时，账面价值减记至可收回金额</w:t>
      </w:r>
      <w:r>
        <w:rPr>
          <w:rFonts w:ascii="Arial" w:hAnsi="Arial" w:cs="Arial" w:eastAsia="Arial" w:hint="default"/>
        </w:rPr>
        <w:t>(</w:t>
      </w:r>
      <w:r>
        <w:rPr/>
        <w:t>附注二</w:t>
      </w:r>
      <w:r>
        <w:rPr>
          <w:rFonts w:ascii="Arial" w:hAnsi="Arial" w:cs="Arial" w:eastAsia="Arial" w:hint="default"/>
        </w:rPr>
        <w:t>(19))</w:t>
      </w:r>
      <w:r>
        <w:rPr/>
        <w:t>。</w:t>
      </w:r>
    </w:p>
    <w:p>
      <w:pPr>
        <w:tabs>
          <w:tab w:pos="817" w:val="left" w:leader="none"/>
        </w:tabs>
        <w:spacing w:before="210"/>
        <w:ind w:left="107" w:right="497" w:firstLine="0"/>
        <w:jc w:val="left"/>
        <w:rPr>
          <w:rFonts w:ascii="宋体" w:hAnsi="宋体" w:cs="宋体" w:eastAsia="宋体" w:hint="default"/>
          <w:sz w:val="24"/>
          <w:szCs w:val="24"/>
        </w:rPr>
      </w:pPr>
      <w:r>
        <w:rPr>
          <w:rFonts w:ascii="Arial" w:hAnsi="Arial" w:cs="Arial" w:eastAsia="Arial" w:hint="default"/>
          <w:w w:val="95"/>
          <w:position w:val="2"/>
          <w:sz w:val="24"/>
          <w:szCs w:val="24"/>
        </w:rPr>
        <w:t>(16)</w:t>
        <w:tab/>
      </w:r>
      <w:r>
        <w:rPr>
          <w:rFonts w:ascii="宋体" w:hAnsi="宋体" w:cs="宋体" w:eastAsia="宋体" w:hint="default"/>
          <w:b/>
          <w:bCs/>
          <w:sz w:val="24"/>
          <w:szCs w:val="24"/>
        </w:rPr>
        <w:t>借款费用</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17" w:right="104"/>
        <w:jc w:val="both"/>
      </w:pPr>
      <w:r>
        <w:rPr/>
        <w:t>发生的可直接归属于需要经过相当长时间的购建活动才能达到预定可使用状态之固定资 产的购建的借款费用，在资产支出及借款费用已经发生、为使资产达到预定可使用状态 所必要的购建活动已经开始时，开始资本化并计入该资产的成本。当购建的资产达到预 定可使用状态时停止资本化，其后发生的借款费用计入当期损益。如果资产的购建活动 发生非正常中断，并且中断时间连续超过</w:t>
      </w:r>
      <w:r>
        <w:rPr>
          <w:spacing w:val="-57"/>
        </w:rPr>
        <w:t> </w:t>
      </w:r>
      <w:r>
        <w:rPr>
          <w:rFonts w:ascii="Arial" w:hAnsi="Arial" w:cs="Arial" w:eastAsia="Arial" w:hint="default"/>
        </w:rPr>
        <w:t>3</w:t>
      </w:r>
      <w:r>
        <w:rPr>
          <w:rFonts w:ascii="Arial" w:hAnsi="Arial" w:cs="Arial" w:eastAsia="Arial" w:hint="default"/>
          <w:spacing w:val="-4"/>
        </w:rPr>
        <w:t> </w:t>
      </w:r>
      <w:r>
        <w:rPr/>
        <w:t>个月，暂停借款费用的资本化，直至资产的 购建活动重新开始。</w:t>
      </w:r>
    </w:p>
    <w:p>
      <w:pPr>
        <w:spacing w:line="240" w:lineRule="auto" w:before="10"/>
        <w:rPr>
          <w:rFonts w:ascii="宋体" w:hAnsi="宋体" w:cs="宋体" w:eastAsia="宋体" w:hint="default"/>
          <w:sz w:val="18"/>
          <w:szCs w:val="18"/>
        </w:rPr>
      </w:pPr>
    </w:p>
    <w:p>
      <w:pPr>
        <w:tabs>
          <w:tab w:pos="817" w:val="left" w:leader="none"/>
        </w:tabs>
        <w:spacing w:before="0"/>
        <w:ind w:left="108" w:right="497" w:firstLine="0"/>
        <w:jc w:val="left"/>
        <w:rPr>
          <w:rFonts w:ascii="宋体" w:hAnsi="宋体" w:cs="宋体" w:eastAsia="宋体" w:hint="default"/>
          <w:sz w:val="24"/>
          <w:szCs w:val="24"/>
        </w:rPr>
      </w:pPr>
      <w:r>
        <w:rPr>
          <w:rFonts w:ascii="Arial" w:hAnsi="Arial" w:cs="Arial" w:eastAsia="Arial" w:hint="default"/>
          <w:w w:val="95"/>
          <w:position w:val="2"/>
          <w:sz w:val="24"/>
          <w:szCs w:val="24"/>
        </w:rPr>
        <w:t>(17)</w:t>
        <w:tab/>
      </w:r>
      <w:r>
        <w:rPr>
          <w:rFonts w:ascii="宋体" w:hAnsi="宋体" w:cs="宋体" w:eastAsia="宋体" w:hint="default"/>
          <w:b/>
          <w:bCs/>
          <w:sz w:val="24"/>
          <w:szCs w:val="24"/>
        </w:rPr>
        <w:t>无形资产</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spacing w:line="240" w:lineRule="auto"/>
        <w:ind w:left="817" w:right="0"/>
        <w:jc w:val="both"/>
      </w:pPr>
      <w:r>
        <w:rPr/>
        <w:t>无形资产包括土地使用权、软件及优惠承租权等。</w:t>
      </w:r>
    </w:p>
    <w:p>
      <w:pPr>
        <w:spacing w:line="240" w:lineRule="auto" w:before="12"/>
        <w:rPr>
          <w:rFonts w:ascii="宋体" w:hAnsi="宋体" w:cs="宋体" w:eastAsia="宋体" w:hint="default"/>
          <w:sz w:val="20"/>
          <w:szCs w:val="20"/>
        </w:rPr>
      </w:pPr>
    </w:p>
    <w:p>
      <w:pPr>
        <w:pStyle w:val="BodyText"/>
        <w:tabs>
          <w:tab w:pos="817" w:val="left" w:leader="none"/>
        </w:tabs>
        <w:spacing w:line="240" w:lineRule="auto"/>
        <w:ind w:left="108" w:right="497"/>
        <w:jc w:val="left"/>
      </w:pPr>
      <w:r>
        <w:rPr>
          <w:rFonts w:ascii="Arial" w:hAnsi="Arial" w:cs="Arial" w:eastAsia="Arial" w:hint="default"/>
          <w:w w:val="95"/>
          <w:position w:val="2"/>
        </w:rPr>
        <w:t>(a)</w:t>
        <w:tab/>
      </w:r>
      <w:r>
        <w:rPr/>
        <w:t>土地使用权</w:t>
      </w:r>
    </w:p>
    <w:p>
      <w:pPr>
        <w:spacing w:line="240" w:lineRule="auto" w:before="4"/>
        <w:rPr>
          <w:rFonts w:ascii="宋体" w:hAnsi="宋体" w:cs="宋体" w:eastAsia="宋体" w:hint="default"/>
          <w:sz w:val="23"/>
          <w:szCs w:val="23"/>
        </w:rPr>
      </w:pPr>
    </w:p>
    <w:p>
      <w:pPr>
        <w:pStyle w:val="BodyText"/>
        <w:spacing w:line="312" w:lineRule="exact"/>
        <w:ind w:left="817" w:right="107"/>
        <w:jc w:val="both"/>
      </w:pPr>
      <w:r>
        <w:rPr/>
        <w:t>土地使用权按使用年限</w:t>
      </w:r>
      <w:r>
        <w:rPr>
          <w:spacing w:val="-59"/>
        </w:rPr>
        <w:t> </w:t>
      </w:r>
      <w:r>
        <w:rPr>
          <w:rFonts w:ascii="Arial" w:hAnsi="Arial" w:cs="Arial" w:eastAsia="Arial" w:hint="default"/>
        </w:rPr>
        <w:t>40</w:t>
      </w:r>
      <w:r>
        <w:rPr>
          <w:rFonts w:ascii="Arial" w:hAnsi="Arial" w:cs="Arial" w:eastAsia="Arial" w:hint="default"/>
          <w:spacing w:val="48"/>
        </w:rPr>
        <w:t> </w:t>
      </w:r>
      <w:r>
        <w:rPr/>
        <w:t>至</w:t>
      </w:r>
      <w:r>
        <w:rPr>
          <w:spacing w:val="-59"/>
        </w:rPr>
        <w:t> </w:t>
      </w:r>
      <w:r>
        <w:rPr>
          <w:rFonts w:ascii="Arial" w:hAnsi="Arial" w:cs="Arial" w:eastAsia="Arial" w:hint="default"/>
        </w:rPr>
        <w:t>50</w:t>
      </w:r>
      <w:r>
        <w:rPr>
          <w:rFonts w:ascii="Arial" w:hAnsi="Arial" w:cs="Arial" w:eastAsia="Arial" w:hint="default"/>
          <w:spacing w:val="-6"/>
        </w:rPr>
        <w:t> </w:t>
      </w:r>
      <w:r>
        <w:rPr>
          <w:spacing w:val="-4"/>
        </w:rPr>
        <w:t>年平均摊销。外购土地及建筑物的价款难以在土地使用</w:t>
      </w:r>
      <w:r>
        <w:rPr/>
        <w:t> 权与建筑物之间合理分配的，全部作为固定资产。</w:t>
      </w:r>
    </w:p>
    <w:p>
      <w:pPr>
        <w:spacing w:line="240" w:lineRule="auto" w:before="10"/>
        <w:rPr>
          <w:rFonts w:ascii="宋体" w:hAnsi="宋体" w:cs="宋体" w:eastAsia="宋体" w:hint="default"/>
          <w:sz w:val="18"/>
          <w:szCs w:val="18"/>
        </w:rPr>
      </w:pPr>
    </w:p>
    <w:p>
      <w:pPr>
        <w:pStyle w:val="ListParagraph"/>
        <w:numPr>
          <w:ilvl w:val="0"/>
          <w:numId w:val="2"/>
        </w:numPr>
        <w:tabs>
          <w:tab w:pos="818" w:val="left" w:leader="none"/>
        </w:tabs>
        <w:spacing w:line="240" w:lineRule="auto" w:before="0" w:after="0"/>
        <w:ind w:left="817" w:right="497" w:hanging="709"/>
        <w:jc w:val="left"/>
        <w:rPr>
          <w:rFonts w:ascii="宋体" w:hAnsi="宋体" w:cs="宋体" w:eastAsia="宋体" w:hint="default"/>
          <w:sz w:val="24"/>
          <w:szCs w:val="24"/>
        </w:rPr>
      </w:pPr>
      <w:r>
        <w:rPr>
          <w:rFonts w:ascii="宋体" w:hAnsi="宋体" w:cs="宋体" w:eastAsia="宋体" w:hint="default"/>
          <w:sz w:val="24"/>
          <w:szCs w:val="24"/>
        </w:rPr>
        <w:t>软件</w:t>
      </w:r>
    </w:p>
    <w:p>
      <w:pPr>
        <w:spacing w:line="240" w:lineRule="auto" w:before="12"/>
        <w:rPr>
          <w:rFonts w:ascii="宋体" w:hAnsi="宋体" w:cs="宋体" w:eastAsia="宋体" w:hint="default"/>
          <w:sz w:val="20"/>
          <w:szCs w:val="20"/>
        </w:rPr>
      </w:pPr>
    </w:p>
    <w:p>
      <w:pPr>
        <w:pStyle w:val="BodyText"/>
        <w:spacing w:line="240" w:lineRule="auto"/>
        <w:ind w:left="817" w:right="0"/>
        <w:jc w:val="both"/>
      </w:pPr>
      <w:r>
        <w:rPr/>
        <w:t>软件以实际成本计量，按预计使用年限</w:t>
      </w:r>
      <w:r>
        <w:rPr>
          <w:spacing w:val="-60"/>
        </w:rPr>
        <w:t> </w:t>
      </w:r>
      <w:r>
        <w:rPr>
          <w:rFonts w:ascii="Arial" w:hAnsi="Arial" w:cs="Arial" w:eastAsia="Arial" w:hint="default"/>
        </w:rPr>
        <w:t>5</w:t>
      </w:r>
      <w:r>
        <w:rPr>
          <w:rFonts w:ascii="Arial" w:hAnsi="Arial" w:cs="Arial" w:eastAsia="Arial" w:hint="default"/>
          <w:spacing w:val="-7"/>
        </w:rPr>
        <w:t> </w:t>
      </w:r>
      <w:r>
        <w:rPr/>
        <w:t>年平均摊销。</w:t>
      </w:r>
    </w:p>
    <w:p>
      <w:pPr>
        <w:spacing w:after="0" w:line="240" w:lineRule="auto"/>
        <w:jc w:val="both"/>
        <w:sectPr>
          <w:pgSz w:w="11910" w:h="16840"/>
          <w:pgMar w:header="1475" w:footer="708" w:top="3020" w:bottom="900" w:left="1020" w:right="82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139"/>
        <w:jc w:val="left"/>
        <w:rPr>
          <w:rFonts w:ascii="Arial" w:hAnsi="Arial" w:cs="Arial" w:eastAsia="Arial" w:hint="default"/>
          <w:b w:val="0"/>
          <w:bCs w:val="0"/>
        </w:rPr>
      </w:pPr>
      <w:r>
        <w:rPr>
          <w:w w:val="95"/>
        </w:rPr>
        <w:t>二</w:t>
        <w:tab/>
      </w:r>
      <w:r>
        <w:rPr/>
        <w:t>主要会计政策和会计估计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08" w:right="139" w:firstLine="0"/>
        <w:jc w:val="left"/>
        <w:rPr>
          <w:rFonts w:ascii="Arial" w:hAnsi="Arial" w:cs="Arial" w:eastAsia="Arial" w:hint="default"/>
          <w:sz w:val="24"/>
          <w:szCs w:val="24"/>
        </w:rPr>
      </w:pPr>
      <w:r>
        <w:rPr>
          <w:rFonts w:ascii="Arial" w:hAnsi="Arial" w:cs="Arial" w:eastAsia="Arial" w:hint="default"/>
          <w:w w:val="95"/>
          <w:position w:val="2"/>
          <w:sz w:val="24"/>
          <w:szCs w:val="24"/>
        </w:rPr>
        <w:t>(17)</w:t>
        <w:tab/>
      </w:r>
      <w:r>
        <w:rPr>
          <w:rFonts w:ascii="宋体" w:hAnsi="宋体" w:cs="宋体" w:eastAsia="宋体" w:hint="default"/>
          <w:b/>
          <w:bCs/>
          <w:sz w:val="24"/>
          <w:szCs w:val="24"/>
        </w:rPr>
        <w:t>无形资产</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8" w:right="139"/>
        <w:jc w:val="left"/>
      </w:pPr>
      <w:r>
        <w:rPr>
          <w:rFonts w:ascii="Arial" w:hAnsi="Arial" w:cs="Arial" w:eastAsia="Arial" w:hint="default"/>
          <w:position w:val="2"/>
        </w:rPr>
        <w:t>(c)</w:t>
        <w:tab/>
      </w:r>
      <w:r>
        <w:rPr/>
        <w:t>优惠承租权</w:t>
      </w:r>
    </w:p>
    <w:p>
      <w:pPr>
        <w:spacing w:line="240" w:lineRule="auto" w:before="4"/>
        <w:rPr>
          <w:rFonts w:ascii="宋体" w:hAnsi="宋体" w:cs="宋体" w:eastAsia="宋体" w:hint="default"/>
          <w:sz w:val="23"/>
          <w:szCs w:val="23"/>
        </w:rPr>
      </w:pPr>
    </w:p>
    <w:p>
      <w:pPr>
        <w:pStyle w:val="BodyText"/>
        <w:spacing w:line="312" w:lineRule="exact"/>
        <w:ind w:left="817" w:right="206"/>
        <w:jc w:val="both"/>
      </w:pPr>
      <w:r>
        <w:rPr/>
        <w:t>优惠承租权是在业务合并过程中确认的无形资产，系本集团由于承接低于市场价格的租 约而支付的对价。优惠承租权以公允价值入账，并按其预计受益期间分期平均摊销。</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139"/>
        <w:jc w:val="left"/>
      </w:pPr>
      <w:r>
        <w:rPr>
          <w:rFonts w:ascii="Arial" w:hAnsi="Arial" w:cs="Arial" w:eastAsia="Arial" w:hint="default"/>
          <w:w w:val="95"/>
          <w:position w:val="2"/>
        </w:rPr>
        <w:t>(d)</w:t>
        <w:tab/>
      </w:r>
      <w:r>
        <w:rPr/>
        <w:t>定期复核使用寿命和摊销方法</w:t>
      </w:r>
    </w:p>
    <w:p>
      <w:pPr>
        <w:spacing w:line="240" w:lineRule="auto" w:before="4"/>
        <w:rPr>
          <w:rFonts w:ascii="宋体" w:hAnsi="宋体" w:cs="宋体" w:eastAsia="宋体" w:hint="default"/>
          <w:sz w:val="23"/>
          <w:szCs w:val="23"/>
        </w:rPr>
      </w:pPr>
    </w:p>
    <w:p>
      <w:pPr>
        <w:pStyle w:val="BodyText"/>
        <w:spacing w:line="312" w:lineRule="exact"/>
        <w:ind w:left="817" w:right="206"/>
        <w:jc w:val="both"/>
      </w:pPr>
      <w:r>
        <w:rPr/>
        <w:t>对使用寿命有限的无形资产的预计使用寿命及摊销方法于每年年度终了进行复核并作适 当调整。</w:t>
      </w:r>
    </w:p>
    <w:p>
      <w:pPr>
        <w:pStyle w:val="BodyText"/>
        <w:tabs>
          <w:tab w:pos="817" w:val="left" w:leader="none"/>
        </w:tabs>
        <w:spacing w:line="240" w:lineRule="auto" w:before="210"/>
        <w:ind w:left="107" w:right="139"/>
        <w:jc w:val="left"/>
      </w:pPr>
      <w:r>
        <w:rPr>
          <w:rFonts w:ascii="Arial" w:hAnsi="Arial" w:cs="Arial" w:eastAsia="Arial" w:hint="default"/>
          <w:w w:val="95"/>
          <w:position w:val="2"/>
        </w:rPr>
        <w:t>(e)</w:t>
        <w:tab/>
      </w:r>
      <w:r>
        <w:rPr/>
        <w:t>研究与开发</w:t>
      </w:r>
    </w:p>
    <w:p>
      <w:pPr>
        <w:spacing w:line="240" w:lineRule="auto" w:before="4"/>
        <w:rPr>
          <w:rFonts w:ascii="宋体" w:hAnsi="宋体" w:cs="宋体" w:eastAsia="宋体" w:hint="default"/>
          <w:sz w:val="23"/>
          <w:szCs w:val="23"/>
        </w:rPr>
      </w:pPr>
    </w:p>
    <w:p>
      <w:pPr>
        <w:pStyle w:val="BodyText"/>
        <w:spacing w:line="312" w:lineRule="exact"/>
        <w:ind w:left="817" w:right="206"/>
        <w:jc w:val="both"/>
      </w:pPr>
      <w:r>
        <w:rPr/>
        <w:t>本集团开展系统软件的研究与开发。内部研究开发项目支出根据其性质以及研发活动最 终形成无形资产是否具有较大不确定性，被分为研究阶段支出和开发阶段支出。</w:t>
      </w:r>
    </w:p>
    <w:p>
      <w:pPr>
        <w:spacing w:line="240" w:lineRule="auto" w:before="1"/>
        <w:rPr>
          <w:rFonts w:ascii="宋体" w:hAnsi="宋体" w:cs="宋体" w:eastAsia="宋体" w:hint="default"/>
          <w:sz w:val="21"/>
          <w:szCs w:val="21"/>
        </w:rPr>
      </w:pPr>
    </w:p>
    <w:p>
      <w:pPr>
        <w:pStyle w:val="BodyText"/>
        <w:spacing w:line="312" w:lineRule="exact"/>
        <w:ind w:left="817" w:right="206"/>
        <w:jc w:val="both"/>
      </w:pPr>
      <w:r>
        <w:rPr/>
        <w:t>研究阶段的支出，于发生时计入当期损益；开发阶段的支出，同时满足下列条件的，予 以资本化：</w:t>
      </w:r>
    </w:p>
    <w:p>
      <w:pPr>
        <w:spacing w:line="240" w:lineRule="auto" w:before="10"/>
        <w:rPr>
          <w:rFonts w:ascii="宋体" w:hAnsi="宋体" w:cs="宋体" w:eastAsia="宋体" w:hint="default"/>
          <w:sz w:val="18"/>
          <w:szCs w:val="18"/>
        </w:rPr>
      </w:pPr>
    </w:p>
    <w:p>
      <w:pPr>
        <w:pStyle w:val="BodyText"/>
        <w:spacing w:line="323" w:lineRule="exact"/>
        <w:ind w:left="850" w:right="0"/>
        <w:jc w:val="both"/>
      </w:pPr>
      <w:r>
        <w:rPr>
          <w:rFonts w:ascii="Symbol" w:hAnsi="Symbol" w:cs="Symbol" w:eastAsia="Symbol" w:hint="default"/>
        </w:rPr>
        <w:t></w:t>
      </w:r>
      <w:r>
        <w:rPr>
          <w:rFonts w:ascii="Symbol" w:hAnsi="Symbol" w:cs="Symbol" w:eastAsia="Symbol" w:hint="default"/>
          <w:spacing w:val="54"/>
        </w:rPr>
        <w:t></w:t>
      </w:r>
      <w:r>
        <w:rPr>
          <w:rFonts w:ascii="Times New Roman" w:hAnsi="Times New Roman" w:cs="Times New Roman" w:eastAsia="Times New Roman" w:hint="default"/>
          <w:spacing w:val="54"/>
        </w:rPr>
      </w:r>
      <w:r>
        <w:rPr/>
        <w:t>完成该无形资产以使其能够使用或出售在技术上具有可行性；</w:t>
      </w:r>
    </w:p>
    <w:p>
      <w:pPr>
        <w:pStyle w:val="BodyText"/>
        <w:spacing w:line="312" w:lineRule="exact"/>
        <w:ind w:left="850" w:right="0"/>
        <w:jc w:val="both"/>
      </w:pPr>
      <w:r>
        <w:rPr>
          <w:rFonts w:ascii="Symbol" w:hAnsi="Symbol" w:cs="Symbol" w:eastAsia="Symbol" w:hint="default"/>
        </w:rPr>
        <w:t></w:t>
      </w:r>
      <w:r>
        <w:rPr>
          <w:rFonts w:ascii="Symbol" w:hAnsi="Symbol" w:cs="Symbol" w:eastAsia="Symbol" w:hint="default"/>
          <w:spacing w:val="54"/>
        </w:rPr>
        <w:t></w:t>
      </w:r>
      <w:r>
        <w:rPr>
          <w:rFonts w:ascii="Times New Roman" w:hAnsi="Times New Roman" w:cs="Times New Roman" w:eastAsia="Times New Roman" w:hint="default"/>
          <w:spacing w:val="54"/>
        </w:rPr>
      </w:r>
      <w:r>
        <w:rPr/>
        <w:t>管理层具有完成该无形资产并使用或出售的意图；</w:t>
      </w:r>
    </w:p>
    <w:p>
      <w:pPr>
        <w:pStyle w:val="BodyText"/>
        <w:spacing w:line="312" w:lineRule="exact"/>
        <w:ind w:left="850" w:right="0"/>
        <w:jc w:val="both"/>
      </w:pPr>
      <w:r>
        <w:rPr>
          <w:rFonts w:ascii="Symbol" w:hAnsi="Symbol" w:cs="Symbol" w:eastAsia="Symbol" w:hint="default"/>
        </w:rPr>
        <w:t></w:t>
      </w:r>
      <w:r>
        <w:rPr>
          <w:rFonts w:ascii="Symbol" w:hAnsi="Symbol" w:cs="Symbol" w:eastAsia="Symbol" w:hint="default"/>
          <w:spacing w:val="54"/>
        </w:rPr>
        <w:t></w:t>
      </w:r>
      <w:r>
        <w:rPr>
          <w:rFonts w:ascii="Times New Roman" w:hAnsi="Times New Roman" w:cs="Times New Roman" w:eastAsia="Times New Roman" w:hint="default"/>
          <w:spacing w:val="54"/>
        </w:rPr>
      </w:r>
      <w:r>
        <w:rPr/>
        <w:t>能够证明该无形资产将如何产生经济利益；</w:t>
      </w:r>
    </w:p>
    <w:p>
      <w:pPr>
        <w:pStyle w:val="BodyText"/>
        <w:spacing w:line="312" w:lineRule="exact" w:before="20"/>
        <w:ind w:left="1135" w:right="186" w:hanging="285"/>
        <w:jc w:val="left"/>
      </w:pPr>
      <w:r>
        <w:rPr>
          <w:rFonts w:ascii="Symbol" w:hAnsi="Symbol" w:cs="Symbol" w:eastAsia="Symbol" w:hint="default"/>
        </w:rPr>
        <w:t></w:t>
      </w:r>
      <w:r>
        <w:rPr>
          <w:rFonts w:ascii="Symbol" w:hAnsi="Symbol" w:cs="Symbol" w:eastAsia="Symbol" w:hint="default"/>
          <w:spacing w:val="58"/>
        </w:rPr>
        <w:t></w:t>
      </w:r>
      <w:r>
        <w:rPr>
          <w:rFonts w:ascii="Times New Roman" w:hAnsi="Times New Roman" w:cs="Times New Roman" w:eastAsia="Times New Roman" w:hint="default"/>
          <w:spacing w:val="58"/>
        </w:rPr>
      </w:r>
      <w:r>
        <w:rPr/>
        <w:t>有足够的技术、财务资源和其他资源支持，以完成该无形资产的开发，并有能力使用</w:t>
      </w:r>
      <w:r>
        <w:rPr>
          <w:w w:val="100"/>
        </w:rPr>
        <w:t> </w:t>
      </w:r>
      <w:r>
        <w:rPr/>
        <w:t>或出售该无形资产；</w:t>
      </w:r>
    </w:p>
    <w:p>
      <w:pPr>
        <w:pStyle w:val="BodyText"/>
        <w:spacing w:line="302" w:lineRule="exact"/>
        <w:ind w:left="850" w:right="0"/>
        <w:jc w:val="both"/>
      </w:pPr>
      <w:r>
        <w:rPr>
          <w:rFonts w:ascii="Symbol" w:hAnsi="Symbol" w:cs="Symbol" w:eastAsia="Symbol" w:hint="default"/>
        </w:rPr>
        <w:t></w:t>
      </w:r>
      <w:r>
        <w:rPr>
          <w:rFonts w:ascii="Symbol" w:hAnsi="Symbol" w:cs="Symbol" w:eastAsia="Symbol" w:hint="default"/>
          <w:spacing w:val="54"/>
        </w:rPr>
        <w:t></w:t>
      </w:r>
      <w:r>
        <w:rPr>
          <w:rFonts w:ascii="Times New Roman" w:hAnsi="Times New Roman" w:cs="Times New Roman" w:eastAsia="Times New Roman" w:hint="default"/>
          <w:spacing w:val="54"/>
        </w:rPr>
      </w:r>
      <w:r>
        <w:rPr/>
        <w:t>归属于该无形资产开发阶段的支出能够可靠地计量。</w:t>
      </w:r>
    </w:p>
    <w:p>
      <w:pPr>
        <w:spacing w:line="240" w:lineRule="auto" w:before="11"/>
        <w:rPr>
          <w:rFonts w:ascii="宋体" w:hAnsi="宋体" w:cs="宋体" w:eastAsia="宋体" w:hint="default"/>
          <w:sz w:val="21"/>
          <w:szCs w:val="21"/>
        </w:rPr>
      </w:pPr>
    </w:p>
    <w:p>
      <w:pPr>
        <w:pStyle w:val="BodyText"/>
        <w:spacing w:line="312" w:lineRule="exact"/>
        <w:ind w:left="817" w:right="206"/>
        <w:jc w:val="both"/>
      </w:pPr>
      <w:r>
        <w:rPr/>
        <w:t>不满足上述条件的开发阶段的支出，于发生时计入当期损益。以前期间已计入损益的开 发支出不在以后期间重新确认为资产。已资本化的开发阶段的支出在资产负债表上列示 为开发支出，自该项目达到预定可使用状态之日起转为无形资产。</w:t>
      </w:r>
    </w:p>
    <w:p>
      <w:pPr>
        <w:spacing w:line="240" w:lineRule="auto" w:before="10"/>
        <w:rPr>
          <w:rFonts w:ascii="宋体" w:hAnsi="宋体" w:cs="宋体" w:eastAsia="宋体" w:hint="default"/>
          <w:sz w:val="18"/>
          <w:szCs w:val="18"/>
        </w:rPr>
      </w:pPr>
    </w:p>
    <w:p>
      <w:pPr>
        <w:pStyle w:val="BodyText"/>
        <w:tabs>
          <w:tab w:pos="817" w:val="left" w:leader="none"/>
        </w:tabs>
        <w:spacing w:line="448" w:lineRule="auto"/>
        <w:ind w:left="817" w:right="117" w:hanging="710"/>
        <w:jc w:val="left"/>
      </w:pPr>
      <w:r>
        <w:rPr>
          <w:rFonts w:ascii="Arial" w:hAnsi="Arial" w:cs="Arial" w:eastAsia="Arial" w:hint="default"/>
          <w:position w:val="2"/>
        </w:rPr>
        <w:t>(f)</w:t>
        <w:tab/>
      </w:r>
      <w:r>
        <w:rPr/>
        <w:t>无形资产减值 当无形资产的可收回金额低于其账面价值时，账面价值减记至可收回金额</w:t>
      </w:r>
      <w:r>
        <w:rPr>
          <w:rFonts w:ascii="Arial" w:hAnsi="Arial" w:cs="Arial" w:eastAsia="Arial" w:hint="default"/>
        </w:rPr>
        <w:t>(</w:t>
      </w:r>
      <w:r>
        <w:rPr/>
        <w:t>附注二</w:t>
      </w:r>
      <w:r>
        <w:rPr>
          <w:rFonts w:ascii="Arial" w:hAnsi="Arial" w:cs="Arial" w:eastAsia="Arial" w:hint="default"/>
        </w:rPr>
        <w:t>(19))</w:t>
      </w:r>
      <w:r>
        <w:rPr/>
        <w:t>。</w:t>
      </w:r>
    </w:p>
    <w:p>
      <w:pPr>
        <w:spacing w:after="0" w:line="448" w:lineRule="auto"/>
        <w:jc w:val="left"/>
        <w:sectPr>
          <w:pgSz w:w="11910" w:h="16840"/>
          <w:pgMar w:header="1475" w:footer="708" w:top="3020" w:bottom="900" w:left="1020" w:right="72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104"/>
        <w:jc w:val="left"/>
        <w:rPr>
          <w:rFonts w:ascii="Arial" w:hAnsi="Arial" w:cs="Arial" w:eastAsia="Arial" w:hint="default"/>
          <w:b w:val="0"/>
          <w:bCs w:val="0"/>
        </w:rPr>
      </w:pPr>
      <w:r>
        <w:rPr>
          <w:rFonts w:ascii="宋体" w:hAnsi="宋体" w:cs="宋体" w:eastAsia="宋体" w:hint="default"/>
          <w:b w:val="0"/>
          <w:bCs w:val="0"/>
        </w:rPr>
        <w:t>二</w:t>
        <w:tab/>
      </w:r>
      <w:r>
        <w:rPr/>
        <w:t>主要会计政策和会计估计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08"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(18)</w:t>
        <w:tab/>
      </w:r>
      <w:r>
        <w:rPr>
          <w:rFonts w:ascii="宋体" w:hAnsi="宋体" w:cs="宋体" w:eastAsia="宋体" w:hint="default"/>
          <w:b/>
          <w:bCs/>
          <w:sz w:val="24"/>
          <w:szCs w:val="24"/>
        </w:rPr>
        <w:t>长期待摊费用</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17" w:right="226"/>
        <w:jc w:val="both"/>
      </w:pPr>
      <w:r>
        <w:rPr/>
        <w:t>长期待摊费用包括经营租入固定资产改良、水电设施使用费及其他已经发生但应由本期 和以后各期负担的、分摊期限在一年以上的各项费用，按预计受益期间分期平均摊销， 并以实际支出减去累计摊销后的净额列示。</w:t>
      </w:r>
    </w:p>
    <w:p>
      <w:pPr>
        <w:tabs>
          <w:tab w:pos="817" w:val="left" w:leader="none"/>
        </w:tabs>
        <w:spacing w:before="210"/>
        <w:ind w:left="107"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(19)</w:t>
        <w:tab/>
      </w:r>
      <w:r>
        <w:rPr>
          <w:rFonts w:ascii="宋体" w:hAnsi="宋体" w:cs="宋体" w:eastAsia="宋体" w:hint="default"/>
          <w:b/>
          <w:bCs/>
          <w:sz w:val="24"/>
          <w:szCs w:val="24"/>
        </w:rPr>
        <w:t>长期资产减值</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17" w:right="0"/>
        <w:jc w:val="left"/>
      </w:pPr>
      <w:r>
        <w:rPr/>
        <w:t>固定资产、在建工程、使用寿命有限的无形资产、以成本模式计量的投资性房地产及对 子公司、合营企业、联营企业的长期股权投资等，于资产负债表日存在减值迹象的，进 行减值测试。减值测试结果表明资产的可收回金额低于其账面价值的，按其差额计提减 值准备并计入减值损失。可收回金额为资产的公允价值减去处置费用后的净额与资产预 </w:t>
      </w:r>
      <w:r>
        <w:rPr>
          <w:spacing w:val="-3"/>
        </w:rPr>
        <w:t>计未来现金流量的现值两者之间的较高者。资产减值准备按单项资产为基础计算并确认，</w:t>
      </w:r>
      <w:r>
        <w:rPr>
          <w:spacing w:val="-103"/>
        </w:rPr>
        <w:t> </w:t>
      </w:r>
      <w:r>
        <w:rPr>
          <w:spacing w:val="-103"/>
        </w:rPr>
      </w:r>
      <w:r>
        <w:rPr/>
        <w:t>如果难以对单项资产的可收回金额进行估计的，以该资产所属的资产组确定资产组的可</w:t>
      </w:r>
      <w:r>
        <w:rPr/>
        <w:t> 收回金额。资产组是能够独立产生现金流入的最小资产组合。</w:t>
      </w:r>
    </w:p>
    <w:p>
      <w:pPr>
        <w:spacing w:line="240" w:lineRule="auto" w:before="1"/>
        <w:rPr>
          <w:rFonts w:ascii="宋体" w:hAnsi="宋体" w:cs="宋体" w:eastAsia="宋体" w:hint="default"/>
          <w:sz w:val="21"/>
          <w:szCs w:val="21"/>
        </w:rPr>
      </w:pPr>
    </w:p>
    <w:p>
      <w:pPr>
        <w:pStyle w:val="BodyText"/>
        <w:spacing w:line="312" w:lineRule="exact"/>
        <w:ind w:left="817" w:right="226"/>
        <w:jc w:val="both"/>
      </w:pPr>
      <w:r>
        <w:rPr/>
        <w:t>在财务报表中单独列示的商誉，无论是否存在减值迹象，至少每年进行减值测试。减值 测试时，商誉的账面价值分摊至预期从企业合并的协同效应中受益的资产组或资产组组 合。测试结果表明包含分摊的商誉的资产组或资产组组合的可收回金额低于其账面价值 的，确认相应的减值损失。减值损失金额先抵减分摊至该资产组或资产组组合的商誉的 账面价值，再根据资产组或资产组组合中除商誉以外的其他各项资产的账面价值所占比 重，按比例抵减其他各项资产的账面价值。</w:t>
      </w:r>
    </w:p>
    <w:p>
      <w:pPr>
        <w:spacing w:line="240" w:lineRule="auto" w:before="10"/>
        <w:rPr>
          <w:rFonts w:ascii="宋体" w:hAnsi="宋体" w:cs="宋体" w:eastAsia="宋体" w:hint="default"/>
          <w:sz w:val="18"/>
          <w:szCs w:val="18"/>
        </w:rPr>
      </w:pPr>
    </w:p>
    <w:p>
      <w:pPr>
        <w:pStyle w:val="BodyText"/>
        <w:spacing w:line="240" w:lineRule="auto"/>
        <w:ind w:left="817" w:right="0"/>
        <w:jc w:val="both"/>
      </w:pPr>
      <w:r>
        <w:rPr/>
        <w:t>上述资产减值损失一经确认，以后期间不予转回价值得以恢复的部分。</w:t>
      </w:r>
    </w:p>
    <w:p>
      <w:pPr>
        <w:spacing w:line="240" w:lineRule="auto" w:before="12"/>
        <w:rPr>
          <w:rFonts w:ascii="宋体" w:hAnsi="宋体" w:cs="宋体" w:eastAsia="宋体" w:hint="default"/>
          <w:sz w:val="20"/>
          <w:szCs w:val="20"/>
        </w:rPr>
      </w:pPr>
    </w:p>
    <w:p>
      <w:pPr>
        <w:tabs>
          <w:tab w:pos="817" w:val="left" w:leader="none"/>
        </w:tabs>
        <w:spacing w:before="0"/>
        <w:ind w:left="108"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(20)</w:t>
        <w:tab/>
      </w:r>
      <w:r>
        <w:rPr>
          <w:rFonts w:ascii="宋体" w:hAnsi="宋体" w:cs="宋体" w:eastAsia="宋体" w:hint="default"/>
          <w:b/>
          <w:bCs/>
          <w:sz w:val="24"/>
          <w:szCs w:val="24"/>
        </w:rPr>
        <w:t>职工薪酬</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17" w:right="104"/>
        <w:jc w:val="left"/>
      </w:pPr>
      <w:r>
        <w:rPr/>
        <w:t>职工薪酬主要包括工资、奖金、津贴和补贴、职工福利费、社会保险费及住房公积金、 工会经费和职工教育经费等其他与获得职工提供的服务的相关支出。</w:t>
      </w:r>
    </w:p>
    <w:p>
      <w:pPr>
        <w:spacing w:line="240" w:lineRule="auto" w:before="1"/>
        <w:rPr>
          <w:rFonts w:ascii="宋体" w:hAnsi="宋体" w:cs="宋体" w:eastAsia="宋体" w:hint="default"/>
          <w:sz w:val="21"/>
          <w:szCs w:val="21"/>
        </w:rPr>
      </w:pPr>
    </w:p>
    <w:p>
      <w:pPr>
        <w:pStyle w:val="BodyText"/>
        <w:spacing w:line="312" w:lineRule="exact"/>
        <w:ind w:left="817" w:right="0"/>
        <w:jc w:val="left"/>
      </w:pPr>
      <w:r>
        <w:rPr>
          <w:spacing w:val="-3"/>
        </w:rPr>
        <w:t>除因解除与职工的劳动关系给予的补偿外，于职工提供服务的期间确认应付的职工薪酬，</w:t>
      </w:r>
      <w:r>
        <w:rPr>
          <w:spacing w:val="-103"/>
        </w:rPr>
        <w:t> </w:t>
      </w:r>
      <w:r>
        <w:rPr>
          <w:spacing w:val="-103"/>
        </w:rPr>
      </w:r>
      <w:r>
        <w:rPr/>
        <w:t>并根据职工提供服务的受益对象计入相关资产成本和费用。</w:t>
      </w:r>
    </w:p>
    <w:p>
      <w:pPr>
        <w:spacing w:line="240" w:lineRule="auto" w:before="10"/>
        <w:rPr>
          <w:rFonts w:ascii="宋体" w:hAnsi="宋体" w:cs="宋体" w:eastAsia="宋体" w:hint="default"/>
          <w:sz w:val="18"/>
          <w:szCs w:val="18"/>
        </w:rPr>
      </w:pPr>
    </w:p>
    <w:p>
      <w:pPr>
        <w:tabs>
          <w:tab w:pos="817" w:val="left" w:leader="none"/>
        </w:tabs>
        <w:spacing w:before="0"/>
        <w:ind w:left="108"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(21)</w:t>
        <w:tab/>
      </w:r>
      <w:r>
        <w:rPr>
          <w:rFonts w:ascii="宋体" w:hAnsi="宋体" w:cs="宋体" w:eastAsia="宋体" w:hint="default"/>
          <w:b/>
          <w:bCs/>
          <w:sz w:val="24"/>
          <w:szCs w:val="24"/>
        </w:rPr>
        <w:t>股利分配</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spacing w:line="240" w:lineRule="auto"/>
        <w:ind w:left="817" w:right="0"/>
        <w:jc w:val="both"/>
      </w:pPr>
      <w:r>
        <w:rPr/>
        <w:t>现金股利于股东大会批准的当期，确认为负债。</w:t>
      </w:r>
    </w:p>
    <w:p>
      <w:pPr>
        <w:spacing w:after="0" w:line="240" w:lineRule="auto"/>
        <w:jc w:val="both"/>
        <w:sectPr>
          <w:pgSz w:w="11910" w:h="16840"/>
          <w:pgMar w:header="1475" w:footer="708" w:top="3020" w:bottom="900" w:left="1020" w:right="70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497"/>
        <w:jc w:val="left"/>
        <w:rPr>
          <w:rFonts w:ascii="Arial" w:hAnsi="Arial" w:cs="Arial" w:eastAsia="Arial" w:hint="default"/>
          <w:b w:val="0"/>
          <w:bCs w:val="0"/>
        </w:rPr>
      </w:pPr>
      <w:r>
        <w:rPr>
          <w:rFonts w:ascii="宋体" w:hAnsi="宋体" w:cs="宋体" w:eastAsia="宋体" w:hint="default"/>
          <w:b w:val="0"/>
          <w:bCs w:val="0"/>
        </w:rPr>
        <w:t>二</w:t>
        <w:tab/>
      </w:r>
      <w:r>
        <w:rPr/>
        <w:t>主要会计政策和会计估计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08" w:right="497" w:firstLine="0"/>
        <w:jc w:val="left"/>
        <w:rPr>
          <w:rFonts w:ascii="宋体" w:hAnsi="宋体" w:cs="宋体" w:eastAsia="宋体" w:hint="default"/>
          <w:sz w:val="24"/>
          <w:szCs w:val="24"/>
        </w:rPr>
      </w:pPr>
      <w:r>
        <w:rPr>
          <w:rFonts w:ascii="Arial" w:hAnsi="Arial" w:cs="Arial" w:eastAsia="Arial" w:hint="default"/>
          <w:w w:val="95"/>
          <w:position w:val="2"/>
          <w:sz w:val="24"/>
          <w:szCs w:val="24"/>
        </w:rPr>
        <w:t>(22)</w:t>
        <w:tab/>
      </w:r>
      <w:r>
        <w:rPr>
          <w:rFonts w:ascii="宋体" w:hAnsi="宋体" w:cs="宋体" w:eastAsia="宋体" w:hint="default"/>
          <w:b/>
          <w:bCs/>
          <w:sz w:val="24"/>
          <w:szCs w:val="24"/>
        </w:rPr>
        <w:t>积分计划</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17" w:right="106"/>
        <w:jc w:val="both"/>
      </w:pPr>
      <w:r>
        <w:rPr/>
        <w:t>本集团实施积分计划，顾客前次消费额产生的积分，可以在下次消费时抵用。授予顾客 的积分奖励作为销售交易的一部分。销售取得的货款或应收货款在商品销售或劳务提供 产生的收入与奖励积分的公允价值之间进行分配，取得的货款或应收货款扣除奖励积分 公允价值的部分后确认为收入，奖励积分的公允价值确认为递延收益。奖励积分确认的 递延收益以授予顾客的积分为基准，并根据本集团已公布的积分使用方法和积分的预期 兑付率后，按公允价值确认。</w:t>
      </w:r>
    </w:p>
    <w:p>
      <w:pPr>
        <w:spacing w:line="240" w:lineRule="auto" w:before="10"/>
        <w:rPr>
          <w:rFonts w:ascii="宋体" w:hAnsi="宋体" w:cs="宋体" w:eastAsia="宋体" w:hint="default"/>
          <w:sz w:val="18"/>
          <w:szCs w:val="18"/>
        </w:rPr>
      </w:pPr>
    </w:p>
    <w:p>
      <w:pPr>
        <w:pStyle w:val="BodyText"/>
        <w:spacing w:line="240" w:lineRule="auto"/>
        <w:ind w:left="817" w:right="0"/>
        <w:jc w:val="both"/>
      </w:pPr>
      <w:r>
        <w:rPr/>
        <w:t>在顾客兑换奖励积分时，将原计入递延收益的与所兑换积分相关的部分确认为收入。</w:t>
      </w:r>
    </w:p>
    <w:p>
      <w:pPr>
        <w:spacing w:line="240" w:lineRule="auto" w:before="4"/>
        <w:rPr>
          <w:rFonts w:ascii="宋体" w:hAnsi="宋体" w:cs="宋体" w:eastAsia="宋体" w:hint="default"/>
          <w:sz w:val="18"/>
          <w:szCs w:val="18"/>
        </w:rPr>
      </w:pPr>
    </w:p>
    <w:p>
      <w:pPr>
        <w:tabs>
          <w:tab w:pos="817" w:val="left" w:leader="none"/>
        </w:tabs>
        <w:spacing w:before="0"/>
        <w:ind w:left="107" w:right="497" w:firstLine="0"/>
        <w:jc w:val="left"/>
        <w:rPr>
          <w:rFonts w:ascii="宋体" w:hAnsi="宋体" w:cs="宋体" w:eastAsia="宋体" w:hint="default"/>
          <w:sz w:val="24"/>
          <w:szCs w:val="24"/>
        </w:rPr>
      </w:pPr>
      <w:r>
        <w:rPr>
          <w:rFonts w:ascii="Arial" w:hAnsi="Arial" w:cs="Arial" w:eastAsia="Arial" w:hint="default"/>
          <w:w w:val="95"/>
          <w:position w:val="2"/>
          <w:sz w:val="24"/>
          <w:szCs w:val="24"/>
        </w:rPr>
        <w:t>(23)</w:t>
        <w:tab/>
      </w:r>
      <w:r>
        <w:rPr>
          <w:rFonts w:ascii="宋体" w:hAnsi="宋体" w:cs="宋体" w:eastAsia="宋体" w:hint="default"/>
          <w:b/>
          <w:bCs/>
          <w:sz w:val="24"/>
          <w:szCs w:val="24"/>
        </w:rPr>
        <w:t>收入确认</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17" w:right="106"/>
        <w:jc w:val="both"/>
      </w:pPr>
      <w:r>
        <w:rPr/>
        <w:t>收入的金额按照本集团在日常经营活动中销售商品和提供劳务时，已收或应收合同或协 议价款的公允价值确定。收入按扣除增值税、商业折扣、销售折让及销售退回的净额列 示。</w:t>
      </w:r>
    </w:p>
    <w:p>
      <w:pPr>
        <w:spacing w:line="240" w:lineRule="auto" w:before="1"/>
        <w:rPr>
          <w:rFonts w:ascii="宋体" w:hAnsi="宋体" w:cs="宋体" w:eastAsia="宋体" w:hint="default"/>
          <w:sz w:val="21"/>
          <w:szCs w:val="21"/>
        </w:rPr>
      </w:pPr>
    </w:p>
    <w:p>
      <w:pPr>
        <w:pStyle w:val="BodyText"/>
        <w:spacing w:line="312" w:lineRule="exact"/>
        <w:ind w:left="817" w:right="106"/>
        <w:jc w:val="both"/>
      </w:pPr>
      <w:r>
        <w:rPr/>
        <w:t>与交易相关的经济利益能够流入本集团，相关的收入能够可靠计量且满足下列各项经营 活动的特定收入确认标准时，确认相关的收入：</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497"/>
        <w:jc w:val="left"/>
      </w:pPr>
      <w:r>
        <w:rPr>
          <w:rFonts w:ascii="Arial" w:hAnsi="Arial" w:cs="Arial" w:eastAsia="Arial" w:hint="default"/>
          <w:w w:val="95"/>
          <w:position w:val="2"/>
        </w:rPr>
        <w:t>(a)</w:t>
        <w:tab/>
      </w:r>
      <w:r>
        <w:rPr/>
        <w:t>销售商品</w:t>
      </w:r>
    </w:p>
    <w:p>
      <w:pPr>
        <w:spacing w:line="240" w:lineRule="auto" w:before="4"/>
        <w:rPr>
          <w:rFonts w:ascii="宋体" w:hAnsi="宋体" w:cs="宋体" w:eastAsia="宋体" w:hint="default"/>
          <w:sz w:val="23"/>
          <w:szCs w:val="23"/>
        </w:rPr>
      </w:pPr>
    </w:p>
    <w:p>
      <w:pPr>
        <w:pStyle w:val="BodyText"/>
        <w:spacing w:line="312" w:lineRule="exact"/>
        <w:ind w:left="817" w:right="106"/>
        <w:jc w:val="both"/>
      </w:pPr>
      <w:r>
        <w:rPr/>
        <w:t>本集团从事商品零售业务，当本集团向消费者转移商品所有权凭证后，商品所有权上的 主要风险和报酬随之转移，与销售该商品有关的成本能够可靠地计量，本集团在此时确 认商品的销售收入。</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497"/>
        <w:jc w:val="left"/>
      </w:pPr>
      <w:r>
        <w:rPr>
          <w:rFonts w:ascii="Arial" w:hAnsi="Arial" w:cs="Arial" w:eastAsia="Arial" w:hint="default"/>
          <w:w w:val="95"/>
          <w:position w:val="2"/>
        </w:rPr>
        <w:t>(b)</w:t>
        <w:tab/>
      </w:r>
      <w:r>
        <w:rPr/>
        <w:t>提供劳务</w:t>
      </w:r>
    </w:p>
    <w:p>
      <w:pPr>
        <w:spacing w:line="240" w:lineRule="auto" w:before="4"/>
        <w:rPr>
          <w:rFonts w:ascii="宋体" w:hAnsi="宋体" w:cs="宋体" w:eastAsia="宋体" w:hint="default"/>
          <w:sz w:val="23"/>
          <w:szCs w:val="23"/>
        </w:rPr>
      </w:pPr>
    </w:p>
    <w:p>
      <w:pPr>
        <w:pStyle w:val="BodyText"/>
        <w:spacing w:line="312" w:lineRule="exact"/>
        <w:ind w:left="817" w:right="106"/>
        <w:jc w:val="both"/>
      </w:pPr>
      <w:r>
        <w:rPr/>
        <w:t>本集团对外提供业务培训劳务、安装维修劳务、代理劳务、连锁店服务劳务等，在劳务 总收入和总成本能够可靠地计量、与交易相关的经济利益能够流入企业、劳务的完成程 度能够可靠地确定时，确认劳务收入的实现。</w:t>
      </w:r>
    </w:p>
    <w:p>
      <w:pPr>
        <w:spacing w:line="240" w:lineRule="auto" w:before="10"/>
        <w:rPr>
          <w:rFonts w:ascii="宋体" w:hAnsi="宋体" w:cs="宋体" w:eastAsia="宋体" w:hint="default"/>
          <w:sz w:val="18"/>
          <w:szCs w:val="18"/>
        </w:rPr>
      </w:pPr>
    </w:p>
    <w:p>
      <w:pPr>
        <w:pStyle w:val="BodyText"/>
        <w:tabs>
          <w:tab w:pos="817" w:val="left" w:leader="none"/>
        </w:tabs>
        <w:spacing w:line="448" w:lineRule="auto"/>
        <w:ind w:left="817" w:right="1325" w:hanging="710"/>
        <w:jc w:val="left"/>
      </w:pPr>
      <w:r>
        <w:rPr>
          <w:rFonts w:ascii="Arial" w:hAnsi="Arial" w:cs="Arial" w:eastAsia="Arial" w:hint="default"/>
          <w:position w:val="2"/>
        </w:rPr>
        <w:t>(c)</w:t>
        <w:tab/>
      </w:r>
      <w:r>
        <w:rPr/>
        <w:t>让渡资产使用权</w:t>
      </w:r>
      <w:r>
        <w:rPr>
          <w:w w:val="99"/>
        </w:rPr>
        <w:t> </w:t>
      </w:r>
      <w:r>
        <w:rPr/>
        <w:t>利息收入按照其他方使用本集团货币资金的时间，采用实际利率计算确定。</w:t>
      </w:r>
      <w:r>
        <w:rPr>
          <w:w w:val="99"/>
        </w:rPr>
        <w:t> </w:t>
      </w:r>
      <w:r>
        <w:rPr/>
        <w:t>经营租赁收入按照直线法在租赁期内确认。</w:t>
      </w:r>
      <w:r>
        <w:rPr>
          <w:w w:val="99"/>
        </w:rPr>
        <w:t> </w:t>
      </w:r>
      <w:r>
        <w:rPr/>
        <w:t>广告位使用费收入按照直线法在使用期间内确认。</w:t>
      </w:r>
    </w:p>
    <w:p>
      <w:pPr>
        <w:spacing w:after="0" w:line="448" w:lineRule="auto"/>
        <w:jc w:val="left"/>
        <w:sectPr>
          <w:pgSz w:w="11910" w:h="16840"/>
          <w:pgMar w:header="1475" w:footer="708" w:top="3020" w:bottom="900" w:left="1020" w:right="82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104"/>
        <w:jc w:val="left"/>
        <w:rPr>
          <w:rFonts w:ascii="Arial" w:hAnsi="Arial" w:cs="Arial" w:eastAsia="Arial" w:hint="default"/>
          <w:b w:val="0"/>
          <w:bCs w:val="0"/>
        </w:rPr>
      </w:pPr>
      <w:r>
        <w:rPr>
          <w:w w:val="95"/>
        </w:rPr>
        <w:t>二</w:t>
        <w:tab/>
      </w:r>
      <w:r>
        <w:rPr/>
        <w:t>主要会计政策和会计估计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08"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(24)</w:t>
        <w:tab/>
      </w:r>
      <w:r>
        <w:rPr>
          <w:rFonts w:ascii="宋体" w:hAnsi="宋体" w:cs="宋体" w:eastAsia="宋体" w:hint="default"/>
          <w:b/>
          <w:bCs/>
          <w:sz w:val="24"/>
          <w:szCs w:val="24"/>
        </w:rPr>
        <w:t>政府补助</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17" w:right="226"/>
        <w:jc w:val="both"/>
      </w:pPr>
      <w:r>
        <w:rPr/>
        <w:t>政府补助为本集团从政府无偿取得的货币性资产或非货币性资产，包括税费返还、财政 补贴等。</w:t>
      </w:r>
    </w:p>
    <w:p>
      <w:pPr>
        <w:spacing w:line="240" w:lineRule="auto" w:before="1"/>
        <w:rPr>
          <w:rFonts w:ascii="宋体" w:hAnsi="宋体" w:cs="宋体" w:eastAsia="宋体" w:hint="default"/>
          <w:sz w:val="21"/>
          <w:szCs w:val="21"/>
        </w:rPr>
      </w:pPr>
    </w:p>
    <w:p>
      <w:pPr>
        <w:pStyle w:val="BodyText"/>
        <w:spacing w:line="312" w:lineRule="exact"/>
        <w:ind w:left="817" w:right="226"/>
        <w:jc w:val="both"/>
      </w:pPr>
      <w:r>
        <w:rPr/>
        <w:t>政府补助在本集团能够满足其所附的条件并且能够收到时，予以确认。政府补助为货币 性资产的，按照收到或应收的金额计量。政府补助为非货币性资产的，按照公允价值计 量；公允价值不能可靠取得的，按照名义金额计量。</w:t>
      </w:r>
    </w:p>
    <w:p>
      <w:pPr>
        <w:spacing w:line="240" w:lineRule="auto" w:before="6"/>
        <w:rPr>
          <w:rFonts w:ascii="宋体" w:hAnsi="宋体" w:cs="宋体" w:eastAsia="宋体" w:hint="default"/>
          <w:sz w:val="18"/>
          <w:szCs w:val="18"/>
        </w:rPr>
      </w:pPr>
    </w:p>
    <w:p>
      <w:pPr>
        <w:pStyle w:val="BodyText"/>
        <w:spacing w:line="312" w:lineRule="exact"/>
        <w:ind w:left="817" w:right="226"/>
        <w:jc w:val="both"/>
      </w:pPr>
      <w:r>
        <w:rPr/>
        <w:t>与资产相关的政府补助，确认为递延收益，并在相关资产使用寿命内平均分配，计入当 期损益。按照名义金额计量的政府补助，直接计入当期损益。</w:t>
      </w:r>
    </w:p>
    <w:p>
      <w:pPr>
        <w:spacing w:line="240" w:lineRule="auto" w:before="1"/>
        <w:rPr>
          <w:rFonts w:ascii="宋体" w:hAnsi="宋体" w:cs="宋体" w:eastAsia="宋体" w:hint="default"/>
          <w:sz w:val="21"/>
          <w:szCs w:val="21"/>
        </w:rPr>
      </w:pPr>
    </w:p>
    <w:p>
      <w:pPr>
        <w:pStyle w:val="BodyText"/>
        <w:spacing w:line="312" w:lineRule="exact"/>
        <w:ind w:left="817" w:right="226"/>
        <w:jc w:val="both"/>
      </w:pPr>
      <w:r>
        <w:rPr/>
        <w:t>与收益相关的政府补助，用于补偿以后期间的相关费用或损失的，确认为递延收益，并 在确认相关费用的期间，计入当期损益；用于补偿已发生的相关费用或损失的，直接计 入当期损益。</w:t>
      </w:r>
    </w:p>
    <w:p>
      <w:pPr>
        <w:spacing w:line="240" w:lineRule="auto" w:before="10"/>
        <w:rPr>
          <w:rFonts w:ascii="宋体" w:hAnsi="宋体" w:cs="宋体" w:eastAsia="宋体" w:hint="default"/>
          <w:sz w:val="18"/>
          <w:szCs w:val="18"/>
        </w:rPr>
      </w:pPr>
    </w:p>
    <w:p>
      <w:pPr>
        <w:tabs>
          <w:tab w:pos="817" w:val="left" w:leader="none"/>
        </w:tabs>
        <w:spacing w:before="0"/>
        <w:ind w:left="108"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(25)</w:t>
        <w:tab/>
      </w:r>
      <w:r>
        <w:rPr>
          <w:rFonts w:ascii="宋体" w:hAnsi="宋体" w:cs="宋体" w:eastAsia="宋体" w:hint="default"/>
          <w:b/>
          <w:bCs/>
          <w:sz w:val="24"/>
          <w:szCs w:val="24"/>
        </w:rPr>
        <w:t>递延所得税资产和递延所得税负债</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17" w:right="220"/>
        <w:jc w:val="both"/>
      </w:pPr>
      <w:r>
        <w:rPr>
          <w:spacing w:val="3"/>
        </w:rPr>
        <w:t>递延所得税资产和递延所得税负债根据资产和负债的计税基础与其账面价值的差额</w:t>
      </w:r>
      <w:r>
        <w:rPr>
          <w:rFonts w:ascii="Arial" w:hAnsi="Arial" w:cs="Arial" w:eastAsia="Arial" w:hint="default"/>
          <w:spacing w:val="3"/>
        </w:rPr>
        <w:t>(</w:t>
      </w:r>
      <w:r>
        <w:rPr>
          <w:spacing w:val="3"/>
        </w:rPr>
        <w:t>暂</w:t>
      </w:r>
      <w:r>
        <w:rPr>
          <w:spacing w:val="-85"/>
        </w:rPr>
        <w:t> </w:t>
      </w:r>
      <w:r>
        <w:rPr>
          <w:spacing w:val="4"/>
        </w:rPr>
        <w:t>时性差异</w:t>
      </w:r>
      <w:r>
        <w:rPr>
          <w:rFonts w:ascii="Arial" w:hAnsi="Arial" w:cs="Arial" w:eastAsia="Arial" w:hint="default"/>
          <w:spacing w:val="4"/>
        </w:rPr>
        <w:t>)</w:t>
      </w:r>
      <w:r>
        <w:rPr>
          <w:spacing w:val="4"/>
        </w:rPr>
        <w:t>计算确认。对于按照税法规定能够于以后年度抵减应纳税所得额的可抵扣亏 </w:t>
      </w:r>
      <w:r>
        <w:rPr/>
        <w:t>损，确认相应的递延所得税资产。对于商誉的初始确认产生的暂时性差异，不确认相应</w:t>
      </w:r>
      <w:r>
        <w:rPr/>
        <w:t> </w:t>
      </w:r>
      <w:r>
        <w:rPr>
          <w:spacing w:val="2"/>
        </w:rPr>
        <w:t>的递延所得税负债。对于既不影响会计利润也不影响应纳税所得额</w:t>
      </w:r>
      <w:r>
        <w:rPr>
          <w:rFonts w:ascii="Arial" w:hAnsi="Arial" w:cs="Arial" w:eastAsia="Arial" w:hint="default"/>
          <w:spacing w:val="2"/>
        </w:rPr>
        <w:t>(</w:t>
      </w:r>
      <w:r>
        <w:rPr>
          <w:spacing w:val="2"/>
        </w:rPr>
        <w:t>或可抵扣亏损</w:t>
      </w:r>
      <w:r>
        <w:rPr>
          <w:rFonts w:ascii="Arial" w:hAnsi="Arial" w:cs="Arial" w:eastAsia="Arial" w:hint="default"/>
          <w:spacing w:val="2"/>
        </w:rPr>
        <w:t>)</w:t>
      </w:r>
      <w:r>
        <w:rPr>
          <w:spacing w:val="2"/>
        </w:rPr>
        <w:t>的非</w:t>
      </w:r>
      <w:r>
        <w:rPr>
          <w:spacing w:val="-118"/>
        </w:rPr>
        <w:t> </w:t>
      </w:r>
      <w:r>
        <w:rPr/>
        <w:t>企业合并的交易中产生的资产或负债的初始确认形成的暂时性差异，不确认相应的递延</w:t>
      </w:r>
      <w:r>
        <w:rPr/>
        <w:t> 所得税资产和递延所得税负债。于资产负债表日，递延所得税资产和递延所得税负债， 按照预期收回该资产或清偿该负债期间的适用税率计量。</w:t>
      </w:r>
    </w:p>
    <w:p>
      <w:pPr>
        <w:spacing w:line="240" w:lineRule="auto" w:before="1"/>
        <w:rPr>
          <w:rFonts w:ascii="宋体" w:hAnsi="宋体" w:cs="宋体" w:eastAsia="宋体" w:hint="default"/>
          <w:sz w:val="21"/>
          <w:szCs w:val="21"/>
        </w:rPr>
      </w:pPr>
    </w:p>
    <w:p>
      <w:pPr>
        <w:pStyle w:val="BodyText"/>
        <w:spacing w:line="312" w:lineRule="exact"/>
        <w:ind w:left="817" w:right="104"/>
        <w:jc w:val="left"/>
      </w:pPr>
      <w:r>
        <w:rPr/>
        <w:t>递延所得税资产的确认以很可能取得用来抵扣可抵扣暂时性差异、可抵扣亏损和税款抵 减的应纳税所得额为限。</w:t>
      </w:r>
    </w:p>
    <w:p>
      <w:pPr>
        <w:spacing w:line="240" w:lineRule="auto" w:before="1"/>
        <w:rPr>
          <w:rFonts w:ascii="宋体" w:hAnsi="宋体" w:cs="宋体" w:eastAsia="宋体" w:hint="default"/>
          <w:sz w:val="21"/>
          <w:szCs w:val="21"/>
        </w:rPr>
      </w:pPr>
    </w:p>
    <w:p>
      <w:pPr>
        <w:pStyle w:val="BodyText"/>
        <w:spacing w:line="312" w:lineRule="exact"/>
        <w:ind w:left="817" w:right="104"/>
        <w:jc w:val="left"/>
      </w:pPr>
      <w:r>
        <w:rPr>
          <w:spacing w:val="-3"/>
        </w:rPr>
        <w:t>对与子公司、联营企业及合营企业投资相关的应纳税暂时性差异，确认递延所得税负债，</w:t>
      </w:r>
      <w:r>
        <w:rPr>
          <w:spacing w:val="-105"/>
        </w:rPr>
        <w:t> </w:t>
      </w:r>
      <w:r>
        <w:rPr>
          <w:spacing w:val="-105"/>
        </w:rPr>
      </w:r>
      <w:r>
        <w:rPr/>
        <w:t>除非本集团能够控制该暂时性差异转回的时间且该暂时性差异在可预见的未来很可能不</w:t>
      </w:r>
      <w:r>
        <w:rPr/>
        <w:t> 会转回。对与子公司、联营企业及合营企业投资相关的可抵扣暂时性差异，当该暂时性 差异在可预见的未来很可能转回且未来很可能获得用来抵扣可抵扣暂时性差异的应纳税 所得额时，确认递延所得税资产。</w:t>
      </w:r>
    </w:p>
    <w:p>
      <w:pPr>
        <w:spacing w:after="0" w:line="312" w:lineRule="exact"/>
        <w:jc w:val="left"/>
        <w:sectPr>
          <w:pgSz w:w="11910" w:h="16840"/>
          <w:pgMar w:header="1475" w:footer="708" w:top="3020" w:bottom="900" w:left="1020" w:right="70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104"/>
        <w:jc w:val="left"/>
        <w:rPr>
          <w:rFonts w:ascii="Arial" w:hAnsi="Arial" w:cs="Arial" w:eastAsia="Arial" w:hint="default"/>
          <w:b w:val="0"/>
          <w:bCs w:val="0"/>
        </w:rPr>
      </w:pPr>
      <w:r>
        <w:rPr>
          <w:w w:val="95"/>
        </w:rPr>
        <w:t>二</w:t>
        <w:tab/>
      </w:r>
      <w:r>
        <w:rPr/>
        <w:t>主要会计政策和会计估计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line="427" w:lineRule="auto" w:before="0"/>
        <w:ind w:left="817" w:right="1205" w:hanging="710"/>
        <w:jc w:val="left"/>
        <w:rPr>
          <w:rFonts w:ascii="宋体" w:hAnsi="宋体" w:cs="宋体" w:eastAsia="宋体" w:hint="default"/>
          <w:sz w:val="24"/>
          <w:szCs w:val="24"/>
        </w:rPr>
      </w:pPr>
      <w:r>
        <w:rPr>
          <w:rFonts w:ascii="Arial" w:hAnsi="Arial" w:cs="Arial" w:eastAsia="Arial" w:hint="default"/>
          <w:w w:val="95"/>
          <w:position w:val="2"/>
          <w:sz w:val="24"/>
          <w:szCs w:val="24"/>
        </w:rPr>
        <w:t>(25)</w:t>
        <w:tab/>
      </w:r>
      <w:r>
        <w:rPr>
          <w:rFonts w:ascii="宋体" w:hAnsi="宋体" w:cs="宋体" w:eastAsia="宋体" w:hint="default"/>
          <w:b/>
          <w:bCs/>
          <w:sz w:val="24"/>
          <w:szCs w:val="24"/>
        </w:rPr>
        <w:t>递延所得税资产和递延所得税负债</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宋体" w:hAnsi="宋体" w:cs="宋体" w:eastAsia="宋体" w:hint="default"/>
          <w:sz w:val="24"/>
          <w:szCs w:val="24"/>
        </w:rPr>
        <w:t>同时满足下列条件的递延所得税资产和递延所得税负债以抵销后的净额列示：</w:t>
      </w:r>
    </w:p>
    <w:p>
      <w:pPr>
        <w:pStyle w:val="BodyText"/>
        <w:tabs>
          <w:tab w:pos="1177" w:val="left" w:leader="none"/>
        </w:tabs>
        <w:spacing w:line="312" w:lineRule="exact" w:before="117"/>
        <w:ind w:left="1177" w:right="114" w:hanging="360"/>
        <w:jc w:val="left"/>
      </w:pPr>
      <w:r>
        <w:rPr>
          <w:rFonts w:ascii="Arial" w:hAnsi="Arial" w:cs="Arial" w:eastAsia="Arial" w:hint="default"/>
          <w:w w:val="95"/>
        </w:rPr>
        <w:t>•</w:t>
        <w:tab/>
      </w:r>
      <w:r>
        <w:rPr/>
        <w:t>递延所得税资产和递延所得税负债与同一税收征管部门对本集团内同一纳税主体征收 的所得税相关；</w:t>
      </w:r>
    </w:p>
    <w:p>
      <w:pPr>
        <w:pStyle w:val="BodyText"/>
        <w:spacing w:line="300" w:lineRule="exact"/>
        <w:ind w:left="817" w:right="0"/>
        <w:jc w:val="both"/>
      </w:pPr>
      <w:r>
        <w:rPr>
          <w:rFonts w:ascii="Arial" w:hAnsi="Arial" w:cs="Arial" w:eastAsia="Arial" w:hint="default"/>
        </w:rPr>
        <w:t>•   </w:t>
      </w:r>
      <w:r>
        <w:rPr>
          <w:rFonts w:ascii="Arial" w:hAnsi="Arial" w:cs="Arial" w:eastAsia="Arial" w:hint="default"/>
          <w:spacing w:val="8"/>
        </w:rPr>
        <w:t> </w:t>
      </w:r>
      <w:r>
        <w:rPr/>
        <w:t>本集团内该纳税主体拥有以净额结算当期所得税资产及当期所得税负债的法定权利。</w:t>
      </w:r>
    </w:p>
    <w:p>
      <w:pPr>
        <w:spacing w:line="240" w:lineRule="auto" w:before="13"/>
        <w:rPr>
          <w:rFonts w:ascii="宋体" w:hAnsi="宋体" w:cs="宋体" w:eastAsia="宋体" w:hint="default"/>
          <w:sz w:val="16"/>
          <w:szCs w:val="16"/>
        </w:rPr>
      </w:pPr>
    </w:p>
    <w:p>
      <w:pPr>
        <w:tabs>
          <w:tab w:pos="817" w:val="left" w:leader="none"/>
        </w:tabs>
        <w:spacing w:before="0"/>
        <w:ind w:left="107"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(26)</w:t>
        <w:tab/>
      </w:r>
      <w:r>
        <w:rPr>
          <w:rFonts w:ascii="宋体" w:hAnsi="宋体" w:cs="宋体" w:eastAsia="宋体" w:hint="default"/>
          <w:b/>
          <w:bCs/>
          <w:sz w:val="24"/>
          <w:szCs w:val="24"/>
        </w:rPr>
        <w:t>租赁</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17" w:right="226"/>
        <w:jc w:val="both"/>
      </w:pPr>
      <w:r>
        <w:rPr/>
        <w:t>实质上转移了与资产所有权有关的全部风险和报酬的租赁为融资租赁。其他的租赁为经 营租赁。</w:t>
      </w:r>
    </w:p>
    <w:p>
      <w:pPr>
        <w:spacing w:line="240" w:lineRule="auto" w:before="10"/>
        <w:rPr>
          <w:rFonts w:ascii="宋体" w:hAnsi="宋体" w:cs="宋体" w:eastAsia="宋体" w:hint="default"/>
          <w:sz w:val="18"/>
          <w:szCs w:val="18"/>
        </w:rPr>
      </w:pPr>
    </w:p>
    <w:p>
      <w:pPr>
        <w:pStyle w:val="BodyText"/>
        <w:spacing w:line="240" w:lineRule="auto"/>
        <w:ind w:left="817" w:right="0"/>
        <w:jc w:val="both"/>
      </w:pPr>
      <w:r>
        <w:rPr/>
        <w:t>经营租赁的租金支出在租赁期内按照直线法计入当期损益。</w:t>
      </w:r>
    </w:p>
    <w:p>
      <w:pPr>
        <w:spacing w:line="240" w:lineRule="auto" w:before="12"/>
        <w:rPr>
          <w:rFonts w:ascii="宋体" w:hAnsi="宋体" w:cs="宋体" w:eastAsia="宋体" w:hint="default"/>
          <w:sz w:val="20"/>
          <w:szCs w:val="20"/>
        </w:rPr>
      </w:pPr>
    </w:p>
    <w:p>
      <w:pPr>
        <w:tabs>
          <w:tab w:pos="817" w:val="left" w:leader="none"/>
        </w:tabs>
        <w:spacing w:before="0"/>
        <w:ind w:left="108"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(27)</w:t>
        <w:tab/>
      </w:r>
      <w:r>
        <w:rPr>
          <w:rFonts w:ascii="宋体" w:hAnsi="宋体" w:cs="宋体" w:eastAsia="宋体" w:hint="default"/>
          <w:b/>
          <w:bCs/>
          <w:sz w:val="24"/>
          <w:szCs w:val="24"/>
        </w:rPr>
        <w:t>股份支付</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17" w:right="226"/>
        <w:jc w:val="both"/>
      </w:pPr>
      <w:r>
        <w:rPr/>
        <w:t>股份支付是为了获取职工提供服务而授予权益工具或者承担以权益工具为基础确定的负 债的交易。股份支付分为以权益结算的股份支付和以现金结算的股份支付。</w:t>
      </w:r>
    </w:p>
    <w:p>
      <w:pPr>
        <w:spacing w:line="240" w:lineRule="auto" w:before="1"/>
        <w:rPr>
          <w:rFonts w:ascii="宋体" w:hAnsi="宋体" w:cs="宋体" w:eastAsia="宋体" w:hint="default"/>
          <w:sz w:val="21"/>
          <w:szCs w:val="21"/>
        </w:rPr>
      </w:pPr>
    </w:p>
    <w:p>
      <w:pPr>
        <w:pStyle w:val="BodyText"/>
        <w:spacing w:line="312" w:lineRule="exact"/>
        <w:ind w:left="817" w:right="226"/>
        <w:jc w:val="both"/>
      </w:pPr>
      <w:r>
        <w:rPr/>
        <w:t>本集团的股票期权计划是为了换取职工提供服务而授予的以权益结算、以股份支付为基 础的报酬计划，以授予职工的股票期权在授予日的公允价值计量，在达到规定业绩条件 才可行权。本集团采用布莱特</w:t>
      </w:r>
      <w:r>
        <w:rPr>
          <w:rFonts w:ascii="Times New Roman" w:hAnsi="Times New Roman" w:cs="Times New Roman" w:eastAsia="Times New Roman" w:hint="default"/>
        </w:rPr>
        <w:t>-</w:t>
      </w:r>
      <w:r>
        <w:rPr/>
        <w:t>斯科尔期权定价模型确定股票期权的公允价值。</w:t>
      </w:r>
    </w:p>
    <w:p>
      <w:pPr>
        <w:spacing w:line="240" w:lineRule="auto" w:before="1"/>
        <w:rPr>
          <w:rFonts w:ascii="宋体" w:hAnsi="宋体" w:cs="宋体" w:eastAsia="宋体" w:hint="default"/>
          <w:sz w:val="21"/>
          <w:szCs w:val="21"/>
        </w:rPr>
      </w:pPr>
    </w:p>
    <w:p>
      <w:pPr>
        <w:pStyle w:val="BodyText"/>
        <w:spacing w:line="312" w:lineRule="exact"/>
        <w:ind w:left="817" w:right="224"/>
        <w:jc w:val="both"/>
      </w:pPr>
      <w:r>
        <w:rPr/>
        <w:t>在股票期权授予日，即股票支付协议获得批准的日期，不进行会计处理。在等待期内， 即从授予日至可行权日的时段，在每个资产负债表日，以对可行权股票期权数量的最佳 估计为基础，按照股票期权在授予日的公允价值，将当期取得的服务计入当期费用，同 时计入</w:t>
      </w:r>
      <w:r>
        <w:rPr>
          <w:rFonts w:ascii="Times New Roman" w:hAnsi="Times New Roman" w:cs="Times New Roman" w:eastAsia="Times New Roman" w:hint="default"/>
        </w:rPr>
        <w:t>"</w:t>
      </w:r>
      <w:r>
        <w:rPr/>
        <w:t>资本公积－其他资本公积</w:t>
      </w:r>
      <w:r>
        <w:rPr>
          <w:rFonts w:ascii="Times New Roman" w:hAnsi="Times New Roman" w:cs="Times New Roman" w:eastAsia="Times New Roman" w:hint="default"/>
        </w:rPr>
        <w:t>"</w:t>
      </w:r>
      <w:r>
        <w:rPr/>
        <w:t>。后续信息表明可行权股票期权的数量与以前估计不</w:t>
      </w:r>
      <w:r>
        <w:rPr>
          <w:spacing w:val="-79"/>
        </w:rPr>
        <w:t> </w:t>
      </w:r>
      <w:r>
        <w:rPr>
          <w:spacing w:val="-79"/>
        </w:rPr>
      </w:r>
      <w:r>
        <w:rPr/>
        <w:t>同的，将进行调整，并在可行权日调整至实际可行权的股票期权数量。可行权日之后不</w:t>
      </w:r>
      <w:r>
        <w:rPr/>
        <w:t> 再对已确认的费用和所有者权益总额进行调整。在行权日，本公司发行新股，收取的所 得款扣除任何直接归属交易成本，在期权行使时转入股本和股本溢价，同时结转等待期 内确认的</w:t>
      </w:r>
      <w:r>
        <w:rPr>
          <w:rFonts w:ascii="Times New Roman" w:hAnsi="Times New Roman" w:cs="Times New Roman" w:eastAsia="Times New Roman" w:hint="default"/>
        </w:rPr>
        <w:t>"</w:t>
      </w:r>
      <w:r>
        <w:rPr/>
        <w:t>资本公积－其他资本公积</w:t>
      </w:r>
      <w:r>
        <w:rPr>
          <w:rFonts w:ascii="Times New Roman" w:hAnsi="Times New Roman" w:cs="Times New Roman" w:eastAsia="Times New Roman" w:hint="default"/>
        </w:rPr>
        <w:t>"</w:t>
      </w:r>
      <w:r>
        <w:rPr/>
        <w:t>。</w:t>
      </w:r>
    </w:p>
    <w:p>
      <w:pPr>
        <w:spacing w:after="0" w:line="312" w:lineRule="exact"/>
        <w:jc w:val="both"/>
        <w:sectPr>
          <w:pgSz w:w="11910" w:h="16840"/>
          <w:pgMar w:header="1475" w:footer="708" w:top="3020" w:bottom="900" w:left="1020" w:right="70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0"/>
        <w:jc w:val="left"/>
        <w:rPr>
          <w:rFonts w:ascii="Arial" w:hAnsi="Arial" w:cs="Arial" w:eastAsia="Arial" w:hint="default"/>
          <w:b w:val="0"/>
          <w:bCs w:val="0"/>
        </w:rPr>
      </w:pPr>
      <w:r>
        <w:rPr>
          <w:w w:val="95"/>
        </w:rPr>
        <w:t>二</w:t>
        <w:tab/>
      </w:r>
      <w:r>
        <w:rPr/>
        <w:t>主要会计政策和会计估计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08"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(28)</w:t>
        <w:tab/>
      </w:r>
      <w:r>
        <w:rPr>
          <w:rFonts w:ascii="宋体" w:hAnsi="宋体" w:cs="宋体" w:eastAsia="宋体" w:hint="default"/>
          <w:b/>
          <w:bCs/>
          <w:sz w:val="24"/>
          <w:szCs w:val="24"/>
        </w:rPr>
        <w:t>分部信息</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17" w:right="122"/>
        <w:jc w:val="both"/>
      </w:pPr>
      <w:r>
        <w:rPr/>
        <w:t>本集团以内部组织结构、管理要求、内部报告制度为依据确定经营分部，以经营分部为 基础确定报告分部并披露分部信息。</w:t>
      </w:r>
    </w:p>
    <w:p>
      <w:pPr>
        <w:spacing w:line="240" w:lineRule="auto" w:before="1"/>
        <w:rPr>
          <w:rFonts w:ascii="宋体" w:hAnsi="宋体" w:cs="宋体" w:eastAsia="宋体" w:hint="default"/>
          <w:sz w:val="21"/>
          <w:szCs w:val="21"/>
        </w:rPr>
      </w:pPr>
    </w:p>
    <w:p>
      <w:pPr>
        <w:pStyle w:val="BodyText"/>
        <w:spacing w:line="312" w:lineRule="exact"/>
        <w:ind w:left="817" w:right="122"/>
        <w:jc w:val="both"/>
      </w:pPr>
      <w:r>
        <w:rPr/>
        <w:t>经营分部是指本集团内同时满足下列条件的组成部分：</w:t>
      </w:r>
      <w:r>
        <w:rPr>
          <w:rFonts w:ascii="Arial" w:hAnsi="Arial" w:cs="Arial" w:eastAsia="Arial" w:hint="default"/>
        </w:rPr>
        <w:t>(1)</w:t>
      </w:r>
      <w:r>
        <w:rPr>
          <w:rFonts w:ascii="Arial" w:hAnsi="Arial" w:cs="Arial" w:eastAsia="Arial" w:hint="default"/>
          <w:spacing w:val="28"/>
        </w:rPr>
        <w:t> </w:t>
      </w:r>
      <w:r>
        <w:rPr>
          <w:spacing w:val="2"/>
        </w:rPr>
        <w:t>该组成部分能够在日常活动</w:t>
      </w:r>
      <w:r>
        <w:rPr>
          <w:spacing w:val="-113"/>
        </w:rPr>
        <w:t> </w:t>
      </w:r>
      <w:r>
        <w:rPr>
          <w:spacing w:val="-2"/>
        </w:rPr>
        <w:t>中产生收入、发生费用；</w:t>
      </w:r>
      <w:r>
        <w:rPr>
          <w:rFonts w:ascii="Arial" w:hAnsi="Arial" w:cs="Arial" w:eastAsia="Arial" w:hint="default"/>
          <w:spacing w:val="-2"/>
        </w:rPr>
        <w:t>(2)</w:t>
      </w:r>
      <w:r>
        <w:rPr>
          <w:spacing w:val="-2"/>
        </w:rPr>
        <w:t>本集团管理层能够定期评价该组成部分的经营成果，以决定</w:t>
      </w:r>
      <w:r>
        <w:rPr>
          <w:spacing w:val="-98"/>
        </w:rPr>
        <w:t> </w:t>
      </w:r>
      <w:r>
        <w:rPr>
          <w:spacing w:val="-98"/>
        </w:rPr>
      </w:r>
      <w:r>
        <w:rPr>
          <w:spacing w:val="-1"/>
        </w:rPr>
        <w:t>向其配置资源、评价其业绩；</w:t>
      </w:r>
      <w:r>
        <w:rPr>
          <w:rFonts w:ascii="Arial" w:hAnsi="Arial" w:cs="Arial" w:eastAsia="Arial" w:hint="default"/>
          <w:spacing w:val="-1"/>
        </w:rPr>
        <w:t>(3)</w:t>
      </w:r>
      <w:r>
        <w:rPr>
          <w:spacing w:val="-1"/>
        </w:rPr>
        <w:t>本集团能够取得该组成部分的财务状况、经营成果和现</w:t>
      </w:r>
      <w:r>
        <w:rPr>
          <w:spacing w:val="-115"/>
        </w:rPr>
        <w:t> </w:t>
      </w:r>
      <w:r>
        <w:rPr>
          <w:spacing w:val="-115"/>
        </w:rPr>
      </w:r>
      <w:r>
        <w:rPr/>
        <w:t>金流量等有关会计信息。两个或多个经营分部具有相似的经济特征，并且满足一定条件</w:t>
      </w:r>
      <w:r>
        <w:rPr/>
        <w:t> 的，则可合并为一个经营分部。</w:t>
      </w:r>
    </w:p>
    <w:p>
      <w:pPr>
        <w:spacing w:line="240" w:lineRule="auto" w:before="1"/>
        <w:rPr>
          <w:rFonts w:ascii="宋体" w:hAnsi="宋体" w:cs="宋体" w:eastAsia="宋体" w:hint="default"/>
          <w:sz w:val="21"/>
          <w:szCs w:val="21"/>
        </w:rPr>
      </w:pPr>
    </w:p>
    <w:p>
      <w:pPr>
        <w:pStyle w:val="BodyText"/>
        <w:spacing w:line="312" w:lineRule="exact"/>
        <w:ind w:left="817" w:right="127"/>
        <w:jc w:val="both"/>
      </w:pPr>
      <w:r>
        <w:rPr/>
        <w:t>由于本集团收入及业绩超过</w:t>
      </w:r>
      <w:r>
        <w:rPr>
          <w:spacing w:val="-98"/>
        </w:rPr>
        <w:t> </w:t>
      </w:r>
      <w:r>
        <w:rPr>
          <w:rFonts w:ascii="Arial" w:hAnsi="Arial" w:cs="Arial" w:eastAsia="Arial" w:hint="default"/>
        </w:rPr>
        <w:t>90%</w:t>
      </w:r>
      <w:r>
        <w:rPr/>
        <w:t>源自电器及消费电子产品的零售业务，因此并未呈列经 </w:t>
      </w:r>
      <w:r>
        <w:rPr>
          <w:spacing w:val="-8"/>
        </w:rPr>
        <w:t>营分部分析。由于本集团超过</w:t>
      </w:r>
      <w:r>
        <w:rPr>
          <w:spacing w:val="-48"/>
        </w:rPr>
        <w:t> </w:t>
      </w:r>
      <w:r>
        <w:rPr>
          <w:rFonts w:ascii="Arial" w:hAnsi="Arial" w:cs="Arial" w:eastAsia="Arial" w:hint="default"/>
          <w:spacing w:val="-1"/>
          <w:w w:val="99"/>
        </w:rPr>
        <w:t>90%</w:t>
      </w:r>
      <w:r>
        <w:rPr>
          <w:spacing w:val="-1"/>
          <w:w w:val="99"/>
        </w:rPr>
        <w:t>的收入全部源自中国的客户且本集团超过</w:t>
      </w:r>
      <w:r>
        <w:rPr>
          <w:spacing w:val="-48"/>
          <w:w w:val="99"/>
        </w:rPr>
        <w:t> </w:t>
      </w:r>
      <w:r>
        <w:rPr>
          <w:rFonts w:ascii="Arial" w:hAnsi="Arial" w:cs="Arial" w:eastAsia="Arial" w:hint="default"/>
          <w:spacing w:val="-1"/>
          <w:w w:val="99"/>
        </w:rPr>
        <w:t>90%</w:t>
      </w:r>
      <w:r>
        <w:rPr>
          <w:spacing w:val="-1"/>
          <w:w w:val="99"/>
        </w:rPr>
        <w:t>的资产</w:t>
      </w:r>
      <w:r>
        <w:rPr>
          <w:spacing w:val="-118"/>
          <w:w w:val="99"/>
        </w:rPr>
        <w:t> </w:t>
      </w:r>
      <w:r>
        <w:rPr/>
        <w:t>全部位于中国，故未呈列地区分部分析。</w:t>
      </w:r>
    </w:p>
    <w:p>
      <w:pPr>
        <w:tabs>
          <w:tab w:pos="817" w:val="left" w:leader="none"/>
        </w:tabs>
        <w:spacing w:before="210"/>
        <w:ind w:left="107"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(29)</w:t>
        <w:tab/>
      </w:r>
      <w:r>
        <w:rPr>
          <w:rFonts w:ascii="宋体" w:hAnsi="宋体" w:cs="宋体" w:eastAsia="宋体" w:hint="default"/>
          <w:b/>
          <w:bCs/>
          <w:sz w:val="24"/>
          <w:szCs w:val="24"/>
        </w:rPr>
        <w:t>重要会计估计和判断</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17" w:right="113"/>
        <w:jc w:val="both"/>
      </w:pPr>
      <w:r>
        <w:rPr/>
        <w:t>本集团根据历史经验和其它因素，包括对未来事项的合理预期，对所采用的重要会计估 计和关键假设进行持续的评价。</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0"/>
        <w:jc w:val="left"/>
      </w:pPr>
      <w:r>
        <w:rPr>
          <w:rFonts w:ascii="Arial" w:hAnsi="Arial" w:cs="Arial" w:eastAsia="Arial" w:hint="default"/>
          <w:w w:val="95"/>
          <w:position w:val="2"/>
        </w:rPr>
        <w:t>(a)</w:t>
        <w:tab/>
      </w:r>
      <w:r>
        <w:rPr/>
        <w:t>重要会计估计及其关键假设</w:t>
      </w:r>
    </w:p>
    <w:p>
      <w:pPr>
        <w:spacing w:line="240" w:lineRule="auto" w:before="4"/>
        <w:rPr>
          <w:rFonts w:ascii="宋体" w:hAnsi="宋体" w:cs="宋体" w:eastAsia="宋体" w:hint="default"/>
          <w:sz w:val="23"/>
          <w:szCs w:val="23"/>
        </w:rPr>
      </w:pPr>
    </w:p>
    <w:p>
      <w:pPr>
        <w:pStyle w:val="BodyText"/>
        <w:spacing w:line="312" w:lineRule="exact"/>
        <w:ind w:left="817" w:right="113"/>
        <w:jc w:val="both"/>
      </w:pPr>
      <w:r>
        <w:rPr/>
        <w:t>下列重要会计估计及关键假设存在会导致下一会计年度资产和负债的账面价值出现重大 调整的重要风险：</w:t>
      </w:r>
    </w:p>
    <w:p>
      <w:pPr>
        <w:spacing w:after="0" w:line="312" w:lineRule="exact"/>
        <w:jc w:val="both"/>
        <w:sectPr>
          <w:pgSz w:w="11910" w:h="16840"/>
          <w:pgMar w:header="1475" w:footer="708" w:top="3020" w:bottom="900" w:left="1020" w:right="80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0"/>
        <w:jc w:val="left"/>
        <w:rPr>
          <w:rFonts w:ascii="Arial" w:hAnsi="Arial" w:cs="Arial" w:eastAsia="Arial" w:hint="default"/>
          <w:b w:val="0"/>
          <w:bCs w:val="0"/>
        </w:rPr>
      </w:pPr>
      <w:r>
        <w:rPr>
          <w:w w:val="95"/>
        </w:rPr>
        <w:t>二</w:t>
        <w:tab/>
      </w:r>
      <w:r>
        <w:rPr/>
        <w:t>主要会计政策和会计估计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08" w:right="0" w:firstLine="0"/>
        <w:jc w:val="left"/>
        <w:rPr>
          <w:rFonts w:ascii="Arial" w:hAnsi="Arial" w:cs="Arial" w:eastAsia="Arial" w:hint="default"/>
          <w:sz w:val="24"/>
          <w:szCs w:val="24"/>
        </w:rPr>
      </w:pPr>
      <w:r>
        <w:rPr>
          <w:rFonts w:ascii="Arial" w:hAnsi="Arial" w:cs="Arial" w:eastAsia="Arial" w:hint="default"/>
          <w:w w:val="95"/>
          <w:position w:val="2"/>
          <w:sz w:val="24"/>
          <w:szCs w:val="24"/>
        </w:rPr>
        <w:t>(29)</w:t>
        <w:tab/>
      </w:r>
      <w:r>
        <w:rPr>
          <w:rFonts w:ascii="宋体" w:hAnsi="宋体" w:cs="宋体" w:eastAsia="宋体" w:hint="default"/>
          <w:b/>
          <w:bCs/>
          <w:sz w:val="24"/>
          <w:szCs w:val="24"/>
        </w:rPr>
        <w:t>重要会计估计和判断</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17" w:val="left" w:leader="none"/>
        </w:tabs>
        <w:spacing w:line="427" w:lineRule="auto"/>
        <w:ind w:left="108" w:right="5984"/>
        <w:jc w:val="left"/>
      </w:pPr>
      <w:r>
        <w:rPr>
          <w:rFonts w:ascii="Arial" w:hAnsi="Arial" w:cs="Arial" w:eastAsia="Arial" w:hint="default"/>
          <w:w w:val="95"/>
          <w:position w:val="2"/>
        </w:rPr>
        <w:t>(a)</w:t>
        <w:tab/>
      </w:r>
      <w:r>
        <w:rPr/>
        <w:t>重要会计估计及其关键假设</w:t>
      </w:r>
      <w:r>
        <w:rPr>
          <w:rFonts w:ascii="Arial" w:hAnsi="Arial" w:cs="Arial" w:eastAsia="Arial" w:hint="default"/>
        </w:rPr>
        <w:t>(</w:t>
      </w:r>
      <w:r>
        <w:rPr/>
        <w:t>续</w:t>
      </w:r>
      <w:r>
        <w:rPr>
          <w:rFonts w:ascii="Arial" w:hAnsi="Arial" w:cs="Arial" w:eastAsia="Arial" w:hint="default"/>
        </w:rPr>
        <w:t>) </w:t>
      </w:r>
      <w:r>
        <w:rPr>
          <w:rFonts w:ascii="Arial" w:hAnsi="Arial" w:cs="Arial" w:eastAsia="Arial" w:hint="default"/>
          <w:w w:val="95"/>
          <w:position w:val="2"/>
        </w:rPr>
        <w:t>(i)</w:t>
        <w:tab/>
      </w:r>
      <w:r>
        <w:rPr/>
        <w:t>商誉减值准备的会计估计</w:t>
      </w:r>
    </w:p>
    <w:p>
      <w:pPr>
        <w:pStyle w:val="BodyText"/>
        <w:spacing w:line="312" w:lineRule="exact" w:before="93"/>
        <w:ind w:left="817" w:right="113"/>
        <w:jc w:val="both"/>
      </w:pPr>
      <w:r>
        <w:rPr/>
        <w:t>本集团每年对商誉进行减值测试。包含商誉的资产组和资产组组合的可收回金额为其预 计未来现金流量的现值，其计算需要采用会计估计</w:t>
      </w:r>
      <w:r>
        <w:rPr>
          <w:rFonts w:ascii="Arial" w:hAnsi="Arial" w:cs="Arial" w:eastAsia="Arial" w:hint="default"/>
        </w:rPr>
        <w:t>(</w:t>
      </w:r>
      <w:r>
        <w:rPr/>
        <w:t>附注五</w:t>
      </w:r>
      <w:r>
        <w:rPr>
          <w:rFonts w:ascii="Arial" w:hAnsi="Arial" w:cs="Arial" w:eastAsia="Arial" w:hint="default"/>
        </w:rPr>
        <w:t>(16))</w:t>
      </w:r>
      <w:r>
        <w:rPr/>
        <w:t>。</w:t>
      </w:r>
    </w:p>
    <w:p>
      <w:pPr>
        <w:spacing w:line="240" w:lineRule="auto" w:before="1"/>
        <w:rPr>
          <w:rFonts w:ascii="宋体" w:hAnsi="宋体" w:cs="宋体" w:eastAsia="宋体" w:hint="default"/>
          <w:sz w:val="21"/>
          <w:szCs w:val="21"/>
        </w:rPr>
      </w:pPr>
    </w:p>
    <w:p>
      <w:pPr>
        <w:pStyle w:val="BodyText"/>
        <w:spacing w:line="312" w:lineRule="exact"/>
        <w:ind w:left="817" w:right="113"/>
        <w:jc w:val="both"/>
      </w:pPr>
      <w:r>
        <w:rPr/>
        <w:t>如果管理层对资产组和资产组组合未来现金流量计算中采用的毛利率进行修订，修订后 的毛利率低于目前采用的毛利率，本集团需对商誉、固定资产增加计提减值准备。</w:t>
      </w:r>
    </w:p>
    <w:p>
      <w:pPr>
        <w:spacing w:line="240" w:lineRule="auto" w:before="1"/>
        <w:rPr>
          <w:rFonts w:ascii="宋体" w:hAnsi="宋体" w:cs="宋体" w:eastAsia="宋体" w:hint="default"/>
          <w:sz w:val="21"/>
          <w:szCs w:val="21"/>
        </w:rPr>
      </w:pPr>
    </w:p>
    <w:p>
      <w:pPr>
        <w:pStyle w:val="BodyText"/>
        <w:spacing w:line="312" w:lineRule="exact"/>
        <w:ind w:left="817" w:right="113"/>
        <w:jc w:val="both"/>
      </w:pPr>
      <w:r>
        <w:rPr/>
        <w:t>如果管理层对应用于现金流量折现的税前折现率进行重新修订，修订后的税前折现率高 于目前采用的折现率，本集团需对商誉增加计提减值准备。</w:t>
      </w:r>
    </w:p>
    <w:p>
      <w:pPr>
        <w:spacing w:line="240" w:lineRule="auto" w:before="1"/>
        <w:rPr>
          <w:rFonts w:ascii="宋体" w:hAnsi="宋体" w:cs="宋体" w:eastAsia="宋体" w:hint="default"/>
          <w:sz w:val="21"/>
          <w:szCs w:val="21"/>
        </w:rPr>
      </w:pPr>
    </w:p>
    <w:p>
      <w:pPr>
        <w:pStyle w:val="BodyText"/>
        <w:spacing w:line="312" w:lineRule="exact"/>
        <w:ind w:left="817" w:right="113"/>
        <w:jc w:val="both"/>
      </w:pPr>
      <w:r>
        <w:rPr/>
        <w:t>如果实际毛利率或税前折现率高于或低于管理层的估计，本集团不转回原已计提的商誉 减值损失。</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0"/>
        <w:jc w:val="left"/>
      </w:pPr>
      <w:r>
        <w:rPr>
          <w:rFonts w:ascii="Arial" w:hAnsi="Arial" w:cs="Arial" w:eastAsia="Arial" w:hint="default"/>
          <w:spacing w:val="-1"/>
          <w:position w:val="2"/>
        </w:rPr>
        <w:t>(ii)</w:t>
        <w:tab/>
      </w:r>
      <w:r>
        <w:rPr/>
        <w:t>所得税</w:t>
      </w:r>
    </w:p>
    <w:p>
      <w:pPr>
        <w:spacing w:line="240" w:lineRule="auto" w:before="4"/>
        <w:rPr>
          <w:rFonts w:ascii="宋体" w:hAnsi="宋体" w:cs="宋体" w:eastAsia="宋体" w:hint="default"/>
          <w:sz w:val="23"/>
          <w:szCs w:val="23"/>
        </w:rPr>
      </w:pPr>
    </w:p>
    <w:p>
      <w:pPr>
        <w:pStyle w:val="BodyText"/>
        <w:spacing w:line="312" w:lineRule="exact"/>
        <w:ind w:left="817" w:right="113"/>
        <w:jc w:val="both"/>
      </w:pPr>
      <w:r>
        <w:rPr/>
        <w:t>本集团在多个地区缴纳企业所得税。在正常的经营活动中，很多交易和事项的最终税务 处理都存在不确定性。在计提各个地区的所得税费用时，本集团需要作出重大判断。如 果这些税务事项的最终认定结果与最初入账的金额存在差异，该差异将对作出上述最终 认定期间的所得税费用和递延所得税的金额产生影响。</w:t>
      </w:r>
    </w:p>
    <w:p>
      <w:pPr>
        <w:spacing w:after="0" w:line="312" w:lineRule="exact"/>
        <w:jc w:val="both"/>
        <w:sectPr>
          <w:pgSz w:w="11910" w:h="16840"/>
          <w:pgMar w:header="1475" w:footer="708" w:top="3020" w:bottom="900" w:left="1020" w:right="800"/>
        </w:sectPr>
      </w:pPr>
    </w:p>
    <w:p>
      <w:pPr>
        <w:spacing w:line="240" w:lineRule="auto" w:before="6"/>
        <w:rPr>
          <w:rFonts w:ascii="宋体" w:hAnsi="宋体" w:cs="宋体" w:eastAsia="宋体" w:hint="default"/>
          <w:sz w:val="13"/>
          <w:szCs w:val="13"/>
        </w:rPr>
      </w:pPr>
    </w:p>
    <w:p>
      <w:pPr>
        <w:pStyle w:val="Heading2"/>
        <w:spacing w:line="240" w:lineRule="auto"/>
        <w:ind w:right="0"/>
        <w:jc w:val="both"/>
        <w:rPr>
          <w:rFonts w:ascii="Arial" w:hAnsi="Arial" w:cs="Arial" w:eastAsia="Arial" w:hint="default"/>
          <w:b w:val="0"/>
          <w:bCs w:val="0"/>
        </w:rPr>
      </w:pPr>
      <w:r>
        <w:rPr/>
        <w:t>二  </w:t>
      </w:r>
      <w:r>
        <w:rPr>
          <w:spacing w:val="94"/>
        </w:rPr>
        <w:t> </w:t>
      </w:r>
      <w:r>
        <w:rPr/>
        <w:t>主要会计政策和会计估计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5"/>
        <w:rPr>
          <w:rFonts w:ascii="Arial" w:hAnsi="Arial" w:cs="Arial" w:eastAsia="Arial" w:hint="default"/>
          <w:b/>
          <w:bCs/>
          <w:sz w:val="25"/>
          <w:szCs w:val="25"/>
        </w:rPr>
      </w:pPr>
    </w:p>
    <w:p>
      <w:pPr>
        <w:spacing w:line="451" w:lineRule="auto" w:before="0"/>
        <w:ind w:left="108" w:right="6725" w:firstLine="0"/>
        <w:jc w:val="both"/>
        <w:rPr>
          <w:rFonts w:ascii="宋体" w:hAnsi="宋体" w:cs="宋体" w:eastAsia="宋体" w:hint="default"/>
          <w:sz w:val="24"/>
          <w:szCs w:val="24"/>
        </w:rPr>
      </w:pPr>
      <w:r>
        <w:rPr>
          <w:rFonts w:ascii="Arial" w:hAnsi="Arial" w:cs="Arial" w:eastAsia="Arial" w:hint="default"/>
          <w:position w:val="2"/>
          <w:sz w:val="24"/>
          <w:szCs w:val="24"/>
        </w:rPr>
        <w:t>(29)</w:t>
      </w:r>
      <w:r>
        <w:rPr>
          <w:rFonts w:ascii="Arial" w:hAnsi="Arial" w:cs="Arial" w:eastAsia="Arial" w:hint="default"/>
          <w:spacing w:val="7"/>
          <w:position w:val="2"/>
          <w:sz w:val="24"/>
          <w:szCs w:val="24"/>
        </w:rPr>
        <w:t> </w:t>
      </w:r>
      <w:r>
        <w:rPr>
          <w:rFonts w:ascii="宋体" w:hAnsi="宋体" w:cs="宋体" w:eastAsia="宋体" w:hint="default"/>
          <w:b/>
          <w:bCs/>
          <w:sz w:val="24"/>
          <w:szCs w:val="24"/>
        </w:rPr>
        <w:t>重要会计估计和判断</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Arial" w:hAnsi="Arial" w:cs="Arial" w:eastAsia="Arial" w:hint="default"/>
          <w:position w:val="2"/>
          <w:sz w:val="24"/>
          <w:szCs w:val="24"/>
        </w:rPr>
        <w:t>(b)  </w:t>
      </w:r>
      <w:r>
        <w:rPr>
          <w:rFonts w:ascii="Arial" w:hAnsi="Arial" w:cs="Arial" w:eastAsia="Arial" w:hint="default"/>
          <w:spacing w:val="14"/>
          <w:position w:val="2"/>
          <w:sz w:val="24"/>
          <w:szCs w:val="24"/>
        </w:rPr>
        <w:t> </w:t>
      </w:r>
      <w:r>
        <w:rPr>
          <w:rFonts w:ascii="宋体" w:hAnsi="宋体" w:cs="宋体" w:eastAsia="宋体" w:hint="default"/>
          <w:sz w:val="24"/>
          <w:szCs w:val="24"/>
        </w:rPr>
        <w:t>采用会计政策的关键判断 </w:t>
      </w:r>
      <w:r>
        <w:rPr>
          <w:rFonts w:ascii="Arial" w:hAnsi="Arial" w:cs="Arial" w:eastAsia="Arial" w:hint="default"/>
          <w:position w:val="2"/>
          <w:sz w:val="24"/>
          <w:szCs w:val="24"/>
        </w:rPr>
        <w:t>(i)      </w:t>
      </w:r>
      <w:r>
        <w:rPr>
          <w:rFonts w:ascii="Arial" w:hAnsi="Arial" w:cs="Arial" w:eastAsia="Arial" w:hint="default"/>
          <w:spacing w:val="27"/>
          <w:position w:val="2"/>
          <w:sz w:val="24"/>
          <w:szCs w:val="24"/>
        </w:rPr>
        <w:t> </w:t>
      </w:r>
      <w:r>
        <w:rPr>
          <w:rFonts w:ascii="宋体" w:hAnsi="宋体" w:cs="宋体" w:eastAsia="宋体" w:hint="default"/>
          <w:sz w:val="24"/>
          <w:szCs w:val="24"/>
        </w:rPr>
        <w:t>存货跌价准备</w:t>
      </w:r>
    </w:p>
    <w:p>
      <w:pPr>
        <w:pStyle w:val="BodyText"/>
        <w:spacing w:line="312" w:lineRule="exact" w:before="66"/>
        <w:ind w:left="817" w:right="224"/>
        <w:jc w:val="both"/>
      </w:pPr>
      <w:r>
        <w:rPr/>
        <w:t>本集团将大量的流动资金投入存货，对于存货跌价准备的风险，本集团已经执行了严格 的措施加以监控。对于低于采购价的商品销售，除非有供应商的商业折扣确认函，否则 </w:t>
      </w:r>
      <w:r>
        <w:rPr>
          <w:rFonts w:ascii="Arial" w:hAnsi="Arial" w:cs="Arial" w:eastAsia="Arial" w:hint="default"/>
        </w:rPr>
        <w:t>SAP/ERP </w:t>
      </w:r>
      <w:r>
        <w:rPr/>
        <w:t>系统不能产生提货单实现销售。对于存货账龄清单上滞销的存货，大部分可</w:t>
      </w:r>
      <w:r>
        <w:rPr>
          <w:spacing w:val="-102"/>
        </w:rPr>
        <w:t> </w:t>
      </w:r>
      <w:r>
        <w:rPr>
          <w:spacing w:val="-102"/>
        </w:rPr>
      </w:r>
      <w:r>
        <w:rPr/>
        <w:t>以根据供应商的退货保证退回供应商；对于供应商没有退货保证的，或者已经不再与本</w:t>
      </w:r>
      <w:r>
        <w:rPr/>
        <w:t> 集团进行交易的供应商，本集团根据滞销存货的账面价值和各自的可变现净值计提存货 跌价准备。</w:t>
      </w:r>
    </w:p>
    <w:p>
      <w:pPr>
        <w:pStyle w:val="BodyText"/>
        <w:spacing w:line="240" w:lineRule="auto" w:before="210"/>
        <w:ind w:left="107" w:right="0"/>
        <w:jc w:val="both"/>
      </w:pPr>
      <w:r>
        <w:rPr>
          <w:rFonts w:ascii="Arial" w:hAnsi="Arial" w:cs="Arial" w:eastAsia="Arial" w:hint="default"/>
          <w:position w:val="2"/>
        </w:rPr>
        <w:t>(ii)     </w:t>
      </w:r>
      <w:r>
        <w:rPr>
          <w:rFonts w:ascii="Arial" w:hAnsi="Arial" w:cs="Arial" w:eastAsia="Arial" w:hint="default"/>
          <w:spacing w:val="39"/>
          <w:position w:val="2"/>
        </w:rPr>
        <w:t> </w:t>
      </w:r>
      <w:r>
        <w:rPr/>
        <w:t>积分计划</w:t>
      </w:r>
    </w:p>
    <w:p>
      <w:pPr>
        <w:spacing w:line="240" w:lineRule="auto" w:before="4"/>
        <w:rPr>
          <w:rFonts w:ascii="宋体" w:hAnsi="宋体" w:cs="宋体" w:eastAsia="宋体" w:hint="default"/>
          <w:sz w:val="23"/>
          <w:szCs w:val="23"/>
        </w:rPr>
      </w:pPr>
    </w:p>
    <w:p>
      <w:pPr>
        <w:pStyle w:val="BodyText"/>
        <w:spacing w:line="312" w:lineRule="exact"/>
        <w:ind w:left="817" w:right="104"/>
        <w:jc w:val="left"/>
      </w:pPr>
      <w:r>
        <w:rPr/>
        <w:t>本集团实施积分计划，顾客前次消费额产生的积分，可以在下次消费时抵用。授予顾客 的积分奖励作为销售交易的一部分。销售取得的货款在商品销售产生的收入与奖励积分 之间进行分配，与奖励积分相关的部分首先作为递延收益，待顾客兑换奖励积分或失效 时，结转计入当期损益。予以递延确认的收益以授予顾客的积分为基准，并根据本集团 </w:t>
      </w:r>
      <w:r>
        <w:rPr>
          <w:spacing w:val="-3"/>
        </w:rPr>
        <w:t>已公布的积分使用方法和积分的预期兑付率，按公允价值确认。由于积分计划推出不久，</w:t>
      </w:r>
      <w:r>
        <w:rPr>
          <w:spacing w:val="-105"/>
        </w:rPr>
        <w:t> </w:t>
      </w:r>
      <w:r>
        <w:rPr>
          <w:spacing w:val="-105"/>
        </w:rPr>
      </w:r>
      <w:r>
        <w:rPr/>
        <w:t>本集团无足够长的历史记录，因此本集团对预期兑付率做出重大估计。预期兑付率的可</w:t>
      </w:r>
      <w:r>
        <w:rPr/>
        <w:t> 靠估计有赖于数理统计。于每个资产负债表日，本集团将根据积分的实际兑付情况，对 预期兑付率进行重新估算，并调整递延收益余额。</w:t>
      </w:r>
    </w:p>
    <w:p>
      <w:pPr>
        <w:spacing w:after="0" w:line="312" w:lineRule="exact"/>
        <w:jc w:val="left"/>
        <w:sectPr>
          <w:pgSz w:w="11910" w:h="16840"/>
          <w:pgMar w:header="1475" w:footer="708" w:top="3020" w:bottom="900" w:left="1020" w:right="70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104"/>
        <w:jc w:val="left"/>
        <w:rPr>
          <w:b w:val="0"/>
          <w:bCs w:val="0"/>
        </w:rPr>
      </w:pPr>
      <w:r>
        <w:rPr>
          <w:w w:val="95"/>
        </w:rPr>
        <w:t>三</w:t>
        <w:tab/>
      </w:r>
      <w:r>
        <w:rPr/>
        <w:t>税项</w:t>
      </w:r>
      <w:r>
        <w:rPr>
          <w:b w:val="0"/>
          <w:bCs w:val="0"/>
        </w:rPr>
      </w:r>
    </w:p>
    <w:p>
      <w:pPr>
        <w:spacing w:line="240" w:lineRule="auto" w:before="12"/>
        <w:rPr>
          <w:rFonts w:ascii="宋体" w:hAnsi="宋体" w:cs="宋体" w:eastAsia="宋体" w:hint="default"/>
          <w:b/>
          <w:bCs/>
          <w:sz w:val="20"/>
          <w:szCs w:val="20"/>
        </w:rPr>
      </w:pPr>
    </w:p>
    <w:p>
      <w:pPr>
        <w:pStyle w:val="BodyText"/>
        <w:tabs>
          <w:tab w:pos="817" w:val="left" w:leader="none"/>
        </w:tabs>
        <w:spacing w:line="240" w:lineRule="auto"/>
        <w:ind w:left="107" w:right="104"/>
        <w:jc w:val="left"/>
      </w:pPr>
      <w:r>
        <w:rPr>
          <w:rFonts w:ascii="Arial" w:hAnsi="Arial" w:cs="Arial" w:eastAsia="Arial" w:hint="default"/>
          <w:w w:val="95"/>
          <w:position w:val="2"/>
        </w:rPr>
        <w:t>(1)</w:t>
        <w:tab/>
      </w:r>
      <w:r>
        <w:rPr/>
        <w:t>本集团适用的主要税种及其税率列示如下：</w:t>
      </w:r>
    </w:p>
    <w:p>
      <w:pPr>
        <w:spacing w:line="240" w:lineRule="auto" w:before="12"/>
        <w:rPr>
          <w:rFonts w:ascii="宋体" w:hAnsi="宋体" w:cs="宋体" w:eastAsia="宋体" w:hint="default"/>
          <w:sz w:val="20"/>
          <w:szCs w:val="20"/>
        </w:rPr>
      </w:pPr>
    </w:p>
    <w:p>
      <w:pPr>
        <w:pStyle w:val="BodyText"/>
        <w:tabs>
          <w:tab w:pos="2801" w:val="left" w:leader="none"/>
          <w:tab w:pos="6346" w:val="left" w:leader="none"/>
        </w:tabs>
        <w:spacing w:line="448" w:lineRule="auto"/>
        <w:ind w:left="817" w:right="3355"/>
        <w:jc w:val="left"/>
      </w:pPr>
      <w:r>
        <w:rPr/>
        <w:t>税种</w:t>
        <w:tab/>
        <w:t>计税依据</w:t>
        <w:tab/>
        <w:t>税率 中国子公司：</w:t>
      </w:r>
    </w:p>
    <w:p>
      <w:pPr>
        <w:pStyle w:val="BodyText"/>
        <w:tabs>
          <w:tab w:pos="6346" w:val="left" w:leader="none"/>
        </w:tabs>
        <w:spacing w:line="312" w:lineRule="exact" w:before="96"/>
        <w:ind w:left="6346" w:right="222" w:hanging="5530"/>
        <w:jc w:val="both"/>
      </w:pPr>
      <w:r>
        <w:rPr/>
        <w:t>企业所得税     </w:t>
      </w:r>
      <w:r>
        <w:rPr>
          <w:spacing w:val="64"/>
        </w:rPr>
        <w:t> </w:t>
      </w:r>
      <w:r>
        <w:rPr/>
        <w:t>应纳税所得额</w:t>
        <w:tab/>
        <w:t>企业所得税税率为</w:t>
      </w:r>
      <w:r>
        <w:rPr>
          <w:spacing w:val="-57"/>
        </w:rPr>
        <w:t> </w:t>
      </w:r>
      <w:r>
        <w:rPr>
          <w:rFonts w:ascii="Arial" w:hAnsi="Arial" w:cs="Arial" w:eastAsia="Arial" w:hint="default"/>
          <w:spacing w:val="-7"/>
        </w:rPr>
        <w:t>25%</w:t>
      </w:r>
      <w:r>
        <w:rPr>
          <w:spacing w:val="-7"/>
        </w:rPr>
        <w:t>，其中部分</w:t>
      </w:r>
      <w:r>
        <w:rPr/>
        <w:t> 子公司可以享受企业所得税优惠税 率；</w:t>
      </w:r>
    </w:p>
    <w:p>
      <w:pPr>
        <w:spacing w:line="240" w:lineRule="auto" w:before="10"/>
        <w:rPr>
          <w:rFonts w:ascii="宋体" w:hAnsi="宋体" w:cs="宋体" w:eastAsia="宋体" w:hint="default"/>
          <w:sz w:val="18"/>
          <w:szCs w:val="18"/>
        </w:rPr>
      </w:pPr>
    </w:p>
    <w:p>
      <w:pPr>
        <w:pStyle w:val="BodyText"/>
        <w:spacing w:line="322" w:lineRule="exact"/>
        <w:ind w:left="6346" w:right="0"/>
        <w:jc w:val="left"/>
      </w:pPr>
      <w:r>
        <w:rPr/>
        <w:t>年度应纳税所得额不超过</w:t>
      </w:r>
      <w:r>
        <w:rPr>
          <w:spacing w:val="-70"/>
        </w:rPr>
        <w:t> </w:t>
      </w:r>
      <w:r>
        <w:rPr>
          <w:rFonts w:ascii="Arial" w:hAnsi="Arial" w:cs="Arial" w:eastAsia="Arial" w:hint="default"/>
        </w:rPr>
        <w:t>30</w:t>
      </w:r>
      <w:r>
        <w:rPr>
          <w:rFonts w:ascii="Arial" w:hAnsi="Arial" w:cs="Arial" w:eastAsia="Arial" w:hint="default"/>
          <w:spacing w:val="-17"/>
        </w:rPr>
        <w:t> </w:t>
      </w:r>
      <w:r>
        <w:rPr/>
        <w:t>万元，</w:t>
      </w:r>
    </w:p>
    <w:p>
      <w:pPr>
        <w:pStyle w:val="BodyText"/>
        <w:spacing w:line="312" w:lineRule="exact"/>
        <w:ind w:left="6346" w:right="104"/>
        <w:jc w:val="left"/>
      </w:pPr>
      <w:r>
        <w:rPr/>
        <w:t>从业人数不超过 </w:t>
      </w:r>
      <w:r>
        <w:rPr>
          <w:rFonts w:ascii="Arial" w:hAnsi="Arial" w:cs="Arial" w:eastAsia="Arial" w:hint="default"/>
        </w:rPr>
        <w:t>80</w:t>
      </w:r>
      <w:r>
        <w:rPr>
          <w:rFonts w:ascii="Arial" w:hAnsi="Arial" w:cs="Arial" w:eastAsia="Arial" w:hint="default"/>
          <w:spacing w:val="34"/>
        </w:rPr>
        <w:t> </w:t>
      </w:r>
      <w:r>
        <w:rPr/>
        <w:t>人，资产总额</w:t>
      </w:r>
    </w:p>
    <w:p>
      <w:pPr>
        <w:pStyle w:val="BodyText"/>
        <w:spacing w:line="312" w:lineRule="exact" w:before="21"/>
        <w:ind w:left="6346" w:right="199"/>
        <w:jc w:val="left"/>
      </w:pPr>
      <w:r>
        <w:rPr>
          <w:spacing w:val="8"/>
        </w:rPr>
        <w:t>不超过 </w:t>
      </w:r>
      <w:r>
        <w:rPr>
          <w:rFonts w:ascii="Arial" w:hAnsi="Arial" w:cs="Arial" w:eastAsia="Arial" w:hint="default"/>
        </w:rPr>
        <w:t>1,000</w:t>
      </w:r>
      <w:r>
        <w:rPr>
          <w:rFonts w:ascii="Arial" w:hAnsi="Arial" w:cs="Arial" w:eastAsia="Arial" w:hint="default"/>
          <w:spacing w:val="64"/>
        </w:rPr>
        <w:t> </w:t>
      </w:r>
      <w:r>
        <w:rPr>
          <w:spacing w:val="12"/>
        </w:rPr>
        <w:t>万元的小型微利企 </w:t>
      </w:r>
      <w:r>
        <w:rPr/>
        <w:t>业，按照</w:t>
      </w:r>
      <w:r>
        <w:rPr>
          <w:spacing w:val="-63"/>
        </w:rPr>
        <w:t> </w:t>
      </w:r>
      <w:r>
        <w:rPr>
          <w:rFonts w:ascii="Arial" w:hAnsi="Arial" w:cs="Arial" w:eastAsia="Arial" w:hint="default"/>
        </w:rPr>
        <w:t>20%</w:t>
      </w:r>
      <w:r>
        <w:rPr/>
        <w:t>征收企业所得税。</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1475" w:footer="708" w:top="3020" w:bottom="900" w:left="1020" w:right="700"/>
        </w:sectPr>
      </w:pPr>
    </w:p>
    <w:p>
      <w:pPr>
        <w:pStyle w:val="BodyText"/>
        <w:tabs>
          <w:tab w:pos="2801" w:val="left" w:leader="none"/>
        </w:tabs>
        <w:spacing w:line="312" w:lineRule="exact" w:before="56"/>
        <w:ind w:left="3042" w:right="0" w:hanging="2225"/>
        <w:jc w:val="both"/>
        <w:rPr>
          <w:rFonts w:ascii="Arial" w:hAnsi="Arial" w:cs="Arial" w:eastAsia="Arial" w:hint="default"/>
        </w:rPr>
      </w:pPr>
      <w:r>
        <w:rPr/>
        <w:t>增值税</w:t>
        <w:tab/>
      </w:r>
      <w:r>
        <w:rPr>
          <w:spacing w:val="6"/>
        </w:rPr>
        <w:t>应纳税增值额</w:t>
      </w:r>
      <w:r>
        <w:rPr>
          <w:rFonts w:ascii="Arial" w:hAnsi="Arial" w:cs="Arial" w:eastAsia="Arial" w:hint="default"/>
          <w:spacing w:val="6"/>
        </w:rPr>
        <w:t>(</w:t>
      </w:r>
      <w:r>
        <w:rPr>
          <w:spacing w:val="6"/>
        </w:rPr>
        <w:t>应纳税额按应</w:t>
      </w:r>
      <w:r>
        <w:rPr>
          <w:spacing w:val="-109"/>
        </w:rPr>
        <w:t> </w:t>
      </w:r>
      <w:r>
        <w:rPr>
          <w:spacing w:val="16"/>
        </w:rPr>
        <w:t>纳税销售额乘以适用税率</w:t>
      </w:r>
      <w:r>
        <w:rPr>
          <w:spacing w:val="16"/>
        </w:rPr>
        <w:t> 扣除当期允许抵扣的进项 </w:t>
      </w:r>
      <w:r>
        <w:rPr/>
        <w:t>税后的余额计算</w:t>
      </w:r>
      <w:r>
        <w:rPr>
          <w:rFonts w:ascii="Arial" w:hAnsi="Arial" w:cs="Arial" w:eastAsia="Arial" w:hint="default"/>
        </w:rPr>
        <w:t>)</w:t>
      </w:r>
    </w:p>
    <w:p>
      <w:pPr>
        <w:pStyle w:val="BodyText"/>
        <w:spacing w:line="312" w:lineRule="exact" w:before="56"/>
        <w:ind w:left="442" w:right="221"/>
        <w:jc w:val="both"/>
      </w:pPr>
      <w:r>
        <w:rPr/>
        <w:br w:type="column"/>
      </w:r>
      <w:r>
        <w:rPr/>
        <w:t>家用电器销售：小规模纳税人增值 税税率为</w:t>
      </w:r>
      <w:r>
        <w:rPr>
          <w:spacing w:val="24"/>
        </w:rPr>
        <w:t> </w:t>
      </w:r>
      <w:r>
        <w:rPr>
          <w:rFonts w:ascii="Arial" w:hAnsi="Arial" w:cs="Arial" w:eastAsia="Arial" w:hint="default"/>
        </w:rPr>
        <w:t>3%</w:t>
      </w:r>
      <w:r>
        <w:rPr/>
        <w:t>，一般纳税人增值税</w:t>
      </w:r>
      <w:r>
        <w:rPr>
          <w:spacing w:val="2"/>
        </w:rPr>
        <w:t> </w:t>
      </w:r>
      <w:r>
        <w:rPr/>
        <w:t>税率为</w:t>
      </w:r>
      <w:r>
        <w:rPr>
          <w:spacing w:val="-63"/>
        </w:rPr>
        <w:t> </w:t>
      </w:r>
      <w:r>
        <w:rPr>
          <w:rFonts w:ascii="Arial" w:hAnsi="Arial" w:cs="Arial" w:eastAsia="Arial" w:hint="default"/>
        </w:rPr>
        <w:t>17%</w:t>
      </w:r>
      <w:r>
        <w:rPr/>
        <w:t>；</w:t>
      </w:r>
    </w:p>
    <w:p>
      <w:pPr>
        <w:spacing w:line="240" w:lineRule="auto" w:before="1"/>
        <w:rPr>
          <w:rFonts w:ascii="宋体" w:hAnsi="宋体" w:cs="宋体" w:eastAsia="宋体" w:hint="default"/>
          <w:sz w:val="21"/>
          <w:szCs w:val="21"/>
        </w:rPr>
      </w:pPr>
    </w:p>
    <w:p>
      <w:pPr>
        <w:pStyle w:val="BodyText"/>
        <w:spacing w:line="312" w:lineRule="exact"/>
        <w:ind w:left="442" w:right="221"/>
        <w:jc w:val="both"/>
      </w:pPr>
      <w:r>
        <w:rPr/>
        <w:t>家用电器维修：小规模纳税人增值 税税率为</w:t>
      </w:r>
      <w:r>
        <w:rPr>
          <w:spacing w:val="24"/>
        </w:rPr>
        <w:t> </w:t>
      </w:r>
      <w:r>
        <w:rPr>
          <w:rFonts w:ascii="Arial" w:hAnsi="Arial" w:cs="Arial" w:eastAsia="Arial" w:hint="default"/>
        </w:rPr>
        <w:t>3%</w:t>
      </w:r>
      <w:r>
        <w:rPr/>
        <w:t>，一般纳税人增值税</w:t>
      </w:r>
      <w:r>
        <w:rPr>
          <w:spacing w:val="2"/>
        </w:rPr>
        <w:t> </w:t>
      </w:r>
      <w:r>
        <w:rPr/>
        <w:t>税率为</w:t>
      </w:r>
      <w:r>
        <w:rPr>
          <w:spacing w:val="-63"/>
        </w:rPr>
        <w:t> </w:t>
      </w:r>
      <w:r>
        <w:rPr>
          <w:rFonts w:ascii="Arial" w:hAnsi="Arial" w:cs="Arial" w:eastAsia="Arial" w:hint="default"/>
        </w:rPr>
        <w:t>17%</w:t>
      </w:r>
      <w:r>
        <w:rPr/>
        <w:t>。</w:t>
      </w:r>
    </w:p>
    <w:p>
      <w:pPr>
        <w:spacing w:after="0" w:line="312" w:lineRule="exact"/>
        <w:jc w:val="both"/>
        <w:sectPr>
          <w:type w:val="continuous"/>
          <w:pgSz w:w="11910" w:h="16840"/>
          <w:pgMar w:top="920" w:bottom="900" w:left="1020" w:right="700"/>
          <w:cols w:num="2" w:equalWidth="0">
            <w:col w:w="5865" w:space="40"/>
            <w:col w:w="4285"/>
          </w:cols>
        </w:sectPr>
      </w:pPr>
    </w:p>
    <w:p>
      <w:pPr>
        <w:spacing w:line="240" w:lineRule="auto" w:before="10"/>
        <w:rPr>
          <w:rFonts w:ascii="宋体" w:hAnsi="宋体" w:cs="宋体" w:eastAsia="宋体" w:hint="default"/>
          <w:sz w:val="16"/>
          <w:szCs w:val="16"/>
        </w:rPr>
      </w:pPr>
    </w:p>
    <w:p>
      <w:pPr>
        <w:pStyle w:val="BodyText"/>
        <w:tabs>
          <w:tab w:pos="2801" w:val="left" w:leader="none"/>
          <w:tab w:pos="6346" w:val="left" w:leader="none"/>
        </w:tabs>
        <w:spacing w:line="312" w:lineRule="exact" w:before="56"/>
        <w:ind w:left="6346" w:right="222" w:hanging="5530"/>
        <w:jc w:val="left"/>
      </w:pPr>
      <w:r>
        <w:rPr/>
        <w:t>营业税</w:t>
        <w:tab/>
        <w:t>应纳税营业额</w:t>
        <w:tab/>
        <w:t>培训业务收入、安装业务收入营业 税税率为</w:t>
      </w:r>
      <w:r>
        <w:rPr>
          <w:spacing w:val="-62"/>
        </w:rPr>
        <w:t> </w:t>
      </w:r>
      <w:r>
        <w:rPr>
          <w:rFonts w:ascii="Arial" w:hAnsi="Arial" w:cs="Arial" w:eastAsia="Arial" w:hint="default"/>
        </w:rPr>
        <w:t>3%</w:t>
      </w:r>
      <w:r>
        <w:rPr/>
        <w:t>；</w:t>
      </w:r>
    </w:p>
    <w:p>
      <w:pPr>
        <w:spacing w:line="240" w:lineRule="auto" w:before="1"/>
        <w:rPr>
          <w:rFonts w:ascii="宋体" w:hAnsi="宋体" w:cs="宋体" w:eastAsia="宋体" w:hint="default"/>
          <w:sz w:val="21"/>
          <w:szCs w:val="21"/>
        </w:rPr>
      </w:pPr>
    </w:p>
    <w:p>
      <w:pPr>
        <w:pStyle w:val="BodyText"/>
        <w:spacing w:line="312" w:lineRule="exact"/>
        <w:ind w:left="6346" w:right="222"/>
        <w:jc w:val="both"/>
      </w:pPr>
      <w:r>
        <w:rPr/>
        <w:t>代理收入、租赁收入、连锁店服务 收入及广告位使用费收入等营业税 税率为</w:t>
      </w:r>
      <w:r>
        <w:rPr>
          <w:spacing w:val="-62"/>
        </w:rPr>
        <w:t> </w:t>
      </w:r>
      <w:r>
        <w:rPr>
          <w:rFonts w:ascii="Arial" w:hAnsi="Arial" w:cs="Arial" w:eastAsia="Arial" w:hint="default"/>
        </w:rPr>
        <w:t>5%</w:t>
      </w:r>
      <w:r>
        <w:rPr/>
        <w:t>；</w:t>
      </w:r>
    </w:p>
    <w:p>
      <w:pPr>
        <w:spacing w:line="240" w:lineRule="auto" w:before="10"/>
        <w:rPr>
          <w:rFonts w:ascii="宋体" w:hAnsi="宋体" w:cs="宋体" w:eastAsia="宋体" w:hint="default"/>
          <w:sz w:val="18"/>
          <w:szCs w:val="18"/>
        </w:rPr>
      </w:pPr>
    </w:p>
    <w:p>
      <w:pPr>
        <w:pStyle w:val="BodyText"/>
        <w:spacing w:line="313" w:lineRule="exact"/>
        <w:ind w:left="6346" w:right="0"/>
        <w:jc w:val="both"/>
      </w:pPr>
      <w:r>
        <w:rPr>
          <w:spacing w:val="36"/>
        </w:rPr>
        <w:t>其他服务收入的营业税税率为</w:t>
      </w:r>
      <w:r>
        <w:rPr>
          <w:spacing w:val="-80"/>
        </w:rPr>
        <w:t> </w:t>
      </w:r>
      <w:r>
        <w:rPr/>
      </w:r>
    </w:p>
    <w:p>
      <w:pPr>
        <w:pStyle w:val="BodyText"/>
        <w:tabs>
          <w:tab w:pos="2801" w:val="left" w:leader="none"/>
          <w:tab w:pos="6346" w:val="left" w:leader="none"/>
        </w:tabs>
        <w:spacing w:line="427" w:lineRule="auto"/>
        <w:ind w:left="817" w:right="2926" w:firstLine="5529"/>
        <w:jc w:val="left"/>
        <w:rPr>
          <w:rFonts w:ascii="Arial" w:hAnsi="Arial" w:cs="Arial" w:eastAsia="Arial" w:hint="default"/>
        </w:rPr>
      </w:pPr>
      <w:r>
        <w:rPr>
          <w:rFonts w:ascii="Arial" w:hAnsi="Arial" w:cs="Arial" w:eastAsia="Arial" w:hint="default"/>
        </w:rPr>
        <w:t>5%</w:t>
      </w:r>
      <w:r>
        <w:rPr/>
        <w:t>。 城市维护建设税</w:t>
        <w:tab/>
        <w:t>缴纳的增值税、营业税税额</w:t>
        <w:tab/>
      </w:r>
      <w:r>
        <w:rPr>
          <w:rFonts w:ascii="Arial" w:hAnsi="Arial" w:cs="Arial" w:eastAsia="Arial" w:hint="default"/>
          <w:position w:val="2"/>
        </w:rPr>
        <w:t>1% -</w:t>
      </w:r>
      <w:r>
        <w:rPr>
          <w:rFonts w:ascii="Arial" w:hAnsi="Arial" w:cs="Arial" w:eastAsia="Arial" w:hint="default"/>
          <w:spacing w:val="-1"/>
          <w:position w:val="2"/>
        </w:rPr>
        <w:t> </w:t>
      </w:r>
      <w:r>
        <w:rPr>
          <w:rFonts w:ascii="Arial" w:hAnsi="Arial" w:cs="Arial" w:eastAsia="Arial" w:hint="default"/>
          <w:position w:val="2"/>
        </w:rPr>
        <w:t>7%</w:t>
      </w:r>
      <w:r>
        <w:rPr>
          <w:rFonts w:ascii="Arial" w:hAnsi="Arial" w:cs="Arial" w:eastAsia="Arial" w:hint="default"/>
        </w:rPr>
      </w:r>
    </w:p>
    <w:p>
      <w:pPr>
        <w:pStyle w:val="BodyText"/>
        <w:tabs>
          <w:tab w:pos="2801" w:val="left" w:leader="none"/>
          <w:tab w:pos="6346" w:val="left" w:leader="none"/>
        </w:tabs>
        <w:spacing w:line="240" w:lineRule="auto" w:before="62"/>
        <w:ind w:left="817" w:right="104"/>
        <w:jc w:val="left"/>
        <w:rPr>
          <w:rFonts w:ascii="Arial" w:hAnsi="Arial" w:cs="Arial" w:eastAsia="Arial" w:hint="default"/>
        </w:rPr>
      </w:pPr>
      <w:r>
        <w:rPr/>
        <w:t>教育费附加</w:t>
        <w:tab/>
        <w:t>缴纳的增值税、营业税税额</w:t>
        <w:tab/>
      </w:r>
      <w:r>
        <w:rPr>
          <w:rFonts w:ascii="Arial" w:hAnsi="Arial" w:cs="Arial" w:eastAsia="Arial" w:hint="default"/>
          <w:position w:val="2"/>
        </w:rPr>
        <w:t>3% -</w:t>
      </w:r>
      <w:r>
        <w:rPr>
          <w:rFonts w:ascii="Arial" w:hAnsi="Arial" w:cs="Arial" w:eastAsia="Arial" w:hint="default"/>
          <w:spacing w:val="-1"/>
          <w:position w:val="2"/>
        </w:rPr>
        <w:t> </w:t>
      </w:r>
      <w:r>
        <w:rPr>
          <w:rFonts w:ascii="Arial" w:hAnsi="Arial" w:cs="Arial" w:eastAsia="Arial" w:hint="default"/>
          <w:position w:val="2"/>
        </w:rPr>
        <w:t>4%</w:t>
      </w:r>
      <w:r>
        <w:rPr>
          <w:rFonts w:ascii="Arial" w:hAnsi="Arial" w:cs="Arial" w:eastAsia="Arial" w:hint="default"/>
        </w:rPr>
      </w:r>
    </w:p>
    <w:p>
      <w:pPr>
        <w:spacing w:after="0" w:line="240" w:lineRule="auto"/>
        <w:jc w:val="left"/>
        <w:rPr>
          <w:rFonts w:ascii="Arial" w:hAnsi="Arial" w:cs="Arial" w:eastAsia="Arial" w:hint="default"/>
        </w:rPr>
        <w:sectPr>
          <w:type w:val="continuous"/>
          <w:pgSz w:w="11910" w:h="16840"/>
          <w:pgMar w:top="920" w:bottom="900" w:left="1020" w:right="700"/>
        </w:sectPr>
      </w:pPr>
    </w:p>
    <w:p>
      <w:pPr>
        <w:spacing w:line="240" w:lineRule="auto" w:before="4"/>
        <w:rPr>
          <w:rFonts w:ascii="Arial" w:hAnsi="Arial" w:cs="Arial" w:eastAsia="Arial" w:hint="default"/>
          <w:sz w:val="15"/>
          <w:szCs w:val="15"/>
        </w:rPr>
      </w:pPr>
    </w:p>
    <w:p>
      <w:pPr>
        <w:pStyle w:val="Heading2"/>
        <w:tabs>
          <w:tab w:pos="817" w:val="left" w:leader="none"/>
        </w:tabs>
        <w:spacing w:line="240" w:lineRule="auto"/>
        <w:ind w:right="104"/>
        <w:jc w:val="left"/>
        <w:rPr>
          <w:rFonts w:ascii="Arial" w:hAnsi="Arial" w:cs="Arial" w:eastAsia="Arial" w:hint="default"/>
          <w:b w:val="0"/>
          <w:bCs w:val="0"/>
        </w:rPr>
      </w:pPr>
      <w:r>
        <w:rPr>
          <w:w w:val="95"/>
        </w:rPr>
        <w:t>三</w:t>
        <w:tab/>
      </w:r>
      <w:r>
        <w:rPr/>
        <w:t>税项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7" w:right="104"/>
        <w:jc w:val="left"/>
      </w:pPr>
      <w:r>
        <w:rPr>
          <w:rFonts w:ascii="Arial" w:hAnsi="Arial" w:cs="Arial" w:eastAsia="Arial" w:hint="default"/>
          <w:w w:val="95"/>
          <w:position w:val="2"/>
        </w:rPr>
        <w:t>(1)</w:t>
        <w:tab/>
      </w:r>
      <w:r>
        <w:rPr/>
        <w:t>本集团适用的主要税种及其税率列示如下</w:t>
      </w:r>
      <w:r>
        <w:rPr>
          <w:rFonts w:ascii="Arial" w:hAnsi="Arial" w:cs="Arial" w:eastAsia="Arial" w:hint="default"/>
        </w:rPr>
        <w:t>(</w:t>
      </w:r>
      <w:r>
        <w:rPr/>
        <w:t>续</w:t>
      </w:r>
      <w:r>
        <w:rPr>
          <w:rFonts w:ascii="Arial" w:hAnsi="Arial" w:cs="Arial" w:eastAsia="Arial" w:hint="default"/>
        </w:rPr>
        <w:t>)</w:t>
      </w:r>
      <w:r>
        <w:rPr/>
        <w:t>：</w:t>
      </w:r>
    </w:p>
    <w:p>
      <w:pPr>
        <w:spacing w:line="240" w:lineRule="auto" w:before="8"/>
        <w:rPr>
          <w:rFonts w:ascii="宋体" w:hAnsi="宋体" w:cs="宋体" w:eastAsia="宋体" w:hint="default"/>
          <w:sz w:val="19"/>
          <w:szCs w:val="19"/>
        </w:rPr>
      </w:pPr>
    </w:p>
    <w:p>
      <w:pPr>
        <w:pStyle w:val="BodyText"/>
        <w:tabs>
          <w:tab w:pos="2801" w:val="left" w:leader="none"/>
          <w:tab w:pos="6346" w:val="left" w:leader="none"/>
        </w:tabs>
        <w:spacing w:line="448" w:lineRule="auto"/>
        <w:ind w:left="817" w:right="3355"/>
        <w:jc w:val="left"/>
      </w:pPr>
      <w:r>
        <w:rPr/>
        <w:t>税种</w:t>
        <w:tab/>
        <w:t>计税依据</w:t>
        <w:tab/>
        <w:t>税率 海外子公司：</w:t>
      </w:r>
    </w:p>
    <w:p>
      <w:pPr>
        <w:pStyle w:val="BodyText"/>
        <w:spacing w:line="240" w:lineRule="auto" w:before="65"/>
        <w:ind w:left="817" w:right="0"/>
        <w:jc w:val="both"/>
        <w:rPr>
          <w:rFonts w:ascii="Arial" w:hAnsi="Arial" w:cs="Arial" w:eastAsia="Arial" w:hint="default"/>
        </w:rPr>
      </w:pPr>
      <w:r>
        <w:rPr/>
        <w:t>香港利得税       在香港地区产生的利得        </w:t>
      </w:r>
      <w:r>
        <w:rPr>
          <w:spacing w:val="2"/>
        </w:rPr>
        <w:t> </w:t>
      </w:r>
      <w:r>
        <w:rPr>
          <w:rFonts w:ascii="Arial" w:hAnsi="Arial" w:cs="Arial" w:eastAsia="Arial" w:hint="default"/>
          <w:position w:val="2"/>
        </w:rPr>
        <w:t>16.5%</w:t>
      </w:r>
      <w:r>
        <w:rPr>
          <w:rFonts w:ascii="Arial" w:hAnsi="Arial" w:cs="Arial" w:eastAsia="Arial" w:hint="default"/>
        </w:rPr>
      </w:r>
    </w:p>
    <w:p>
      <w:pPr>
        <w:spacing w:line="240" w:lineRule="auto" w:before="9"/>
        <w:rPr>
          <w:rFonts w:ascii="Arial" w:hAnsi="Arial" w:cs="Arial" w:eastAsia="Arial" w:hint="default"/>
          <w:sz w:val="23"/>
          <w:szCs w:val="23"/>
        </w:rPr>
      </w:pPr>
    </w:p>
    <w:p>
      <w:pPr>
        <w:pStyle w:val="BodyText"/>
        <w:tabs>
          <w:tab w:pos="6346" w:val="left" w:leader="none"/>
        </w:tabs>
        <w:spacing w:line="313" w:lineRule="exact"/>
        <w:ind w:left="817" w:right="0"/>
        <w:jc w:val="both"/>
      </w:pPr>
      <w:r>
        <w:rPr/>
        <w:t>开曼</w:t>
        <w:tab/>
        <w:t>目前未对开曼公司的企业利润、资</w:t>
      </w:r>
    </w:p>
    <w:p>
      <w:pPr>
        <w:pStyle w:val="BodyText"/>
        <w:spacing w:line="313" w:lineRule="exact"/>
        <w:ind w:left="6346" w:right="104"/>
        <w:jc w:val="left"/>
      </w:pPr>
      <w:r>
        <w:rPr/>
        <w:t>本利得、工资等征税</w:t>
      </w:r>
    </w:p>
    <w:p>
      <w:pPr>
        <w:spacing w:line="240" w:lineRule="auto" w:before="12"/>
        <w:rPr>
          <w:rFonts w:ascii="宋体" w:hAnsi="宋体" w:cs="宋体" w:eastAsia="宋体" w:hint="default"/>
          <w:sz w:val="20"/>
          <w:szCs w:val="20"/>
        </w:rPr>
      </w:pPr>
    </w:p>
    <w:p>
      <w:pPr>
        <w:pStyle w:val="BodyText"/>
        <w:tabs>
          <w:tab w:pos="817" w:val="left" w:leader="none"/>
        </w:tabs>
        <w:spacing w:line="240" w:lineRule="auto"/>
        <w:ind w:left="108" w:right="104"/>
        <w:jc w:val="left"/>
      </w:pPr>
      <w:r>
        <w:rPr>
          <w:rFonts w:ascii="Arial" w:hAnsi="Arial" w:cs="Arial" w:eastAsia="Arial" w:hint="default"/>
          <w:w w:val="95"/>
          <w:position w:val="2"/>
        </w:rPr>
        <w:t>(2)</w:t>
        <w:tab/>
      </w:r>
      <w:r>
        <w:rPr/>
        <w:t>税收优惠及批文</w:t>
      </w:r>
    </w:p>
    <w:p>
      <w:pPr>
        <w:spacing w:line="240" w:lineRule="auto" w:before="12"/>
        <w:rPr>
          <w:rFonts w:ascii="宋体" w:hAnsi="宋体" w:cs="宋体" w:eastAsia="宋体" w:hint="default"/>
          <w:sz w:val="20"/>
          <w:szCs w:val="20"/>
        </w:rPr>
      </w:pPr>
    </w:p>
    <w:p>
      <w:pPr>
        <w:pStyle w:val="BodyText"/>
        <w:spacing w:line="322" w:lineRule="exact"/>
        <w:ind w:left="817" w:right="0"/>
        <w:jc w:val="both"/>
      </w:pPr>
      <w:r>
        <w:rPr/>
        <w:t>全国人民代表大会于</w:t>
      </w:r>
      <w:r>
        <w:rPr>
          <w:spacing w:val="-57"/>
        </w:rPr>
        <w:t> </w:t>
      </w:r>
      <w:r>
        <w:rPr>
          <w:rFonts w:ascii="Arial" w:hAnsi="Arial" w:cs="Arial" w:eastAsia="Arial" w:hint="default"/>
        </w:rPr>
        <w:t>2007</w:t>
      </w:r>
      <w:r>
        <w:rPr>
          <w:rFonts w:ascii="Arial" w:hAnsi="Arial" w:cs="Arial" w:eastAsia="Arial" w:hint="default"/>
          <w:spacing w:val="-3"/>
        </w:rPr>
        <w:t> </w:t>
      </w:r>
      <w:r>
        <w:rPr/>
        <w:t>年</w:t>
      </w:r>
      <w:r>
        <w:rPr>
          <w:spacing w:val="-55"/>
        </w:rPr>
        <w:t> </w:t>
      </w:r>
      <w:r>
        <w:rPr>
          <w:rFonts w:ascii="Arial" w:hAnsi="Arial" w:cs="Arial" w:eastAsia="Arial" w:hint="default"/>
        </w:rPr>
        <w:t>3</w:t>
      </w:r>
      <w:r>
        <w:rPr>
          <w:rFonts w:ascii="Arial" w:hAnsi="Arial" w:cs="Arial" w:eastAsia="Arial" w:hint="default"/>
          <w:spacing w:val="-2"/>
        </w:rPr>
        <w:t> </w:t>
      </w:r>
      <w:r>
        <w:rPr/>
        <w:t>月</w:t>
      </w:r>
      <w:r>
        <w:rPr>
          <w:spacing w:val="-57"/>
        </w:rPr>
        <w:t> </w:t>
      </w:r>
      <w:r>
        <w:rPr>
          <w:rFonts w:ascii="Arial" w:hAnsi="Arial" w:cs="Arial" w:eastAsia="Arial" w:hint="default"/>
        </w:rPr>
        <w:t>16</w:t>
      </w:r>
      <w:r>
        <w:rPr>
          <w:rFonts w:ascii="Arial" w:hAnsi="Arial" w:cs="Arial" w:eastAsia="Arial" w:hint="default"/>
          <w:spacing w:val="-4"/>
        </w:rPr>
        <w:t> </w:t>
      </w:r>
      <w:r>
        <w:rPr/>
        <w:t>日通过了《中华人民共和国企业所得税法》</w:t>
      </w:r>
      <w:r>
        <w:rPr>
          <w:rFonts w:ascii="Arial" w:hAnsi="Arial" w:cs="Arial" w:eastAsia="Arial" w:hint="default"/>
        </w:rPr>
        <w:t>(“</w:t>
      </w:r>
      <w:r>
        <w:rPr/>
        <w:t>新所</w:t>
      </w:r>
    </w:p>
    <w:p>
      <w:pPr>
        <w:pStyle w:val="BodyText"/>
        <w:spacing w:line="312" w:lineRule="exact"/>
        <w:ind w:left="817" w:right="0"/>
        <w:jc w:val="both"/>
      </w:pPr>
      <w:r>
        <w:rPr/>
        <w:t>得税法</w:t>
      </w:r>
      <w:r>
        <w:rPr>
          <w:rFonts w:ascii="Arial" w:hAnsi="Arial" w:cs="Arial" w:eastAsia="Arial" w:hint="default"/>
        </w:rPr>
        <w:t>”)</w:t>
      </w:r>
      <w:r>
        <w:rPr/>
        <w:t>，新所得税法已于</w:t>
      </w:r>
      <w:r>
        <w:rPr>
          <w:spacing w:val="-54"/>
        </w:rPr>
        <w:t> </w:t>
      </w:r>
      <w:r>
        <w:rPr>
          <w:rFonts w:ascii="Arial" w:hAnsi="Arial" w:cs="Arial" w:eastAsia="Arial" w:hint="default"/>
        </w:rPr>
        <w:t>2008 </w:t>
      </w:r>
      <w:r>
        <w:rPr/>
        <w:t>年</w:t>
      </w:r>
      <w:r>
        <w:rPr>
          <w:spacing w:val="-54"/>
        </w:rPr>
        <w:t> </w:t>
      </w:r>
      <w:r>
        <w:rPr>
          <w:rFonts w:ascii="Arial" w:hAnsi="Arial" w:cs="Arial" w:eastAsia="Arial" w:hint="default"/>
        </w:rPr>
        <w:t>1</w:t>
      </w:r>
      <w:r>
        <w:rPr>
          <w:rFonts w:ascii="Arial" w:hAnsi="Arial" w:cs="Arial" w:eastAsia="Arial" w:hint="default"/>
          <w:spacing w:val="-1"/>
        </w:rPr>
        <w:t> </w:t>
      </w:r>
      <w:r>
        <w:rPr/>
        <w:t>月</w:t>
      </w:r>
      <w:r>
        <w:rPr>
          <w:spacing w:val="-54"/>
        </w:rPr>
        <w:t> </w:t>
      </w:r>
      <w:r>
        <w:rPr>
          <w:rFonts w:ascii="Arial" w:hAnsi="Arial" w:cs="Arial" w:eastAsia="Arial" w:hint="default"/>
        </w:rPr>
        <w:t>1</w:t>
      </w:r>
      <w:r>
        <w:rPr>
          <w:rFonts w:ascii="Arial" w:hAnsi="Arial" w:cs="Arial" w:eastAsia="Arial" w:hint="default"/>
          <w:spacing w:val="-1"/>
        </w:rPr>
        <w:t> </w:t>
      </w:r>
      <w:r>
        <w:rPr/>
        <w:t>日起施行。于</w:t>
      </w:r>
      <w:r>
        <w:rPr>
          <w:spacing w:val="-54"/>
        </w:rPr>
        <w:t> </w:t>
      </w:r>
      <w:r>
        <w:rPr>
          <w:rFonts w:ascii="Arial" w:hAnsi="Arial" w:cs="Arial" w:eastAsia="Arial" w:hint="default"/>
        </w:rPr>
        <w:t>2007</w:t>
      </w:r>
      <w:r>
        <w:rPr>
          <w:rFonts w:ascii="Arial" w:hAnsi="Arial" w:cs="Arial" w:eastAsia="Arial" w:hint="default"/>
          <w:spacing w:val="-1"/>
        </w:rPr>
        <w:t> </w:t>
      </w:r>
      <w:r>
        <w:rPr/>
        <w:t>年</w:t>
      </w:r>
      <w:r>
        <w:rPr>
          <w:spacing w:val="-53"/>
        </w:rPr>
        <w:t> </w:t>
      </w:r>
      <w:r>
        <w:rPr>
          <w:rFonts w:ascii="Arial" w:hAnsi="Arial" w:cs="Arial" w:eastAsia="Arial" w:hint="default"/>
        </w:rPr>
        <w:t>12</w:t>
      </w:r>
      <w:r>
        <w:rPr>
          <w:rFonts w:ascii="Arial" w:hAnsi="Arial" w:cs="Arial" w:eastAsia="Arial" w:hint="default"/>
          <w:spacing w:val="-1"/>
        </w:rPr>
        <w:t> </w:t>
      </w:r>
      <w:r>
        <w:rPr/>
        <w:t>月，国务院颁布了</w:t>
      </w:r>
    </w:p>
    <w:p>
      <w:pPr>
        <w:pStyle w:val="BodyText"/>
        <w:spacing w:line="312" w:lineRule="exact" w:before="21"/>
        <w:ind w:left="817" w:right="196"/>
        <w:jc w:val="both"/>
      </w:pPr>
      <w:r>
        <w:rPr/>
        <w:t>《关于实施企业所得税过渡优惠政策的通知》</w:t>
      </w:r>
      <w:r>
        <w:rPr>
          <w:rFonts w:ascii="Arial" w:hAnsi="Arial" w:cs="Arial" w:eastAsia="Arial" w:hint="default"/>
        </w:rPr>
        <w:t>(</w:t>
      </w:r>
      <w:r>
        <w:rPr/>
        <w:t>国发</w:t>
      </w:r>
      <w:r>
        <w:rPr>
          <w:rFonts w:ascii="Arial" w:hAnsi="Arial" w:cs="Arial" w:eastAsia="Arial" w:hint="default"/>
        </w:rPr>
        <w:t>[2007]39</w:t>
      </w:r>
      <w:r>
        <w:rPr>
          <w:rFonts w:ascii="Arial" w:hAnsi="Arial" w:cs="Arial" w:eastAsia="Arial" w:hint="default"/>
          <w:spacing w:val="8"/>
        </w:rPr>
        <w:t> </w:t>
      </w:r>
      <w:r>
        <w:rPr/>
        <w:t>号文</w:t>
      </w:r>
      <w:r>
        <w:rPr>
          <w:rFonts w:ascii="Arial" w:hAnsi="Arial" w:cs="Arial" w:eastAsia="Arial" w:hint="default"/>
        </w:rPr>
        <w:t>)</w:t>
      </w:r>
      <w:r>
        <w:rPr/>
        <w:t>。该通知规定部分符</w:t>
      </w:r>
      <w:r>
        <w:rPr>
          <w:spacing w:val="-117"/>
        </w:rPr>
        <w:t> </w:t>
      </w:r>
      <w:r>
        <w:rPr/>
        <w:t>合规定条件的企业，其按照原税收法律、行政法规和具有行政法规效力文件规定享受的</w:t>
      </w:r>
      <w:r>
        <w:rPr>
          <w:spacing w:val="-83"/>
        </w:rPr>
        <w:t> </w:t>
      </w:r>
      <w:r>
        <w:rPr/>
        <w:t>企业所得税优惠政策，可以有一定过渡期。</w:t>
      </w:r>
    </w:p>
    <w:p>
      <w:pPr>
        <w:spacing w:line="240" w:lineRule="auto" w:before="1"/>
        <w:rPr>
          <w:rFonts w:ascii="宋体" w:hAnsi="宋体" w:cs="宋体" w:eastAsia="宋体" w:hint="default"/>
          <w:sz w:val="21"/>
          <w:szCs w:val="21"/>
        </w:rPr>
      </w:pPr>
    </w:p>
    <w:p>
      <w:pPr>
        <w:pStyle w:val="BodyText"/>
        <w:spacing w:line="312" w:lineRule="exact"/>
        <w:ind w:left="817" w:right="199"/>
        <w:jc w:val="both"/>
      </w:pPr>
      <w:r>
        <w:rPr/>
        <w:t>本集团的部分子公司享受企业所得税过渡优惠政策及企业所得税优惠政策，主要优惠政</w:t>
      </w:r>
      <w:r>
        <w:rPr>
          <w:spacing w:val="-83"/>
        </w:rPr>
        <w:t> </w:t>
      </w:r>
      <w:r>
        <w:rPr/>
        <w:t>策如下所示：</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104"/>
        <w:jc w:val="left"/>
      </w:pPr>
      <w:r>
        <w:rPr>
          <w:rFonts w:ascii="Arial" w:hAnsi="Arial" w:cs="Arial" w:eastAsia="Arial" w:hint="default"/>
          <w:w w:val="95"/>
          <w:position w:val="2"/>
        </w:rPr>
        <w:t>(a)</w:t>
        <w:tab/>
      </w:r>
      <w:r>
        <w:rPr/>
        <w:t>企业所得税过渡优惠政策</w:t>
      </w:r>
    </w:p>
    <w:p>
      <w:pPr>
        <w:spacing w:line="240" w:lineRule="auto" w:before="12"/>
        <w:rPr>
          <w:rFonts w:ascii="宋体" w:hAnsi="宋体" w:cs="宋体" w:eastAsia="宋体" w:hint="default"/>
          <w:sz w:val="20"/>
          <w:szCs w:val="20"/>
        </w:rPr>
      </w:pPr>
    </w:p>
    <w:p>
      <w:pPr>
        <w:pStyle w:val="BodyText"/>
        <w:tabs>
          <w:tab w:pos="817" w:val="left" w:leader="none"/>
        </w:tabs>
        <w:spacing w:line="240" w:lineRule="auto"/>
        <w:ind w:left="108" w:right="104"/>
        <w:jc w:val="left"/>
      </w:pPr>
      <w:r>
        <w:rPr>
          <w:rFonts w:ascii="Arial" w:hAnsi="Arial" w:cs="Arial" w:eastAsia="Arial" w:hint="default"/>
          <w:w w:val="95"/>
          <w:position w:val="2"/>
        </w:rPr>
        <w:t>(i)</w:t>
        <w:tab/>
      </w:r>
      <w:r>
        <w:rPr/>
        <w:t>经济特区税收优惠政策</w:t>
      </w:r>
    </w:p>
    <w:p>
      <w:pPr>
        <w:spacing w:line="240" w:lineRule="auto" w:before="4"/>
        <w:rPr>
          <w:rFonts w:ascii="宋体" w:hAnsi="宋体" w:cs="宋体" w:eastAsia="宋体" w:hint="default"/>
          <w:sz w:val="23"/>
          <w:szCs w:val="23"/>
        </w:rPr>
      </w:pPr>
    </w:p>
    <w:p>
      <w:pPr>
        <w:pStyle w:val="BodyText"/>
        <w:spacing w:line="312" w:lineRule="exact"/>
        <w:ind w:left="817" w:right="104"/>
        <w:jc w:val="left"/>
      </w:pPr>
      <w:r>
        <w:rPr>
          <w:spacing w:val="-6"/>
          <w:w w:val="99"/>
        </w:rPr>
        <w:t>根据国发</w:t>
      </w:r>
      <w:r>
        <w:rPr>
          <w:rFonts w:ascii="Arial" w:hAnsi="Arial" w:cs="Arial" w:eastAsia="Arial" w:hint="default"/>
          <w:spacing w:val="-6"/>
          <w:w w:val="99"/>
        </w:rPr>
        <w:t>[2007]39</w:t>
      </w:r>
      <w:r>
        <w:rPr>
          <w:spacing w:val="-6"/>
          <w:w w:val="99"/>
        </w:rPr>
        <w:t>号文，《广东省经济特区条例》，国函字</w:t>
      </w:r>
      <w:r>
        <w:rPr>
          <w:rFonts w:ascii="Arial" w:hAnsi="Arial" w:cs="Arial" w:eastAsia="Arial" w:hint="default"/>
          <w:spacing w:val="-6"/>
          <w:w w:val="99"/>
        </w:rPr>
        <w:t>[80]88</w:t>
      </w:r>
      <w:r>
        <w:rPr>
          <w:spacing w:val="-6"/>
          <w:w w:val="99"/>
        </w:rPr>
        <w:t>号及国发</w:t>
      </w:r>
      <w:r>
        <w:rPr>
          <w:rFonts w:ascii="Arial" w:hAnsi="Arial" w:cs="Arial" w:eastAsia="Arial" w:hint="default"/>
          <w:spacing w:val="-6"/>
          <w:w w:val="99"/>
        </w:rPr>
        <w:t>[1988]26</w:t>
      </w:r>
      <w:r>
        <w:rPr>
          <w:spacing w:val="-6"/>
          <w:w w:val="99"/>
        </w:rPr>
        <w:t>号文，</w:t>
      </w:r>
      <w:r>
        <w:rPr>
          <w:spacing w:val="-73"/>
          <w:w w:val="99"/>
        </w:rPr>
        <w:t> </w:t>
      </w:r>
      <w:r>
        <w:rPr/>
        <w:t>设立于广东省深圳、珠海、汕头和厦门经济特区，以及海南岛的原享受低税率优惠政策</w:t>
      </w:r>
      <w:r>
        <w:rPr/>
        <w:t> 的企业，自</w:t>
      </w:r>
      <w:r>
        <w:rPr>
          <w:rFonts w:ascii="Arial" w:hAnsi="Arial" w:cs="Arial" w:eastAsia="Arial" w:hint="default"/>
        </w:rPr>
        <w:t>2008</w:t>
      </w:r>
      <w:r>
        <w:rPr/>
        <w:t>年</w:t>
      </w:r>
      <w:r>
        <w:rPr>
          <w:rFonts w:ascii="Arial" w:hAnsi="Arial" w:cs="Arial" w:eastAsia="Arial" w:hint="default"/>
        </w:rPr>
        <w:t>1</w:t>
      </w:r>
      <w:r>
        <w:rPr/>
        <w:t>月</w:t>
      </w:r>
      <w:r>
        <w:rPr>
          <w:rFonts w:ascii="Arial" w:hAnsi="Arial" w:cs="Arial" w:eastAsia="Arial" w:hint="default"/>
        </w:rPr>
        <w:t>1</w:t>
      </w:r>
      <w:r>
        <w:rPr/>
        <w:t>日起，在新税法施行后</w:t>
      </w:r>
      <w:r>
        <w:rPr>
          <w:rFonts w:ascii="Arial" w:hAnsi="Arial" w:cs="Arial" w:eastAsia="Arial" w:hint="default"/>
        </w:rPr>
        <w:t>5</w:t>
      </w:r>
      <w:r>
        <w:rPr/>
        <w:t>年内逐步过渡到法定税率。即</w:t>
      </w:r>
      <w:r>
        <w:rPr>
          <w:rFonts w:ascii="Arial" w:hAnsi="Arial" w:cs="Arial" w:eastAsia="Arial" w:hint="default"/>
        </w:rPr>
        <w:t>2008</w:t>
      </w:r>
      <w:r>
        <w:rPr/>
        <w:t>年按 </w:t>
      </w:r>
      <w:r>
        <w:rPr>
          <w:rFonts w:ascii="Arial" w:hAnsi="Arial" w:cs="Arial" w:eastAsia="Arial" w:hint="default"/>
        </w:rPr>
        <w:t>18%</w:t>
      </w:r>
      <w:r>
        <w:rPr/>
        <w:t>税率执行，</w:t>
      </w:r>
      <w:r>
        <w:rPr>
          <w:rFonts w:ascii="Arial" w:hAnsi="Arial" w:cs="Arial" w:eastAsia="Arial" w:hint="default"/>
        </w:rPr>
        <w:t>2009</w:t>
      </w:r>
      <w:r>
        <w:rPr/>
        <w:t>年按</w:t>
      </w:r>
      <w:r>
        <w:rPr>
          <w:rFonts w:ascii="Arial" w:hAnsi="Arial" w:cs="Arial" w:eastAsia="Arial" w:hint="default"/>
        </w:rPr>
        <w:t>20%</w:t>
      </w:r>
      <w:r>
        <w:rPr/>
        <w:t>税率执行，</w:t>
      </w:r>
      <w:r>
        <w:rPr>
          <w:rFonts w:ascii="Arial" w:hAnsi="Arial" w:cs="Arial" w:eastAsia="Arial" w:hint="default"/>
        </w:rPr>
        <w:t>2010</w:t>
      </w:r>
      <w:r>
        <w:rPr/>
        <w:t>年按</w:t>
      </w:r>
      <w:r>
        <w:rPr>
          <w:rFonts w:ascii="Arial" w:hAnsi="Arial" w:cs="Arial" w:eastAsia="Arial" w:hint="default"/>
        </w:rPr>
        <w:t>22%</w:t>
      </w:r>
      <w:r>
        <w:rPr/>
        <w:t>税率执行，</w:t>
      </w:r>
      <w:r>
        <w:rPr>
          <w:rFonts w:ascii="Arial" w:hAnsi="Arial" w:cs="Arial" w:eastAsia="Arial" w:hint="default"/>
        </w:rPr>
        <w:t>2011</w:t>
      </w:r>
      <w:r>
        <w:rPr/>
        <w:t>年按</w:t>
      </w:r>
      <w:r>
        <w:rPr>
          <w:rFonts w:ascii="Arial" w:hAnsi="Arial" w:cs="Arial" w:eastAsia="Arial" w:hint="default"/>
        </w:rPr>
        <w:t>24%</w:t>
      </w:r>
      <w:r>
        <w:rPr/>
        <w:t>税率</w:t>
      </w:r>
      <w:r>
        <w:rPr>
          <w:spacing w:val="-54"/>
        </w:rPr>
        <w:t> </w:t>
      </w:r>
      <w:r>
        <w:rPr/>
        <w:t>执行，</w:t>
      </w:r>
      <w:r>
        <w:rPr>
          <w:rFonts w:ascii="Arial" w:hAnsi="Arial" w:cs="Arial" w:eastAsia="Arial" w:hint="default"/>
        </w:rPr>
        <w:t>2012</w:t>
      </w:r>
      <w:r>
        <w:rPr/>
        <w:t>年按</w:t>
      </w:r>
      <w:r>
        <w:rPr>
          <w:rFonts w:ascii="Arial" w:hAnsi="Arial" w:cs="Arial" w:eastAsia="Arial" w:hint="default"/>
        </w:rPr>
        <w:t>25%</w:t>
      </w:r>
      <w:r>
        <w:rPr/>
        <w:t>税率执行。</w:t>
      </w:r>
    </w:p>
    <w:p>
      <w:pPr>
        <w:spacing w:line="240" w:lineRule="auto" w:before="1"/>
        <w:rPr>
          <w:rFonts w:ascii="宋体" w:hAnsi="宋体" w:cs="宋体" w:eastAsia="宋体" w:hint="default"/>
          <w:sz w:val="21"/>
          <w:szCs w:val="21"/>
        </w:rPr>
      </w:pPr>
    </w:p>
    <w:p>
      <w:pPr>
        <w:pStyle w:val="BodyText"/>
        <w:spacing w:line="312" w:lineRule="exact"/>
        <w:ind w:left="817" w:right="224"/>
        <w:jc w:val="both"/>
      </w:pPr>
      <w:r>
        <w:rPr/>
        <w:t>本集团的下列公司 </w:t>
      </w:r>
      <w:r>
        <w:rPr>
          <w:rFonts w:ascii="Arial" w:hAnsi="Arial" w:cs="Arial" w:eastAsia="Arial" w:hint="default"/>
        </w:rPr>
        <w:t>-</w:t>
      </w:r>
      <w:r>
        <w:rPr>
          <w:rFonts w:ascii="Arial" w:hAnsi="Arial" w:cs="Arial" w:eastAsia="Arial" w:hint="default"/>
          <w:spacing w:val="-6"/>
        </w:rPr>
        <w:t> </w:t>
      </w:r>
      <w:r>
        <w:rPr/>
        <w:t>深圳市苏宁电器有限公司、深圳市苏宁电器售后服务有限公司、深 圳市苏宁电器售后服务有限公司汕头分公司、珠海苏宁电器有限公司、汕头苏宁电器有 限公司、厦门福厦苏宁电器有限公司、厦门福厦苏宁电器售后服务有限公司为设立于上 述地区的企业，因此</w:t>
      </w:r>
      <w:r>
        <w:rPr>
          <w:rFonts w:ascii="Arial" w:hAnsi="Arial" w:cs="Arial" w:eastAsia="Arial" w:hint="default"/>
        </w:rPr>
        <w:t>2010</w:t>
      </w:r>
      <w:r>
        <w:rPr/>
        <w:t>年适用的企业所得税税率为</w:t>
      </w:r>
      <w:r>
        <w:rPr>
          <w:rFonts w:ascii="Arial" w:hAnsi="Arial" w:cs="Arial" w:eastAsia="Arial" w:hint="default"/>
        </w:rPr>
        <w:t>22%</w:t>
      </w:r>
      <w:r>
        <w:rPr/>
        <w:t>。</w:t>
      </w:r>
    </w:p>
    <w:p>
      <w:pPr>
        <w:spacing w:after="0" w:line="312" w:lineRule="exact"/>
        <w:jc w:val="both"/>
        <w:sectPr>
          <w:pgSz w:w="11910" w:h="16840"/>
          <w:pgMar w:header="1475" w:footer="708" w:top="3020" w:bottom="900" w:left="1020" w:right="70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104"/>
        <w:jc w:val="left"/>
        <w:rPr>
          <w:rFonts w:ascii="Arial" w:hAnsi="Arial" w:cs="Arial" w:eastAsia="Arial" w:hint="default"/>
          <w:b w:val="0"/>
          <w:bCs w:val="0"/>
        </w:rPr>
      </w:pPr>
      <w:r>
        <w:rPr>
          <w:w w:val="95"/>
        </w:rPr>
        <w:t>三</w:t>
        <w:tab/>
      </w:r>
      <w:r>
        <w:rPr/>
        <w:t>税项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7" w:right="104"/>
        <w:jc w:val="left"/>
        <w:rPr>
          <w:rFonts w:ascii="Arial" w:hAnsi="Arial" w:cs="Arial" w:eastAsia="Arial" w:hint="default"/>
        </w:rPr>
      </w:pPr>
      <w:r>
        <w:rPr>
          <w:rFonts w:ascii="Arial" w:hAnsi="Arial" w:cs="Arial" w:eastAsia="Arial" w:hint="default"/>
          <w:w w:val="95"/>
          <w:position w:val="2"/>
        </w:rPr>
        <w:t>(2)</w:t>
        <w:tab/>
      </w:r>
      <w:r>
        <w:rPr/>
        <w:t>税收优惠及批文</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817" w:val="left" w:leader="none"/>
        </w:tabs>
        <w:spacing w:line="427" w:lineRule="auto"/>
        <w:ind w:left="108" w:right="6324"/>
        <w:jc w:val="left"/>
      </w:pPr>
      <w:r>
        <w:rPr>
          <w:rFonts w:ascii="Arial" w:hAnsi="Arial" w:cs="Arial" w:eastAsia="Arial" w:hint="default"/>
          <w:w w:val="95"/>
          <w:position w:val="2"/>
        </w:rPr>
        <w:t>(a)</w:t>
        <w:tab/>
      </w:r>
      <w:r>
        <w:rPr/>
        <w:t>企业所得税过渡优惠政策</w:t>
      </w:r>
      <w:r>
        <w:rPr>
          <w:rFonts w:ascii="Arial" w:hAnsi="Arial" w:cs="Arial" w:eastAsia="Arial" w:hint="default"/>
        </w:rPr>
        <w:t>(</w:t>
      </w:r>
      <w:r>
        <w:rPr/>
        <w:t>续</w:t>
      </w:r>
      <w:r>
        <w:rPr>
          <w:rFonts w:ascii="Arial" w:hAnsi="Arial" w:cs="Arial" w:eastAsia="Arial" w:hint="default"/>
        </w:rPr>
        <w:t>) </w:t>
      </w:r>
      <w:r>
        <w:rPr>
          <w:rFonts w:ascii="Arial" w:hAnsi="Arial" w:cs="Arial" w:eastAsia="Arial" w:hint="default"/>
          <w:spacing w:val="-1"/>
          <w:position w:val="2"/>
        </w:rPr>
        <w:t>(ii)</w:t>
        <w:tab/>
      </w:r>
      <w:r>
        <w:rPr/>
        <w:t>西部大开发税收优惠政策</w:t>
      </w:r>
    </w:p>
    <w:p>
      <w:pPr>
        <w:pStyle w:val="BodyText"/>
        <w:spacing w:line="312" w:lineRule="exact" w:before="93"/>
        <w:ind w:left="817" w:right="96"/>
        <w:jc w:val="left"/>
      </w:pPr>
      <w:r>
        <w:rPr/>
        <w:t>根据国发</w:t>
      </w:r>
      <w:r>
        <w:rPr>
          <w:rFonts w:ascii="Arial" w:hAnsi="Arial" w:cs="Arial" w:eastAsia="Arial" w:hint="default"/>
        </w:rPr>
        <w:t>[2007]39 </w:t>
      </w:r>
      <w:r>
        <w:rPr/>
        <w:t>号文，下列优惠政策继续执行：财税</w:t>
      </w:r>
      <w:r>
        <w:rPr>
          <w:rFonts w:ascii="Arial" w:hAnsi="Arial" w:cs="Arial" w:eastAsia="Arial" w:hint="default"/>
        </w:rPr>
        <w:t>[2001]202</w:t>
      </w:r>
      <w:r>
        <w:rPr>
          <w:rFonts w:ascii="Arial" w:hAnsi="Arial" w:cs="Arial" w:eastAsia="Arial" w:hint="default"/>
          <w:spacing w:val="36"/>
        </w:rPr>
        <w:t> </w:t>
      </w:r>
      <w:r>
        <w:rPr/>
        <w:t>号文第二条，对设在 </w:t>
      </w:r>
      <w:r>
        <w:rPr>
          <w:spacing w:val="3"/>
        </w:rPr>
        <w:t>西部地区国家鼓励类产业的内资企业，其主营业务收入占企业总收入 </w:t>
      </w:r>
      <w:r>
        <w:rPr>
          <w:rFonts w:ascii="Arial" w:hAnsi="Arial" w:cs="Arial" w:eastAsia="Arial" w:hint="default"/>
        </w:rPr>
        <w:t>70%</w:t>
      </w:r>
      <w:r>
        <w:rPr/>
        <w:t>以上的，在</w:t>
      </w:r>
      <w:r>
        <w:rPr>
          <w:spacing w:val="-79"/>
        </w:rPr>
        <w:t> </w:t>
      </w:r>
      <w:r>
        <w:rPr>
          <w:rFonts w:ascii="Arial" w:hAnsi="Arial" w:cs="Arial" w:eastAsia="Arial" w:hint="default"/>
        </w:rPr>
        <w:t>2001</w:t>
      </w:r>
      <w:r>
        <w:rPr>
          <w:rFonts w:ascii="Arial" w:hAnsi="Arial" w:cs="Arial" w:eastAsia="Arial" w:hint="default"/>
          <w:spacing w:val="-3"/>
        </w:rPr>
        <w:t> </w:t>
      </w:r>
      <w:r>
        <w:rPr/>
        <w:t>年至</w:t>
      </w:r>
      <w:r>
        <w:rPr>
          <w:spacing w:val="-55"/>
        </w:rPr>
        <w:t> </w:t>
      </w:r>
      <w:r>
        <w:rPr>
          <w:rFonts w:ascii="Arial" w:hAnsi="Arial" w:cs="Arial" w:eastAsia="Arial" w:hint="default"/>
        </w:rPr>
        <w:t>2010</w:t>
      </w:r>
      <w:r>
        <w:rPr>
          <w:rFonts w:ascii="Arial" w:hAnsi="Arial" w:cs="Arial" w:eastAsia="Arial" w:hint="default"/>
          <w:spacing w:val="-3"/>
        </w:rPr>
        <w:t> </w:t>
      </w:r>
      <w:r>
        <w:rPr>
          <w:spacing w:val="-12"/>
        </w:rPr>
        <w:t>年期间，减按</w:t>
      </w:r>
      <w:r>
        <w:rPr>
          <w:spacing w:val="-56"/>
        </w:rPr>
        <w:t> </w:t>
      </w:r>
      <w:r>
        <w:rPr>
          <w:rFonts w:ascii="Arial" w:hAnsi="Arial" w:cs="Arial" w:eastAsia="Arial" w:hint="default"/>
          <w:spacing w:val="-6"/>
        </w:rPr>
        <w:t>15%</w:t>
      </w:r>
      <w:r>
        <w:rPr>
          <w:spacing w:val="-6"/>
        </w:rPr>
        <w:t>的税率征收企业所得税。另外，经省级人民政府批准，</w:t>
      </w:r>
      <w:r>
        <w:rPr/>
        <w:t> 民族自治地方的内资企业可以定期减征或免征企业所得税。本集团享受该项优惠政策的 公司情况如下：</w:t>
      </w:r>
    </w:p>
    <w:p>
      <w:pPr>
        <w:spacing w:line="240" w:lineRule="auto" w:before="10"/>
        <w:rPr>
          <w:rFonts w:ascii="宋体" w:hAnsi="宋体" w:cs="宋体" w:eastAsia="宋体" w:hint="default"/>
          <w:sz w:val="18"/>
          <w:szCs w:val="18"/>
        </w:rPr>
      </w:pPr>
    </w:p>
    <w:p>
      <w:pPr>
        <w:pStyle w:val="BodyText"/>
        <w:spacing w:line="322" w:lineRule="exact"/>
        <w:ind w:left="817" w:right="0"/>
        <w:jc w:val="both"/>
      </w:pPr>
      <w:r>
        <w:rPr>
          <w:rFonts w:ascii="Arial" w:hAnsi="Arial" w:cs="Arial" w:eastAsia="Arial" w:hint="default"/>
        </w:rPr>
        <w:t>2006</w:t>
      </w:r>
      <w:r>
        <w:rPr>
          <w:rFonts w:ascii="Arial" w:hAnsi="Arial" w:cs="Arial" w:eastAsia="Arial" w:hint="default"/>
          <w:spacing w:val="-17"/>
        </w:rPr>
        <w:t> </w:t>
      </w:r>
      <w:r>
        <w:rPr/>
        <w:t>年</w:t>
      </w:r>
      <w:r>
        <w:rPr>
          <w:spacing w:val="-70"/>
        </w:rPr>
        <w:t> </w:t>
      </w:r>
      <w:r>
        <w:rPr>
          <w:rFonts w:ascii="Arial" w:hAnsi="Arial" w:cs="Arial" w:eastAsia="Arial" w:hint="default"/>
        </w:rPr>
        <w:t>3</w:t>
      </w:r>
      <w:r>
        <w:rPr>
          <w:rFonts w:ascii="Arial" w:hAnsi="Arial" w:cs="Arial" w:eastAsia="Arial" w:hint="default"/>
          <w:spacing w:val="-16"/>
        </w:rPr>
        <w:t> </w:t>
      </w:r>
      <w:r>
        <w:rPr/>
        <w:t>月</w:t>
      </w:r>
      <w:r>
        <w:rPr>
          <w:spacing w:val="-70"/>
        </w:rPr>
        <w:t> </w:t>
      </w:r>
      <w:r>
        <w:rPr>
          <w:rFonts w:ascii="Arial" w:hAnsi="Arial" w:cs="Arial" w:eastAsia="Arial" w:hint="default"/>
        </w:rPr>
        <w:t>3</w:t>
      </w:r>
      <w:r>
        <w:rPr>
          <w:rFonts w:ascii="Arial" w:hAnsi="Arial" w:cs="Arial" w:eastAsia="Arial" w:hint="default"/>
          <w:spacing w:val="-17"/>
        </w:rPr>
        <w:t> </w:t>
      </w:r>
      <w:r>
        <w:rPr/>
        <w:t>日，经陕西省国家税务局陕国税函</w:t>
      </w:r>
      <w:r>
        <w:rPr>
          <w:rFonts w:ascii="Arial" w:hAnsi="Arial" w:cs="Arial" w:eastAsia="Arial" w:hint="default"/>
        </w:rPr>
        <w:t>[2006]100</w:t>
      </w:r>
      <w:r>
        <w:rPr>
          <w:rFonts w:ascii="Arial" w:hAnsi="Arial" w:cs="Arial" w:eastAsia="Arial" w:hint="default"/>
          <w:spacing w:val="-17"/>
        </w:rPr>
        <w:t> </w:t>
      </w:r>
      <w:r>
        <w:rPr/>
        <w:t>号文批准：同意陕西苏宁电</w:t>
      </w:r>
    </w:p>
    <w:p>
      <w:pPr>
        <w:pStyle w:val="BodyText"/>
        <w:spacing w:line="312" w:lineRule="exact"/>
        <w:ind w:left="817" w:right="0"/>
        <w:jc w:val="both"/>
        <w:rPr>
          <w:rFonts w:ascii="Arial" w:hAnsi="Arial" w:cs="Arial" w:eastAsia="Arial" w:hint="default"/>
        </w:rPr>
      </w:pPr>
      <w:r>
        <w:rPr/>
        <w:t>器有限责任公司渭南分公司</w:t>
      </w:r>
      <w:r>
        <w:rPr>
          <w:spacing w:val="-54"/>
        </w:rPr>
        <w:t> </w:t>
      </w:r>
      <w:r>
        <w:rPr>
          <w:rFonts w:ascii="Arial" w:hAnsi="Arial" w:cs="Arial" w:eastAsia="Arial" w:hint="default"/>
        </w:rPr>
        <w:t>2006 </w:t>
      </w:r>
      <w:r>
        <w:rPr/>
        <w:t>年至</w:t>
      </w:r>
      <w:r>
        <w:rPr>
          <w:spacing w:val="-54"/>
        </w:rPr>
        <w:t> </w:t>
      </w:r>
      <w:r>
        <w:rPr>
          <w:rFonts w:ascii="Arial" w:hAnsi="Arial" w:cs="Arial" w:eastAsia="Arial" w:hint="default"/>
        </w:rPr>
        <w:t>2010 </w:t>
      </w:r>
      <w:r>
        <w:rPr/>
        <w:t>年期间享受</w:t>
      </w:r>
      <w:r>
        <w:rPr>
          <w:spacing w:val="-54"/>
        </w:rPr>
        <w:t> </w:t>
      </w:r>
      <w:r>
        <w:rPr>
          <w:rFonts w:ascii="Arial" w:hAnsi="Arial" w:cs="Arial" w:eastAsia="Arial" w:hint="default"/>
        </w:rPr>
        <w:t>15%</w:t>
      </w:r>
      <w:r>
        <w:rPr/>
        <w:t>的企业所得税税率，</w:t>
      </w:r>
      <w:r>
        <w:rPr>
          <w:rFonts w:ascii="Arial" w:hAnsi="Arial" w:cs="Arial" w:eastAsia="Arial" w:hint="default"/>
        </w:rPr>
        <w:t>2010</w:t>
      </w:r>
    </w:p>
    <w:p>
      <w:pPr>
        <w:pStyle w:val="BodyText"/>
        <w:spacing w:line="304" w:lineRule="exact"/>
        <w:ind w:left="817" w:right="0"/>
        <w:jc w:val="both"/>
      </w:pPr>
      <w:r>
        <w:rPr/>
        <w:t>年的审核将在年度纳税汇算清缴后批复。</w:t>
      </w:r>
    </w:p>
    <w:p>
      <w:pPr>
        <w:spacing w:line="240" w:lineRule="auto" w:before="4"/>
        <w:rPr>
          <w:rFonts w:ascii="宋体" w:hAnsi="宋体" w:cs="宋体" w:eastAsia="宋体" w:hint="default"/>
          <w:sz w:val="23"/>
          <w:szCs w:val="23"/>
        </w:rPr>
      </w:pPr>
    </w:p>
    <w:p>
      <w:pPr>
        <w:pStyle w:val="BodyText"/>
        <w:spacing w:line="312" w:lineRule="exact"/>
        <w:ind w:left="817" w:right="227"/>
        <w:jc w:val="both"/>
      </w:pPr>
      <w:r>
        <w:rPr>
          <w:rFonts w:ascii="Arial" w:hAnsi="Arial" w:cs="Arial" w:eastAsia="Arial" w:hint="default"/>
        </w:rPr>
        <w:t>2006</w:t>
      </w:r>
      <w:r>
        <w:rPr>
          <w:rFonts w:ascii="Arial" w:hAnsi="Arial" w:cs="Arial" w:eastAsia="Arial" w:hint="default"/>
          <w:spacing w:val="-17"/>
        </w:rPr>
        <w:t> </w:t>
      </w:r>
      <w:r>
        <w:rPr/>
        <w:t>年</w:t>
      </w:r>
      <w:r>
        <w:rPr>
          <w:spacing w:val="-70"/>
        </w:rPr>
        <w:t> </w:t>
      </w:r>
      <w:r>
        <w:rPr>
          <w:rFonts w:ascii="Arial" w:hAnsi="Arial" w:cs="Arial" w:eastAsia="Arial" w:hint="default"/>
        </w:rPr>
        <w:t>4</w:t>
      </w:r>
      <w:r>
        <w:rPr>
          <w:rFonts w:ascii="Arial" w:hAnsi="Arial" w:cs="Arial" w:eastAsia="Arial" w:hint="default"/>
          <w:spacing w:val="-16"/>
        </w:rPr>
        <w:t> </w:t>
      </w:r>
      <w:r>
        <w:rPr/>
        <w:t>月</w:t>
      </w:r>
      <w:r>
        <w:rPr>
          <w:spacing w:val="-70"/>
        </w:rPr>
        <w:t> </w:t>
      </w:r>
      <w:r>
        <w:rPr>
          <w:rFonts w:ascii="Arial" w:hAnsi="Arial" w:cs="Arial" w:eastAsia="Arial" w:hint="default"/>
        </w:rPr>
        <w:t>27</w:t>
      </w:r>
      <w:r>
        <w:rPr>
          <w:rFonts w:ascii="Arial" w:hAnsi="Arial" w:cs="Arial" w:eastAsia="Arial" w:hint="default"/>
          <w:spacing w:val="-17"/>
        </w:rPr>
        <w:t> </w:t>
      </w:r>
      <w:r>
        <w:rPr/>
        <w:t>日，经咸阳市国家税务局咸国税函</w:t>
      </w:r>
      <w:r>
        <w:rPr>
          <w:rFonts w:ascii="Arial" w:hAnsi="Arial" w:cs="Arial" w:eastAsia="Arial" w:hint="default"/>
        </w:rPr>
        <w:t>[2006]52</w:t>
      </w:r>
      <w:r>
        <w:rPr>
          <w:rFonts w:ascii="Arial" w:hAnsi="Arial" w:cs="Arial" w:eastAsia="Arial" w:hint="default"/>
          <w:spacing w:val="-17"/>
        </w:rPr>
        <w:t> </w:t>
      </w:r>
      <w:r>
        <w:rPr/>
        <w:t>号文批准：同意咸阳苏宁电 器有限公司</w:t>
      </w:r>
      <w:r>
        <w:rPr>
          <w:spacing w:val="-66"/>
        </w:rPr>
        <w:t> </w:t>
      </w:r>
      <w:r>
        <w:rPr>
          <w:rFonts w:ascii="Arial" w:hAnsi="Arial" w:cs="Arial" w:eastAsia="Arial" w:hint="default"/>
        </w:rPr>
        <w:t>2005</w:t>
      </w:r>
      <w:r>
        <w:rPr>
          <w:rFonts w:ascii="Arial" w:hAnsi="Arial" w:cs="Arial" w:eastAsia="Arial" w:hint="default"/>
          <w:spacing w:val="-13"/>
        </w:rPr>
        <w:t> </w:t>
      </w:r>
      <w:r>
        <w:rPr/>
        <w:t>年至</w:t>
      </w:r>
      <w:r>
        <w:rPr>
          <w:spacing w:val="-66"/>
        </w:rPr>
        <w:t> </w:t>
      </w:r>
      <w:r>
        <w:rPr>
          <w:rFonts w:ascii="Arial" w:hAnsi="Arial" w:cs="Arial" w:eastAsia="Arial" w:hint="default"/>
        </w:rPr>
        <w:t>2010</w:t>
      </w:r>
      <w:r>
        <w:rPr>
          <w:rFonts w:ascii="Arial" w:hAnsi="Arial" w:cs="Arial" w:eastAsia="Arial" w:hint="default"/>
          <w:spacing w:val="-13"/>
        </w:rPr>
        <w:t> </w:t>
      </w:r>
      <w:r>
        <w:rPr/>
        <w:t>年享受</w:t>
      </w:r>
      <w:r>
        <w:rPr>
          <w:spacing w:val="-66"/>
        </w:rPr>
        <w:t> </w:t>
      </w:r>
      <w:r>
        <w:rPr>
          <w:rFonts w:ascii="Arial" w:hAnsi="Arial" w:cs="Arial" w:eastAsia="Arial" w:hint="default"/>
        </w:rPr>
        <w:t>15%</w:t>
      </w:r>
      <w:r>
        <w:rPr/>
        <w:t>的企业所得税税率，</w:t>
      </w:r>
      <w:r>
        <w:rPr>
          <w:rFonts w:ascii="Arial" w:hAnsi="Arial" w:cs="Arial" w:eastAsia="Arial" w:hint="default"/>
        </w:rPr>
        <w:t>2010</w:t>
      </w:r>
      <w:r>
        <w:rPr>
          <w:rFonts w:ascii="Arial" w:hAnsi="Arial" w:cs="Arial" w:eastAsia="Arial" w:hint="default"/>
          <w:spacing w:val="-13"/>
        </w:rPr>
        <w:t> </w:t>
      </w:r>
      <w:r>
        <w:rPr/>
        <w:t>年的审核将在年度纳 税汇算清缴后批复。</w:t>
      </w:r>
    </w:p>
    <w:p>
      <w:pPr>
        <w:spacing w:line="240" w:lineRule="auto" w:before="10"/>
        <w:rPr>
          <w:rFonts w:ascii="宋体" w:hAnsi="宋体" w:cs="宋体" w:eastAsia="宋体" w:hint="default"/>
          <w:sz w:val="18"/>
          <w:szCs w:val="18"/>
        </w:rPr>
      </w:pPr>
    </w:p>
    <w:p>
      <w:pPr>
        <w:pStyle w:val="BodyText"/>
        <w:spacing w:line="322" w:lineRule="exact"/>
        <w:ind w:left="817" w:right="0"/>
        <w:jc w:val="both"/>
      </w:pPr>
      <w:r>
        <w:rPr>
          <w:rFonts w:ascii="Arial" w:hAnsi="Arial" w:cs="Arial" w:eastAsia="Arial" w:hint="default"/>
        </w:rPr>
        <w:t>2007</w:t>
      </w:r>
      <w:r>
        <w:rPr>
          <w:rFonts w:ascii="Arial" w:hAnsi="Arial" w:cs="Arial" w:eastAsia="Arial" w:hint="default"/>
          <w:spacing w:val="4"/>
        </w:rPr>
        <w:t> </w:t>
      </w:r>
      <w:r>
        <w:rPr/>
        <w:t>年</w:t>
      </w:r>
      <w:r>
        <w:rPr>
          <w:spacing w:val="-49"/>
        </w:rPr>
        <w:t> </w:t>
      </w:r>
      <w:r>
        <w:rPr>
          <w:rFonts w:ascii="Arial" w:hAnsi="Arial" w:cs="Arial" w:eastAsia="Arial" w:hint="default"/>
        </w:rPr>
        <w:t>5</w:t>
      </w:r>
      <w:r>
        <w:rPr>
          <w:rFonts w:ascii="Arial" w:hAnsi="Arial" w:cs="Arial" w:eastAsia="Arial" w:hint="default"/>
          <w:spacing w:val="4"/>
        </w:rPr>
        <w:t> </w:t>
      </w:r>
      <w:r>
        <w:rPr/>
        <w:t>月</w:t>
      </w:r>
      <w:r>
        <w:rPr>
          <w:spacing w:val="-49"/>
        </w:rPr>
        <w:t> </w:t>
      </w:r>
      <w:r>
        <w:rPr>
          <w:rFonts w:ascii="Arial" w:hAnsi="Arial" w:cs="Arial" w:eastAsia="Arial" w:hint="default"/>
          <w:spacing w:val="-10"/>
        </w:rPr>
        <w:t>11</w:t>
      </w:r>
      <w:r>
        <w:rPr>
          <w:rFonts w:ascii="Arial" w:hAnsi="Arial" w:cs="Arial" w:eastAsia="Arial" w:hint="default"/>
          <w:spacing w:val="4"/>
        </w:rPr>
        <w:t> </w:t>
      </w:r>
      <w:r>
        <w:rPr/>
        <w:t>日，经广西壮族自治区南宁市国家税务局南市国税函</w:t>
      </w:r>
      <w:r>
        <w:rPr>
          <w:rFonts w:ascii="Arial" w:hAnsi="Arial" w:cs="Arial" w:eastAsia="Arial" w:hint="default"/>
        </w:rPr>
        <w:t>[2007]228</w:t>
      </w:r>
      <w:r>
        <w:rPr>
          <w:rFonts w:ascii="Arial" w:hAnsi="Arial" w:cs="Arial" w:eastAsia="Arial" w:hint="default"/>
          <w:spacing w:val="4"/>
        </w:rPr>
        <w:t> </w:t>
      </w:r>
      <w:r>
        <w:rPr/>
        <w:t>号文批</w:t>
      </w:r>
    </w:p>
    <w:p>
      <w:pPr>
        <w:pStyle w:val="BodyText"/>
        <w:spacing w:line="322" w:lineRule="exact"/>
        <w:ind w:left="817" w:right="0"/>
        <w:jc w:val="both"/>
      </w:pPr>
      <w:r>
        <w:rPr/>
        <w:t>准：同意免征广西苏宁电器有限公司</w:t>
      </w:r>
      <w:r>
        <w:rPr>
          <w:spacing w:val="-62"/>
        </w:rPr>
        <w:t> </w:t>
      </w:r>
      <w:r>
        <w:rPr>
          <w:rFonts w:ascii="Arial" w:hAnsi="Arial" w:cs="Arial" w:eastAsia="Arial" w:hint="default"/>
        </w:rPr>
        <w:t>2006</w:t>
      </w:r>
      <w:r>
        <w:rPr>
          <w:rFonts w:ascii="Arial" w:hAnsi="Arial" w:cs="Arial" w:eastAsia="Arial" w:hint="default"/>
          <w:spacing w:val="-9"/>
        </w:rPr>
        <w:t> </w:t>
      </w:r>
      <w:r>
        <w:rPr/>
        <w:t>年至</w:t>
      </w:r>
      <w:r>
        <w:rPr>
          <w:spacing w:val="-62"/>
        </w:rPr>
        <w:t> </w:t>
      </w:r>
      <w:r>
        <w:rPr>
          <w:rFonts w:ascii="Arial" w:hAnsi="Arial" w:cs="Arial" w:eastAsia="Arial" w:hint="default"/>
        </w:rPr>
        <w:t>2010</w:t>
      </w:r>
      <w:r>
        <w:rPr>
          <w:rFonts w:ascii="Arial" w:hAnsi="Arial" w:cs="Arial" w:eastAsia="Arial" w:hint="default"/>
          <w:spacing w:val="-9"/>
        </w:rPr>
        <w:t> </w:t>
      </w:r>
      <w:r>
        <w:rPr/>
        <w:t>年企业所得税。</w:t>
      </w:r>
    </w:p>
    <w:p>
      <w:pPr>
        <w:spacing w:line="240" w:lineRule="auto" w:before="13"/>
        <w:rPr>
          <w:rFonts w:ascii="宋体" w:hAnsi="宋体" w:cs="宋体" w:eastAsia="宋体" w:hint="default"/>
          <w:sz w:val="21"/>
          <w:szCs w:val="21"/>
        </w:rPr>
      </w:pPr>
    </w:p>
    <w:p>
      <w:pPr>
        <w:pStyle w:val="BodyText"/>
        <w:spacing w:line="312" w:lineRule="exact"/>
        <w:ind w:left="817" w:right="222"/>
        <w:jc w:val="both"/>
      </w:pPr>
      <w:r>
        <w:rPr>
          <w:rFonts w:ascii="Arial" w:hAnsi="Arial" w:cs="Arial" w:eastAsia="Arial" w:hint="default"/>
        </w:rPr>
        <w:t>2007</w:t>
      </w:r>
      <w:r>
        <w:rPr>
          <w:rFonts w:ascii="Arial" w:hAnsi="Arial" w:cs="Arial" w:eastAsia="Arial" w:hint="default"/>
          <w:spacing w:val="6"/>
        </w:rPr>
        <w:t> </w:t>
      </w:r>
      <w:r>
        <w:rPr/>
        <w:t>年</w:t>
      </w:r>
      <w:r>
        <w:rPr>
          <w:spacing w:val="-48"/>
        </w:rPr>
        <w:t> </w:t>
      </w:r>
      <w:r>
        <w:rPr>
          <w:rFonts w:ascii="Arial" w:hAnsi="Arial" w:cs="Arial" w:eastAsia="Arial" w:hint="default"/>
        </w:rPr>
        <w:t>10</w:t>
      </w:r>
      <w:r>
        <w:rPr>
          <w:rFonts w:ascii="Arial" w:hAnsi="Arial" w:cs="Arial" w:eastAsia="Arial" w:hint="default"/>
          <w:spacing w:val="5"/>
        </w:rPr>
        <w:t> </w:t>
      </w:r>
      <w:r>
        <w:rPr/>
        <w:t>月</w:t>
      </w:r>
      <w:r>
        <w:rPr>
          <w:spacing w:val="-48"/>
        </w:rPr>
        <w:t> </w:t>
      </w:r>
      <w:r>
        <w:rPr>
          <w:rFonts w:ascii="Arial" w:hAnsi="Arial" w:cs="Arial" w:eastAsia="Arial" w:hint="default"/>
        </w:rPr>
        <w:t>10</w:t>
      </w:r>
      <w:r>
        <w:rPr>
          <w:rFonts w:ascii="Arial" w:hAnsi="Arial" w:cs="Arial" w:eastAsia="Arial" w:hint="default"/>
          <w:spacing w:val="5"/>
        </w:rPr>
        <w:t> </w:t>
      </w:r>
      <w:r>
        <w:rPr/>
        <w:t>日，经昌吉市国家税务局昌市国税减免字</w:t>
      </w:r>
      <w:r>
        <w:rPr>
          <w:rFonts w:ascii="Arial" w:hAnsi="Arial" w:cs="Arial" w:eastAsia="Arial" w:hint="default"/>
        </w:rPr>
        <w:t>[2007]</w:t>
      </w:r>
      <w:r>
        <w:rPr/>
        <w:t>第</w:t>
      </w:r>
      <w:r>
        <w:rPr>
          <w:spacing w:val="-48"/>
        </w:rPr>
        <w:t> </w:t>
      </w:r>
      <w:r>
        <w:rPr>
          <w:rFonts w:ascii="Arial" w:hAnsi="Arial" w:cs="Arial" w:eastAsia="Arial" w:hint="default"/>
        </w:rPr>
        <w:t>588</w:t>
      </w:r>
      <w:r>
        <w:rPr>
          <w:rFonts w:ascii="Arial" w:hAnsi="Arial" w:cs="Arial" w:eastAsia="Arial" w:hint="default"/>
          <w:spacing w:val="5"/>
        </w:rPr>
        <w:t> </w:t>
      </w:r>
      <w:r>
        <w:rPr/>
        <w:t>号文批准：同 </w:t>
      </w:r>
      <w:r>
        <w:rPr>
          <w:spacing w:val="2"/>
        </w:rPr>
        <w:t>意昌吉苏宁电器有限责任公司享受</w:t>
      </w:r>
      <w:r>
        <w:rPr>
          <w:rFonts w:ascii="Arial" w:hAnsi="Arial" w:cs="Arial" w:eastAsia="Arial" w:hint="default"/>
          <w:spacing w:val="2"/>
        </w:rPr>
        <w:t>“</w:t>
      </w:r>
      <w:r>
        <w:rPr>
          <w:spacing w:val="2"/>
        </w:rPr>
        <w:t>三免三减半</w:t>
      </w:r>
      <w:r>
        <w:rPr>
          <w:rFonts w:ascii="Arial" w:hAnsi="Arial" w:cs="Arial" w:eastAsia="Arial" w:hint="default"/>
          <w:spacing w:val="2"/>
        </w:rPr>
        <w:t>”</w:t>
      </w:r>
      <w:r>
        <w:rPr>
          <w:spacing w:val="2"/>
        </w:rPr>
        <w:t>的税收优惠政策，即免征昌吉苏宁电器 </w:t>
      </w:r>
      <w:r>
        <w:rPr/>
        <w:t>有限责任公司</w:t>
      </w:r>
      <w:r>
        <w:rPr>
          <w:spacing w:val="-56"/>
        </w:rPr>
        <w:t> </w:t>
      </w:r>
      <w:r>
        <w:rPr>
          <w:rFonts w:ascii="Arial" w:hAnsi="Arial" w:cs="Arial" w:eastAsia="Arial" w:hint="default"/>
        </w:rPr>
        <w:t>2007</w:t>
      </w:r>
      <w:r>
        <w:rPr>
          <w:rFonts w:ascii="Arial" w:hAnsi="Arial" w:cs="Arial" w:eastAsia="Arial" w:hint="default"/>
          <w:spacing w:val="-3"/>
        </w:rPr>
        <w:t> </w:t>
      </w:r>
      <w:r>
        <w:rPr/>
        <w:t>年至</w:t>
      </w:r>
      <w:r>
        <w:rPr>
          <w:spacing w:val="-56"/>
        </w:rPr>
        <w:t> </w:t>
      </w:r>
      <w:r>
        <w:rPr>
          <w:rFonts w:ascii="Arial" w:hAnsi="Arial" w:cs="Arial" w:eastAsia="Arial" w:hint="default"/>
        </w:rPr>
        <w:t>2009</w:t>
      </w:r>
      <w:r>
        <w:rPr>
          <w:rFonts w:ascii="Arial" w:hAnsi="Arial" w:cs="Arial" w:eastAsia="Arial" w:hint="default"/>
          <w:spacing w:val="-3"/>
        </w:rPr>
        <w:t> </w:t>
      </w:r>
      <w:r>
        <w:rPr/>
        <w:t>年企业所得税，并于</w:t>
      </w:r>
      <w:r>
        <w:rPr>
          <w:spacing w:val="-56"/>
        </w:rPr>
        <w:t> </w:t>
      </w:r>
      <w:r>
        <w:rPr>
          <w:rFonts w:ascii="Arial" w:hAnsi="Arial" w:cs="Arial" w:eastAsia="Arial" w:hint="default"/>
        </w:rPr>
        <w:t>2010</w:t>
      </w:r>
      <w:r>
        <w:rPr>
          <w:rFonts w:ascii="Arial" w:hAnsi="Arial" w:cs="Arial" w:eastAsia="Arial" w:hint="default"/>
          <w:spacing w:val="-3"/>
        </w:rPr>
        <w:t> </w:t>
      </w:r>
      <w:r>
        <w:rPr/>
        <w:t>年至</w:t>
      </w:r>
      <w:r>
        <w:rPr>
          <w:spacing w:val="-56"/>
        </w:rPr>
        <w:t> </w:t>
      </w:r>
      <w:r>
        <w:rPr>
          <w:rFonts w:ascii="Arial" w:hAnsi="Arial" w:cs="Arial" w:eastAsia="Arial" w:hint="default"/>
        </w:rPr>
        <w:t>2012</w:t>
      </w:r>
      <w:r>
        <w:rPr>
          <w:rFonts w:ascii="Arial" w:hAnsi="Arial" w:cs="Arial" w:eastAsia="Arial" w:hint="default"/>
          <w:spacing w:val="-3"/>
        </w:rPr>
        <w:t> </w:t>
      </w:r>
      <w:r>
        <w:rPr/>
        <w:t>年享受减半征收企</w:t>
      </w:r>
    </w:p>
    <w:p>
      <w:pPr>
        <w:pStyle w:val="BodyText"/>
        <w:spacing w:line="300" w:lineRule="exact"/>
        <w:ind w:left="817" w:right="0"/>
        <w:jc w:val="both"/>
      </w:pPr>
      <w:r>
        <w:rPr/>
        <w:t>业所得税</w:t>
      </w:r>
      <w:r>
        <w:rPr>
          <w:spacing w:val="-60"/>
        </w:rPr>
        <w:t> </w:t>
      </w:r>
      <w:r>
        <w:rPr>
          <w:rFonts w:ascii="Arial" w:hAnsi="Arial" w:cs="Arial" w:eastAsia="Arial" w:hint="default"/>
        </w:rPr>
        <w:t>3</w:t>
      </w:r>
      <w:r>
        <w:rPr>
          <w:rFonts w:ascii="Arial" w:hAnsi="Arial" w:cs="Arial" w:eastAsia="Arial" w:hint="default"/>
          <w:spacing w:val="-7"/>
        </w:rPr>
        <w:t> </w:t>
      </w:r>
      <w:r>
        <w:rPr/>
        <w:t>年的优惠政策。</w:t>
      </w:r>
    </w:p>
    <w:p>
      <w:pPr>
        <w:spacing w:line="240" w:lineRule="auto" w:before="8"/>
        <w:rPr>
          <w:rFonts w:ascii="宋体" w:hAnsi="宋体" w:cs="宋体" w:eastAsia="宋体" w:hint="default"/>
          <w:sz w:val="19"/>
          <w:szCs w:val="19"/>
        </w:rPr>
      </w:pPr>
    </w:p>
    <w:p>
      <w:pPr>
        <w:pStyle w:val="BodyText"/>
        <w:spacing w:line="322" w:lineRule="exact"/>
        <w:ind w:left="817" w:right="0"/>
        <w:jc w:val="both"/>
      </w:pPr>
      <w:r>
        <w:rPr>
          <w:rFonts w:ascii="Arial" w:hAnsi="Arial" w:cs="Arial" w:eastAsia="Arial" w:hint="default"/>
        </w:rPr>
        <w:t>2008</w:t>
      </w:r>
      <w:r>
        <w:rPr>
          <w:rFonts w:ascii="Arial" w:hAnsi="Arial" w:cs="Arial" w:eastAsia="Arial" w:hint="default"/>
          <w:spacing w:val="-1"/>
        </w:rPr>
        <w:t> </w:t>
      </w:r>
      <w:r>
        <w:rPr/>
        <w:t>年</w:t>
      </w:r>
      <w:r>
        <w:rPr>
          <w:spacing w:val="-54"/>
        </w:rPr>
        <w:t> </w:t>
      </w:r>
      <w:r>
        <w:rPr>
          <w:rFonts w:ascii="Arial" w:hAnsi="Arial" w:cs="Arial" w:eastAsia="Arial" w:hint="default"/>
        </w:rPr>
        <w:t>3 </w:t>
      </w:r>
      <w:r>
        <w:rPr/>
        <w:t>月</w:t>
      </w:r>
      <w:r>
        <w:rPr>
          <w:spacing w:val="-54"/>
        </w:rPr>
        <w:t> </w:t>
      </w:r>
      <w:r>
        <w:rPr>
          <w:rFonts w:ascii="Arial" w:hAnsi="Arial" w:cs="Arial" w:eastAsia="Arial" w:hint="default"/>
        </w:rPr>
        <w:t>17</w:t>
      </w:r>
      <w:r>
        <w:rPr>
          <w:rFonts w:ascii="Arial" w:hAnsi="Arial" w:cs="Arial" w:eastAsia="Arial" w:hint="default"/>
          <w:spacing w:val="-1"/>
        </w:rPr>
        <w:t> </w:t>
      </w:r>
      <w:r>
        <w:rPr/>
        <w:t>日，经陕西省发展和改革委员会陕发改产业确认函</w:t>
      </w:r>
      <w:r>
        <w:rPr>
          <w:rFonts w:ascii="Arial" w:hAnsi="Arial" w:cs="Arial" w:eastAsia="Arial" w:hint="default"/>
        </w:rPr>
        <w:t>[2008]022</w:t>
      </w:r>
      <w:r>
        <w:rPr>
          <w:rFonts w:ascii="Arial" w:hAnsi="Arial" w:cs="Arial" w:eastAsia="Arial" w:hint="default"/>
          <w:spacing w:val="1"/>
        </w:rPr>
        <w:t> </w:t>
      </w:r>
      <w:r>
        <w:rPr/>
        <w:t>号文，及</w:t>
      </w:r>
    </w:p>
    <w:p>
      <w:pPr>
        <w:pStyle w:val="BodyText"/>
        <w:spacing w:line="312" w:lineRule="exact" w:before="21"/>
        <w:ind w:left="817" w:right="227"/>
        <w:jc w:val="both"/>
      </w:pPr>
      <w:r>
        <w:rPr>
          <w:rFonts w:ascii="Arial" w:hAnsi="Arial" w:cs="Arial" w:eastAsia="Arial" w:hint="default"/>
        </w:rPr>
        <w:t>2005</w:t>
      </w:r>
      <w:r>
        <w:rPr>
          <w:rFonts w:ascii="Arial" w:hAnsi="Arial" w:cs="Arial" w:eastAsia="Arial" w:hint="default"/>
          <w:spacing w:val="5"/>
        </w:rPr>
        <w:t> </w:t>
      </w:r>
      <w:r>
        <w:rPr/>
        <w:t>年</w:t>
      </w:r>
      <w:r>
        <w:rPr>
          <w:spacing w:val="-48"/>
        </w:rPr>
        <w:t> </w:t>
      </w:r>
      <w:r>
        <w:rPr>
          <w:rFonts w:ascii="Arial" w:hAnsi="Arial" w:cs="Arial" w:eastAsia="Arial" w:hint="default"/>
        </w:rPr>
        <w:t>3</w:t>
      </w:r>
      <w:r>
        <w:rPr>
          <w:rFonts w:ascii="Arial" w:hAnsi="Arial" w:cs="Arial" w:eastAsia="Arial" w:hint="default"/>
          <w:spacing w:val="5"/>
        </w:rPr>
        <w:t> </w:t>
      </w:r>
      <w:r>
        <w:rPr/>
        <w:t>月</w:t>
      </w:r>
      <w:r>
        <w:rPr>
          <w:spacing w:val="-48"/>
        </w:rPr>
        <w:t> </w:t>
      </w:r>
      <w:r>
        <w:rPr>
          <w:rFonts w:ascii="Arial" w:hAnsi="Arial" w:cs="Arial" w:eastAsia="Arial" w:hint="default"/>
        </w:rPr>
        <w:t>20</w:t>
      </w:r>
      <w:r>
        <w:rPr>
          <w:rFonts w:ascii="Arial" w:hAnsi="Arial" w:cs="Arial" w:eastAsia="Arial" w:hint="default"/>
          <w:spacing w:val="5"/>
        </w:rPr>
        <w:t> </w:t>
      </w:r>
      <w:r>
        <w:rPr/>
        <w:t>日，经陕西省地方税务局陕地税所税率确</w:t>
      </w:r>
      <w:r>
        <w:rPr>
          <w:rFonts w:ascii="Arial" w:hAnsi="Arial" w:cs="Arial" w:eastAsia="Arial" w:hint="default"/>
        </w:rPr>
        <w:t>[05]004</w:t>
      </w:r>
      <w:r>
        <w:rPr>
          <w:rFonts w:ascii="Arial" w:hAnsi="Arial" w:cs="Arial" w:eastAsia="Arial" w:hint="default"/>
          <w:spacing w:val="5"/>
        </w:rPr>
        <w:t> </w:t>
      </w:r>
      <w:r>
        <w:rPr/>
        <w:t>号文批准：同意陕西 苏宁电器有限责任公司</w:t>
      </w:r>
      <w:r>
        <w:rPr>
          <w:spacing w:val="-66"/>
        </w:rPr>
        <w:t> </w:t>
      </w:r>
      <w:r>
        <w:rPr>
          <w:rFonts w:ascii="Arial" w:hAnsi="Arial" w:cs="Arial" w:eastAsia="Arial" w:hint="default"/>
        </w:rPr>
        <w:t>2004</w:t>
      </w:r>
      <w:r>
        <w:rPr>
          <w:rFonts w:ascii="Arial" w:hAnsi="Arial" w:cs="Arial" w:eastAsia="Arial" w:hint="default"/>
          <w:spacing w:val="-13"/>
        </w:rPr>
        <w:t> </w:t>
      </w:r>
      <w:r>
        <w:rPr/>
        <w:t>年至</w:t>
      </w:r>
      <w:r>
        <w:rPr>
          <w:spacing w:val="-66"/>
        </w:rPr>
        <w:t> </w:t>
      </w:r>
      <w:r>
        <w:rPr>
          <w:rFonts w:ascii="Arial" w:hAnsi="Arial" w:cs="Arial" w:eastAsia="Arial" w:hint="default"/>
        </w:rPr>
        <w:t>2010</w:t>
      </w:r>
      <w:r>
        <w:rPr>
          <w:rFonts w:ascii="Arial" w:hAnsi="Arial" w:cs="Arial" w:eastAsia="Arial" w:hint="default"/>
          <w:spacing w:val="-13"/>
        </w:rPr>
        <w:t> </w:t>
      </w:r>
      <w:r>
        <w:rPr/>
        <w:t>年享受</w:t>
      </w:r>
      <w:r>
        <w:rPr>
          <w:spacing w:val="-66"/>
        </w:rPr>
        <w:t> </w:t>
      </w:r>
      <w:r>
        <w:rPr>
          <w:rFonts w:ascii="Arial" w:hAnsi="Arial" w:cs="Arial" w:eastAsia="Arial" w:hint="default"/>
        </w:rPr>
        <w:t>15%</w:t>
      </w:r>
      <w:r>
        <w:rPr/>
        <w:t>的企业所得税税率，</w:t>
      </w:r>
      <w:r>
        <w:rPr>
          <w:rFonts w:ascii="Arial" w:hAnsi="Arial" w:cs="Arial" w:eastAsia="Arial" w:hint="default"/>
        </w:rPr>
        <w:t>2010</w:t>
      </w:r>
      <w:r>
        <w:rPr>
          <w:rFonts w:ascii="Arial" w:hAnsi="Arial" w:cs="Arial" w:eastAsia="Arial" w:hint="default"/>
          <w:spacing w:val="-13"/>
        </w:rPr>
        <w:t> </w:t>
      </w:r>
      <w:r>
        <w:rPr/>
        <w:t>年的审核 将在年度纳税汇算清缴后批复。</w:t>
      </w:r>
    </w:p>
    <w:p>
      <w:pPr>
        <w:spacing w:after="0" w:line="312" w:lineRule="exact"/>
        <w:jc w:val="both"/>
        <w:sectPr>
          <w:pgSz w:w="11910" w:h="16840"/>
          <w:pgMar w:header="1475" w:footer="708" w:top="3020" w:bottom="900" w:left="1020" w:right="70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104"/>
        <w:jc w:val="left"/>
        <w:rPr>
          <w:rFonts w:ascii="Arial" w:hAnsi="Arial" w:cs="Arial" w:eastAsia="Arial" w:hint="default"/>
          <w:b w:val="0"/>
          <w:bCs w:val="0"/>
        </w:rPr>
      </w:pPr>
      <w:r>
        <w:rPr>
          <w:w w:val="95"/>
        </w:rPr>
        <w:t>三</w:t>
        <w:tab/>
      </w:r>
      <w:r>
        <w:rPr/>
        <w:t>税项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7" w:right="104"/>
        <w:jc w:val="left"/>
        <w:rPr>
          <w:rFonts w:ascii="Arial" w:hAnsi="Arial" w:cs="Arial" w:eastAsia="Arial" w:hint="default"/>
        </w:rPr>
      </w:pPr>
      <w:r>
        <w:rPr>
          <w:rFonts w:ascii="Arial" w:hAnsi="Arial" w:cs="Arial" w:eastAsia="Arial" w:hint="default"/>
          <w:w w:val="95"/>
          <w:position w:val="2"/>
        </w:rPr>
        <w:t>(2)</w:t>
        <w:tab/>
      </w:r>
      <w:r>
        <w:rPr/>
        <w:t>税收优惠及批文</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817" w:val="left" w:leader="none"/>
        </w:tabs>
        <w:spacing w:line="427" w:lineRule="auto"/>
        <w:ind w:left="108" w:right="6324"/>
        <w:jc w:val="left"/>
        <w:rPr>
          <w:rFonts w:ascii="Arial" w:hAnsi="Arial" w:cs="Arial" w:eastAsia="Arial" w:hint="default"/>
        </w:rPr>
      </w:pPr>
      <w:r>
        <w:rPr>
          <w:rFonts w:ascii="Arial" w:hAnsi="Arial" w:cs="Arial" w:eastAsia="Arial" w:hint="default"/>
          <w:w w:val="95"/>
          <w:position w:val="2"/>
        </w:rPr>
        <w:t>(a)</w:t>
        <w:tab/>
      </w:r>
      <w:r>
        <w:rPr/>
        <w:t>企业所得税过渡优惠政策</w:t>
      </w:r>
      <w:r>
        <w:rPr>
          <w:rFonts w:ascii="Arial" w:hAnsi="Arial" w:cs="Arial" w:eastAsia="Arial" w:hint="default"/>
        </w:rPr>
        <w:t>(</w:t>
      </w:r>
      <w:r>
        <w:rPr/>
        <w:t>续</w:t>
      </w:r>
      <w:r>
        <w:rPr>
          <w:rFonts w:ascii="Arial" w:hAnsi="Arial" w:cs="Arial" w:eastAsia="Arial" w:hint="default"/>
        </w:rPr>
        <w:t>) </w:t>
      </w:r>
      <w:r>
        <w:rPr>
          <w:rFonts w:ascii="Arial" w:hAnsi="Arial" w:cs="Arial" w:eastAsia="Arial" w:hint="default"/>
          <w:spacing w:val="-1"/>
          <w:position w:val="2"/>
        </w:rPr>
        <w:t>(ii)</w:t>
        <w:tab/>
      </w:r>
      <w:r>
        <w:rPr/>
        <w:t>西部大开发税收优惠政策</w:t>
      </w:r>
      <w:r>
        <w:rPr>
          <w:rFonts w:ascii="Arial" w:hAnsi="Arial" w:cs="Arial" w:eastAsia="Arial" w:hint="default"/>
        </w:rPr>
        <w:t>(</w:t>
      </w:r>
      <w:r>
        <w:rPr/>
        <w:t>续</w:t>
      </w:r>
      <w:r>
        <w:rPr>
          <w:rFonts w:ascii="Arial" w:hAnsi="Arial" w:cs="Arial" w:eastAsia="Arial" w:hint="default"/>
        </w:rPr>
        <w:t>)</w:t>
      </w:r>
    </w:p>
    <w:p>
      <w:pPr>
        <w:pStyle w:val="BodyText"/>
        <w:spacing w:line="312" w:lineRule="exact" w:before="63"/>
        <w:ind w:left="817" w:right="224"/>
        <w:jc w:val="both"/>
      </w:pPr>
      <w:r>
        <w:rPr>
          <w:rFonts w:ascii="Arial" w:hAnsi="Arial" w:cs="Arial" w:eastAsia="Arial" w:hint="default"/>
        </w:rPr>
        <w:t>2008</w:t>
      </w:r>
      <w:r>
        <w:rPr>
          <w:rFonts w:ascii="Arial" w:hAnsi="Arial" w:cs="Arial" w:eastAsia="Arial" w:hint="default"/>
          <w:spacing w:val="-7"/>
        </w:rPr>
        <w:t> </w:t>
      </w:r>
      <w:r>
        <w:rPr/>
        <w:t>年</w:t>
      </w:r>
      <w:r>
        <w:rPr>
          <w:spacing w:val="-60"/>
        </w:rPr>
        <w:t> </w:t>
      </w:r>
      <w:r>
        <w:rPr>
          <w:rFonts w:ascii="Arial" w:hAnsi="Arial" w:cs="Arial" w:eastAsia="Arial" w:hint="default"/>
        </w:rPr>
        <w:t>3</w:t>
      </w:r>
      <w:r>
        <w:rPr>
          <w:rFonts w:ascii="Arial" w:hAnsi="Arial" w:cs="Arial" w:eastAsia="Arial" w:hint="default"/>
          <w:spacing w:val="-7"/>
        </w:rPr>
        <w:t> </w:t>
      </w:r>
      <w:r>
        <w:rPr/>
        <w:t>月</w:t>
      </w:r>
      <w:r>
        <w:rPr>
          <w:spacing w:val="-60"/>
        </w:rPr>
        <w:t> </w:t>
      </w:r>
      <w:r>
        <w:rPr>
          <w:rFonts w:ascii="Arial" w:hAnsi="Arial" w:cs="Arial" w:eastAsia="Arial" w:hint="default"/>
        </w:rPr>
        <w:t>18</w:t>
      </w:r>
      <w:r>
        <w:rPr>
          <w:rFonts w:ascii="Arial" w:hAnsi="Arial" w:cs="Arial" w:eastAsia="Arial" w:hint="default"/>
          <w:spacing w:val="-7"/>
        </w:rPr>
        <w:t> </w:t>
      </w:r>
      <w:r>
        <w:rPr/>
        <w:t>日，经陕西省国家税务局陕国税函</w:t>
      </w:r>
      <w:r>
        <w:rPr>
          <w:rFonts w:ascii="Arial" w:hAnsi="Arial" w:cs="Arial" w:eastAsia="Arial" w:hint="default"/>
        </w:rPr>
        <w:t>[2008]122</w:t>
      </w:r>
      <w:r>
        <w:rPr>
          <w:rFonts w:ascii="Arial" w:hAnsi="Arial" w:cs="Arial" w:eastAsia="Arial" w:hint="default"/>
          <w:spacing w:val="-7"/>
        </w:rPr>
        <w:t> </w:t>
      </w:r>
      <w:r>
        <w:rPr/>
        <w:t>号文，及</w:t>
      </w:r>
      <w:r>
        <w:rPr>
          <w:spacing w:val="-60"/>
        </w:rPr>
        <w:t> </w:t>
      </w:r>
      <w:r>
        <w:rPr>
          <w:rFonts w:ascii="Arial" w:hAnsi="Arial" w:cs="Arial" w:eastAsia="Arial" w:hint="default"/>
        </w:rPr>
        <w:t>2008</w:t>
      </w:r>
      <w:r>
        <w:rPr>
          <w:rFonts w:ascii="Arial" w:hAnsi="Arial" w:cs="Arial" w:eastAsia="Arial" w:hint="default"/>
          <w:spacing w:val="-7"/>
        </w:rPr>
        <w:t> </w:t>
      </w:r>
      <w:r>
        <w:rPr/>
        <w:t>年</w:t>
      </w:r>
      <w:r>
        <w:rPr>
          <w:spacing w:val="-60"/>
        </w:rPr>
        <w:t> </w:t>
      </w:r>
      <w:r>
        <w:rPr>
          <w:rFonts w:ascii="Arial" w:hAnsi="Arial" w:cs="Arial" w:eastAsia="Arial" w:hint="default"/>
        </w:rPr>
        <w:t>4</w:t>
      </w:r>
      <w:r>
        <w:rPr>
          <w:rFonts w:ascii="Arial" w:hAnsi="Arial" w:cs="Arial" w:eastAsia="Arial" w:hint="default"/>
          <w:spacing w:val="-7"/>
        </w:rPr>
        <w:t> </w:t>
      </w:r>
      <w:r>
        <w:rPr/>
        <w:t>月</w:t>
      </w:r>
      <w:r>
        <w:rPr>
          <w:spacing w:val="-60"/>
        </w:rPr>
        <w:t> </w:t>
      </w:r>
      <w:r>
        <w:rPr>
          <w:rFonts w:ascii="Arial" w:hAnsi="Arial" w:cs="Arial" w:eastAsia="Arial" w:hint="default"/>
        </w:rPr>
        <w:t>23</w:t>
      </w:r>
      <w:r>
        <w:rPr>
          <w:rFonts w:ascii="Arial" w:hAnsi="Arial" w:cs="Arial" w:eastAsia="Arial" w:hint="default"/>
          <w:w w:val="99"/>
        </w:rPr>
        <w:t> </w:t>
      </w:r>
      <w:r>
        <w:rPr/>
        <w:t>日，经宝鸡市渭滨区国家税务局渭滨区减</w:t>
      </w:r>
      <w:r>
        <w:rPr>
          <w:rFonts w:ascii="Arial" w:hAnsi="Arial" w:cs="Arial" w:eastAsia="Arial" w:hint="default"/>
        </w:rPr>
        <w:t>[2008]13</w:t>
      </w:r>
      <w:r>
        <w:rPr>
          <w:rFonts w:ascii="Arial" w:hAnsi="Arial" w:cs="Arial" w:eastAsia="Arial" w:hint="default"/>
          <w:spacing w:val="-25"/>
        </w:rPr>
        <w:t> </w:t>
      </w:r>
      <w:r>
        <w:rPr/>
        <w:t>号文批准：同意宝鸡苏宁电器有限公 司</w:t>
      </w:r>
      <w:r>
        <w:rPr>
          <w:spacing w:val="-62"/>
        </w:rPr>
        <w:t> </w:t>
      </w:r>
      <w:r>
        <w:rPr>
          <w:rFonts w:ascii="Arial" w:hAnsi="Arial" w:cs="Arial" w:eastAsia="Arial" w:hint="default"/>
        </w:rPr>
        <w:t>2008</w:t>
      </w:r>
      <w:r>
        <w:rPr>
          <w:rFonts w:ascii="Arial" w:hAnsi="Arial" w:cs="Arial" w:eastAsia="Arial" w:hint="default"/>
          <w:spacing w:val="-9"/>
        </w:rPr>
        <w:t> </w:t>
      </w:r>
      <w:r>
        <w:rPr/>
        <w:t>年至</w:t>
      </w:r>
      <w:r>
        <w:rPr>
          <w:spacing w:val="-62"/>
        </w:rPr>
        <w:t> </w:t>
      </w:r>
      <w:r>
        <w:rPr>
          <w:rFonts w:ascii="Arial" w:hAnsi="Arial" w:cs="Arial" w:eastAsia="Arial" w:hint="default"/>
        </w:rPr>
        <w:t>2010</w:t>
      </w:r>
      <w:r>
        <w:rPr>
          <w:rFonts w:ascii="Arial" w:hAnsi="Arial" w:cs="Arial" w:eastAsia="Arial" w:hint="default"/>
          <w:spacing w:val="-9"/>
        </w:rPr>
        <w:t> </w:t>
      </w:r>
      <w:r>
        <w:rPr/>
        <w:t>年享受</w:t>
      </w:r>
      <w:r>
        <w:rPr>
          <w:spacing w:val="-62"/>
        </w:rPr>
        <w:t> </w:t>
      </w:r>
      <w:r>
        <w:rPr>
          <w:rFonts w:ascii="Arial" w:hAnsi="Arial" w:cs="Arial" w:eastAsia="Arial" w:hint="default"/>
        </w:rPr>
        <w:t>15%</w:t>
      </w:r>
      <w:r>
        <w:rPr/>
        <w:t>的企业所得税税率。</w:t>
      </w:r>
    </w:p>
    <w:p>
      <w:pPr>
        <w:spacing w:line="240" w:lineRule="auto" w:before="10"/>
        <w:rPr>
          <w:rFonts w:ascii="宋体" w:hAnsi="宋体" w:cs="宋体" w:eastAsia="宋体" w:hint="default"/>
          <w:sz w:val="18"/>
          <w:szCs w:val="18"/>
        </w:rPr>
      </w:pPr>
    </w:p>
    <w:p>
      <w:pPr>
        <w:pStyle w:val="BodyText"/>
        <w:spacing w:line="322" w:lineRule="exact"/>
        <w:ind w:left="817" w:right="0"/>
        <w:jc w:val="both"/>
      </w:pPr>
      <w:r>
        <w:rPr>
          <w:rFonts w:ascii="Arial" w:hAnsi="Arial" w:cs="Arial" w:eastAsia="Arial" w:hint="default"/>
        </w:rPr>
        <w:t>2008</w:t>
      </w:r>
      <w:r>
        <w:rPr>
          <w:rFonts w:ascii="Arial" w:hAnsi="Arial" w:cs="Arial" w:eastAsia="Arial" w:hint="default"/>
          <w:spacing w:val="-13"/>
        </w:rPr>
        <w:t> </w:t>
      </w:r>
      <w:r>
        <w:rPr/>
        <w:t>年</w:t>
      </w:r>
      <w:r>
        <w:rPr>
          <w:spacing w:val="-66"/>
        </w:rPr>
        <w:t> </w:t>
      </w:r>
      <w:r>
        <w:rPr>
          <w:rFonts w:ascii="Arial" w:hAnsi="Arial" w:cs="Arial" w:eastAsia="Arial" w:hint="default"/>
        </w:rPr>
        <w:t>3</w:t>
      </w:r>
      <w:r>
        <w:rPr>
          <w:rFonts w:ascii="Arial" w:hAnsi="Arial" w:cs="Arial" w:eastAsia="Arial" w:hint="default"/>
          <w:spacing w:val="-12"/>
        </w:rPr>
        <w:t> </w:t>
      </w:r>
      <w:r>
        <w:rPr/>
        <w:t>月</w:t>
      </w:r>
      <w:r>
        <w:rPr>
          <w:spacing w:val="-66"/>
        </w:rPr>
        <w:t> </w:t>
      </w:r>
      <w:r>
        <w:rPr>
          <w:rFonts w:ascii="Arial" w:hAnsi="Arial" w:cs="Arial" w:eastAsia="Arial" w:hint="default"/>
        </w:rPr>
        <w:t>24</w:t>
      </w:r>
      <w:r>
        <w:rPr>
          <w:rFonts w:ascii="Arial" w:hAnsi="Arial" w:cs="Arial" w:eastAsia="Arial" w:hint="default"/>
          <w:spacing w:val="-13"/>
        </w:rPr>
        <w:t> </w:t>
      </w:r>
      <w:r>
        <w:rPr/>
        <w:t>日，经达州市通川区国家税务局达通国税发</w:t>
      </w:r>
      <w:r>
        <w:rPr>
          <w:rFonts w:ascii="Arial" w:hAnsi="Arial" w:cs="Arial" w:eastAsia="Arial" w:hint="default"/>
        </w:rPr>
        <w:t>[2009]26</w:t>
      </w:r>
      <w:r>
        <w:rPr>
          <w:rFonts w:ascii="Arial" w:hAnsi="Arial" w:cs="Arial" w:eastAsia="Arial" w:hint="default"/>
          <w:spacing w:val="-13"/>
        </w:rPr>
        <w:t> </w:t>
      </w:r>
      <w:r>
        <w:rPr>
          <w:spacing w:val="-3"/>
        </w:rPr>
        <w:t>号文批准：同意达</w:t>
      </w:r>
    </w:p>
    <w:p>
      <w:pPr>
        <w:pStyle w:val="BodyText"/>
        <w:spacing w:line="322" w:lineRule="exact"/>
        <w:ind w:left="817" w:right="0"/>
        <w:jc w:val="both"/>
      </w:pPr>
      <w:r>
        <w:rPr/>
        <w:t>州苏宁电器有限公司</w:t>
      </w:r>
      <w:r>
        <w:rPr>
          <w:spacing w:val="-62"/>
        </w:rPr>
        <w:t> </w:t>
      </w:r>
      <w:r>
        <w:rPr>
          <w:rFonts w:ascii="Arial" w:hAnsi="Arial" w:cs="Arial" w:eastAsia="Arial" w:hint="default"/>
        </w:rPr>
        <w:t>2008</w:t>
      </w:r>
      <w:r>
        <w:rPr>
          <w:rFonts w:ascii="Arial" w:hAnsi="Arial" w:cs="Arial" w:eastAsia="Arial" w:hint="default"/>
          <w:spacing w:val="-9"/>
        </w:rPr>
        <w:t> </w:t>
      </w:r>
      <w:r>
        <w:rPr/>
        <w:t>年至</w:t>
      </w:r>
      <w:r>
        <w:rPr>
          <w:spacing w:val="-62"/>
        </w:rPr>
        <w:t> </w:t>
      </w:r>
      <w:r>
        <w:rPr>
          <w:rFonts w:ascii="Arial" w:hAnsi="Arial" w:cs="Arial" w:eastAsia="Arial" w:hint="default"/>
        </w:rPr>
        <w:t>2010</w:t>
      </w:r>
      <w:r>
        <w:rPr>
          <w:rFonts w:ascii="Arial" w:hAnsi="Arial" w:cs="Arial" w:eastAsia="Arial" w:hint="default"/>
          <w:spacing w:val="-9"/>
        </w:rPr>
        <w:t> </w:t>
      </w:r>
      <w:r>
        <w:rPr/>
        <w:t>年享受</w:t>
      </w:r>
      <w:r>
        <w:rPr>
          <w:spacing w:val="-62"/>
        </w:rPr>
        <w:t> </w:t>
      </w:r>
      <w:r>
        <w:rPr>
          <w:rFonts w:ascii="Arial" w:hAnsi="Arial" w:cs="Arial" w:eastAsia="Arial" w:hint="default"/>
        </w:rPr>
        <w:t>15%</w:t>
      </w:r>
      <w:r>
        <w:rPr/>
        <w:t>的企业所得税税率。</w:t>
      </w:r>
    </w:p>
    <w:p>
      <w:pPr>
        <w:spacing w:line="240" w:lineRule="auto" w:before="13"/>
        <w:rPr>
          <w:rFonts w:ascii="宋体" w:hAnsi="宋体" w:cs="宋体" w:eastAsia="宋体" w:hint="default"/>
          <w:sz w:val="21"/>
          <w:szCs w:val="21"/>
        </w:rPr>
      </w:pPr>
    </w:p>
    <w:p>
      <w:pPr>
        <w:pStyle w:val="BodyText"/>
        <w:spacing w:line="312" w:lineRule="exact"/>
        <w:ind w:left="817" w:right="227"/>
        <w:jc w:val="both"/>
      </w:pPr>
      <w:r>
        <w:rPr>
          <w:rFonts w:ascii="Arial" w:hAnsi="Arial" w:cs="Arial" w:eastAsia="Arial" w:hint="default"/>
        </w:rPr>
        <w:t>2008</w:t>
      </w:r>
      <w:r>
        <w:rPr>
          <w:rFonts w:ascii="Arial" w:hAnsi="Arial" w:cs="Arial" w:eastAsia="Arial" w:hint="default"/>
          <w:spacing w:val="5"/>
        </w:rPr>
        <w:t> </w:t>
      </w:r>
      <w:r>
        <w:rPr/>
        <w:t>年</w:t>
      </w:r>
      <w:r>
        <w:rPr>
          <w:spacing w:val="-48"/>
        </w:rPr>
        <w:t> </w:t>
      </w:r>
      <w:r>
        <w:rPr>
          <w:rFonts w:ascii="Arial" w:hAnsi="Arial" w:cs="Arial" w:eastAsia="Arial" w:hint="default"/>
        </w:rPr>
        <w:t>4</w:t>
      </w:r>
      <w:r>
        <w:rPr>
          <w:rFonts w:ascii="Arial" w:hAnsi="Arial" w:cs="Arial" w:eastAsia="Arial" w:hint="default"/>
          <w:spacing w:val="6"/>
        </w:rPr>
        <w:t> </w:t>
      </w:r>
      <w:r>
        <w:rPr/>
        <w:t>月</w:t>
      </w:r>
      <w:r>
        <w:rPr>
          <w:spacing w:val="-48"/>
        </w:rPr>
        <w:t> </w:t>
      </w:r>
      <w:r>
        <w:rPr>
          <w:rFonts w:ascii="Arial" w:hAnsi="Arial" w:cs="Arial" w:eastAsia="Arial" w:hint="default"/>
        </w:rPr>
        <w:t>2</w:t>
      </w:r>
      <w:r>
        <w:rPr>
          <w:rFonts w:ascii="Arial" w:hAnsi="Arial" w:cs="Arial" w:eastAsia="Arial" w:hint="default"/>
          <w:spacing w:val="5"/>
        </w:rPr>
        <w:t> </w:t>
      </w:r>
      <w:r>
        <w:rPr/>
        <w:t>日，经陕西省国家税务局陕国税函</w:t>
      </w:r>
      <w:r>
        <w:rPr>
          <w:rFonts w:ascii="Arial" w:hAnsi="Arial" w:cs="Arial" w:eastAsia="Arial" w:hint="default"/>
        </w:rPr>
        <w:t>[2008]171</w:t>
      </w:r>
      <w:r>
        <w:rPr>
          <w:rFonts w:ascii="Arial" w:hAnsi="Arial" w:cs="Arial" w:eastAsia="Arial" w:hint="default"/>
          <w:spacing w:val="5"/>
        </w:rPr>
        <w:t> </w:t>
      </w:r>
      <w:r>
        <w:rPr/>
        <w:t>号文，及</w:t>
      </w:r>
      <w:r>
        <w:rPr>
          <w:spacing w:val="-48"/>
        </w:rPr>
        <w:t> </w:t>
      </w:r>
      <w:r>
        <w:rPr>
          <w:rFonts w:ascii="Arial" w:hAnsi="Arial" w:cs="Arial" w:eastAsia="Arial" w:hint="default"/>
        </w:rPr>
        <w:t>2008</w:t>
      </w:r>
      <w:r>
        <w:rPr>
          <w:rFonts w:ascii="Arial" w:hAnsi="Arial" w:cs="Arial" w:eastAsia="Arial" w:hint="default"/>
          <w:spacing w:val="6"/>
        </w:rPr>
        <w:t> </w:t>
      </w:r>
      <w:r>
        <w:rPr/>
        <w:t>年</w:t>
      </w:r>
      <w:r>
        <w:rPr>
          <w:spacing w:val="-48"/>
        </w:rPr>
        <w:t> </w:t>
      </w:r>
      <w:r>
        <w:rPr>
          <w:rFonts w:ascii="Arial" w:hAnsi="Arial" w:cs="Arial" w:eastAsia="Arial" w:hint="default"/>
        </w:rPr>
        <w:t>4</w:t>
      </w:r>
      <w:r>
        <w:rPr>
          <w:rFonts w:ascii="Arial" w:hAnsi="Arial" w:cs="Arial" w:eastAsia="Arial" w:hint="default"/>
          <w:spacing w:val="5"/>
        </w:rPr>
        <w:t> </w:t>
      </w:r>
      <w:r>
        <w:rPr/>
        <w:t>月</w:t>
      </w:r>
      <w:r>
        <w:rPr>
          <w:spacing w:val="-48"/>
        </w:rPr>
        <w:t> </w:t>
      </w:r>
      <w:r>
        <w:rPr>
          <w:rFonts w:ascii="Arial" w:hAnsi="Arial" w:cs="Arial" w:eastAsia="Arial" w:hint="default"/>
        </w:rPr>
        <w:t>16</w:t>
      </w:r>
      <w:r>
        <w:rPr>
          <w:rFonts w:ascii="Arial" w:hAnsi="Arial" w:cs="Arial" w:eastAsia="Arial" w:hint="default"/>
          <w:spacing w:val="-1"/>
          <w:w w:val="99"/>
        </w:rPr>
        <w:t> </w:t>
      </w:r>
      <w:r>
        <w:rPr/>
        <w:t>日，经汉中市汉台区国家税务局城区税务分局汉台国减</w:t>
      </w:r>
      <w:r>
        <w:rPr>
          <w:rFonts w:ascii="Arial" w:hAnsi="Arial" w:cs="Arial" w:eastAsia="Arial" w:hint="default"/>
        </w:rPr>
        <w:t>[2008]8 </w:t>
      </w:r>
      <w:r>
        <w:rPr/>
        <w:t>号文批准：同意陕西苏</w:t>
      </w:r>
      <w:r>
        <w:rPr>
          <w:spacing w:val="-99"/>
        </w:rPr>
        <w:t> </w:t>
      </w:r>
      <w:r>
        <w:rPr/>
        <w:t>宁电器有限责任公司汉中分公司</w:t>
      </w:r>
      <w:r>
        <w:rPr>
          <w:spacing w:val="-62"/>
        </w:rPr>
        <w:t> </w:t>
      </w:r>
      <w:r>
        <w:rPr>
          <w:rFonts w:ascii="Arial" w:hAnsi="Arial" w:cs="Arial" w:eastAsia="Arial" w:hint="default"/>
        </w:rPr>
        <w:t>2007</w:t>
      </w:r>
      <w:r>
        <w:rPr>
          <w:rFonts w:ascii="Arial" w:hAnsi="Arial" w:cs="Arial" w:eastAsia="Arial" w:hint="default"/>
          <w:spacing w:val="-9"/>
        </w:rPr>
        <w:t> </w:t>
      </w:r>
      <w:r>
        <w:rPr/>
        <w:t>年至</w:t>
      </w:r>
      <w:r>
        <w:rPr>
          <w:spacing w:val="-62"/>
        </w:rPr>
        <w:t> </w:t>
      </w:r>
      <w:r>
        <w:rPr>
          <w:rFonts w:ascii="Arial" w:hAnsi="Arial" w:cs="Arial" w:eastAsia="Arial" w:hint="default"/>
        </w:rPr>
        <w:t>2010</w:t>
      </w:r>
      <w:r>
        <w:rPr>
          <w:rFonts w:ascii="Arial" w:hAnsi="Arial" w:cs="Arial" w:eastAsia="Arial" w:hint="default"/>
          <w:spacing w:val="-9"/>
        </w:rPr>
        <w:t> </w:t>
      </w:r>
      <w:r>
        <w:rPr/>
        <w:t>年享受</w:t>
      </w:r>
      <w:r>
        <w:rPr>
          <w:spacing w:val="-62"/>
        </w:rPr>
        <w:t> </w:t>
      </w:r>
      <w:r>
        <w:rPr>
          <w:rFonts w:ascii="Arial" w:hAnsi="Arial" w:cs="Arial" w:eastAsia="Arial" w:hint="default"/>
        </w:rPr>
        <w:t>15%</w:t>
      </w:r>
      <w:r>
        <w:rPr/>
        <w:t>的企业所得税税率。</w:t>
      </w:r>
    </w:p>
    <w:p>
      <w:pPr>
        <w:spacing w:line="240" w:lineRule="auto" w:before="1"/>
        <w:rPr>
          <w:rFonts w:ascii="宋体" w:hAnsi="宋体" w:cs="宋体" w:eastAsia="宋体" w:hint="default"/>
          <w:sz w:val="21"/>
          <w:szCs w:val="21"/>
        </w:rPr>
      </w:pPr>
    </w:p>
    <w:p>
      <w:pPr>
        <w:pStyle w:val="BodyText"/>
        <w:spacing w:line="312" w:lineRule="exact"/>
        <w:ind w:left="817" w:right="227"/>
        <w:jc w:val="both"/>
      </w:pPr>
      <w:r>
        <w:rPr>
          <w:rFonts w:ascii="Arial" w:hAnsi="Arial" w:cs="Arial" w:eastAsia="Arial" w:hint="default"/>
        </w:rPr>
        <w:t>2009</w:t>
      </w:r>
      <w:r>
        <w:rPr>
          <w:rFonts w:ascii="Arial" w:hAnsi="Arial" w:cs="Arial" w:eastAsia="Arial" w:hint="default"/>
          <w:spacing w:val="-12"/>
        </w:rPr>
        <w:t> </w:t>
      </w:r>
      <w:r>
        <w:rPr/>
        <w:t>年</w:t>
      </w:r>
      <w:r>
        <w:rPr>
          <w:spacing w:val="-65"/>
        </w:rPr>
        <w:t> </w:t>
      </w:r>
      <w:r>
        <w:rPr>
          <w:rFonts w:ascii="Arial" w:hAnsi="Arial" w:cs="Arial" w:eastAsia="Arial" w:hint="default"/>
        </w:rPr>
        <w:t>1</w:t>
      </w:r>
      <w:r>
        <w:rPr>
          <w:rFonts w:ascii="Arial" w:hAnsi="Arial" w:cs="Arial" w:eastAsia="Arial" w:hint="default"/>
          <w:spacing w:val="-12"/>
        </w:rPr>
        <w:t> </w:t>
      </w:r>
      <w:r>
        <w:rPr/>
        <w:t>月</w:t>
      </w:r>
      <w:r>
        <w:rPr>
          <w:spacing w:val="-65"/>
        </w:rPr>
        <w:t> </w:t>
      </w:r>
      <w:r>
        <w:rPr>
          <w:rFonts w:ascii="Arial" w:hAnsi="Arial" w:cs="Arial" w:eastAsia="Arial" w:hint="default"/>
        </w:rPr>
        <w:t>7</w:t>
      </w:r>
      <w:r>
        <w:rPr>
          <w:rFonts w:ascii="Arial" w:hAnsi="Arial" w:cs="Arial" w:eastAsia="Arial" w:hint="default"/>
          <w:spacing w:val="-12"/>
        </w:rPr>
        <w:t> </w:t>
      </w:r>
      <w:r>
        <w:rPr/>
        <w:t>日，经重庆市渝中区国家税务局渝中国税减</w:t>
      </w:r>
      <w:r>
        <w:rPr>
          <w:rFonts w:ascii="Arial" w:hAnsi="Arial" w:cs="Arial" w:eastAsia="Arial" w:hint="default"/>
        </w:rPr>
        <w:t>[2009]1</w:t>
      </w:r>
      <w:r>
        <w:rPr>
          <w:rFonts w:ascii="Arial" w:hAnsi="Arial" w:cs="Arial" w:eastAsia="Arial" w:hint="default"/>
          <w:spacing w:val="-12"/>
        </w:rPr>
        <w:t> </w:t>
      </w:r>
      <w:r>
        <w:rPr/>
        <w:t>号文批准：同意重庆 渝宁苏宁电器有限公司从</w:t>
      </w:r>
      <w:r>
        <w:rPr>
          <w:spacing w:val="-62"/>
        </w:rPr>
        <w:t> </w:t>
      </w:r>
      <w:r>
        <w:rPr>
          <w:rFonts w:ascii="Arial" w:hAnsi="Arial" w:cs="Arial" w:eastAsia="Arial" w:hint="default"/>
        </w:rPr>
        <w:t>2008</w:t>
      </w:r>
      <w:r>
        <w:rPr>
          <w:rFonts w:ascii="Arial" w:hAnsi="Arial" w:cs="Arial" w:eastAsia="Arial" w:hint="default"/>
          <w:spacing w:val="-9"/>
        </w:rPr>
        <w:t> </w:t>
      </w:r>
      <w:r>
        <w:rPr/>
        <w:t>年起减按</w:t>
      </w:r>
      <w:r>
        <w:rPr>
          <w:spacing w:val="-62"/>
        </w:rPr>
        <w:t> </w:t>
      </w:r>
      <w:r>
        <w:rPr>
          <w:rFonts w:ascii="Arial" w:hAnsi="Arial" w:cs="Arial" w:eastAsia="Arial" w:hint="default"/>
        </w:rPr>
        <w:t>15%</w:t>
      </w:r>
      <w:r>
        <w:rPr/>
        <w:t>征收企业所得税。</w:t>
      </w:r>
    </w:p>
    <w:p>
      <w:pPr>
        <w:spacing w:line="240" w:lineRule="auto" w:before="10"/>
        <w:rPr>
          <w:rFonts w:ascii="宋体" w:hAnsi="宋体" w:cs="宋体" w:eastAsia="宋体" w:hint="default"/>
          <w:sz w:val="18"/>
          <w:szCs w:val="18"/>
        </w:rPr>
      </w:pPr>
    </w:p>
    <w:p>
      <w:pPr>
        <w:pStyle w:val="BodyText"/>
        <w:spacing w:line="322" w:lineRule="exact"/>
        <w:ind w:left="817" w:right="0"/>
        <w:jc w:val="both"/>
      </w:pPr>
      <w:r>
        <w:rPr>
          <w:rFonts w:ascii="Arial" w:hAnsi="Arial" w:cs="Arial" w:eastAsia="Arial" w:hint="default"/>
        </w:rPr>
        <w:t>2009</w:t>
      </w:r>
      <w:r>
        <w:rPr>
          <w:rFonts w:ascii="Arial" w:hAnsi="Arial" w:cs="Arial" w:eastAsia="Arial" w:hint="default"/>
          <w:spacing w:val="-17"/>
        </w:rPr>
        <w:t> </w:t>
      </w:r>
      <w:r>
        <w:rPr/>
        <w:t>年</w:t>
      </w:r>
      <w:r>
        <w:rPr>
          <w:spacing w:val="-70"/>
        </w:rPr>
        <w:t> </w:t>
      </w:r>
      <w:r>
        <w:rPr>
          <w:rFonts w:ascii="Arial" w:hAnsi="Arial" w:cs="Arial" w:eastAsia="Arial" w:hint="default"/>
        </w:rPr>
        <w:t>4</w:t>
      </w:r>
      <w:r>
        <w:rPr>
          <w:rFonts w:ascii="Arial" w:hAnsi="Arial" w:cs="Arial" w:eastAsia="Arial" w:hint="default"/>
          <w:spacing w:val="-16"/>
        </w:rPr>
        <w:t> </w:t>
      </w:r>
      <w:r>
        <w:rPr/>
        <w:t>月</w:t>
      </w:r>
      <w:r>
        <w:rPr>
          <w:spacing w:val="-70"/>
        </w:rPr>
        <w:t> </w:t>
      </w:r>
      <w:r>
        <w:rPr>
          <w:rFonts w:ascii="Arial" w:hAnsi="Arial" w:cs="Arial" w:eastAsia="Arial" w:hint="default"/>
        </w:rPr>
        <w:t>27</w:t>
      </w:r>
      <w:r>
        <w:rPr>
          <w:rFonts w:ascii="Arial" w:hAnsi="Arial" w:cs="Arial" w:eastAsia="Arial" w:hint="default"/>
          <w:spacing w:val="-17"/>
        </w:rPr>
        <w:t> </w:t>
      </w:r>
      <w:r>
        <w:rPr/>
        <w:t>日，经四川省国家税务局川国税函</w:t>
      </w:r>
      <w:r>
        <w:rPr>
          <w:rFonts w:ascii="Arial" w:hAnsi="Arial" w:cs="Arial" w:eastAsia="Arial" w:hint="default"/>
        </w:rPr>
        <w:t>[2009]89</w:t>
      </w:r>
      <w:r>
        <w:rPr>
          <w:rFonts w:ascii="Arial" w:hAnsi="Arial" w:cs="Arial" w:eastAsia="Arial" w:hint="default"/>
          <w:spacing w:val="-17"/>
        </w:rPr>
        <w:t> </w:t>
      </w:r>
      <w:r>
        <w:rPr/>
        <w:t>号文批准：同意四川苏宁电</w:t>
      </w:r>
    </w:p>
    <w:p>
      <w:pPr>
        <w:pStyle w:val="BodyText"/>
        <w:spacing w:line="322" w:lineRule="exact"/>
        <w:ind w:left="817" w:right="0"/>
        <w:jc w:val="both"/>
      </w:pPr>
      <w:r>
        <w:rPr/>
        <w:t>器有限公司</w:t>
      </w:r>
      <w:r>
        <w:rPr>
          <w:spacing w:val="-62"/>
        </w:rPr>
        <w:t> </w:t>
      </w:r>
      <w:r>
        <w:rPr>
          <w:rFonts w:ascii="Arial" w:hAnsi="Arial" w:cs="Arial" w:eastAsia="Arial" w:hint="default"/>
        </w:rPr>
        <w:t>2008</w:t>
      </w:r>
      <w:r>
        <w:rPr>
          <w:rFonts w:ascii="Arial" w:hAnsi="Arial" w:cs="Arial" w:eastAsia="Arial" w:hint="default"/>
          <w:spacing w:val="-9"/>
        </w:rPr>
        <w:t> </w:t>
      </w:r>
      <w:r>
        <w:rPr/>
        <w:t>年至</w:t>
      </w:r>
      <w:r>
        <w:rPr>
          <w:spacing w:val="-62"/>
        </w:rPr>
        <w:t> </w:t>
      </w:r>
      <w:r>
        <w:rPr>
          <w:rFonts w:ascii="Arial" w:hAnsi="Arial" w:cs="Arial" w:eastAsia="Arial" w:hint="default"/>
        </w:rPr>
        <w:t>2010</w:t>
      </w:r>
      <w:r>
        <w:rPr>
          <w:rFonts w:ascii="Arial" w:hAnsi="Arial" w:cs="Arial" w:eastAsia="Arial" w:hint="default"/>
          <w:spacing w:val="-9"/>
        </w:rPr>
        <w:t> </w:t>
      </w:r>
      <w:r>
        <w:rPr/>
        <w:t>年享受</w:t>
      </w:r>
      <w:r>
        <w:rPr>
          <w:spacing w:val="-62"/>
        </w:rPr>
        <w:t> </w:t>
      </w:r>
      <w:r>
        <w:rPr>
          <w:rFonts w:ascii="Arial" w:hAnsi="Arial" w:cs="Arial" w:eastAsia="Arial" w:hint="default"/>
        </w:rPr>
        <w:t>15%</w:t>
      </w:r>
      <w:r>
        <w:rPr/>
        <w:t>的企业所得税税率。</w:t>
      </w:r>
    </w:p>
    <w:p>
      <w:pPr>
        <w:spacing w:line="240" w:lineRule="auto" w:before="8"/>
        <w:rPr>
          <w:rFonts w:ascii="宋体" w:hAnsi="宋体" w:cs="宋体" w:eastAsia="宋体" w:hint="default"/>
          <w:sz w:val="19"/>
          <w:szCs w:val="19"/>
        </w:rPr>
      </w:pPr>
    </w:p>
    <w:p>
      <w:pPr>
        <w:pStyle w:val="BodyText"/>
        <w:spacing w:line="322" w:lineRule="exact"/>
        <w:ind w:left="817" w:right="0"/>
        <w:jc w:val="both"/>
      </w:pPr>
      <w:r>
        <w:rPr>
          <w:rFonts w:ascii="Arial" w:hAnsi="Arial" w:cs="Arial" w:eastAsia="Arial" w:hint="default"/>
        </w:rPr>
        <w:t>2009</w:t>
      </w:r>
      <w:r>
        <w:rPr>
          <w:rFonts w:ascii="Arial" w:hAnsi="Arial" w:cs="Arial" w:eastAsia="Arial" w:hint="default"/>
          <w:spacing w:val="-4"/>
        </w:rPr>
        <w:t> </w:t>
      </w:r>
      <w:r>
        <w:rPr/>
        <w:t>年</w:t>
      </w:r>
      <w:r>
        <w:rPr>
          <w:spacing w:val="-57"/>
        </w:rPr>
        <w:t> </w:t>
      </w:r>
      <w:r>
        <w:rPr>
          <w:rFonts w:ascii="Arial" w:hAnsi="Arial" w:cs="Arial" w:eastAsia="Arial" w:hint="default"/>
        </w:rPr>
        <w:t>5</w:t>
      </w:r>
      <w:r>
        <w:rPr>
          <w:rFonts w:ascii="Arial" w:hAnsi="Arial" w:cs="Arial" w:eastAsia="Arial" w:hint="default"/>
          <w:spacing w:val="-3"/>
        </w:rPr>
        <w:t> </w:t>
      </w:r>
      <w:r>
        <w:rPr/>
        <w:t>月</w:t>
      </w:r>
      <w:r>
        <w:rPr>
          <w:spacing w:val="-57"/>
        </w:rPr>
        <w:t> </w:t>
      </w:r>
      <w:r>
        <w:rPr>
          <w:rFonts w:ascii="Arial" w:hAnsi="Arial" w:cs="Arial" w:eastAsia="Arial" w:hint="default"/>
        </w:rPr>
        <w:t>26</w:t>
      </w:r>
      <w:r>
        <w:rPr>
          <w:rFonts w:ascii="Arial" w:hAnsi="Arial" w:cs="Arial" w:eastAsia="Arial" w:hint="default"/>
          <w:spacing w:val="-4"/>
        </w:rPr>
        <w:t> </w:t>
      </w:r>
      <w:r>
        <w:rPr>
          <w:spacing w:val="-3"/>
        </w:rPr>
        <w:t>日，经云南省大理白族自治州国家税务局大国税函</w:t>
      </w:r>
      <w:r>
        <w:rPr>
          <w:rFonts w:ascii="Arial" w:hAnsi="Arial" w:cs="Arial" w:eastAsia="Arial" w:hint="default"/>
          <w:spacing w:val="-3"/>
        </w:rPr>
        <w:t>[2009]155 </w:t>
      </w:r>
      <w:r>
        <w:rPr/>
        <w:t>号文批准：</w:t>
      </w:r>
    </w:p>
    <w:p>
      <w:pPr>
        <w:pStyle w:val="BodyText"/>
        <w:spacing w:line="312" w:lineRule="exact"/>
        <w:ind w:left="817" w:right="0"/>
        <w:jc w:val="both"/>
        <w:rPr>
          <w:rFonts w:ascii="Arial" w:hAnsi="Arial" w:cs="Arial" w:eastAsia="Arial" w:hint="default"/>
        </w:rPr>
      </w:pPr>
      <w:r>
        <w:rPr/>
        <w:t>同意大理滇宁苏宁电器有限公司</w:t>
      </w:r>
      <w:r>
        <w:rPr>
          <w:spacing w:val="-54"/>
        </w:rPr>
        <w:t> </w:t>
      </w:r>
      <w:r>
        <w:rPr>
          <w:rFonts w:ascii="Arial" w:hAnsi="Arial" w:cs="Arial" w:eastAsia="Arial" w:hint="default"/>
        </w:rPr>
        <w:t>2008</w:t>
      </w:r>
      <w:r>
        <w:rPr>
          <w:rFonts w:ascii="Arial" w:hAnsi="Arial" w:cs="Arial" w:eastAsia="Arial" w:hint="default"/>
          <w:spacing w:val="-1"/>
        </w:rPr>
        <w:t> </w:t>
      </w:r>
      <w:r>
        <w:rPr/>
        <w:t>年至</w:t>
      </w:r>
      <w:r>
        <w:rPr>
          <w:spacing w:val="-53"/>
        </w:rPr>
        <w:t> </w:t>
      </w:r>
      <w:r>
        <w:rPr>
          <w:rFonts w:ascii="Arial" w:hAnsi="Arial" w:cs="Arial" w:eastAsia="Arial" w:hint="default"/>
        </w:rPr>
        <w:t>2010</w:t>
      </w:r>
      <w:r>
        <w:rPr>
          <w:rFonts w:ascii="Arial" w:hAnsi="Arial" w:cs="Arial" w:eastAsia="Arial" w:hint="default"/>
          <w:spacing w:val="-1"/>
        </w:rPr>
        <w:t> </w:t>
      </w:r>
      <w:r>
        <w:rPr/>
        <w:t>年享受</w:t>
      </w:r>
      <w:r>
        <w:rPr>
          <w:spacing w:val="-54"/>
        </w:rPr>
        <w:t> </w:t>
      </w:r>
      <w:r>
        <w:rPr>
          <w:rFonts w:ascii="Arial" w:hAnsi="Arial" w:cs="Arial" w:eastAsia="Arial" w:hint="default"/>
        </w:rPr>
        <w:t>15%</w:t>
      </w:r>
      <w:r>
        <w:rPr/>
        <w:t>的企业所得税税率。</w:t>
      </w:r>
      <w:r>
        <w:rPr>
          <w:rFonts w:ascii="Arial" w:hAnsi="Arial" w:cs="Arial" w:eastAsia="Arial" w:hint="default"/>
        </w:rPr>
        <w:t>2010</w:t>
      </w:r>
    </w:p>
    <w:p>
      <w:pPr>
        <w:pStyle w:val="BodyText"/>
        <w:spacing w:line="304" w:lineRule="exact"/>
        <w:ind w:left="817" w:right="0"/>
        <w:jc w:val="both"/>
      </w:pPr>
      <w:r>
        <w:rPr/>
        <w:t>年的审核将在年度汇算清缴后批复。</w:t>
      </w:r>
    </w:p>
    <w:p>
      <w:pPr>
        <w:spacing w:line="240" w:lineRule="auto" w:before="12"/>
        <w:rPr>
          <w:rFonts w:ascii="宋体" w:hAnsi="宋体" w:cs="宋体" w:eastAsia="宋体" w:hint="default"/>
          <w:sz w:val="20"/>
          <w:szCs w:val="20"/>
        </w:rPr>
      </w:pPr>
    </w:p>
    <w:p>
      <w:pPr>
        <w:pStyle w:val="BodyText"/>
        <w:spacing w:line="322" w:lineRule="exact"/>
        <w:ind w:left="817" w:right="0"/>
        <w:jc w:val="both"/>
      </w:pPr>
      <w:r>
        <w:rPr>
          <w:rFonts w:ascii="Arial" w:hAnsi="Arial" w:cs="Arial" w:eastAsia="Arial" w:hint="default"/>
        </w:rPr>
        <w:t>2009</w:t>
      </w:r>
      <w:r>
        <w:rPr>
          <w:rFonts w:ascii="Arial" w:hAnsi="Arial" w:cs="Arial" w:eastAsia="Arial" w:hint="default"/>
          <w:spacing w:val="-6"/>
        </w:rPr>
        <w:t> </w:t>
      </w:r>
      <w:r>
        <w:rPr/>
        <w:t>年</w:t>
      </w:r>
      <w:r>
        <w:rPr>
          <w:spacing w:val="-59"/>
        </w:rPr>
        <w:t> </w:t>
      </w:r>
      <w:r>
        <w:rPr>
          <w:rFonts w:ascii="Arial" w:hAnsi="Arial" w:cs="Arial" w:eastAsia="Arial" w:hint="default"/>
        </w:rPr>
        <w:t>10</w:t>
      </w:r>
      <w:r>
        <w:rPr>
          <w:rFonts w:ascii="Arial" w:hAnsi="Arial" w:cs="Arial" w:eastAsia="Arial" w:hint="default"/>
          <w:spacing w:val="-5"/>
        </w:rPr>
        <w:t> </w:t>
      </w:r>
      <w:r>
        <w:rPr/>
        <w:t>月</w:t>
      </w:r>
      <w:r>
        <w:rPr>
          <w:spacing w:val="-59"/>
        </w:rPr>
        <w:t> </w:t>
      </w:r>
      <w:r>
        <w:rPr>
          <w:rFonts w:ascii="Arial" w:hAnsi="Arial" w:cs="Arial" w:eastAsia="Arial" w:hint="default"/>
        </w:rPr>
        <w:t>20</w:t>
      </w:r>
      <w:r>
        <w:rPr>
          <w:rFonts w:ascii="Arial" w:hAnsi="Arial" w:cs="Arial" w:eastAsia="Arial" w:hint="default"/>
          <w:spacing w:val="-6"/>
        </w:rPr>
        <w:t> </w:t>
      </w:r>
      <w:r>
        <w:rPr>
          <w:spacing w:val="-4"/>
        </w:rPr>
        <w:t>日，经四川省国家税务局川国税函</w:t>
      </w:r>
      <w:r>
        <w:rPr>
          <w:rFonts w:ascii="Arial" w:hAnsi="Arial" w:cs="Arial" w:eastAsia="Arial" w:hint="default"/>
          <w:spacing w:val="-4"/>
        </w:rPr>
        <w:t>[2009]237</w:t>
      </w:r>
      <w:r>
        <w:rPr>
          <w:rFonts w:ascii="Arial" w:hAnsi="Arial" w:cs="Arial" w:eastAsia="Arial" w:hint="default"/>
          <w:spacing w:val="-6"/>
        </w:rPr>
        <w:t> </w:t>
      </w:r>
      <w:r>
        <w:rPr/>
        <w:t>号及四川省宜宾经济技术</w:t>
      </w:r>
    </w:p>
    <w:p>
      <w:pPr>
        <w:pStyle w:val="BodyText"/>
        <w:spacing w:line="312" w:lineRule="exact"/>
        <w:ind w:left="817" w:right="0"/>
        <w:jc w:val="both"/>
        <w:rPr>
          <w:rFonts w:ascii="Arial" w:hAnsi="Arial" w:cs="Arial" w:eastAsia="Arial" w:hint="default"/>
        </w:rPr>
      </w:pPr>
      <w:r>
        <w:rPr/>
        <w:t>开发区国家税务局宜国税经发</w:t>
      </w:r>
      <w:r>
        <w:rPr>
          <w:rFonts w:ascii="Arial" w:hAnsi="Arial" w:cs="Arial" w:eastAsia="Arial" w:hint="default"/>
        </w:rPr>
        <w:t>[2009]53</w:t>
      </w:r>
      <w:r>
        <w:rPr>
          <w:rFonts w:ascii="Arial" w:hAnsi="Arial" w:cs="Arial" w:eastAsia="Arial" w:hint="default"/>
          <w:spacing w:val="-9"/>
        </w:rPr>
        <w:t> </w:t>
      </w:r>
      <w:r>
        <w:rPr>
          <w:spacing w:val="-5"/>
        </w:rPr>
        <w:t>号批准：宜宾苏宁电器有限公司</w:t>
      </w:r>
      <w:r>
        <w:rPr>
          <w:spacing w:val="-62"/>
        </w:rPr>
        <w:t> </w:t>
      </w:r>
      <w:r>
        <w:rPr>
          <w:rFonts w:ascii="Arial" w:hAnsi="Arial" w:cs="Arial" w:eastAsia="Arial" w:hint="default"/>
        </w:rPr>
        <w:t>2008</w:t>
      </w:r>
      <w:r>
        <w:rPr>
          <w:rFonts w:ascii="Arial" w:hAnsi="Arial" w:cs="Arial" w:eastAsia="Arial" w:hint="default"/>
          <w:spacing w:val="-8"/>
        </w:rPr>
        <w:t> </w:t>
      </w:r>
      <w:r>
        <w:rPr/>
        <w:t>年至</w:t>
      </w:r>
      <w:r>
        <w:rPr>
          <w:spacing w:val="-62"/>
        </w:rPr>
        <w:t> </w:t>
      </w:r>
      <w:r>
        <w:rPr>
          <w:rFonts w:ascii="Arial" w:hAnsi="Arial" w:cs="Arial" w:eastAsia="Arial" w:hint="default"/>
        </w:rPr>
        <w:t>2010</w:t>
      </w:r>
    </w:p>
    <w:p>
      <w:pPr>
        <w:pStyle w:val="BodyText"/>
        <w:spacing w:line="322" w:lineRule="exact"/>
        <w:ind w:left="817" w:right="0"/>
        <w:jc w:val="both"/>
      </w:pPr>
      <w:r>
        <w:rPr/>
        <w:t>年减按</w:t>
      </w:r>
      <w:r>
        <w:rPr>
          <w:spacing w:val="-63"/>
        </w:rPr>
        <w:t> </w:t>
      </w:r>
      <w:r>
        <w:rPr>
          <w:rFonts w:ascii="Arial" w:hAnsi="Arial" w:cs="Arial" w:eastAsia="Arial" w:hint="default"/>
        </w:rPr>
        <w:t>15%</w:t>
      </w:r>
      <w:r>
        <w:rPr/>
        <w:t>征收企业所得税。</w:t>
      </w:r>
    </w:p>
    <w:p>
      <w:pPr>
        <w:spacing w:line="240" w:lineRule="auto" w:before="8"/>
        <w:rPr>
          <w:rFonts w:ascii="宋体" w:hAnsi="宋体" w:cs="宋体" w:eastAsia="宋体" w:hint="default"/>
          <w:sz w:val="19"/>
          <w:szCs w:val="19"/>
        </w:rPr>
      </w:pPr>
    </w:p>
    <w:p>
      <w:pPr>
        <w:pStyle w:val="BodyText"/>
        <w:spacing w:line="322" w:lineRule="exact"/>
        <w:ind w:left="817" w:right="0"/>
        <w:jc w:val="both"/>
      </w:pPr>
      <w:r>
        <w:rPr>
          <w:rFonts w:ascii="Arial" w:hAnsi="Arial" w:cs="Arial" w:eastAsia="Arial" w:hint="default"/>
        </w:rPr>
        <w:t>2009</w:t>
      </w:r>
      <w:r>
        <w:rPr>
          <w:rFonts w:ascii="Arial" w:hAnsi="Arial" w:cs="Arial" w:eastAsia="Arial" w:hint="default"/>
          <w:spacing w:val="-14"/>
        </w:rPr>
        <w:t> </w:t>
      </w:r>
      <w:r>
        <w:rPr/>
        <w:t>年</w:t>
      </w:r>
      <w:r>
        <w:rPr>
          <w:spacing w:val="-67"/>
        </w:rPr>
        <w:t> </w:t>
      </w:r>
      <w:r>
        <w:rPr>
          <w:rFonts w:ascii="Arial" w:hAnsi="Arial" w:cs="Arial" w:eastAsia="Arial" w:hint="default"/>
        </w:rPr>
        <w:t>12</w:t>
      </w:r>
      <w:r>
        <w:rPr>
          <w:rFonts w:ascii="Arial" w:hAnsi="Arial" w:cs="Arial" w:eastAsia="Arial" w:hint="default"/>
          <w:spacing w:val="-13"/>
        </w:rPr>
        <w:t> </w:t>
      </w:r>
      <w:r>
        <w:rPr/>
        <w:t>月</w:t>
      </w:r>
      <w:r>
        <w:rPr>
          <w:spacing w:val="-67"/>
        </w:rPr>
        <w:t> </w:t>
      </w:r>
      <w:r>
        <w:rPr>
          <w:rFonts w:ascii="Arial" w:hAnsi="Arial" w:cs="Arial" w:eastAsia="Arial" w:hint="default"/>
        </w:rPr>
        <w:t>31</w:t>
      </w:r>
      <w:r>
        <w:rPr>
          <w:rFonts w:ascii="Arial" w:hAnsi="Arial" w:cs="Arial" w:eastAsia="Arial" w:hint="default"/>
          <w:spacing w:val="-14"/>
        </w:rPr>
        <w:t> </w:t>
      </w:r>
      <w:r>
        <w:rPr/>
        <w:t>日，经四川省国家税务局川国税</w:t>
      </w:r>
      <w:r>
        <w:rPr>
          <w:rFonts w:ascii="Arial" w:hAnsi="Arial" w:cs="Arial" w:eastAsia="Arial" w:hint="default"/>
        </w:rPr>
        <w:t>[2009]371</w:t>
      </w:r>
      <w:r>
        <w:rPr>
          <w:rFonts w:ascii="Arial" w:hAnsi="Arial" w:cs="Arial" w:eastAsia="Arial" w:hint="default"/>
          <w:spacing w:val="-14"/>
        </w:rPr>
        <w:t> </w:t>
      </w:r>
      <w:r>
        <w:rPr>
          <w:spacing w:val="-4"/>
        </w:rPr>
        <w:t>号文批准：泸州泸宁苏宁电</w:t>
      </w:r>
    </w:p>
    <w:p>
      <w:pPr>
        <w:pStyle w:val="BodyText"/>
        <w:spacing w:line="322" w:lineRule="exact"/>
        <w:ind w:left="817" w:right="0"/>
        <w:jc w:val="both"/>
      </w:pPr>
      <w:r>
        <w:rPr/>
        <w:t>器有限公司</w:t>
      </w:r>
      <w:r>
        <w:rPr>
          <w:spacing w:val="-62"/>
        </w:rPr>
        <w:t> </w:t>
      </w:r>
      <w:r>
        <w:rPr>
          <w:rFonts w:ascii="Arial" w:hAnsi="Arial" w:cs="Arial" w:eastAsia="Arial" w:hint="default"/>
        </w:rPr>
        <w:t>2008</w:t>
      </w:r>
      <w:r>
        <w:rPr>
          <w:rFonts w:ascii="Arial" w:hAnsi="Arial" w:cs="Arial" w:eastAsia="Arial" w:hint="default"/>
          <w:spacing w:val="-9"/>
        </w:rPr>
        <w:t> </w:t>
      </w:r>
      <w:r>
        <w:rPr/>
        <w:t>年至</w:t>
      </w:r>
      <w:r>
        <w:rPr>
          <w:spacing w:val="-62"/>
        </w:rPr>
        <w:t> </w:t>
      </w:r>
      <w:r>
        <w:rPr>
          <w:rFonts w:ascii="Arial" w:hAnsi="Arial" w:cs="Arial" w:eastAsia="Arial" w:hint="default"/>
        </w:rPr>
        <w:t>2010</w:t>
      </w:r>
      <w:r>
        <w:rPr>
          <w:rFonts w:ascii="Arial" w:hAnsi="Arial" w:cs="Arial" w:eastAsia="Arial" w:hint="default"/>
          <w:spacing w:val="-9"/>
        </w:rPr>
        <w:t> </w:t>
      </w:r>
      <w:r>
        <w:rPr/>
        <w:t>年享受</w:t>
      </w:r>
      <w:r>
        <w:rPr>
          <w:spacing w:val="-62"/>
        </w:rPr>
        <w:t> </w:t>
      </w:r>
      <w:r>
        <w:rPr>
          <w:rFonts w:ascii="Arial" w:hAnsi="Arial" w:cs="Arial" w:eastAsia="Arial" w:hint="default"/>
        </w:rPr>
        <w:t>15%</w:t>
      </w:r>
      <w:r>
        <w:rPr/>
        <w:t>的企业所得税税率。</w:t>
      </w:r>
    </w:p>
    <w:p>
      <w:pPr>
        <w:spacing w:after="0" w:line="322" w:lineRule="exact"/>
        <w:jc w:val="both"/>
        <w:sectPr>
          <w:pgSz w:w="11910" w:h="16840"/>
          <w:pgMar w:header="1475" w:footer="708" w:top="3020" w:bottom="900" w:left="1020" w:right="70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497"/>
        <w:jc w:val="left"/>
        <w:rPr>
          <w:rFonts w:ascii="Arial" w:hAnsi="Arial" w:cs="Arial" w:eastAsia="Arial" w:hint="default"/>
          <w:b w:val="0"/>
          <w:bCs w:val="0"/>
        </w:rPr>
      </w:pPr>
      <w:r>
        <w:rPr>
          <w:w w:val="95"/>
        </w:rPr>
        <w:t>三</w:t>
        <w:tab/>
      </w:r>
      <w:r>
        <w:rPr/>
        <w:t>税项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7" w:right="497"/>
        <w:jc w:val="left"/>
        <w:rPr>
          <w:rFonts w:ascii="Arial" w:hAnsi="Arial" w:cs="Arial" w:eastAsia="Arial" w:hint="default"/>
        </w:rPr>
      </w:pPr>
      <w:r>
        <w:rPr>
          <w:rFonts w:ascii="Arial" w:hAnsi="Arial" w:cs="Arial" w:eastAsia="Arial" w:hint="default"/>
          <w:w w:val="95"/>
          <w:position w:val="2"/>
        </w:rPr>
        <w:t>(2)</w:t>
        <w:tab/>
      </w:r>
      <w:r>
        <w:rPr/>
        <w:t>税收优惠及批文</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817" w:val="left" w:leader="none"/>
        </w:tabs>
        <w:spacing w:line="427" w:lineRule="auto"/>
        <w:ind w:left="108" w:right="6204"/>
        <w:jc w:val="left"/>
        <w:rPr>
          <w:rFonts w:ascii="Arial" w:hAnsi="Arial" w:cs="Arial" w:eastAsia="Arial" w:hint="default"/>
        </w:rPr>
      </w:pPr>
      <w:r>
        <w:rPr>
          <w:rFonts w:ascii="Arial" w:hAnsi="Arial" w:cs="Arial" w:eastAsia="Arial" w:hint="default"/>
          <w:w w:val="95"/>
          <w:position w:val="2"/>
        </w:rPr>
        <w:t>(a)</w:t>
        <w:tab/>
      </w:r>
      <w:r>
        <w:rPr/>
        <w:t>企业所得税过渡优惠政策</w:t>
      </w:r>
      <w:r>
        <w:rPr>
          <w:rFonts w:ascii="Arial" w:hAnsi="Arial" w:cs="Arial" w:eastAsia="Arial" w:hint="default"/>
        </w:rPr>
        <w:t>(</w:t>
      </w:r>
      <w:r>
        <w:rPr/>
        <w:t>续</w:t>
      </w:r>
      <w:r>
        <w:rPr>
          <w:rFonts w:ascii="Arial" w:hAnsi="Arial" w:cs="Arial" w:eastAsia="Arial" w:hint="default"/>
        </w:rPr>
        <w:t>) </w:t>
      </w:r>
      <w:r>
        <w:rPr>
          <w:rFonts w:ascii="Arial" w:hAnsi="Arial" w:cs="Arial" w:eastAsia="Arial" w:hint="default"/>
          <w:spacing w:val="-1"/>
          <w:position w:val="2"/>
        </w:rPr>
        <w:t>(ii)</w:t>
        <w:tab/>
      </w:r>
      <w:r>
        <w:rPr/>
        <w:t>西部大开发税收优惠政策</w:t>
      </w:r>
      <w:r>
        <w:rPr>
          <w:rFonts w:ascii="Arial" w:hAnsi="Arial" w:cs="Arial" w:eastAsia="Arial" w:hint="default"/>
        </w:rPr>
        <w:t>(</w:t>
      </w:r>
      <w:r>
        <w:rPr/>
        <w:t>续</w:t>
      </w:r>
      <w:r>
        <w:rPr>
          <w:rFonts w:ascii="Arial" w:hAnsi="Arial" w:cs="Arial" w:eastAsia="Arial" w:hint="default"/>
        </w:rPr>
        <w:t>)</w:t>
      </w:r>
    </w:p>
    <w:p>
      <w:pPr>
        <w:pStyle w:val="BodyText"/>
        <w:spacing w:line="322" w:lineRule="exact" w:before="32"/>
        <w:ind w:left="817" w:right="0"/>
        <w:jc w:val="both"/>
      </w:pPr>
      <w:r>
        <w:rPr>
          <w:rFonts w:ascii="Arial" w:hAnsi="Arial" w:cs="Arial" w:eastAsia="Arial" w:hint="default"/>
        </w:rPr>
        <w:t>2010</w:t>
      </w:r>
      <w:r>
        <w:rPr>
          <w:rFonts w:ascii="Arial" w:hAnsi="Arial" w:cs="Arial" w:eastAsia="Arial" w:hint="default"/>
          <w:spacing w:val="-17"/>
        </w:rPr>
        <w:t> </w:t>
      </w:r>
      <w:r>
        <w:rPr/>
        <w:t>年</w:t>
      </w:r>
      <w:r>
        <w:rPr>
          <w:spacing w:val="-70"/>
        </w:rPr>
        <w:t> </w:t>
      </w:r>
      <w:r>
        <w:rPr>
          <w:rFonts w:ascii="Arial" w:hAnsi="Arial" w:cs="Arial" w:eastAsia="Arial" w:hint="default"/>
        </w:rPr>
        <w:t>4</w:t>
      </w:r>
      <w:r>
        <w:rPr>
          <w:rFonts w:ascii="Arial" w:hAnsi="Arial" w:cs="Arial" w:eastAsia="Arial" w:hint="default"/>
          <w:spacing w:val="-16"/>
        </w:rPr>
        <w:t> </w:t>
      </w:r>
      <w:r>
        <w:rPr/>
        <w:t>月</w:t>
      </w:r>
      <w:r>
        <w:rPr>
          <w:spacing w:val="-70"/>
        </w:rPr>
        <w:t> </w:t>
      </w:r>
      <w:r>
        <w:rPr>
          <w:rFonts w:ascii="Arial" w:hAnsi="Arial" w:cs="Arial" w:eastAsia="Arial" w:hint="default"/>
        </w:rPr>
        <w:t>6</w:t>
      </w:r>
      <w:r>
        <w:rPr>
          <w:rFonts w:ascii="Arial" w:hAnsi="Arial" w:cs="Arial" w:eastAsia="Arial" w:hint="default"/>
          <w:spacing w:val="-17"/>
        </w:rPr>
        <w:t> </w:t>
      </w:r>
      <w:r>
        <w:rPr/>
        <w:t>日，经四川省国家税务局川国税函</w:t>
      </w:r>
      <w:r>
        <w:rPr>
          <w:rFonts w:ascii="Arial" w:hAnsi="Arial" w:cs="Arial" w:eastAsia="Arial" w:hint="default"/>
        </w:rPr>
        <w:t>[2010]101</w:t>
      </w:r>
      <w:r>
        <w:rPr>
          <w:rFonts w:ascii="Arial" w:hAnsi="Arial" w:cs="Arial" w:eastAsia="Arial" w:hint="default"/>
          <w:spacing w:val="-17"/>
        </w:rPr>
        <w:t> </w:t>
      </w:r>
      <w:r>
        <w:rPr/>
        <w:t>号文批准：广安苏宁电器有</w:t>
      </w:r>
    </w:p>
    <w:p>
      <w:pPr>
        <w:pStyle w:val="BodyText"/>
        <w:spacing w:line="322" w:lineRule="exact"/>
        <w:ind w:left="817" w:right="0"/>
        <w:jc w:val="both"/>
      </w:pPr>
      <w:r>
        <w:rPr/>
        <w:t>限公司和眉山苏宁电器有限公司</w:t>
      </w:r>
      <w:r>
        <w:rPr>
          <w:spacing w:val="-62"/>
        </w:rPr>
        <w:t> </w:t>
      </w:r>
      <w:r>
        <w:rPr>
          <w:rFonts w:ascii="Arial" w:hAnsi="Arial" w:cs="Arial" w:eastAsia="Arial" w:hint="default"/>
        </w:rPr>
        <w:t>2009</w:t>
      </w:r>
      <w:r>
        <w:rPr>
          <w:rFonts w:ascii="Arial" w:hAnsi="Arial" w:cs="Arial" w:eastAsia="Arial" w:hint="default"/>
          <w:spacing w:val="-9"/>
        </w:rPr>
        <w:t> </w:t>
      </w:r>
      <w:r>
        <w:rPr/>
        <w:t>年至</w:t>
      </w:r>
      <w:r>
        <w:rPr>
          <w:spacing w:val="-62"/>
        </w:rPr>
        <w:t> </w:t>
      </w:r>
      <w:r>
        <w:rPr>
          <w:rFonts w:ascii="Arial" w:hAnsi="Arial" w:cs="Arial" w:eastAsia="Arial" w:hint="default"/>
        </w:rPr>
        <w:t>2010</w:t>
      </w:r>
      <w:r>
        <w:rPr>
          <w:rFonts w:ascii="Arial" w:hAnsi="Arial" w:cs="Arial" w:eastAsia="Arial" w:hint="default"/>
          <w:spacing w:val="-9"/>
        </w:rPr>
        <w:t> </w:t>
      </w:r>
      <w:r>
        <w:rPr/>
        <w:t>年享受</w:t>
      </w:r>
      <w:r>
        <w:rPr>
          <w:spacing w:val="-62"/>
        </w:rPr>
        <w:t> </w:t>
      </w:r>
      <w:r>
        <w:rPr>
          <w:rFonts w:ascii="Arial" w:hAnsi="Arial" w:cs="Arial" w:eastAsia="Arial" w:hint="default"/>
        </w:rPr>
        <w:t>15%</w:t>
      </w:r>
      <w:r>
        <w:rPr/>
        <w:t>的企业所得税率。</w:t>
      </w:r>
    </w:p>
    <w:p>
      <w:pPr>
        <w:spacing w:line="240" w:lineRule="auto" w:before="8"/>
        <w:rPr>
          <w:rFonts w:ascii="宋体" w:hAnsi="宋体" w:cs="宋体" w:eastAsia="宋体" w:hint="default"/>
          <w:sz w:val="19"/>
          <w:szCs w:val="19"/>
        </w:rPr>
      </w:pPr>
    </w:p>
    <w:p>
      <w:pPr>
        <w:pStyle w:val="BodyText"/>
        <w:spacing w:line="322" w:lineRule="exact"/>
        <w:ind w:left="817" w:right="0"/>
        <w:jc w:val="both"/>
      </w:pPr>
      <w:r>
        <w:rPr>
          <w:rFonts w:ascii="Arial" w:hAnsi="Arial" w:cs="Arial" w:eastAsia="Arial" w:hint="default"/>
        </w:rPr>
        <w:t>2009</w:t>
      </w:r>
      <w:r>
        <w:rPr>
          <w:rFonts w:ascii="Arial" w:hAnsi="Arial" w:cs="Arial" w:eastAsia="Arial" w:hint="default"/>
          <w:spacing w:val="-7"/>
        </w:rPr>
        <w:t> </w:t>
      </w:r>
      <w:r>
        <w:rPr/>
        <w:t>年</w:t>
      </w:r>
      <w:r>
        <w:rPr>
          <w:spacing w:val="-60"/>
        </w:rPr>
        <w:t> </w:t>
      </w:r>
      <w:r>
        <w:rPr>
          <w:rFonts w:ascii="Arial" w:hAnsi="Arial" w:cs="Arial" w:eastAsia="Arial" w:hint="default"/>
        </w:rPr>
        <w:t>6</w:t>
      </w:r>
      <w:r>
        <w:rPr>
          <w:rFonts w:ascii="Arial" w:hAnsi="Arial" w:cs="Arial" w:eastAsia="Arial" w:hint="default"/>
          <w:spacing w:val="-6"/>
        </w:rPr>
        <w:t> </w:t>
      </w:r>
      <w:r>
        <w:rPr/>
        <w:t>月</w:t>
      </w:r>
      <w:r>
        <w:rPr>
          <w:spacing w:val="-60"/>
        </w:rPr>
        <w:t> </w:t>
      </w:r>
      <w:r>
        <w:rPr>
          <w:rFonts w:ascii="Arial" w:hAnsi="Arial" w:cs="Arial" w:eastAsia="Arial" w:hint="default"/>
        </w:rPr>
        <w:t>18</w:t>
      </w:r>
      <w:r>
        <w:rPr>
          <w:rFonts w:ascii="Arial" w:hAnsi="Arial" w:cs="Arial" w:eastAsia="Arial" w:hint="default"/>
          <w:spacing w:val="-7"/>
        </w:rPr>
        <w:t> </w:t>
      </w:r>
      <w:r>
        <w:rPr>
          <w:spacing w:val="-3"/>
        </w:rPr>
        <w:t>日，经吉首市国家税务局吉国税减免字</w:t>
      </w:r>
      <w:r>
        <w:rPr>
          <w:rFonts w:ascii="Arial" w:hAnsi="Arial" w:cs="Arial" w:eastAsia="Arial" w:hint="default"/>
          <w:spacing w:val="-3"/>
        </w:rPr>
        <w:t>[2009]</w:t>
      </w:r>
      <w:r>
        <w:rPr>
          <w:rFonts w:ascii="Arial" w:hAnsi="Arial" w:cs="Arial" w:eastAsia="Arial" w:hint="default"/>
        </w:rPr>
        <w:t> 57</w:t>
      </w:r>
      <w:r>
        <w:rPr>
          <w:rFonts w:ascii="Arial" w:hAnsi="Arial" w:cs="Arial" w:eastAsia="Arial" w:hint="default"/>
          <w:spacing w:val="-8"/>
        </w:rPr>
        <w:t> </w:t>
      </w:r>
      <w:r>
        <w:rPr>
          <w:spacing w:val="-6"/>
        </w:rPr>
        <w:t>号文批准：湖南湘西自</w:t>
      </w:r>
    </w:p>
    <w:p>
      <w:pPr>
        <w:pStyle w:val="BodyText"/>
        <w:spacing w:line="322" w:lineRule="exact"/>
        <w:ind w:left="817" w:right="0"/>
        <w:jc w:val="both"/>
      </w:pPr>
      <w:r>
        <w:rPr/>
        <w:t>治州苏宁电器有限公司</w:t>
      </w:r>
      <w:r>
        <w:rPr>
          <w:spacing w:val="-62"/>
        </w:rPr>
        <w:t> </w:t>
      </w:r>
      <w:r>
        <w:rPr>
          <w:rFonts w:ascii="Arial" w:hAnsi="Arial" w:cs="Arial" w:eastAsia="Arial" w:hint="default"/>
        </w:rPr>
        <w:t>2008</w:t>
      </w:r>
      <w:r>
        <w:rPr>
          <w:rFonts w:ascii="Arial" w:hAnsi="Arial" w:cs="Arial" w:eastAsia="Arial" w:hint="default"/>
          <w:spacing w:val="-9"/>
        </w:rPr>
        <w:t> </w:t>
      </w:r>
      <w:r>
        <w:rPr/>
        <w:t>年至</w:t>
      </w:r>
      <w:r>
        <w:rPr>
          <w:spacing w:val="-62"/>
        </w:rPr>
        <w:t> </w:t>
      </w:r>
      <w:r>
        <w:rPr>
          <w:rFonts w:ascii="Arial" w:hAnsi="Arial" w:cs="Arial" w:eastAsia="Arial" w:hint="default"/>
        </w:rPr>
        <w:t>2010</w:t>
      </w:r>
      <w:r>
        <w:rPr>
          <w:rFonts w:ascii="Arial" w:hAnsi="Arial" w:cs="Arial" w:eastAsia="Arial" w:hint="default"/>
          <w:spacing w:val="-9"/>
        </w:rPr>
        <w:t> </w:t>
      </w:r>
      <w:r>
        <w:rPr/>
        <w:t>年享受</w:t>
      </w:r>
      <w:r>
        <w:rPr>
          <w:spacing w:val="-62"/>
        </w:rPr>
        <w:t> </w:t>
      </w:r>
      <w:r>
        <w:rPr>
          <w:rFonts w:ascii="Arial" w:hAnsi="Arial" w:cs="Arial" w:eastAsia="Arial" w:hint="default"/>
        </w:rPr>
        <w:t>15%</w:t>
      </w:r>
      <w:r>
        <w:rPr/>
        <w:t>的企业所得税率。</w:t>
      </w:r>
    </w:p>
    <w:p>
      <w:pPr>
        <w:spacing w:line="240" w:lineRule="auto" w:before="8"/>
        <w:rPr>
          <w:rFonts w:ascii="宋体" w:hAnsi="宋体" w:cs="宋体" w:eastAsia="宋体" w:hint="default"/>
          <w:sz w:val="19"/>
          <w:szCs w:val="19"/>
        </w:rPr>
      </w:pPr>
    </w:p>
    <w:p>
      <w:pPr>
        <w:pStyle w:val="BodyText"/>
        <w:spacing w:line="322" w:lineRule="exact"/>
        <w:ind w:left="817" w:right="0"/>
        <w:jc w:val="both"/>
      </w:pPr>
      <w:r>
        <w:rPr>
          <w:rFonts w:ascii="Arial" w:hAnsi="Arial" w:cs="Arial" w:eastAsia="Arial" w:hint="default"/>
        </w:rPr>
        <w:t>2010</w:t>
      </w:r>
      <w:r>
        <w:rPr>
          <w:rFonts w:ascii="Arial" w:hAnsi="Arial" w:cs="Arial" w:eastAsia="Arial" w:hint="default"/>
          <w:spacing w:val="-12"/>
        </w:rPr>
        <w:t> </w:t>
      </w:r>
      <w:r>
        <w:rPr/>
        <w:t>年</w:t>
      </w:r>
      <w:r>
        <w:rPr>
          <w:spacing w:val="-65"/>
        </w:rPr>
        <w:t> </w:t>
      </w:r>
      <w:r>
        <w:rPr>
          <w:rFonts w:ascii="Arial" w:hAnsi="Arial" w:cs="Arial" w:eastAsia="Arial" w:hint="default"/>
        </w:rPr>
        <w:t>1</w:t>
      </w:r>
      <w:r>
        <w:rPr>
          <w:rFonts w:ascii="Arial" w:hAnsi="Arial" w:cs="Arial" w:eastAsia="Arial" w:hint="default"/>
          <w:spacing w:val="-11"/>
        </w:rPr>
        <w:t> </w:t>
      </w:r>
      <w:r>
        <w:rPr/>
        <w:t>月</w:t>
      </w:r>
      <w:r>
        <w:rPr>
          <w:spacing w:val="-65"/>
        </w:rPr>
        <w:t> </w:t>
      </w:r>
      <w:r>
        <w:rPr>
          <w:rFonts w:ascii="Arial" w:hAnsi="Arial" w:cs="Arial" w:eastAsia="Arial" w:hint="default"/>
        </w:rPr>
        <w:t>21</w:t>
      </w:r>
      <w:r>
        <w:rPr>
          <w:rFonts w:ascii="Arial" w:hAnsi="Arial" w:cs="Arial" w:eastAsia="Arial" w:hint="default"/>
          <w:spacing w:val="-12"/>
        </w:rPr>
        <w:t> </w:t>
      </w:r>
      <w:r>
        <w:rPr/>
        <w:t>日，经西双版纳州国家税务局西国税函</w:t>
      </w:r>
      <w:r>
        <w:rPr>
          <w:rFonts w:ascii="Arial" w:hAnsi="Arial" w:cs="Arial" w:eastAsia="Arial" w:hint="default"/>
        </w:rPr>
        <w:t>[2010]22</w:t>
      </w:r>
      <w:r>
        <w:rPr>
          <w:rFonts w:ascii="Arial" w:hAnsi="Arial" w:cs="Arial" w:eastAsia="Arial" w:hint="default"/>
          <w:spacing w:val="-12"/>
        </w:rPr>
        <w:t> </w:t>
      </w:r>
      <w:r>
        <w:rPr>
          <w:spacing w:val="-3"/>
        </w:rPr>
        <w:t>号文批准：景洪苏宁电</w:t>
      </w:r>
    </w:p>
    <w:p>
      <w:pPr>
        <w:pStyle w:val="BodyText"/>
        <w:spacing w:line="322" w:lineRule="exact"/>
        <w:ind w:left="817" w:right="0"/>
        <w:jc w:val="both"/>
      </w:pPr>
      <w:r>
        <w:rPr/>
        <w:t>器有限公司</w:t>
      </w:r>
      <w:r>
        <w:rPr>
          <w:spacing w:val="-61"/>
        </w:rPr>
        <w:t> </w:t>
      </w:r>
      <w:r>
        <w:rPr>
          <w:rFonts w:ascii="Arial" w:hAnsi="Arial" w:cs="Arial" w:eastAsia="Arial" w:hint="default"/>
        </w:rPr>
        <w:t>2009</w:t>
      </w:r>
      <w:r>
        <w:rPr>
          <w:rFonts w:ascii="Arial" w:hAnsi="Arial" w:cs="Arial" w:eastAsia="Arial" w:hint="default"/>
          <w:spacing w:val="-8"/>
        </w:rPr>
        <w:t> </w:t>
      </w:r>
      <w:r>
        <w:rPr/>
        <w:t>年至</w:t>
      </w:r>
      <w:r>
        <w:rPr>
          <w:spacing w:val="-61"/>
        </w:rPr>
        <w:t> </w:t>
      </w:r>
      <w:r>
        <w:rPr>
          <w:rFonts w:ascii="Arial" w:hAnsi="Arial" w:cs="Arial" w:eastAsia="Arial" w:hint="default"/>
          <w:spacing w:val="-6"/>
        </w:rPr>
        <w:t>2011</w:t>
      </w:r>
      <w:r>
        <w:rPr>
          <w:rFonts w:ascii="Arial" w:hAnsi="Arial" w:cs="Arial" w:eastAsia="Arial" w:hint="default"/>
          <w:spacing w:val="-8"/>
        </w:rPr>
        <w:t> </w:t>
      </w:r>
      <w:r>
        <w:rPr/>
        <w:t>年享受</w:t>
      </w:r>
      <w:r>
        <w:rPr>
          <w:spacing w:val="-61"/>
        </w:rPr>
        <w:t> </w:t>
      </w:r>
      <w:r>
        <w:rPr>
          <w:rFonts w:ascii="Arial" w:hAnsi="Arial" w:cs="Arial" w:eastAsia="Arial" w:hint="default"/>
        </w:rPr>
        <w:t>15%</w:t>
      </w:r>
      <w:r>
        <w:rPr/>
        <w:t>企业所得税率。</w:t>
      </w:r>
    </w:p>
    <w:p>
      <w:pPr>
        <w:spacing w:line="240" w:lineRule="auto" w:before="13"/>
        <w:rPr>
          <w:rFonts w:ascii="宋体" w:hAnsi="宋体" w:cs="宋体" w:eastAsia="宋体" w:hint="default"/>
          <w:sz w:val="21"/>
          <w:szCs w:val="21"/>
        </w:rPr>
      </w:pPr>
    </w:p>
    <w:p>
      <w:pPr>
        <w:pStyle w:val="BodyText"/>
        <w:spacing w:line="312" w:lineRule="exact"/>
        <w:ind w:left="817" w:right="107"/>
        <w:jc w:val="both"/>
      </w:pPr>
      <w:r>
        <w:rPr>
          <w:rFonts w:ascii="Arial" w:hAnsi="Arial" w:cs="Arial" w:eastAsia="Arial" w:hint="default"/>
        </w:rPr>
        <w:t>2010 </w:t>
      </w:r>
      <w:r>
        <w:rPr/>
        <w:t>年</w:t>
      </w:r>
      <w:r>
        <w:rPr>
          <w:spacing w:val="-53"/>
        </w:rPr>
        <w:t> </w:t>
      </w:r>
      <w:r>
        <w:rPr>
          <w:rFonts w:ascii="Arial" w:hAnsi="Arial" w:cs="Arial" w:eastAsia="Arial" w:hint="default"/>
        </w:rPr>
        <w:t>5</w:t>
      </w:r>
      <w:r>
        <w:rPr>
          <w:rFonts w:ascii="Arial" w:hAnsi="Arial" w:cs="Arial" w:eastAsia="Arial" w:hint="default"/>
          <w:spacing w:val="1"/>
        </w:rPr>
        <w:t> </w:t>
      </w:r>
      <w:r>
        <w:rPr/>
        <w:t>月</w:t>
      </w:r>
      <w:r>
        <w:rPr>
          <w:spacing w:val="-53"/>
        </w:rPr>
        <w:t> </w:t>
      </w:r>
      <w:r>
        <w:rPr>
          <w:rFonts w:ascii="Arial" w:hAnsi="Arial" w:cs="Arial" w:eastAsia="Arial" w:hint="default"/>
        </w:rPr>
        <w:t>19 </w:t>
      </w:r>
      <w:r>
        <w:rPr/>
        <w:t>日，经陕西省国家税务局陕国税函</w:t>
      </w:r>
      <w:r>
        <w:rPr>
          <w:rFonts w:ascii="Arial" w:hAnsi="Arial" w:cs="Arial" w:eastAsia="Arial" w:hint="default"/>
        </w:rPr>
        <w:t>[2010]273 </w:t>
      </w:r>
      <w:r>
        <w:rPr/>
        <w:t>号文批准：同意陕西苏宁 电器有限责任公司铜川分公司</w:t>
      </w:r>
      <w:r>
        <w:rPr>
          <w:spacing w:val="-59"/>
        </w:rPr>
        <w:t> </w:t>
      </w:r>
      <w:r>
        <w:rPr>
          <w:rFonts w:ascii="Arial" w:hAnsi="Arial" w:cs="Arial" w:eastAsia="Arial" w:hint="default"/>
        </w:rPr>
        <w:t>2009</w:t>
      </w:r>
      <w:r>
        <w:rPr>
          <w:rFonts w:ascii="Arial" w:hAnsi="Arial" w:cs="Arial" w:eastAsia="Arial" w:hint="default"/>
          <w:spacing w:val="-6"/>
        </w:rPr>
        <w:t> </w:t>
      </w:r>
      <w:r>
        <w:rPr/>
        <w:t>年享受</w:t>
      </w:r>
      <w:r>
        <w:rPr>
          <w:spacing w:val="-59"/>
        </w:rPr>
        <w:t> </w:t>
      </w:r>
      <w:r>
        <w:rPr>
          <w:rFonts w:ascii="Arial" w:hAnsi="Arial" w:cs="Arial" w:eastAsia="Arial" w:hint="default"/>
          <w:spacing w:val="-7"/>
        </w:rPr>
        <w:t>15%</w:t>
      </w:r>
      <w:r>
        <w:rPr>
          <w:spacing w:val="-7"/>
        </w:rPr>
        <w:t>企业所得税率，</w:t>
      </w:r>
      <w:r>
        <w:rPr>
          <w:rFonts w:ascii="Arial" w:hAnsi="Arial" w:cs="Arial" w:eastAsia="Arial" w:hint="default"/>
          <w:spacing w:val="-7"/>
        </w:rPr>
        <w:t>2010</w:t>
      </w:r>
      <w:r>
        <w:rPr>
          <w:rFonts w:ascii="Arial" w:hAnsi="Arial" w:cs="Arial" w:eastAsia="Arial" w:hint="default"/>
          <w:spacing w:val="-6"/>
        </w:rPr>
        <w:t> </w:t>
      </w:r>
      <w:r>
        <w:rPr/>
        <w:t>年的审核将在年度 纳税汇算清缴后批复。</w:t>
      </w:r>
    </w:p>
    <w:p>
      <w:pPr>
        <w:spacing w:line="240" w:lineRule="auto" w:before="1"/>
        <w:rPr>
          <w:rFonts w:ascii="宋体" w:hAnsi="宋体" w:cs="宋体" w:eastAsia="宋体" w:hint="default"/>
          <w:sz w:val="21"/>
          <w:szCs w:val="21"/>
        </w:rPr>
      </w:pPr>
    </w:p>
    <w:p>
      <w:pPr>
        <w:pStyle w:val="BodyText"/>
        <w:spacing w:line="312" w:lineRule="exact"/>
        <w:ind w:left="817" w:right="107"/>
        <w:jc w:val="both"/>
      </w:pPr>
      <w:r>
        <w:rPr>
          <w:rFonts w:ascii="Arial" w:hAnsi="Arial" w:cs="Arial" w:eastAsia="Arial" w:hint="default"/>
        </w:rPr>
        <w:t>2009</w:t>
      </w:r>
      <w:r>
        <w:rPr>
          <w:rFonts w:ascii="Arial" w:hAnsi="Arial" w:cs="Arial" w:eastAsia="Arial" w:hint="default"/>
          <w:spacing w:val="-17"/>
        </w:rPr>
        <w:t> </w:t>
      </w:r>
      <w:r>
        <w:rPr/>
        <w:t>年</w:t>
      </w:r>
      <w:r>
        <w:rPr>
          <w:spacing w:val="-70"/>
        </w:rPr>
        <w:t> </w:t>
      </w:r>
      <w:r>
        <w:rPr>
          <w:rFonts w:ascii="Arial" w:hAnsi="Arial" w:cs="Arial" w:eastAsia="Arial" w:hint="default"/>
        </w:rPr>
        <w:t>1</w:t>
      </w:r>
      <w:r>
        <w:rPr>
          <w:rFonts w:ascii="Arial" w:hAnsi="Arial" w:cs="Arial" w:eastAsia="Arial" w:hint="default"/>
          <w:spacing w:val="-16"/>
        </w:rPr>
        <w:t> </w:t>
      </w:r>
      <w:r>
        <w:rPr/>
        <w:t>月</w:t>
      </w:r>
      <w:r>
        <w:rPr>
          <w:spacing w:val="-70"/>
        </w:rPr>
        <w:t> </w:t>
      </w:r>
      <w:r>
        <w:rPr>
          <w:rFonts w:ascii="Arial" w:hAnsi="Arial" w:cs="Arial" w:eastAsia="Arial" w:hint="default"/>
        </w:rPr>
        <w:t>15</w:t>
      </w:r>
      <w:r>
        <w:rPr>
          <w:rFonts w:ascii="Arial" w:hAnsi="Arial" w:cs="Arial" w:eastAsia="Arial" w:hint="default"/>
          <w:spacing w:val="-17"/>
        </w:rPr>
        <w:t> </w:t>
      </w:r>
      <w:r>
        <w:rPr/>
        <w:t>日，经昆明市国家税务局昆国税函</w:t>
      </w:r>
      <w:r>
        <w:rPr>
          <w:rFonts w:ascii="Arial" w:hAnsi="Arial" w:cs="Arial" w:eastAsia="Arial" w:hint="default"/>
        </w:rPr>
        <w:t>[2009]13</w:t>
      </w:r>
      <w:r>
        <w:rPr>
          <w:rFonts w:ascii="Arial" w:hAnsi="Arial" w:cs="Arial" w:eastAsia="Arial" w:hint="default"/>
          <w:spacing w:val="-17"/>
        </w:rPr>
        <w:t> </w:t>
      </w:r>
      <w:r>
        <w:rPr/>
        <w:t>号文批准：同意云南苏宁电 器有限责任公司</w:t>
      </w:r>
      <w:r>
        <w:rPr>
          <w:spacing w:val="-66"/>
        </w:rPr>
        <w:t> </w:t>
      </w:r>
      <w:r>
        <w:rPr>
          <w:rFonts w:ascii="Arial" w:hAnsi="Arial" w:cs="Arial" w:eastAsia="Arial" w:hint="default"/>
        </w:rPr>
        <w:t>2008</w:t>
      </w:r>
      <w:r>
        <w:rPr>
          <w:rFonts w:ascii="Arial" w:hAnsi="Arial" w:cs="Arial" w:eastAsia="Arial" w:hint="default"/>
          <w:spacing w:val="-12"/>
        </w:rPr>
        <w:t> </w:t>
      </w:r>
      <w:r>
        <w:rPr/>
        <w:t>年至</w:t>
      </w:r>
      <w:r>
        <w:rPr>
          <w:spacing w:val="-66"/>
        </w:rPr>
        <w:t> </w:t>
      </w:r>
      <w:r>
        <w:rPr>
          <w:rFonts w:ascii="Arial" w:hAnsi="Arial" w:cs="Arial" w:eastAsia="Arial" w:hint="default"/>
        </w:rPr>
        <w:t>2010</w:t>
      </w:r>
      <w:r>
        <w:rPr>
          <w:rFonts w:ascii="Arial" w:hAnsi="Arial" w:cs="Arial" w:eastAsia="Arial" w:hint="default"/>
          <w:spacing w:val="-12"/>
        </w:rPr>
        <w:t> </w:t>
      </w:r>
      <w:r>
        <w:rPr/>
        <w:t>年享受</w:t>
      </w:r>
      <w:r>
        <w:rPr>
          <w:spacing w:val="-66"/>
        </w:rPr>
        <w:t> </w:t>
      </w:r>
      <w:r>
        <w:rPr>
          <w:rFonts w:ascii="Arial" w:hAnsi="Arial" w:cs="Arial" w:eastAsia="Arial" w:hint="default"/>
        </w:rPr>
        <w:t>15%</w:t>
      </w:r>
      <w:r>
        <w:rPr/>
        <w:t>企业所得税税率，</w:t>
      </w:r>
      <w:r>
        <w:rPr>
          <w:rFonts w:ascii="Arial" w:hAnsi="Arial" w:cs="Arial" w:eastAsia="Arial" w:hint="default"/>
        </w:rPr>
        <w:t>2010</w:t>
      </w:r>
      <w:r>
        <w:rPr>
          <w:rFonts w:ascii="Arial" w:hAnsi="Arial" w:cs="Arial" w:eastAsia="Arial" w:hint="default"/>
          <w:spacing w:val="-13"/>
        </w:rPr>
        <w:t> </w:t>
      </w:r>
      <w:r>
        <w:rPr/>
        <w:t>年的审核将在年度 纳税汇算清缴后批复。</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8" w:right="497"/>
        <w:jc w:val="left"/>
      </w:pPr>
      <w:r>
        <w:rPr>
          <w:rFonts w:ascii="Arial" w:hAnsi="Arial" w:cs="Arial" w:eastAsia="Arial" w:hint="default"/>
          <w:w w:val="95"/>
          <w:position w:val="2"/>
        </w:rPr>
        <w:t>(b)</w:t>
        <w:tab/>
      </w:r>
      <w:r>
        <w:rPr/>
        <w:t>企业所得税优惠政策</w:t>
      </w:r>
    </w:p>
    <w:p>
      <w:pPr>
        <w:spacing w:line="240" w:lineRule="auto" w:before="12"/>
        <w:rPr>
          <w:rFonts w:ascii="宋体" w:hAnsi="宋体" w:cs="宋体" w:eastAsia="宋体" w:hint="default"/>
          <w:sz w:val="20"/>
          <w:szCs w:val="20"/>
        </w:rPr>
      </w:pPr>
    </w:p>
    <w:p>
      <w:pPr>
        <w:pStyle w:val="BodyText"/>
        <w:tabs>
          <w:tab w:pos="817" w:val="left" w:leader="none"/>
        </w:tabs>
        <w:spacing w:line="240" w:lineRule="auto"/>
        <w:ind w:left="108" w:right="497"/>
        <w:jc w:val="left"/>
      </w:pPr>
      <w:r>
        <w:rPr>
          <w:rFonts w:ascii="Arial" w:hAnsi="Arial" w:cs="Arial" w:eastAsia="Arial" w:hint="default"/>
          <w:w w:val="95"/>
          <w:position w:val="2"/>
        </w:rPr>
        <w:t>(i)</w:t>
        <w:tab/>
      </w:r>
      <w:r>
        <w:rPr/>
        <w:t>自治机关地方税收优惠政策</w:t>
      </w:r>
    </w:p>
    <w:p>
      <w:pPr>
        <w:spacing w:line="240" w:lineRule="auto" w:before="12"/>
        <w:rPr>
          <w:rFonts w:ascii="宋体" w:hAnsi="宋体" w:cs="宋体" w:eastAsia="宋体" w:hint="default"/>
          <w:sz w:val="20"/>
          <w:szCs w:val="20"/>
        </w:rPr>
      </w:pPr>
    </w:p>
    <w:p>
      <w:pPr>
        <w:pStyle w:val="BodyText"/>
        <w:spacing w:line="322" w:lineRule="exact"/>
        <w:ind w:left="817" w:right="0"/>
        <w:jc w:val="both"/>
      </w:pPr>
      <w:r>
        <w:rPr>
          <w:rFonts w:ascii="Arial" w:hAnsi="Arial" w:cs="Arial" w:eastAsia="Arial" w:hint="default"/>
        </w:rPr>
        <w:t>2008</w:t>
      </w:r>
      <w:r>
        <w:rPr>
          <w:rFonts w:ascii="Arial" w:hAnsi="Arial" w:cs="Arial" w:eastAsia="Arial" w:hint="default"/>
          <w:spacing w:val="-13"/>
        </w:rPr>
        <w:t> </w:t>
      </w:r>
      <w:r>
        <w:rPr/>
        <w:t>年</w:t>
      </w:r>
      <w:r>
        <w:rPr>
          <w:spacing w:val="-66"/>
        </w:rPr>
        <w:t> </w:t>
      </w:r>
      <w:r>
        <w:rPr>
          <w:rFonts w:ascii="Arial" w:hAnsi="Arial" w:cs="Arial" w:eastAsia="Arial" w:hint="default"/>
        </w:rPr>
        <w:t>4</w:t>
      </w:r>
      <w:r>
        <w:rPr>
          <w:rFonts w:ascii="Arial" w:hAnsi="Arial" w:cs="Arial" w:eastAsia="Arial" w:hint="default"/>
          <w:spacing w:val="-12"/>
        </w:rPr>
        <w:t> </w:t>
      </w:r>
      <w:r>
        <w:rPr/>
        <w:t>月</w:t>
      </w:r>
      <w:r>
        <w:rPr>
          <w:spacing w:val="-66"/>
        </w:rPr>
        <w:t> </w:t>
      </w:r>
      <w:r>
        <w:rPr>
          <w:rFonts w:ascii="Arial" w:hAnsi="Arial" w:cs="Arial" w:eastAsia="Arial" w:hint="default"/>
        </w:rPr>
        <w:t>28</w:t>
      </w:r>
      <w:r>
        <w:rPr>
          <w:rFonts w:ascii="Arial" w:hAnsi="Arial" w:cs="Arial" w:eastAsia="Arial" w:hint="default"/>
          <w:spacing w:val="-13"/>
        </w:rPr>
        <w:t> </w:t>
      </w:r>
      <w:r>
        <w:rPr/>
        <w:t>日，经内蒙古包头市昆区国家税务局昆国税发</w:t>
      </w:r>
      <w:r>
        <w:rPr>
          <w:rFonts w:ascii="Arial" w:hAnsi="Arial" w:cs="Arial" w:eastAsia="Arial" w:hint="default"/>
        </w:rPr>
        <w:t>[2008]13</w:t>
      </w:r>
      <w:r>
        <w:rPr>
          <w:rFonts w:ascii="Arial" w:hAnsi="Arial" w:cs="Arial" w:eastAsia="Arial" w:hint="default"/>
          <w:spacing w:val="-13"/>
        </w:rPr>
        <w:t> </w:t>
      </w:r>
      <w:r>
        <w:rPr>
          <w:spacing w:val="-4"/>
        </w:rPr>
        <w:t>号文批准：同意</w:t>
      </w:r>
    </w:p>
    <w:p>
      <w:pPr>
        <w:pStyle w:val="BodyText"/>
        <w:spacing w:line="312" w:lineRule="exact" w:before="21"/>
        <w:ind w:left="817" w:right="104"/>
        <w:jc w:val="both"/>
      </w:pPr>
      <w:r>
        <w:rPr/>
        <w:t>包头市苏宁电器有限公司免征</w:t>
      </w:r>
      <w:r>
        <w:rPr>
          <w:spacing w:val="-65"/>
        </w:rPr>
        <w:t> </w:t>
      </w:r>
      <w:r>
        <w:rPr>
          <w:rFonts w:ascii="Arial" w:hAnsi="Arial" w:cs="Arial" w:eastAsia="Arial" w:hint="default"/>
        </w:rPr>
        <w:t>2007</w:t>
      </w:r>
      <w:r>
        <w:rPr>
          <w:rFonts w:ascii="Arial" w:hAnsi="Arial" w:cs="Arial" w:eastAsia="Arial" w:hint="default"/>
          <w:spacing w:val="-12"/>
        </w:rPr>
        <w:t> </w:t>
      </w:r>
      <w:r>
        <w:rPr/>
        <w:t>年企业所得税，减半征收</w:t>
      </w:r>
      <w:r>
        <w:rPr>
          <w:spacing w:val="-65"/>
        </w:rPr>
        <w:t> </w:t>
      </w:r>
      <w:r>
        <w:rPr>
          <w:rFonts w:ascii="Arial" w:hAnsi="Arial" w:cs="Arial" w:eastAsia="Arial" w:hint="default"/>
        </w:rPr>
        <w:t>2008</w:t>
      </w:r>
      <w:r>
        <w:rPr>
          <w:rFonts w:ascii="Arial" w:hAnsi="Arial" w:cs="Arial" w:eastAsia="Arial" w:hint="default"/>
          <w:spacing w:val="-11"/>
        </w:rPr>
        <w:t> </w:t>
      </w:r>
      <w:r>
        <w:rPr/>
        <w:t>年至</w:t>
      </w:r>
      <w:r>
        <w:rPr>
          <w:spacing w:val="-65"/>
        </w:rPr>
        <w:t> </w:t>
      </w:r>
      <w:r>
        <w:rPr>
          <w:rFonts w:ascii="Arial" w:hAnsi="Arial" w:cs="Arial" w:eastAsia="Arial" w:hint="default"/>
        </w:rPr>
        <w:t>2010</w:t>
      </w:r>
      <w:r>
        <w:rPr>
          <w:rFonts w:ascii="Arial" w:hAnsi="Arial" w:cs="Arial" w:eastAsia="Arial" w:hint="default"/>
          <w:spacing w:val="-11"/>
        </w:rPr>
        <w:t> </w:t>
      </w:r>
      <w:r>
        <w:rPr/>
        <w:t>年属于地 方分享的企业所得税，</w:t>
      </w:r>
      <w:r>
        <w:rPr>
          <w:rFonts w:ascii="Arial" w:hAnsi="Arial" w:cs="Arial" w:eastAsia="Arial" w:hint="default"/>
        </w:rPr>
        <w:t>2010</w:t>
      </w:r>
      <w:r>
        <w:rPr>
          <w:rFonts w:ascii="Arial" w:hAnsi="Arial" w:cs="Arial" w:eastAsia="Arial" w:hint="default"/>
          <w:spacing w:val="-11"/>
        </w:rPr>
        <w:t> </w:t>
      </w:r>
      <w:r>
        <w:rPr/>
        <w:t>年的审核将在年度纳税汇算清缴后批复。</w:t>
      </w:r>
    </w:p>
    <w:p>
      <w:pPr>
        <w:pStyle w:val="BodyText"/>
        <w:tabs>
          <w:tab w:pos="817" w:val="left" w:leader="none"/>
        </w:tabs>
        <w:spacing w:line="240" w:lineRule="auto" w:before="210"/>
        <w:ind w:left="107" w:right="497"/>
        <w:jc w:val="left"/>
      </w:pPr>
      <w:r>
        <w:rPr>
          <w:rFonts w:ascii="Arial" w:hAnsi="Arial" w:cs="Arial" w:eastAsia="Arial" w:hint="default"/>
          <w:spacing w:val="-1"/>
          <w:position w:val="2"/>
        </w:rPr>
        <w:t>(ii)</w:t>
        <w:tab/>
      </w:r>
      <w:r>
        <w:rPr/>
        <w:t>地震灾区税收优惠政策</w:t>
      </w:r>
    </w:p>
    <w:p>
      <w:pPr>
        <w:spacing w:line="240" w:lineRule="auto" w:before="12"/>
        <w:rPr>
          <w:rFonts w:ascii="宋体" w:hAnsi="宋体" w:cs="宋体" w:eastAsia="宋体" w:hint="default"/>
          <w:sz w:val="20"/>
          <w:szCs w:val="20"/>
        </w:rPr>
      </w:pPr>
    </w:p>
    <w:p>
      <w:pPr>
        <w:pStyle w:val="BodyText"/>
        <w:spacing w:line="322" w:lineRule="exact"/>
        <w:ind w:left="817" w:right="0"/>
        <w:jc w:val="both"/>
        <w:rPr>
          <w:rFonts w:ascii="Arial" w:hAnsi="Arial" w:cs="Arial" w:eastAsia="Arial" w:hint="default"/>
        </w:rPr>
      </w:pPr>
      <w:r>
        <w:rPr>
          <w:rFonts w:ascii="Arial" w:hAnsi="Arial" w:cs="Arial" w:eastAsia="Arial" w:hint="default"/>
        </w:rPr>
        <w:t>2009</w:t>
      </w:r>
      <w:r>
        <w:rPr>
          <w:rFonts w:ascii="Arial" w:hAnsi="Arial" w:cs="Arial" w:eastAsia="Arial" w:hint="default"/>
          <w:spacing w:val="9"/>
        </w:rPr>
        <w:t> </w:t>
      </w:r>
      <w:r>
        <w:rPr/>
        <w:t>年</w:t>
      </w:r>
      <w:r>
        <w:rPr>
          <w:spacing w:val="-44"/>
        </w:rPr>
        <w:t> </w:t>
      </w:r>
      <w:r>
        <w:rPr>
          <w:rFonts w:ascii="Arial" w:hAnsi="Arial" w:cs="Arial" w:eastAsia="Arial" w:hint="default"/>
          <w:spacing w:val="-9"/>
        </w:rPr>
        <w:t>11</w:t>
      </w:r>
      <w:r>
        <w:rPr>
          <w:rFonts w:ascii="Arial" w:hAnsi="Arial" w:cs="Arial" w:eastAsia="Arial" w:hint="default"/>
          <w:spacing w:val="9"/>
        </w:rPr>
        <w:t> </w:t>
      </w:r>
      <w:r>
        <w:rPr/>
        <w:t>月</w:t>
      </w:r>
      <w:r>
        <w:rPr>
          <w:spacing w:val="-44"/>
        </w:rPr>
        <w:t> </w:t>
      </w:r>
      <w:r>
        <w:rPr>
          <w:rFonts w:ascii="Arial" w:hAnsi="Arial" w:cs="Arial" w:eastAsia="Arial" w:hint="default"/>
        </w:rPr>
        <w:t>20</w:t>
      </w:r>
      <w:r>
        <w:rPr>
          <w:rFonts w:ascii="Arial" w:hAnsi="Arial" w:cs="Arial" w:eastAsia="Arial" w:hint="default"/>
          <w:spacing w:val="9"/>
        </w:rPr>
        <w:t> </w:t>
      </w:r>
      <w:r>
        <w:rPr/>
        <w:t>日，经财政部、国家税务总局发财税</w:t>
      </w:r>
      <w:r>
        <w:rPr>
          <w:rFonts w:ascii="Arial" w:hAnsi="Arial" w:cs="Arial" w:eastAsia="Arial" w:hint="default"/>
        </w:rPr>
        <w:t>[2009]131</w:t>
      </w:r>
      <w:r>
        <w:rPr>
          <w:rFonts w:ascii="Arial" w:hAnsi="Arial" w:cs="Arial" w:eastAsia="Arial" w:hint="default"/>
          <w:spacing w:val="10"/>
        </w:rPr>
        <w:t> </w:t>
      </w:r>
      <w:r>
        <w:rPr/>
        <w:t>号文，及</w:t>
      </w:r>
      <w:r>
        <w:rPr>
          <w:spacing w:val="-44"/>
        </w:rPr>
        <w:t> </w:t>
      </w:r>
      <w:r>
        <w:rPr>
          <w:rFonts w:ascii="Arial" w:hAnsi="Arial" w:cs="Arial" w:eastAsia="Arial" w:hint="default"/>
        </w:rPr>
        <w:t>2009</w:t>
      </w:r>
      <w:r>
        <w:rPr>
          <w:rFonts w:ascii="Arial" w:hAnsi="Arial" w:cs="Arial" w:eastAsia="Arial" w:hint="default"/>
          <w:spacing w:val="9"/>
        </w:rPr>
        <w:t> </w:t>
      </w:r>
      <w:r>
        <w:rPr/>
        <w:t>年</w:t>
      </w:r>
      <w:r>
        <w:rPr>
          <w:spacing w:val="-44"/>
        </w:rPr>
        <w:t> </w:t>
      </w:r>
      <w:r>
        <w:rPr>
          <w:rFonts w:ascii="Arial" w:hAnsi="Arial" w:cs="Arial" w:eastAsia="Arial" w:hint="default"/>
        </w:rPr>
        <w:t>12</w:t>
      </w:r>
    </w:p>
    <w:p>
      <w:pPr>
        <w:pStyle w:val="BodyText"/>
        <w:spacing w:line="312" w:lineRule="exact"/>
        <w:ind w:left="817" w:right="0"/>
        <w:jc w:val="both"/>
      </w:pPr>
      <w:r>
        <w:rPr/>
        <w:t>月 </w:t>
      </w:r>
      <w:r>
        <w:rPr>
          <w:rFonts w:ascii="Arial" w:hAnsi="Arial" w:cs="Arial" w:eastAsia="Arial" w:hint="default"/>
        </w:rPr>
        <w:t>28</w:t>
      </w:r>
      <w:r>
        <w:rPr>
          <w:rFonts w:ascii="Arial" w:hAnsi="Arial" w:cs="Arial" w:eastAsia="Arial" w:hint="default"/>
          <w:spacing w:val="43"/>
        </w:rPr>
        <w:t> </w:t>
      </w:r>
      <w:r>
        <w:rPr/>
        <w:t>日，经四川省绵阳市涪城区国家税务局批准的纳税人减免税申请审批表，同意绵</w:t>
      </w:r>
    </w:p>
    <w:p>
      <w:pPr>
        <w:pStyle w:val="BodyText"/>
        <w:spacing w:line="322" w:lineRule="exact"/>
        <w:ind w:left="817" w:right="0"/>
        <w:jc w:val="both"/>
      </w:pPr>
      <w:r>
        <w:rPr/>
        <w:t>阳绵宁苏宁电器有限公司免征</w:t>
      </w:r>
      <w:r>
        <w:rPr>
          <w:spacing w:val="-61"/>
        </w:rPr>
        <w:t> </w:t>
      </w:r>
      <w:r>
        <w:rPr>
          <w:rFonts w:ascii="Arial" w:hAnsi="Arial" w:cs="Arial" w:eastAsia="Arial" w:hint="default"/>
        </w:rPr>
        <w:t>2009</w:t>
      </w:r>
      <w:r>
        <w:rPr>
          <w:rFonts w:ascii="Arial" w:hAnsi="Arial" w:cs="Arial" w:eastAsia="Arial" w:hint="default"/>
          <w:spacing w:val="-8"/>
        </w:rPr>
        <w:t> </w:t>
      </w:r>
      <w:r>
        <w:rPr/>
        <w:t>年至</w:t>
      </w:r>
      <w:r>
        <w:rPr>
          <w:spacing w:val="-61"/>
        </w:rPr>
        <w:t> </w:t>
      </w:r>
      <w:r>
        <w:rPr>
          <w:rFonts w:ascii="Arial" w:hAnsi="Arial" w:cs="Arial" w:eastAsia="Arial" w:hint="default"/>
        </w:rPr>
        <w:t>2010</w:t>
      </w:r>
      <w:r>
        <w:rPr>
          <w:rFonts w:ascii="Arial" w:hAnsi="Arial" w:cs="Arial" w:eastAsia="Arial" w:hint="default"/>
          <w:spacing w:val="-8"/>
        </w:rPr>
        <w:t> </w:t>
      </w:r>
      <w:r>
        <w:rPr/>
        <w:t>年企业所得税。</w:t>
      </w:r>
    </w:p>
    <w:p>
      <w:pPr>
        <w:spacing w:after="0" w:line="322" w:lineRule="exact"/>
        <w:jc w:val="both"/>
        <w:sectPr>
          <w:pgSz w:w="11910" w:h="16840"/>
          <w:pgMar w:header="1475" w:footer="708" w:top="3020" w:bottom="900" w:left="1020" w:right="820"/>
        </w:sectPr>
      </w:pPr>
    </w:p>
    <w:p>
      <w:pPr>
        <w:spacing w:line="240" w:lineRule="auto" w:before="6"/>
        <w:rPr>
          <w:rFonts w:ascii="宋体" w:hAnsi="宋体" w:cs="宋体" w:eastAsia="宋体" w:hint="default"/>
          <w:sz w:val="13"/>
          <w:szCs w:val="13"/>
        </w:rPr>
      </w:pPr>
    </w:p>
    <w:p>
      <w:pPr>
        <w:pStyle w:val="Heading2"/>
        <w:tabs>
          <w:tab w:pos="853" w:val="left" w:leader="none"/>
        </w:tabs>
        <w:spacing w:line="240" w:lineRule="auto"/>
        <w:ind w:left="149" w:right="0"/>
        <w:jc w:val="left"/>
        <w:rPr>
          <w:b w:val="0"/>
          <w:bCs w:val="0"/>
        </w:rPr>
      </w:pPr>
      <w:r>
        <w:rPr>
          <w:w w:val="95"/>
        </w:rPr>
        <w:t>四</w:t>
        <w:tab/>
      </w:r>
      <w:r>
        <w:rPr/>
        <w:t>企业合并及合并财务报表</w:t>
      </w:r>
      <w:r>
        <w:rPr>
          <w:b w:val="0"/>
          <w:bCs w:val="0"/>
        </w:rPr>
      </w:r>
    </w:p>
    <w:p>
      <w:pPr>
        <w:spacing w:line="240" w:lineRule="auto" w:before="12"/>
        <w:rPr>
          <w:rFonts w:ascii="宋体" w:hAnsi="宋体" w:cs="宋体" w:eastAsia="宋体" w:hint="default"/>
          <w:b/>
          <w:bCs/>
          <w:sz w:val="20"/>
          <w:szCs w:val="20"/>
        </w:rPr>
      </w:pPr>
    </w:p>
    <w:p>
      <w:pPr>
        <w:tabs>
          <w:tab w:pos="853" w:val="left" w:leader="none"/>
        </w:tabs>
        <w:spacing w:before="0"/>
        <w:ind w:left="149"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(1)</w:t>
        <w:tab/>
      </w:r>
      <w:r>
        <w:rPr>
          <w:rFonts w:ascii="宋体" w:hAnsi="宋体" w:cs="宋体" w:eastAsia="宋体" w:hint="default"/>
          <w:b/>
          <w:bCs/>
          <w:sz w:val="24"/>
          <w:szCs w:val="24"/>
        </w:rPr>
        <w:t>子公司情况</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53" w:right="147"/>
        <w:jc w:val="both"/>
      </w:pPr>
      <w:r>
        <w:rPr/>
        <w:t>截止</w:t>
      </w:r>
      <w:r>
        <w:rPr>
          <w:spacing w:val="-58"/>
        </w:rPr>
        <w:t> </w:t>
      </w:r>
      <w:r>
        <w:rPr>
          <w:rFonts w:ascii="Arial" w:hAnsi="Arial" w:cs="Arial" w:eastAsia="Arial" w:hint="default"/>
        </w:rPr>
        <w:t>2010</w:t>
      </w:r>
      <w:r>
        <w:rPr>
          <w:rFonts w:ascii="Arial" w:hAnsi="Arial" w:cs="Arial" w:eastAsia="Arial" w:hint="default"/>
          <w:spacing w:val="-3"/>
        </w:rPr>
        <w:t> </w:t>
      </w:r>
      <w:r>
        <w:rPr/>
        <w:t>年</w:t>
      </w:r>
      <w:r>
        <w:rPr>
          <w:spacing w:val="-58"/>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t>日，本集团下属</w:t>
      </w:r>
      <w:r>
        <w:rPr>
          <w:spacing w:val="-58"/>
        </w:rPr>
        <w:t> </w:t>
      </w:r>
      <w:r>
        <w:rPr>
          <w:rFonts w:ascii="Arial" w:hAnsi="Arial" w:cs="Arial" w:eastAsia="Arial" w:hint="default"/>
        </w:rPr>
        <w:t>339</w:t>
      </w:r>
      <w:r>
        <w:rPr>
          <w:rFonts w:ascii="Arial" w:hAnsi="Arial" w:cs="Arial" w:eastAsia="Arial" w:hint="default"/>
          <w:spacing w:val="-5"/>
        </w:rPr>
        <w:t> </w:t>
      </w:r>
      <w:r>
        <w:rPr/>
        <w:t>家子公司，其中</w:t>
      </w:r>
      <w:r>
        <w:rPr>
          <w:spacing w:val="-58"/>
        </w:rPr>
        <w:t> </w:t>
      </w:r>
      <w:r>
        <w:rPr>
          <w:rFonts w:ascii="Arial" w:hAnsi="Arial" w:cs="Arial" w:eastAsia="Arial" w:hint="default"/>
        </w:rPr>
        <w:t>253</w:t>
      </w:r>
      <w:r>
        <w:rPr>
          <w:rFonts w:ascii="Arial" w:hAnsi="Arial" w:cs="Arial" w:eastAsia="Arial" w:hint="default"/>
          <w:spacing w:val="-5"/>
        </w:rPr>
        <w:t> </w:t>
      </w:r>
      <w:r>
        <w:rPr/>
        <w:t>家从事电器与电子消费品的连锁零售业务、</w:t>
      </w:r>
      <w:r>
        <w:rPr>
          <w:rFonts w:ascii="Arial" w:hAnsi="Arial" w:cs="Arial" w:eastAsia="Arial" w:hint="default"/>
        </w:rPr>
        <w:t>57</w:t>
      </w:r>
      <w:r>
        <w:rPr>
          <w:rFonts w:ascii="Arial" w:hAnsi="Arial" w:cs="Arial" w:eastAsia="Arial" w:hint="default"/>
          <w:spacing w:val="-5"/>
        </w:rPr>
        <w:t> </w:t>
      </w:r>
      <w:r>
        <w:rPr/>
        <w:t>家从事售后服务 业务、</w:t>
      </w:r>
      <w:r>
        <w:rPr>
          <w:rFonts w:ascii="Arial" w:hAnsi="Arial" w:cs="Arial" w:eastAsia="Arial" w:hint="default"/>
        </w:rPr>
        <w:t>21 </w:t>
      </w:r>
      <w:r>
        <w:rPr/>
        <w:t>家从事仓储物流业务、</w:t>
      </w:r>
      <w:r>
        <w:rPr>
          <w:rFonts w:ascii="Arial" w:hAnsi="Arial" w:cs="Arial" w:eastAsia="Arial" w:hint="default"/>
        </w:rPr>
        <w:t>1 </w:t>
      </w:r>
      <w:r>
        <w:rPr/>
        <w:t>家从事集团内部的行政用品购销业务、</w:t>
      </w:r>
      <w:r>
        <w:rPr>
          <w:rFonts w:ascii="Arial" w:hAnsi="Arial" w:cs="Arial" w:eastAsia="Arial" w:hint="default"/>
        </w:rPr>
        <w:t>1 </w:t>
      </w:r>
      <w:r>
        <w:rPr/>
        <w:t>家从事地铁商业管理业务、</w:t>
      </w:r>
      <w:r>
        <w:rPr>
          <w:rFonts w:ascii="Arial" w:hAnsi="Arial" w:cs="Arial" w:eastAsia="Arial" w:hint="default"/>
        </w:rPr>
        <w:t>1</w:t>
      </w:r>
      <w:r>
        <w:rPr>
          <w:rFonts w:ascii="Arial" w:hAnsi="Arial" w:cs="Arial" w:eastAsia="Arial" w:hint="default"/>
          <w:spacing w:val="-22"/>
        </w:rPr>
        <w:t> </w:t>
      </w:r>
      <w:r>
        <w:rPr/>
        <w:t>家从事文化传媒业务、 </w:t>
      </w:r>
      <w:r>
        <w:rPr>
          <w:rFonts w:ascii="Arial" w:hAnsi="Arial" w:cs="Arial" w:eastAsia="Arial" w:hint="default"/>
        </w:rPr>
        <w:t>1 </w:t>
      </w:r>
      <w:r>
        <w:rPr/>
        <w:t>家从事计算机软件信息技术开发业务、</w:t>
      </w:r>
      <w:r>
        <w:rPr>
          <w:rFonts w:ascii="Arial" w:hAnsi="Arial" w:cs="Arial" w:eastAsia="Arial" w:hint="default"/>
        </w:rPr>
        <w:t>2 </w:t>
      </w:r>
      <w:r>
        <w:rPr/>
        <w:t>家从事香港地区子公司投资业务、</w:t>
      </w:r>
      <w:r>
        <w:rPr>
          <w:rFonts w:ascii="Arial" w:hAnsi="Arial" w:cs="Arial" w:eastAsia="Arial" w:hint="default"/>
        </w:rPr>
        <w:t>1 </w:t>
      </w:r>
      <w:r>
        <w:rPr/>
        <w:t>家从事海外投资业务、</w:t>
      </w:r>
      <w:r>
        <w:rPr>
          <w:rFonts w:ascii="Arial" w:hAnsi="Arial" w:cs="Arial" w:eastAsia="Arial" w:hint="default"/>
        </w:rPr>
        <w:t>1</w:t>
      </w:r>
      <w:r>
        <w:rPr>
          <w:rFonts w:ascii="Arial" w:hAnsi="Arial" w:cs="Arial" w:eastAsia="Arial" w:hint="default"/>
          <w:spacing w:val="-29"/>
        </w:rPr>
        <w:t> </w:t>
      </w:r>
      <w:r>
        <w:rPr/>
        <w:t>家从事媒体广告业务。</w:t>
      </w:r>
    </w:p>
    <w:p>
      <w:pPr>
        <w:spacing w:line="240" w:lineRule="auto" w:before="10"/>
        <w:rPr>
          <w:rFonts w:ascii="宋体" w:hAnsi="宋体" w:cs="宋体" w:eastAsia="宋体" w:hint="default"/>
          <w:sz w:val="18"/>
          <w:szCs w:val="18"/>
        </w:rPr>
      </w:pPr>
    </w:p>
    <w:p>
      <w:pPr>
        <w:pStyle w:val="BodyText"/>
        <w:spacing w:line="240" w:lineRule="auto"/>
        <w:ind w:left="853" w:right="0"/>
        <w:jc w:val="both"/>
      </w:pPr>
      <w:r>
        <w:rPr/>
        <w:t>截止</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日，本集团的主要子公司列示如下：</w:t>
      </w:r>
    </w:p>
    <w:p>
      <w:pPr>
        <w:spacing w:line="240" w:lineRule="auto" w:before="8"/>
        <w:rPr>
          <w:rFonts w:ascii="宋体" w:hAnsi="宋体" w:cs="宋体" w:eastAsia="宋体" w:hint="default"/>
          <w:sz w:val="19"/>
          <w:szCs w:val="19"/>
        </w:rPr>
      </w:pPr>
    </w:p>
    <w:p>
      <w:pPr>
        <w:pStyle w:val="BodyText"/>
        <w:tabs>
          <w:tab w:pos="853" w:val="left" w:leader="none"/>
        </w:tabs>
        <w:spacing w:line="240" w:lineRule="auto"/>
        <w:ind w:left="149" w:right="0"/>
        <w:jc w:val="left"/>
      </w:pPr>
      <w:r>
        <w:rPr>
          <w:rFonts w:ascii="Arial" w:hAnsi="Arial" w:cs="Arial" w:eastAsia="Arial" w:hint="default"/>
          <w:w w:val="95"/>
          <w:position w:val="2"/>
        </w:rPr>
        <w:t>(a)</w:t>
        <w:tab/>
      </w:r>
      <w:r>
        <w:rPr/>
        <w:t>通过设立或投资等方式取得的主要子公司</w:t>
      </w:r>
    </w:p>
    <w:p>
      <w:pPr>
        <w:spacing w:line="240" w:lineRule="auto" w:before="6"/>
        <w:rPr>
          <w:rFonts w:ascii="宋体" w:hAnsi="宋体" w:cs="宋体" w:eastAsia="宋体" w:hint="default"/>
          <w:sz w:val="21"/>
          <w:szCs w:val="21"/>
        </w:rPr>
      </w:pPr>
    </w:p>
    <w:p>
      <w:pPr>
        <w:tabs>
          <w:tab w:pos="4092" w:val="left" w:leader="none"/>
          <w:tab w:pos="5239" w:val="left" w:leader="none"/>
          <w:tab w:pos="6870" w:val="left" w:leader="none"/>
          <w:tab w:pos="8570" w:val="left" w:leader="none"/>
          <w:tab w:pos="10130" w:val="left" w:leader="none"/>
          <w:tab w:pos="11476" w:val="left" w:leader="none"/>
          <w:tab w:pos="12836" w:val="left" w:leader="none"/>
        </w:tabs>
        <w:spacing w:before="0"/>
        <w:ind w:left="2725" w:right="0" w:firstLine="0"/>
        <w:jc w:val="left"/>
        <w:rPr>
          <w:rFonts w:ascii="宋体" w:hAnsi="宋体" w:cs="宋体" w:eastAsia="宋体" w:hint="default"/>
          <w:sz w:val="20"/>
          <w:szCs w:val="20"/>
        </w:rPr>
      </w:pPr>
      <w:r>
        <w:rPr>
          <w:rFonts w:ascii="宋体" w:hAnsi="宋体" w:cs="宋体" w:eastAsia="宋体" w:hint="default"/>
          <w:spacing w:val="-1"/>
          <w:sz w:val="20"/>
          <w:szCs w:val="20"/>
        </w:rPr>
        <w:t>子公司类型</w:t>
        <w:tab/>
      </w:r>
      <w:r>
        <w:rPr>
          <w:rFonts w:ascii="宋体" w:hAnsi="宋体" w:cs="宋体" w:eastAsia="宋体" w:hint="default"/>
          <w:sz w:val="20"/>
          <w:szCs w:val="20"/>
        </w:rPr>
        <w:t>注册地</w:t>
        <w:tab/>
        <w:t>业务性质</w:t>
        <w:tab/>
        <w:t>注册资本</w:t>
        <w:tab/>
        <w:t>经营范围</w:t>
        <w:tab/>
        <w:t>企业类型</w:t>
        <w:tab/>
        <w:t>法人代表</w:t>
        <w:tab/>
      </w:r>
      <w:r>
        <w:rPr>
          <w:rFonts w:ascii="宋体" w:hAnsi="宋体" w:cs="宋体" w:eastAsia="宋体" w:hint="default"/>
          <w:spacing w:val="-1"/>
          <w:sz w:val="20"/>
          <w:szCs w:val="20"/>
        </w:rPr>
        <w:t>组织机构代码</w:t>
      </w:r>
    </w:p>
    <w:p>
      <w:pPr>
        <w:spacing w:line="240" w:lineRule="auto" w:before="1"/>
        <w:rPr>
          <w:rFonts w:ascii="宋体" w:hAnsi="宋体" w:cs="宋体" w:eastAsia="宋体" w:hint="default"/>
          <w:sz w:val="3"/>
          <w:szCs w:val="3"/>
        </w:rPr>
      </w:pPr>
    </w:p>
    <w:tbl>
      <w:tblPr>
        <w:tblW w:w="0" w:type="auto"/>
        <w:jc w:val="left"/>
        <w:tblInd w:w="818" w:type="dxa"/>
        <w:tblLayout w:type="fixed"/>
        <w:tblCellMar>
          <w:top w:w="0" w:type="dxa"/>
          <w:left w:w="0" w:type="dxa"/>
          <w:bottom w:w="0" w:type="dxa"/>
          <w:right w:w="0" w:type="dxa"/>
        </w:tblCellMar>
        <w:tblLook w:val="01E0"/>
      </w:tblPr>
      <w:tblGrid>
        <w:gridCol w:w="1766"/>
        <w:gridCol w:w="1222"/>
        <w:gridCol w:w="1155"/>
        <w:gridCol w:w="1210"/>
        <w:gridCol w:w="1993"/>
        <w:gridCol w:w="1660"/>
        <w:gridCol w:w="1646"/>
        <w:gridCol w:w="1325"/>
        <w:gridCol w:w="1490"/>
      </w:tblGrid>
      <w:tr>
        <w:trPr>
          <w:trHeight w:val="512"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20" w:lineRule="exact"/>
              <w:ind w:right="492"/>
              <w:jc w:val="center"/>
              <w:rPr>
                <w:rFonts w:ascii="宋体" w:hAnsi="宋体" w:cs="宋体" w:eastAsia="宋体" w:hint="default"/>
                <w:sz w:val="20"/>
                <w:szCs w:val="20"/>
              </w:rPr>
            </w:pPr>
            <w:r>
              <w:rPr>
                <w:rFonts w:ascii="宋体" w:hAnsi="宋体" w:cs="宋体" w:eastAsia="宋体" w:hint="default"/>
                <w:sz w:val="20"/>
                <w:szCs w:val="20"/>
              </w:rPr>
              <w:t>北京苏宁电器</w:t>
            </w:r>
          </w:p>
          <w:p>
            <w:pPr>
              <w:pStyle w:val="TableParagraph"/>
              <w:spacing w:line="261" w:lineRule="exact"/>
              <w:ind w:right="491"/>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20" w:lineRule="exact"/>
              <w:ind w:left="130" w:right="0"/>
              <w:jc w:val="left"/>
              <w:rPr>
                <w:rFonts w:ascii="宋体" w:hAnsi="宋体" w:cs="宋体" w:eastAsia="宋体" w:hint="default"/>
                <w:sz w:val="20"/>
                <w:szCs w:val="20"/>
              </w:rPr>
            </w:pPr>
            <w:r>
              <w:rPr>
                <w:rFonts w:ascii="宋体" w:hAnsi="宋体" w:cs="宋体" w:eastAsia="宋体" w:hint="default"/>
                <w:sz w:val="20"/>
                <w:szCs w:val="20"/>
              </w:rPr>
              <w:t>直接控股</w:t>
            </w:r>
          </w:p>
        </w:tc>
        <w:tc>
          <w:tcPr>
            <w:tcW w:w="1155" w:type="dxa"/>
            <w:tcBorders>
              <w:top w:val="nil" w:sz="6" w:space="0" w:color="auto"/>
              <w:left w:val="nil" w:sz="6" w:space="0" w:color="auto"/>
              <w:bottom w:val="nil" w:sz="6" w:space="0" w:color="auto"/>
              <w:right w:val="nil" w:sz="6" w:space="0" w:color="auto"/>
            </w:tcBorders>
          </w:tcPr>
          <w:p>
            <w:pPr>
              <w:pStyle w:val="TableParagraph"/>
              <w:spacing w:line="220" w:lineRule="exact"/>
              <w:ind w:left="245" w:right="0"/>
              <w:jc w:val="left"/>
              <w:rPr>
                <w:rFonts w:ascii="宋体" w:hAnsi="宋体" w:cs="宋体" w:eastAsia="宋体" w:hint="default"/>
                <w:sz w:val="20"/>
                <w:szCs w:val="20"/>
              </w:rPr>
            </w:pPr>
            <w:r>
              <w:rPr>
                <w:rFonts w:ascii="宋体" w:hAnsi="宋体" w:cs="宋体" w:eastAsia="宋体" w:hint="default"/>
                <w:sz w:val="20"/>
                <w:szCs w:val="20"/>
              </w:rPr>
              <w:t>北京市</w:t>
            </w:r>
          </w:p>
        </w:tc>
        <w:tc>
          <w:tcPr>
            <w:tcW w:w="1210" w:type="dxa"/>
            <w:tcBorders>
              <w:top w:val="nil" w:sz="6" w:space="0" w:color="auto"/>
              <w:left w:val="nil" w:sz="6" w:space="0" w:color="auto"/>
              <w:bottom w:val="nil" w:sz="6" w:space="0" w:color="auto"/>
              <w:right w:val="nil" w:sz="6" w:space="0" w:color="auto"/>
            </w:tcBorders>
          </w:tcPr>
          <w:p>
            <w:pPr>
              <w:pStyle w:val="TableParagraph"/>
              <w:spacing w:line="220" w:lineRule="exact"/>
              <w:ind w:left="307" w:right="0"/>
              <w:jc w:val="left"/>
              <w:rPr>
                <w:rFonts w:ascii="宋体" w:hAnsi="宋体" w:cs="宋体" w:eastAsia="宋体" w:hint="default"/>
                <w:sz w:val="20"/>
                <w:szCs w:val="20"/>
              </w:rPr>
            </w:pPr>
            <w:r>
              <w:rPr>
                <w:rFonts w:ascii="宋体" w:hAnsi="宋体" w:cs="宋体" w:eastAsia="宋体" w:hint="default"/>
                <w:sz w:val="20"/>
                <w:szCs w:val="20"/>
              </w:rPr>
              <w:t>零售</w:t>
            </w:r>
          </w:p>
        </w:tc>
        <w:tc>
          <w:tcPr>
            <w:tcW w:w="1993" w:type="dxa"/>
            <w:tcBorders>
              <w:top w:val="nil" w:sz="6" w:space="0" w:color="auto"/>
              <w:left w:val="nil" w:sz="6" w:space="0" w:color="auto"/>
              <w:bottom w:val="nil" w:sz="6" w:space="0" w:color="auto"/>
              <w:right w:val="nil" w:sz="6" w:space="0" w:color="auto"/>
            </w:tcBorders>
          </w:tcPr>
          <w:p>
            <w:pPr>
              <w:pStyle w:val="TableParagraph"/>
              <w:spacing w:line="220" w:lineRule="exact"/>
              <w:ind w:left="501" w:right="0" w:firstLine="739"/>
              <w:jc w:val="left"/>
              <w:rPr>
                <w:rFonts w:ascii="宋体" w:hAnsi="宋体" w:cs="宋体" w:eastAsia="宋体" w:hint="default"/>
                <w:sz w:val="20"/>
                <w:szCs w:val="20"/>
              </w:rPr>
            </w:pPr>
            <w:r>
              <w:rPr>
                <w:rFonts w:ascii="宋体" w:hAnsi="宋体" w:cs="宋体" w:eastAsia="宋体" w:hint="default"/>
                <w:sz w:val="20"/>
                <w:szCs w:val="20"/>
              </w:rPr>
              <w:t>人民币</w:t>
            </w:r>
          </w:p>
          <w:p>
            <w:pPr>
              <w:pStyle w:val="TableParagraph"/>
              <w:spacing w:line="275" w:lineRule="exact"/>
              <w:ind w:left="501" w:right="0"/>
              <w:jc w:val="left"/>
              <w:rPr>
                <w:rFonts w:ascii="宋体" w:hAnsi="宋体" w:cs="宋体" w:eastAsia="宋体" w:hint="default"/>
                <w:sz w:val="20"/>
                <w:szCs w:val="20"/>
              </w:rPr>
            </w:pPr>
            <w:r>
              <w:rPr>
                <w:rFonts w:ascii="Arial" w:hAnsi="Arial" w:cs="Arial" w:eastAsia="Arial" w:hint="default"/>
                <w:sz w:val="20"/>
                <w:szCs w:val="20"/>
              </w:rPr>
              <w:t>31,247.85</w:t>
            </w:r>
            <w:r>
              <w:rPr>
                <w:rFonts w:ascii="Arial" w:hAnsi="Arial" w:cs="Arial" w:eastAsia="Arial" w:hint="default"/>
                <w:spacing w:val="-16"/>
                <w:sz w:val="20"/>
                <w:szCs w:val="20"/>
              </w:rPr>
              <w:t> </w:t>
            </w:r>
            <w:r>
              <w:rPr>
                <w:rFonts w:ascii="宋体" w:hAnsi="宋体" w:cs="宋体" w:eastAsia="宋体" w:hint="default"/>
                <w:sz w:val="20"/>
                <w:szCs w:val="20"/>
              </w:rPr>
              <w:t>万元</w:t>
            </w:r>
          </w:p>
        </w:tc>
        <w:tc>
          <w:tcPr>
            <w:tcW w:w="1660" w:type="dxa"/>
            <w:tcBorders>
              <w:top w:val="nil" w:sz="6" w:space="0" w:color="auto"/>
              <w:left w:val="nil" w:sz="6" w:space="0" w:color="auto"/>
              <w:bottom w:val="nil" w:sz="6" w:space="0" w:color="auto"/>
              <w:right w:val="nil" w:sz="6" w:space="0" w:color="auto"/>
            </w:tcBorders>
          </w:tcPr>
          <w:p>
            <w:pPr>
              <w:pStyle w:val="TableParagraph"/>
              <w:spacing w:line="220" w:lineRule="exact"/>
              <w:ind w:left="349" w:right="0" w:hanging="201"/>
              <w:jc w:val="left"/>
              <w:rPr>
                <w:rFonts w:ascii="宋体" w:hAnsi="宋体" w:cs="宋体" w:eastAsia="宋体" w:hint="default"/>
                <w:sz w:val="20"/>
                <w:szCs w:val="20"/>
              </w:rPr>
            </w:pPr>
            <w:r>
              <w:rPr>
                <w:rFonts w:ascii="宋体" w:hAnsi="宋体" w:cs="宋体" w:eastAsia="宋体" w:hint="default"/>
                <w:sz w:val="20"/>
                <w:szCs w:val="20"/>
              </w:rPr>
              <w:t>电器和电子消费</w:t>
            </w:r>
          </w:p>
          <w:p>
            <w:pPr>
              <w:pStyle w:val="TableParagraph"/>
              <w:spacing w:line="261" w:lineRule="exact"/>
              <w:ind w:left="349" w:right="0"/>
              <w:jc w:val="left"/>
              <w:rPr>
                <w:rFonts w:ascii="宋体" w:hAnsi="宋体" w:cs="宋体" w:eastAsia="宋体" w:hint="default"/>
                <w:sz w:val="20"/>
                <w:szCs w:val="20"/>
              </w:rPr>
            </w:pPr>
            <w:r>
              <w:rPr>
                <w:rFonts w:ascii="宋体" w:hAnsi="宋体" w:cs="宋体" w:eastAsia="宋体" w:hint="default"/>
                <w:sz w:val="20"/>
                <w:szCs w:val="20"/>
              </w:rPr>
              <w:t>品的连锁销售</w:t>
            </w:r>
          </w:p>
        </w:tc>
        <w:tc>
          <w:tcPr>
            <w:tcW w:w="1646" w:type="dxa"/>
            <w:tcBorders>
              <w:top w:val="nil" w:sz="6" w:space="0" w:color="auto"/>
              <w:left w:val="nil" w:sz="6" w:space="0" w:color="auto"/>
              <w:bottom w:val="nil" w:sz="6" w:space="0" w:color="auto"/>
              <w:right w:val="nil" w:sz="6" w:space="0" w:color="auto"/>
            </w:tcBorders>
          </w:tcPr>
          <w:p>
            <w:pPr>
              <w:pStyle w:val="TableParagraph"/>
              <w:spacing w:line="220" w:lineRule="exact"/>
              <w:ind w:left="108" w:right="0"/>
              <w:jc w:val="left"/>
              <w:rPr>
                <w:rFonts w:ascii="宋体" w:hAnsi="宋体" w:cs="宋体" w:eastAsia="宋体" w:hint="default"/>
                <w:sz w:val="20"/>
                <w:szCs w:val="20"/>
              </w:rPr>
            </w:pPr>
            <w:r>
              <w:rPr>
                <w:rFonts w:ascii="宋体" w:hAnsi="宋体" w:cs="宋体" w:eastAsia="宋体" w:hint="default"/>
                <w:sz w:val="20"/>
                <w:szCs w:val="20"/>
              </w:rPr>
              <w:t>有限责任公司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20" w:lineRule="exact"/>
              <w:ind w:right="385"/>
              <w:jc w:val="right"/>
              <w:rPr>
                <w:rFonts w:ascii="宋体" w:hAnsi="宋体" w:cs="宋体" w:eastAsia="宋体" w:hint="default"/>
                <w:sz w:val="20"/>
                <w:szCs w:val="20"/>
              </w:rPr>
            </w:pPr>
            <w:r>
              <w:rPr>
                <w:rFonts w:ascii="宋体" w:hAnsi="宋体" w:cs="宋体" w:eastAsia="宋体" w:hint="default"/>
                <w:sz w:val="20"/>
                <w:szCs w:val="20"/>
              </w:rPr>
              <w:t>孙为民</w:t>
            </w:r>
          </w:p>
        </w:tc>
        <w:tc>
          <w:tcPr>
            <w:tcW w:w="1490"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Arial" w:hAnsi="Arial" w:cs="Arial" w:eastAsia="Arial" w:hint="default"/>
                <w:sz w:val="20"/>
                <w:szCs w:val="20"/>
              </w:rPr>
            </w:pPr>
            <w:r>
              <w:rPr>
                <w:rFonts w:ascii="Arial"/>
                <w:spacing w:val="-1"/>
                <w:sz w:val="20"/>
              </w:rPr>
              <w:t>63369774-1</w:t>
            </w:r>
          </w:p>
        </w:tc>
      </w:tr>
      <w:tr>
        <w:trPr>
          <w:trHeight w:val="258"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上海苏宁电器</w:t>
            </w:r>
          </w:p>
        </w:tc>
        <w:tc>
          <w:tcPr>
            <w:tcW w:w="1222" w:type="dxa"/>
            <w:tcBorders>
              <w:top w:val="nil" w:sz="6" w:space="0" w:color="auto"/>
              <w:left w:val="nil" w:sz="6" w:space="0" w:color="auto"/>
              <w:bottom w:val="nil" w:sz="6" w:space="0" w:color="auto"/>
              <w:right w:val="nil" w:sz="6" w:space="0" w:color="auto"/>
            </w:tcBorders>
          </w:tcPr>
          <w:p>
            <w:pPr>
              <w:pStyle w:val="TableParagraph"/>
              <w:spacing w:line="228" w:lineRule="exact"/>
              <w:ind w:left="130" w:right="0"/>
              <w:jc w:val="left"/>
              <w:rPr>
                <w:rFonts w:ascii="宋体" w:hAnsi="宋体" w:cs="宋体" w:eastAsia="宋体" w:hint="default"/>
                <w:sz w:val="20"/>
                <w:szCs w:val="20"/>
              </w:rPr>
            </w:pPr>
            <w:r>
              <w:rPr>
                <w:rFonts w:ascii="宋体" w:hAnsi="宋体" w:cs="宋体" w:eastAsia="宋体" w:hint="default"/>
                <w:sz w:val="20"/>
                <w:szCs w:val="20"/>
              </w:rPr>
              <w:t>直接控股</w:t>
            </w:r>
          </w:p>
        </w:tc>
        <w:tc>
          <w:tcPr>
            <w:tcW w:w="1155" w:type="dxa"/>
            <w:tcBorders>
              <w:top w:val="nil" w:sz="6" w:space="0" w:color="auto"/>
              <w:left w:val="nil" w:sz="6" w:space="0" w:color="auto"/>
              <w:bottom w:val="nil" w:sz="6" w:space="0" w:color="auto"/>
              <w:right w:val="nil" w:sz="6" w:space="0" w:color="auto"/>
            </w:tcBorders>
          </w:tcPr>
          <w:p>
            <w:pPr>
              <w:pStyle w:val="TableParagraph"/>
              <w:spacing w:line="228" w:lineRule="exact"/>
              <w:ind w:left="245" w:right="0"/>
              <w:jc w:val="left"/>
              <w:rPr>
                <w:rFonts w:ascii="宋体" w:hAnsi="宋体" w:cs="宋体" w:eastAsia="宋体" w:hint="default"/>
                <w:sz w:val="20"/>
                <w:szCs w:val="20"/>
              </w:rPr>
            </w:pPr>
            <w:r>
              <w:rPr>
                <w:rFonts w:ascii="宋体" w:hAnsi="宋体" w:cs="宋体" w:eastAsia="宋体" w:hint="default"/>
                <w:sz w:val="20"/>
                <w:szCs w:val="20"/>
              </w:rPr>
              <w:t>上海市</w:t>
            </w:r>
          </w:p>
        </w:tc>
        <w:tc>
          <w:tcPr>
            <w:tcW w:w="1210" w:type="dxa"/>
            <w:tcBorders>
              <w:top w:val="nil" w:sz="6" w:space="0" w:color="auto"/>
              <w:left w:val="nil" w:sz="6" w:space="0" w:color="auto"/>
              <w:bottom w:val="nil" w:sz="6" w:space="0" w:color="auto"/>
              <w:right w:val="nil" w:sz="6" w:space="0" w:color="auto"/>
            </w:tcBorders>
          </w:tcPr>
          <w:p>
            <w:pPr>
              <w:pStyle w:val="TableParagraph"/>
              <w:spacing w:line="228" w:lineRule="exact"/>
              <w:ind w:left="307" w:right="0"/>
              <w:jc w:val="left"/>
              <w:rPr>
                <w:rFonts w:ascii="宋体" w:hAnsi="宋体" w:cs="宋体" w:eastAsia="宋体" w:hint="default"/>
                <w:sz w:val="20"/>
                <w:szCs w:val="20"/>
              </w:rPr>
            </w:pPr>
            <w:r>
              <w:rPr>
                <w:rFonts w:ascii="宋体" w:hAnsi="宋体" w:cs="宋体" w:eastAsia="宋体" w:hint="default"/>
                <w:sz w:val="20"/>
                <w:szCs w:val="20"/>
              </w:rPr>
              <w:t>零售</w:t>
            </w:r>
          </w:p>
        </w:tc>
        <w:tc>
          <w:tcPr>
            <w:tcW w:w="1993" w:type="dxa"/>
            <w:tcBorders>
              <w:top w:val="nil" w:sz="6" w:space="0" w:color="auto"/>
              <w:left w:val="nil" w:sz="6" w:space="0" w:color="auto"/>
              <w:bottom w:val="nil" w:sz="6" w:space="0" w:color="auto"/>
              <w:right w:val="nil" w:sz="6" w:space="0" w:color="auto"/>
            </w:tcBorders>
          </w:tcPr>
          <w:p>
            <w:pPr>
              <w:pStyle w:val="TableParagraph"/>
              <w:spacing w:line="228" w:lineRule="exact"/>
              <w:ind w:right="148"/>
              <w:jc w:val="right"/>
              <w:rPr>
                <w:rFonts w:ascii="宋体" w:hAnsi="宋体" w:cs="宋体" w:eastAsia="宋体" w:hint="default"/>
                <w:sz w:val="20"/>
                <w:szCs w:val="20"/>
              </w:rPr>
            </w:pPr>
            <w:r>
              <w:rPr>
                <w:rFonts w:ascii="宋体" w:hAnsi="宋体" w:cs="宋体" w:eastAsia="宋体" w:hint="default"/>
                <w:sz w:val="20"/>
                <w:szCs w:val="20"/>
              </w:rPr>
              <w:t>人民币</w:t>
            </w:r>
          </w:p>
        </w:tc>
        <w:tc>
          <w:tcPr>
            <w:tcW w:w="1660" w:type="dxa"/>
            <w:tcBorders>
              <w:top w:val="nil" w:sz="6" w:space="0" w:color="auto"/>
              <w:left w:val="nil" w:sz="6" w:space="0" w:color="auto"/>
              <w:bottom w:val="nil" w:sz="6" w:space="0" w:color="auto"/>
              <w:right w:val="nil" w:sz="6" w:space="0" w:color="auto"/>
            </w:tcBorders>
          </w:tcPr>
          <w:p>
            <w:pPr>
              <w:pStyle w:val="TableParagraph"/>
              <w:spacing w:line="228" w:lineRule="exact"/>
              <w:ind w:right="107"/>
              <w:jc w:val="right"/>
              <w:rPr>
                <w:rFonts w:ascii="宋体" w:hAnsi="宋体" w:cs="宋体" w:eastAsia="宋体" w:hint="default"/>
                <w:sz w:val="20"/>
                <w:szCs w:val="20"/>
              </w:rPr>
            </w:pPr>
            <w:r>
              <w:rPr>
                <w:rFonts w:ascii="宋体" w:hAnsi="宋体" w:cs="宋体" w:eastAsia="宋体" w:hint="default"/>
                <w:spacing w:val="-1"/>
                <w:sz w:val="20"/>
                <w:szCs w:val="20"/>
              </w:rPr>
              <w:t>电器和电子消费</w:t>
            </w:r>
          </w:p>
        </w:tc>
        <w:tc>
          <w:tcPr>
            <w:tcW w:w="1646"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20"/>
                <w:szCs w:val="20"/>
              </w:rPr>
            </w:pPr>
            <w:r>
              <w:rPr>
                <w:rFonts w:ascii="宋体" w:hAnsi="宋体" w:cs="宋体" w:eastAsia="宋体" w:hint="default"/>
                <w:sz w:val="20"/>
                <w:szCs w:val="20"/>
              </w:rPr>
              <w:t>有限责任公司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28" w:lineRule="exact"/>
              <w:ind w:right="385"/>
              <w:jc w:val="right"/>
              <w:rPr>
                <w:rFonts w:ascii="宋体" w:hAnsi="宋体" w:cs="宋体" w:eastAsia="宋体" w:hint="default"/>
                <w:sz w:val="20"/>
                <w:szCs w:val="20"/>
              </w:rPr>
            </w:pPr>
            <w:r>
              <w:rPr>
                <w:rFonts w:ascii="宋体" w:hAnsi="宋体" w:cs="宋体" w:eastAsia="宋体" w:hint="default"/>
                <w:sz w:val="20"/>
                <w:szCs w:val="20"/>
              </w:rPr>
              <w:t>蒋勇</w:t>
            </w:r>
          </w:p>
        </w:tc>
        <w:tc>
          <w:tcPr>
            <w:tcW w:w="1490" w:type="dxa"/>
            <w:tcBorders>
              <w:top w:val="nil" w:sz="6" w:space="0" w:color="auto"/>
              <w:left w:val="nil" w:sz="6" w:space="0" w:color="auto"/>
              <w:bottom w:val="nil" w:sz="6" w:space="0" w:color="auto"/>
              <w:right w:val="nil" w:sz="6" w:space="0" w:color="auto"/>
            </w:tcBorders>
          </w:tcPr>
          <w:p>
            <w:pPr>
              <w:pStyle w:val="TableParagraph"/>
              <w:spacing w:line="226" w:lineRule="exact"/>
              <w:ind w:right="33"/>
              <w:jc w:val="right"/>
              <w:rPr>
                <w:rFonts w:ascii="Arial" w:hAnsi="Arial" w:cs="Arial" w:eastAsia="Arial" w:hint="default"/>
                <w:sz w:val="20"/>
                <w:szCs w:val="20"/>
              </w:rPr>
            </w:pPr>
            <w:r>
              <w:rPr>
                <w:rFonts w:ascii="Arial"/>
                <w:spacing w:val="-1"/>
                <w:sz w:val="20"/>
              </w:rPr>
              <w:t>73749327-6</w:t>
            </w:r>
          </w:p>
        </w:tc>
      </w:tr>
      <w:tr>
        <w:trPr>
          <w:trHeight w:val="520"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ind w:right="492"/>
              <w:jc w:val="center"/>
              <w:rPr>
                <w:rFonts w:ascii="宋体" w:hAnsi="宋体" w:cs="宋体" w:eastAsia="宋体" w:hint="default"/>
                <w:sz w:val="20"/>
                <w:szCs w:val="20"/>
              </w:rPr>
            </w:pPr>
            <w:r>
              <w:rPr>
                <w:rFonts w:ascii="宋体" w:hAnsi="宋体" w:cs="宋体" w:eastAsia="宋体" w:hint="default"/>
                <w:sz w:val="20"/>
                <w:szCs w:val="20"/>
              </w:rPr>
              <w:t>有限公司</w:t>
            </w:r>
          </w:p>
          <w:p>
            <w:pPr>
              <w:pStyle w:val="TableParagraph"/>
              <w:spacing w:line="261" w:lineRule="exact"/>
              <w:ind w:right="492"/>
              <w:jc w:val="center"/>
              <w:rPr>
                <w:rFonts w:ascii="宋体" w:hAnsi="宋体" w:cs="宋体" w:eastAsia="宋体" w:hint="default"/>
                <w:sz w:val="20"/>
                <w:szCs w:val="20"/>
              </w:rPr>
            </w:pPr>
            <w:r>
              <w:rPr>
                <w:rFonts w:ascii="宋体" w:hAnsi="宋体" w:cs="宋体" w:eastAsia="宋体" w:hint="default"/>
                <w:sz w:val="20"/>
                <w:szCs w:val="20"/>
              </w:rPr>
              <w:t>广东苏宁电器</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4" w:right="0"/>
              <w:jc w:val="left"/>
              <w:rPr>
                <w:rFonts w:ascii="宋体" w:hAnsi="宋体" w:cs="宋体" w:eastAsia="宋体" w:hint="default"/>
                <w:sz w:val="20"/>
                <w:szCs w:val="20"/>
              </w:rPr>
            </w:pPr>
            <w:r>
              <w:rPr>
                <w:rFonts w:ascii="宋体" w:hAnsi="宋体" w:cs="宋体" w:eastAsia="宋体" w:hint="default"/>
                <w:sz w:val="20"/>
                <w:szCs w:val="20"/>
              </w:rPr>
              <w:t>直接控股</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6" w:right="0"/>
              <w:jc w:val="left"/>
              <w:rPr>
                <w:rFonts w:ascii="宋体" w:hAnsi="宋体" w:cs="宋体" w:eastAsia="宋体" w:hint="default"/>
                <w:sz w:val="20"/>
                <w:szCs w:val="20"/>
              </w:rPr>
            </w:pPr>
            <w:r>
              <w:rPr>
                <w:rFonts w:ascii="宋体" w:hAnsi="宋体" w:cs="宋体" w:eastAsia="宋体" w:hint="default"/>
                <w:sz w:val="20"/>
                <w:szCs w:val="20"/>
              </w:rPr>
              <w:t>广州市</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sz w:val="20"/>
                <w:szCs w:val="20"/>
              </w:rPr>
              <w:t>零售</w:t>
            </w:r>
          </w:p>
        </w:tc>
        <w:tc>
          <w:tcPr>
            <w:tcW w:w="1993" w:type="dxa"/>
            <w:tcBorders>
              <w:top w:val="nil" w:sz="6" w:space="0" w:color="auto"/>
              <w:left w:val="nil" w:sz="6" w:space="0" w:color="auto"/>
              <w:bottom w:val="nil" w:sz="6" w:space="0" w:color="auto"/>
              <w:right w:val="nil" w:sz="6" w:space="0" w:color="auto"/>
            </w:tcBorders>
          </w:tcPr>
          <w:p>
            <w:pPr>
              <w:pStyle w:val="TableParagraph"/>
              <w:spacing w:line="237" w:lineRule="exact"/>
              <w:ind w:left="779" w:right="0"/>
              <w:jc w:val="left"/>
              <w:rPr>
                <w:rFonts w:ascii="宋体" w:hAnsi="宋体" w:cs="宋体" w:eastAsia="宋体" w:hint="default"/>
                <w:sz w:val="20"/>
                <w:szCs w:val="20"/>
              </w:rPr>
            </w:pPr>
            <w:r>
              <w:rPr>
                <w:rFonts w:ascii="Arial" w:hAnsi="Arial" w:cs="Arial" w:eastAsia="Arial" w:hint="default"/>
                <w:sz w:val="20"/>
                <w:szCs w:val="20"/>
              </w:rPr>
              <w:t>26,208</w:t>
            </w:r>
            <w:r>
              <w:rPr>
                <w:rFonts w:ascii="Arial" w:hAnsi="Arial" w:cs="Arial" w:eastAsia="Arial" w:hint="default"/>
                <w:spacing w:val="-6"/>
                <w:sz w:val="20"/>
                <w:szCs w:val="20"/>
              </w:rPr>
              <w:t> </w:t>
            </w:r>
            <w:r>
              <w:rPr>
                <w:rFonts w:ascii="宋体" w:hAnsi="宋体" w:cs="宋体" w:eastAsia="宋体" w:hint="default"/>
                <w:sz w:val="20"/>
                <w:szCs w:val="20"/>
              </w:rPr>
              <w:t>万元</w:t>
            </w:r>
          </w:p>
          <w:p>
            <w:pPr>
              <w:pStyle w:val="TableParagraph"/>
              <w:spacing w:line="254" w:lineRule="exact"/>
              <w:ind w:left="1240"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660" w:type="dxa"/>
            <w:tcBorders>
              <w:top w:val="nil" w:sz="6" w:space="0" w:color="auto"/>
              <w:left w:val="nil" w:sz="6" w:space="0" w:color="auto"/>
              <w:bottom w:val="nil" w:sz="6" w:space="0" w:color="auto"/>
              <w:right w:val="nil" w:sz="6" w:space="0" w:color="auto"/>
            </w:tcBorders>
          </w:tcPr>
          <w:p>
            <w:pPr>
              <w:pStyle w:val="TableParagraph"/>
              <w:spacing w:line="230" w:lineRule="exact"/>
              <w:ind w:left="149" w:right="0" w:firstLine="200"/>
              <w:jc w:val="left"/>
              <w:rPr>
                <w:rFonts w:ascii="宋体" w:hAnsi="宋体" w:cs="宋体" w:eastAsia="宋体" w:hint="default"/>
                <w:sz w:val="20"/>
                <w:szCs w:val="20"/>
              </w:rPr>
            </w:pPr>
            <w:r>
              <w:rPr>
                <w:rFonts w:ascii="宋体" w:hAnsi="宋体" w:cs="宋体" w:eastAsia="宋体" w:hint="default"/>
                <w:sz w:val="20"/>
                <w:szCs w:val="20"/>
              </w:rPr>
              <w:t>品的连锁销售</w:t>
            </w:r>
          </w:p>
          <w:p>
            <w:pPr>
              <w:pStyle w:val="TableParagraph"/>
              <w:spacing w:line="261" w:lineRule="exact"/>
              <w:ind w:left="149" w:right="0"/>
              <w:jc w:val="left"/>
              <w:rPr>
                <w:rFonts w:ascii="宋体" w:hAnsi="宋体" w:cs="宋体" w:eastAsia="宋体" w:hint="default"/>
                <w:sz w:val="20"/>
                <w:szCs w:val="20"/>
              </w:rPr>
            </w:pPr>
            <w:r>
              <w:rPr>
                <w:rFonts w:ascii="宋体" w:hAnsi="宋体" w:cs="宋体" w:eastAsia="宋体" w:hint="default"/>
                <w:sz w:val="20"/>
                <w:szCs w:val="20"/>
              </w:rPr>
              <w:t>电器和电子消费</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sz w:val="20"/>
                <w:szCs w:val="20"/>
              </w:rPr>
              <w:t>有限责任公司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385"/>
              <w:jc w:val="right"/>
              <w:rPr>
                <w:rFonts w:ascii="宋体" w:hAnsi="宋体" w:cs="宋体" w:eastAsia="宋体" w:hint="default"/>
                <w:sz w:val="20"/>
                <w:szCs w:val="20"/>
              </w:rPr>
            </w:pPr>
            <w:r>
              <w:rPr>
                <w:rFonts w:ascii="宋体" w:hAnsi="宋体" w:cs="宋体" w:eastAsia="宋体" w:hint="default"/>
                <w:sz w:val="20"/>
                <w:szCs w:val="20"/>
              </w:rPr>
              <w:t>鲍东升</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3"/>
              <w:jc w:val="right"/>
              <w:rPr>
                <w:rFonts w:ascii="Arial" w:hAnsi="Arial" w:cs="Arial" w:eastAsia="Arial" w:hint="default"/>
                <w:sz w:val="20"/>
                <w:szCs w:val="20"/>
              </w:rPr>
            </w:pPr>
            <w:r>
              <w:rPr>
                <w:rFonts w:ascii="Arial"/>
                <w:spacing w:val="-1"/>
                <w:sz w:val="20"/>
              </w:rPr>
              <w:t>61743194-3</w:t>
            </w:r>
          </w:p>
        </w:tc>
      </w:tr>
      <w:tr>
        <w:trPr>
          <w:trHeight w:val="265"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30" w:lineRule="exact"/>
              <w:ind w:left="174" w:right="0"/>
              <w:jc w:val="left"/>
              <w:rPr>
                <w:rFonts w:ascii="宋体" w:hAnsi="宋体" w:cs="宋体" w:eastAsia="宋体" w:hint="default"/>
                <w:sz w:val="20"/>
                <w:szCs w:val="20"/>
              </w:rPr>
            </w:pPr>
            <w:r>
              <w:rPr>
                <w:rFonts w:ascii="宋体" w:hAnsi="宋体" w:cs="宋体" w:eastAsia="宋体" w:hint="default"/>
                <w:w w:val="100"/>
                <w:sz w:val="20"/>
                <w:szCs w:val="20"/>
              </w:rPr>
              <w:t>及</w:t>
            </w:r>
          </w:p>
        </w:tc>
        <w:tc>
          <w:tcPr>
            <w:tcW w:w="1155"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993" w:type="dxa"/>
            <w:tcBorders>
              <w:top w:val="nil" w:sz="6" w:space="0" w:color="auto"/>
              <w:left w:val="nil" w:sz="6" w:space="0" w:color="auto"/>
              <w:bottom w:val="nil" w:sz="6" w:space="0" w:color="auto"/>
              <w:right w:val="nil" w:sz="6" w:space="0" w:color="auto"/>
            </w:tcBorders>
          </w:tcPr>
          <w:p>
            <w:pPr>
              <w:pStyle w:val="TableParagraph"/>
              <w:spacing w:line="244" w:lineRule="exact"/>
              <w:ind w:right="147"/>
              <w:jc w:val="right"/>
              <w:rPr>
                <w:rFonts w:ascii="宋体" w:hAnsi="宋体" w:cs="宋体" w:eastAsia="宋体" w:hint="default"/>
                <w:sz w:val="20"/>
                <w:szCs w:val="20"/>
              </w:rPr>
            </w:pPr>
            <w:r>
              <w:rPr>
                <w:rFonts w:ascii="Arial" w:hAnsi="Arial" w:cs="Arial" w:eastAsia="Arial" w:hint="default"/>
                <w:sz w:val="20"/>
                <w:szCs w:val="20"/>
              </w:rPr>
              <w:t>24,040</w:t>
            </w:r>
            <w:r>
              <w:rPr>
                <w:rFonts w:ascii="Arial" w:hAnsi="Arial" w:cs="Arial" w:eastAsia="Arial" w:hint="default"/>
                <w:spacing w:val="-6"/>
                <w:sz w:val="20"/>
                <w:szCs w:val="20"/>
              </w:rPr>
              <w:t> </w:t>
            </w:r>
            <w:r>
              <w:rPr>
                <w:rFonts w:ascii="宋体" w:hAnsi="宋体" w:cs="宋体" w:eastAsia="宋体" w:hint="default"/>
                <w:sz w:val="20"/>
                <w:szCs w:val="20"/>
              </w:rPr>
              <w:t>万元</w:t>
            </w:r>
          </w:p>
        </w:tc>
        <w:tc>
          <w:tcPr>
            <w:tcW w:w="1660"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20"/>
                <w:szCs w:val="20"/>
              </w:rPr>
            </w:pPr>
            <w:r>
              <w:rPr>
                <w:rFonts w:ascii="宋体" w:hAnsi="宋体" w:cs="宋体" w:eastAsia="宋体" w:hint="default"/>
                <w:spacing w:val="-1"/>
                <w:sz w:val="20"/>
                <w:szCs w:val="20"/>
              </w:rPr>
              <w:t>品的连锁销售</w:t>
            </w:r>
          </w:p>
        </w:tc>
        <w:tc>
          <w:tcPr>
            <w:tcW w:w="1646"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r>
      <w:tr>
        <w:trPr>
          <w:trHeight w:val="252" w:hRule="exact"/>
        </w:trPr>
        <w:tc>
          <w:tcPr>
            <w:tcW w:w="1766"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25" w:lineRule="exact"/>
              <w:ind w:left="174" w:right="0"/>
              <w:jc w:val="left"/>
              <w:rPr>
                <w:rFonts w:ascii="宋体" w:hAnsi="宋体" w:cs="宋体" w:eastAsia="宋体" w:hint="default"/>
                <w:sz w:val="20"/>
                <w:szCs w:val="20"/>
              </w:rPr>
            </w:pPr>
            <w:r>
              <w:rPr>
                <w:rFonts w:ascii="宋体" w:hAnsi="宋体" w:cs="宋体" w:eastAsia="宋体" w:hint="default"/>
                <w:sz w:val="20"/>
                <w:szCs w:val="20"/>
              </w:rPr>
              <w:t>间接控股</w:t>
            </w:r>
          </w:p>
        </w:tc>
        <w:tc>
          <w:tcPr>
            <w:tcW w:w="1155"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993"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r>
      <w:tr>
        <w:trPr>
          <w:trHeight w:val="263"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0"/>
                <w:szCs w:val="20"/>
              </w:rPr>
            </w:pPr>
            <w:r>
              <w:rPr>
                <w:rFonts w:ascii="宋体" w:hAnsi="宋体" w:cs="宋体" w:eastAsia="宋体" w:hint="default"/>
                <w:sz w:val="20"/>
                <w:szCs w:val="20"/>
              </w:rPr>
              <w:t>深圳市苏宁电器</w:t>
            </w:r>
          </w:p>
        </w:tc>
        <w:tc>
          <w:tcPr>
            <w:tcW w:w="1222" w:type="dxa"/>
            <w:tcBorders>
              <w:top w:val="nil" w:sz="6" w:space="0" w:color="auto"/>
              <w:left w:val="nil" w:sz="6" w:space="0" w:color="auto"/>
              <w:bottom w:val="nil" w:sz="6" w:space="0" w:color="auto"/>
              <w:right w:val="nil" w:sz="6" w:space="0" w:color="auto"/>
            </w:tcBorders>
          </w:tcPr>
          <w:p>
            <w:pPr>
              <w:pStyle w:val="TableParagraph"/>
              <w:spacing w:line="234" w:lineRule="exact"/>
              <w:ind w:left="130" w:right="0"/>
              <w:jc w:val="left"/>
              <w:rPr>
                <w:rFonts w:ascii="宋体" w:hAnsi="宋体" w:cs="宋体" w:eastAsia="宋体" w:hint="default"/>
                <w:sz w:val="20"/>
                <w:szCs w:val="20"/>
              </w:rPr>
            </w:pPr>
            <w:r>
              <w:rPr>
                <w:rFonts w:ascii="宋体" w:hAnsi="宋体" w:cs="宋体" w:eastAsia="宋体" w:hint="default"/>
                <w:sz w:val="20"/>
                <w:szCs w:val="20"/>
              </w:rPr>
              <w:t>直接控股</w:t>
            </w:r>
          </w:p>
        </w:tc>
        <w:tc>
          <w:tcPr>
            <w:tcW w:w="1155" w:type="dxa"/>
            <w:tcBorders>
              <w:top w:val="nil" w:sz="6" w:space="0" w:color="auto"/>
              <w:left w:val="nil" w:sz="6" w:space="0" w:color="auto"/>
              <w:bottom w:val="nil" w:sz="6" w:space="0" w:color="auto"/>
              <w:right w:val="nil" w:sz="6" w:space="0" w:color="auto"/>
            </w:tcBorders>
          </w:tcPr>
          <w:p>
            <w:pPr>
              <w:pStyle w:val="TableParagraph"/>
              <w:spacing w:line="234" w:lineRule="exact"/>
              <w:ind w:left="246" w:right="0"/>
              <w:jc w:val="left"/>
              <w:rPr>
                <w:rFonts w:ascii="宋体" w:hAnsi="宋体" w:cs="宋体" w:eastAsia="宋体" w:hint="default"/>
                <w:sz w:val="20"/>
                <w:szCs w:val="20"/>
              </w:rPr>
            </w:pPr>
            <w:r>
              <w:rPr>
                <w:rFonts w:ascii="宋体" w:hAnsi="宋体" w:cs="宋体" w:eastAsia="宋体" w:hint="default"/>
                <w:sz w:val="20"/>
                <w:szCs w:val="20"/>
              </w:rPr>
              <w:t>深圳市</w:t>
            </w:r>
          </w:p>
        </w:tc>
        <w:tc>
          <w:tcPr>
            <w:tcW w:w="1210" w:type="dxa"/>
            <w:tcBorders>
              <w:top w:val="nil" w:sz="6" w:space="0" w:color="auto"/>
              <w:left w:val="nil" w:sz="6" w:space="0" w:color="auto"/>
              <w:bottom w:val="nil" w:sz="6" w:space="0" w:color="auto"/>
              <w:right w:val="nil" w:sz="6" w:space="0" w:color="auto"/>
            </w:tcBorders>
          </w:tcPr>
          <w:p>
            <w:pPr>
              <w:pStyle w:val="TableParagraph"/>
              <w:spacing w:line="234" w:lineRule="exact"/>
              <w:ind w:left="307" w:right="0"/>
              <w:jc w:val="left"/>
              <w:rPr>
                <w:rFonts w:ascii="宋体" w:hAnsi="宋体" w:cs="宋体" w:eastAsia="宋体" w:hint="default"/>
                <w:sz w:val="20"/>
                <w:szCs w:val="20"/>
              </w:rPr>
            </w:pPr>
            <w:r>
              <w:rPr>
                <w:rFonts w:ascii="宋体" w:hAnsi="宋体" w:cs="宋体" w:eastAsia="宋体" w:hint="default"/>
                <w:sz w:val="20"/>
                <w:szCs w:val="20"/>
              </w:rPr>
              <w:t>零售</w:t>
            </w:r>
          </w:p>
        </w:tc>
        <w:tc>
          <w:tcPr>
            <w:tcW w:w="1993" w:type="dxa"/>
            <w:tcBorders>
              <w:top w:val="nil" w:sz="6" w:space="0" w:color="auto"/>
              <w:left w:val="nil" w:sz="6" w:space="0" w:color="auto"/>
              <w:bottom w:val="nil" w:sz="6" w:space="0" w:color="auto"/>
              <w:right w:val="nil" w:sz="6" w:space="0" w:color="auto"/>
            </w:tcBorders>
          </w:tcPr>
          <w:p>
            <w:pPr>
              <w:pStyle w:val="TableParagraph"/>
              <w:spacing w:line="234" w:lineRule="exact"/>
              <w:ind w:right="148"/>
              <w:jc w:val="right"/>
              <w:rPr>
                <w:rFonts w:ascii="宋体" w:hAnsi="宋体" w:cs="宋体" w:eastAsia="宋体" w:hint="default"/>
                <w:sz w:val="20"/>
                <w:szCs w:val="20"/>
              </w:rPr>
            </w:pPr>
            <w:r>
              <w:rPr>
                <w:rFonts w:ascii="宋体" w:hAnsi="宋体" w:cs="宋体" w:eastAsia="宋体" w:hint="default"/>
                <w:sz w:val="20"/>
                <w:szCs w:val="20"/>
              </w:rPr>
              <w:t>人民币</w:t>
            </w:r>
          </w:p>
        </w:tc>
        <w:tc>
          <w:tcPr>
            <w:tcW w:w="1660" w:type="dxa"/>
            <w:tcBorders>
              <w:top w:val="nil" w:sz="6" w:space="0" w:color="auto"/>
              <w:left w:val="nil" w:sz="6" w:space="0" w:color="auto"/>
              <w:bottom w:val="nil" w:sz="6" w:space="0" w:color="auto"/>
              <w:right w:val="nil" w:sz="6" w:space="0" w:color="auto"/>
            </w:tcBorders>
          </w:tcPr>
          <w:p>
            <w:pPr>
              <w:pStyle w:val="TableParagraph"/>
              <w:spacing w:line="234" w:lineRule="exact"/>
              <w:ind w:right="107"/>
              <w:jc w:val="right"/>
              <w:rPr>
                <w:rFonts w:ascii="宋体" w:hAnsi="宋体" w:cs="宋体" w:eastAsia="宋体" w:hint="default"/>
                <w:sz w:val="20"/>
                <w:szCs w:val="20"/>
              </w:rPr>
            </w:pPr>
            <w:r>
              <w:rPr>
                <w:rFonts w:ascii="宋体" w:hAnsi="宋体" w:cs="宋体" w:eastAsia="宋体" w:hint="default"/>
                <w:spacing w:val="-1"/>
                <w:sz w:val="20"/>
                <w:szCs w:val="20"/>
              </w:rPr>
              <w:t>电器和电子消费</w:t>
            </w:r>
          </w:p>
        </w:tc>
        <w:tc>
          <w:tcPr>
            <w:tcW w:w="1646" w:type="dxa"/>
            <w:tcBorders>
              <w:top w:val="nil" w:sz="6" w:space="0" w:color="auto"/>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20"/>
                <w:szCs w:val="20"/>
              </w:rPr>
            </w:pPr>
            <w:r>
              <w:rPr>
                <w:rFonts w:ascii="宋体" w:hAnsi="宋体" w:cs="宋体" w:eastAsia="宋体" w:hint="default"/>
                <w:sz w:val="20"/>
                <w:szCs w:val="20"/>
              </w:rPr>
              <w:t>有限责任公司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34" w:lineRule="exact"/>
              <w:ind w:right="385"/>
              <w:jc w:val="right"/>
              <w:rPr>
                <w:rFonts w:ascii="宋体" w:hAnsi="宋体" w:cs="宋体" w:eastAsia="宋体" w:hint="default"/>
                <w:sz w:val="20"/>
                <w:szCs w:val="20"/>
              </w:rPr>
            </w:pPr>
            <w:r>
              <w:rPr>
                <w:rFonts w:ascii="宋体" w:hAnsi="宋体" w:cs="宋体" w:eastAsia="宋体" w:hint="default"/>
                <w:sz w:val="20"/>
                <w:szCs w:val="20"/>
              </w:rPr>
              <w:t>孙为民</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Arial" w:hAnsi="Arial" w:cs="Arial" w:eastAsia="Arial" w:hint="default"/>
                <w:sz w:val="20"/>
                <w:szCs w:val="20"/>
              </w:rPr>
            </w:pPr>
            <w:r>
              <w:rPr>
                <w:rFonts w:ascii="Arial"/>
                <w:spacing w:val="-1"/>
                <w:sz w:val="20"/>
              </w:rPr>
              <w:t>72858230-6</w:t>
            </w:r>
          </w:p>
        </w:tc>
      </w:tr>
      <w:tr>
        <w:trPr>
          <w:trHeight w:val="520"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29" w:lineRule="exact"/>
              <w:ind w:right="492"/>
              <w:jc w:val="center"/>
              <w:rPr>
                <w:rFonts w:ascii="宋体" w:hAnsi="宋体" w:cs="宋体" w:eastAsia="宋体" w:hint="default"/>
                <w:sz w:val="20"/>
                <w:szCs w:val="20"/>
              </w:rPr>
            </w:pPr>
            <w:r>
              <w:rPr>
                <w:rFonts w:ascii="宋体" w:hAnsi="宋体" w:cs="宋体" w:eastAsia="宋体" w:hint="default"/>
                <w:sz w:val="20"/>
                <w:szCs w:val="20"/>
              </w:rPr>
              <w:t>有限公司</w:t>
            </w:r>
          </w:p>
          <w:p>
            <w:pPr>
              <w:pStyle w:val="TableParagraph"/>
              <w:spacing w:line="261" w:lineRule="exact"/>
              <w:ind w:right="492"/>
              <w:jc w:val="center"/>
              <w:rPr>
                <w:rFonts w:ascii="宋体" w:hAnsi="宋体" w:cs="宋体" w:eastAsia="宋体" w:hint="default"/>
                <w:sz w:val="20"/>
                <w:szCs w:val="20"/>
              </w:rPr>
            </w:pPr>
            <w:r>
              <w:rPr>
                <w:rFonts w:ascii="宋体" w:hAnsi="宋体" w:cs="宋体" w:eastAsia="宋体" w:hint="default"/>
                <w:sz w:val="20"/>
                <w:szCs w:val="20"/>
              </w:rPr>
              <w:t>天津天宁苏宁</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20"/>
                <w:szCs w:val="20"/>
              </w:rPr>
            </w:pPr>
            <w:r>
              <w:rPr>
                <w:rFonts w:ascii="宋体" w:hAnsi="宋体" w:cs="宋体" w:eastAsia="宋体" w:hint="default"/>
                <w:sz w:val="20"/>
                <w:szCs w:val="20"/>
              </w:rPr>
              <w:t>直接控股</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46" w:right="0"/>
              <w:jc w:val="left"/>
              <w:rPr>
                <w:rFonts w:ascii="宋体" w:hAnsi="宋体" w:cs="宋体" w:eastAsia="宋体" w:hint="default"/>
                <w:sz w:val="20"/>
                <w:szCs w:val="20"/>
              </w:rPr>
            </w:pPr>
            <w:r>
              <w:rPr>
                <w:rFonts w:ascii="宋体" w:hAnsi="宋体" w:cs="宋体" w:eastAsia="宋体" w:hint="default"/>
                <w:sz w:val="20"/>
                <w:szCs w:val="20"/>
              </w:rPr>
              <w:t>天津市</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sz w:val="20"/>
                <w:szCs w:val="20"/>
              </w:rPr>
              <w:t>零售</w:t>
            </w:r>
          </w:p>
        </w:tc>
        <w:tc>
          <w:tcPr>
            <w:tcW w:w="1993" w:type="dxa"/>
            <w:tcBorders>
              <w:top w:val="nil" w:sz="6" w:space="0" w:color="auto"/>
              <w:left w:val="nil" w:sz="6" w:space="0" w:color="auto"/>
              <w:bottom w:val="nil" w:sz="6" w:space="0" w:color="auto"/>
              <w:right w:val="nil" w:sz="6" w:space="0" w:color="auto"/>
            </w:tcBorders>
          </w:tcPr>
          <w:p>
            <w:pPr>
              <w:pStyle w:val="TableParagraph"/>
              <w:spacing w:line="236" w:lineRule="exact"/>
              <w:ind w:left="890" w:right="0"/>
              <w:jc w:val="left"/>
              <w:rPr>
                <w:rFonts w:ascii="宋体" w:hAnsi="宋体" w:cs="宋体" w:eastAsia="宋体" w:hint="default"/>
                <w:sz w:val="20"/>
                <w:szCs w:val="20"/>
              </w:rPr>
            </w:pPr>
            <w:r>
              <w:rPr>
                <w:rFonts w:ascii="Arial" w:hAnsi="Arial" w:cs="Arial" w:eastAsia="Arial" w:hint="default"/>
                <w:sz w:val="20"/>
                <w:szCs w:val="20"/>
              </w:rPr>
              <w:t>9,340</w:t>
            </w:r>
            <w:r>
              <w:rPr>
                <w:rFonts w:ascii="Arial" w:hAnsi="Arial" w:cs="Arial" w:eastAsia="Arial" w:hint="default"/>
                <w:spacing w:val="-6"/>
                <w:sz w:val="20"/>
                <w:szCs w:val="20"/>
              </w:rPr>
              <w:t> </w:t>
            </w:r>
            <w:r>
              <w:rPr>
                <w:rFonts w:ascii="宋体" w:hAnsi="宋体" w:cs="宋体" w:eastAsia="宋体" w:hint="default"/>
                <w:sz w:val="20"/>
                <w:szCs w:val="20"/>
              </w:rPr>
              <w:t>万元</w:t>
            </w:r>
          </w:p>
          <w:p>
            <w:pPr>
              <w:pStyle w:val="TableParagraph"/>
              <w:spacing w:line="254" w:lineRule="exact"/>
              <w:ind w:left="1240"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660" w:type="dxa"/>
            <w:tcBorders>
              <w:top w:val="nil" w:sz="6" w:space="0" w:color="auto"/>
              <w:left w:val="nil" w:sz="6" w:space="0" w:color="auto"/>
              <w:bottom w:val="nil" w:sz="6" w:space="0" w:color="auto"/>
              <w:right w:val="nil" w:sz="6" w:space="0" w:color="auto"/>
            </w:tcBorders>
          </w:tcPr>
          <w:p>
            <w:pPr>
              <w:pStyle w:val="TableParagraph"/>
              <w:spacing w:line="229" w:lineRule="exact"/>
              <w:ind w:left="149" w:right="0" w:firstLine="200"/>
              <w:jc w:val="left"/>
              <w:rPr>
                <w:rFonts w:ascii="宋体" w:hAnsi="宋体" w:cs="宋体" w:eastAsia="宋体" w:hint="default"/>
                <w:sz w:val="20"/>
                <w:szCs w:val="20"/>
              </w:rPr>
            </w:pPr>
            <w:r>
              <w:rPr>
                <w:rFonts w:ascii="宋体" w:hAnsi="宋体" w:cs="宋体" w:eastAsia="宋体" w:hint="default"/>
                <w:sz w:val="20"/>
                <w:szCs w:val="20"/>
              </w:rPr>
              <w:t>品的连锁销售</w:t>
            </w:r>
          </w:p>
          <w:p>
            <w:pPr>
              <w:pStyle w:val="TableParagraph"/>
              <w:spacing w:line="261" w:lineRule="exact"/>
              <w:ind w:left="149" w:right="0"/>
              <w:jc w:val="left"/>
              <w:rPr>
                <w:rFonts w:ascii="宋体" w:hAnsi="宋体" w:cs="宋体" w:eastAsia="宋体" w:hint="default"/>
                <w:sz w:val="20"/>
                <w:szCs w:val="20"/>
              </w:rPr>
            </w:pPr>
            <w:r>
              <w:rPr>
                <w:rFonts w:ascii="宋体" w:hAnsi="宋体" w:cs="宋体" w:eastAsia="宋体" w:hint="default"/>
                <w:sz w:val="20"/>
                <w:szCs w:val="20"/>
              </w:rPr>
              <w:t>电器和电子消费</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sz w:val="20"/>
                <w:szCs w:val="20"/>
              </w:rPr>
              <w:t>有限责任公司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385"/>
              <w:jc w:val="right"/>
              <w:rPr>
                <w:rFonts w:ascii="宋体" w:hAnsi="宋体" w:cs="宋体" w:eastAsia="宋体" w:hint="default"/>
                <w:sz w:val="20"/>
                <w:szCs w:val="20"/>
              </w:rPr>
            </w:pPr>
            <w:r>
              <w:rPr>
                <w:rFonts w:ascii="宋体" w:hAnsi="宋体" w:cs="宋体" w:eastAsia="宋体" w:hint="default"/>
                <w:sz w:val="20"/>
                <w:szCs w:val="20"/>
              </w:rPr>
              <w:t>姚凯</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3"/>
              <w:jc w:val="right"/>
              <w:rPr>
                <w:rFonts w:ascii="Arial" w:hAnsi="Arial" w:cs="Arial" w:eastAsia="Arial" w:hint="default"/>
                <w:sz w:val="20"/>
                <w:szCs w:val="20"/>
              </w:rPr>
            </w:pPr>
            <w:r>
              <w:rPr>
                <w:rFonts w:ascii="Arial"/>
                <w:spacing w:val="-1"/>
                <w:sz w:val="20"/>
              </w:rPr>
              <w:t>66882536-0</w:t>
            </w:r>
          </w:p>
        </w:tc>
      </w:tr>
      <w:tr>
        <w:trPr>
          <w:trHeight w:val="520"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29" w:lineRule="exact"/>
              <w:ind w:right="93"/>
              <w:jc w:val="center"/>
              <w:rPr>
                <w:rFonts w:ascii="宋体" w:hAnsi="宋体" w:cs="宋体" w:eastAsia="宋体" w:hint="default"/>
                <w:sz w:val="20"/>
                <w:szCs w:val="20"/>
              </w:rPr>
            </w:pPr>
            <w:r>
              <w:rPr>
                <w:rFonts w:ascii="宋体" w:hAnsi="宋体" w:cs="宋体" w:eastAsia="宋体" w:hint="default"/>
                <w:sz w:val="20"/>
                <w:szCs w:val="20"/>
              </w:rPr>
              <w:t>电器有限公司</w:t>
            </w:r>
          </w:p>
          <w:p>
            <w:pPr>
              <w:pStyle w:val="TableParagraph"/>
              <w:spacing w:line="260" w:lineRule="exact"/>
              <w:ind w:right="93"/>
              <w:jc w:val="center"/>
              <w:rPr>
                <w:rFonts w:ascii="宋体" w:hAnsi="宋体" w:cs="宋体" w:eastAsia="宋体" w:hint="default"/>
                <w:sz w:val="20"/>
                <w:szCs w:val="20"/>
              </w:rPr>
            </w:pPr>
            <w:r>
              <w:rPr>
                <w:rFonts w:ascii="宋体" w:hAnsi="宋体" w:cs="宋体" w:eastAsia="宋体" w:hint="default"/>
                <w:sz w:val="20"/>
                <w:szCs w:val="20"/>
              </w:rPr>
              <w:t>重庆渝宁苏宁电器</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20"/>
                <w:szCs w:val="20"/>
              </w:rPr>
            </w:pPr>
            <w:r>
              <w:rPr>
                <w:rFonts w:ascii="宋体" w:hAnsi="宋体" w:cs="宋体" w:eastAsia="宋体" w:hint="default"/>
                <w:sz w:val="20"/>
                <w:szCs w:val="20"/>
              </w:rPr>
              <w:t>直接控股</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6" w:right="0"/>
              <w:jc w:val="left"/>
              <w:rPr>
                <w:rFonts w:ascii="宋体" w:hAnsi="宋体" w:cs="宋体" w:eastAsia="宋体" w:hint="default"/>
                <w:sz w:val="20"/>
                <w:szCs w:val="20"/>
              </w:rPr>
            </w:pPr>
            <w:r>
              <w:rPr>
                <w:rFonts w:ascii="宋体" w:hAnsi="宋体" w:cs="宋体" w:eastAsia="宋体" w:hint="default"/>
                <w:sz w:val="20"/>
                <w:szCs w:val="20"/>
              </w:rPr>
              <w:t>重庆市</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sz w:val="20"/>
                <w:szCs w:val="20"/>
              </w:rPr>
              <w:t>零售</w:t>
            </w:r>
          </w:p>
        </w:tc>
        <w:tc>
          <w:tcPr>
            <w:tcW w:w="1993" w:type="dxa"/>
            <w:tcBorders>
              <w:top w:val="nil" w:sz="6" w:space="0" w:color="auto"/>
              <w:left w:val="nil" w:sz="6" w:space="0" w:color="auto"/>
              <w:bottom w:val="nil" w:sz="6" w:space="0" w:color="auto"/>
              <w:right w:val="nil" w:sz="6" w:space="0" w:color="auto"/>
            </w:tcBorders>
          </w:tcPr>
          <w:p>
            <w:pPr>
              <w:pStyle w:val="TableParagraph"/>
              <w:spacing w:line="236" w:lineRule="exact"/>
              <w:ind w:left="890" w:right="0"/>
              <w:jc w:val="left"/>
              <w:rPr>
                <w:rFonts w:ascii="宋体" w:hAnsi="宋体" w:cs="宋体" w:eastAsia="宋体" w:hint="default"/>
                <w:sz w:val="20"/>
                <w:szCs w:val="20"/>
              </w:rPr>
            </w:pPr>
            <w:r>
              <w:rPr>
                <w:rFonts w:ascii="Arial" w:hAnsi="Arial" w:cs="Arial" w:eastAsia="Arial" w:hint="default"/>
                <w:sz w:val="20"/>
                <w:szCs w:val="20"/>
              </w:rPr>
              <w:t>5,800</w:t>
            </w:r>
            <w:r>
              <w:rPr>
                <w:rFonts w:ascii="Arial" w:hAnsi="Arial" w:cs="Arial" w:eastAsia="Arial" w:hint="default"/>
                <w:spacing w:val="-6"/>
                <w:sz w:val="20"/>
                <w:szCs w:val="20"/>
              </w:rPr>
              <w:t> </w:t>
            </w:r>
            <w:r>
              <w:rPr>
                <w:rFonts w:ascii="宋体" w:hAnsi="宋体" w:cs="宋体" w:eastAsia="宋体" w:hint="default"/>
                <w:sz w:val="20"/>
                <w:szCs w:val="20"/>
              </w:rPr>
              <w:t>万元</w:t>
            </w:r>
          </w:p>
          <w:p>
            <w:pPr>
              <w:pStyle w:val="TableParagraph"/>
              <w:spacing w:line="253" w:lineRule="exact"/>
              <w:ind w:left="1240"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660" w:type="dxa"/>
            <w:tcBorders>
              <w:top w:val="nil" w:sz="6" w:space="0" w:color="auto"/>
              <w:left w:val="nil" w:sz="6" w:space="0" w:color="auto"/>
              <w:bottom w:val="nil" w:sz="6" w:space="0" w:color="auto"/>
              <w:right w:val="nil" w:sz="6" w:space="0" w:color="auto"/>
            </w:tcBorders>
          </w:tcPr>
          <w:p>
            <w:pPr>
              <w:pStyle w:val="TableParagraph"/>
              <w:spacing w:line="229" w:lineRule="exact"/>
              <w:ind w:left="149" w:right="0" w:firstLine="200"/>
              <w:jc w:val="left"/>
              <w:rPr>
                <w:rFonts w:ascii="宋体" w:hAnsi="宋体" w:cs="宋体" w:eastAsia="宋体" w:hint="default"/>
                <w:sz w:val="20"/>
                <w:szCs w:val="20"/>
              </w:rPr>
            </w:pPr>
            <w:r>
              <w:rPr>
                <w:rFonts w:ascii="宋体" w:hAnsi="宋体" w:cs="宋体" w:eastAsia="宋体" w:hint="default"/>
                <w:sz w:val="20"/>
                <w:szCs w:val="20"/>
              </w:rPr>
              <w:t>品的连锁销售</w:t>
            </w:r>
          </w:p>
          <w:p>
            <w:pPr>
              <w:pStyle w:val="TableParagraph"/>
              <w:spacing w:line="260" w:lineRule="exact"/>
              <w:ind w:left="149" w:right="0"/>
              <w:jc w:val="left"/>
              <w:rPr>
                <w:rFonts w:ascii="宋体" w:hAnsi="宋体" w:cs="宋体" w:eastAsia="宋体" w:hint="default"/>
                <w:sz w:val="20"/>
                <w:szCs w:val="20"/>
              </w:rPr>
            </w:pPr>
            <w:r>
              <w:rPr>
                <w:rFonts w:ascii="宋体" w:hAnsi="宋体" w:cs="宋体" w:eastAsia="宋体" w:hint="default"/>
                <w:sz w:val="20"/>
                <w:szCs w:val="20"/>
              </w:rPr>
              <w:t>电器和电子消费</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sz w:val="20"/>
                <w:szCs w:val="20"/>
              </w:rPr>
              <w:t>有限责任公司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85"/>
              <w:jc w:val="right"/>
              <w:rPr>
                <w:rFonts w:ascii="宋体" w:hAnsi="宋体" w:cs="宋体" w:eastAsia="宋体" w:hint="default"/>
                <w:sz w:val="20"/>
                <w:szCs w:val="20"/>
              </w:rPr>
            </w:pPr>
            <w:r>
              <w:rPr>
                <w:rFonts w:ascii="宋体" w:hAnsi="宋体" w:cs="宋体" w:eastAsia="宋体" w:hint="default"/>
                <w:sz w:val="20"/>
                <w:szCs w:val="20"/>
              </w:rPr>
              <w:t>徐耀华</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3"/>
              <w:jc w:val="right"/>
              <w:rPr>
                <w:rFonts w:ascii="Arial" w:hAnsi="Arial" w:cs="Arial" w:eastAsia="Arial" w:hint="default"/>
                <w:sz w:val="20"/>
                <w:szCs w:val="20"/>
              </w:rPr>
            </w:pPr>
            <w:r>
              <w:rPr>
                <w:rFonts w:ascii="Arial"/>
                <w:spacing w:val="-1"/>
                <w:sz w:val="20"/>
              </w:rPr>
              <w:t>66893754-9</w:t>
            </w:r>
          </w:p>
        </w:tc>
      </w:tr>
      <w:tr>
        <w:trPr>
          <w:trHeight w:val="340"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222"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993" w:type="dxa"/>
            <w:tcBorders>
              <w:top w:val="nil" w:sz="6" w:space="0" w:color="auto"/>
              <w:left w:val="nil" w:sz="6" w:space="0" w:color="auto"/>
              <w:bottom w:val="nil" w:sz="6" w:space="0" w:color="auto"/>
              <w:right w:val="nil" w:sz="6" w:space="0" w:color="auto"/>
            </w:tcBorders>
          </w:tcPr>
          <w:p>
            <w:pPr>
              <w:pStyle w:val="TableParagraph"/>
              <w:spacing w:line="245" w:lineRule="exact"/>
              <w:ind w:right="147"/>
              <w:jc w:val="right"/>
              <w:rPr>
                <w:rFonts w:ascii="宋体" w:hAnsi="宋体" w:cs="宋体" w:eastAsia="宋体" w:hint="default"/>
                <w:sz w:val="20"/>
                <w:szCs w:val="20"/>
              </w:rPr>
            </w:pPr>
            <w:r>
              <w:rPr>
                <w:rFonts w:ascii="Arial" w:hAnsi="Arial" w:cs="Arial" w:eastAsia="Arial" w:hint="default"/>
                <w:sz w:val="20"/>
                <w:szCs w:val="20"/>
              </w:rPr>
              <w:t>34,548</w:t>
            </w:r>
            <w:r>
              <w:rPr>
                <w:rFonts w:ascii="Arial" w:hAnsi="Arial" w:cs="Arial" w:eastAsia="Arial" w:hint="default"/>
                <w:spacing w:val="-6"/>
                <w:sz w:val="20"/>
                <w:szCs w:val="20"/>
              </w:rPr>
              <w:t> </w:t>
            </w:r>
            <w:r>
              <w:rPr>
                <w:rFonts w:ascii="宋体" w:hAnsi="宋体" w:cs="宋体" w:eastAsia="宋体" w:hint="default"/>
                <w:sz w:val="20"/>
                <w:szCs w:val="20"/>
              </w:rPr>
              <w:t>万元</w:t>
            </w:r>
          </w:p>
        </w:tc>
        <w:tc>
          <w:tcPr>
            <w:tcW w:w="1660"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20"/>
                <w:szCs w:val="20"/>
              </w:rPr>
            </w:pPr>
            <w:r>
              <w:rPr>
                <w:rFonts w:ascii="宋体" w:hAnsi="宋体" w:cs="宋体" w:eastAsia="宋体" w:hint="default"/>
                <w:spacing w:val="-1"/>
                <w:sz w:val="20"/>
                <w:szCs w:val="20"/>
              </w:rPr>
              <w:t>品的连锁销售</w:t>
            </w:r>
          </w:p>
        </w:tc>
        <w:tc>
          <w:tcPr>
            <w:tcW w:w="1646"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54"/>
          <w:footerReference w:type="default" r:id="rId55"/>
          <w:pgSz w:w="16840" w:h="11910" w:orient="landscape"/>
          <w:pgMar w:header="1475" w:footer="945" w:top="3020" w:bottom="1140" w:left="1580" w:right="860"/>
          <w:pgNumType w:start="137"/>
        </w:sectPr>
      </w:pPr>
    </w:p>
    <w:p>
      <w:pPr>
        <w:spacing w:line="240" w:lineRule="auto" w:before="4"/>
        <w:rPr>
          <w:rFonts w:ascii="Times New Roman" w:hAnsi="Times New Roman" w:cs="Times New Roman" w:eastAsia="Times New Roman"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534"/>
        <w:gridCol w:w="4995"/>
        <w:gridCol w:w="1470"/>
        <w:gridCol w:w="1652"/>
        <w:gridCol w:w="1660"/>
        <w:gridCol w:w="1481"/>
        <w:gridCol w:w="1317"/>
        <w:gridCol w:w="1664"/>
      </w:tblGrid>
      <w:tr>
        <w:trPr>
          <w:trHeight w:val="1676" w:hRule="exact"/>
        </w:trPr>
        <w:tc>
          <w:tcPr>
            <w:tcW w:w="53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四</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(1)</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(a)</w:t>
            </w:r>
          </w:p>
        </w:tc>
        <w:tc>
          <w:tcPr>
            <w:tcW w:w="4995" w:type="dxa"/>
            <w:tcBorders>
              <w:top w:val="nil" w:sz="6" w:space="0" w:color="auto"/>
              <w:left w:val="nil" w:sz="6" w:space="0" w:color="auto"/>
              <w:bottom w:val="nil" w:sz="6" w:space="0" w:color="auto"/>
              <w:right w:val="nil" w:sz="6" w:space="0" w:color="auto"/>
            </w:tcBorders>
          </w:tcPr>
          <w:p>
            <w:pPr>
              <w:pStyle w:val="TableParagraph"/>
              <w:spacing w:line="427" w:lineRule="auto" w:before="26"/>
              <w:ind w:left="205" w:right="1744"/>
              <w:jc w:val="left"/>
              <w:rPr>
                <w:rFonts w:ascii="Arial" w:hAnsi="Arial" w:cs="Arial" w:eastAsia="Arial" w:hint="default"/>
                <w:sz w:val="24"/>
                <w:szCs w:val="24"/>
              </w:rPr>
            </w:pPr>
            <w:r>
              <w:rPr>
                <w:rFonts w:ascii="宋体" w:hAnsi="宋体" w:cs="宋体" w:eastAsia="宋体" w:hint="default"/>
                <w:b/>
                <w:bCs/>
                <w:w w:val="95"/>
                <w:sz w:val="24"/>
                <w:szCs w:val="24"/>
              </w:rPr>
              <w:t>企业合并及合并财务报表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15"/>
                <w:w w:val="95"/>
                <w:sz w:val="24"/>
                <w:szCs w:val="24"/>
              </w:rPr>
              <w:t> </w:t>
            </w:r>
            <w:r>
              <w:rPr>
                <w:rFonts w:ascii="宋体" w:hAnsi="宋体" w:cs="宋体" w:eastAsia="宋体" w:hint="default"/>
                <w:b/>
                <w:bCs/>
                <w:sz w:val="24"/>
                <w:szCs w:val="24"/>
              </w:rPr>
              <w:t>子公司情况</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7"/>
              <w:ind w:left="205" w:right="0"/>
              <w:jc w:val="left"/>
              <w:rPr>
                <w:rFonts w:ascii="Arial" w:hAnsi="Arial" w:cs="Arial" w:eastAsia="Arial" w:hint="default"/>
                <w:sz w:val="24"/>
                <w:szCs w:val="24"/>
              </w:rPr>
            </w:pPr>
            <w:r>
              <w:rPr>
                <w:rFonts w:ascii="宋体" w:hAnsi="宋体" w:cs="宋体" w:eastAsia="宋体" w:hint="default"/>
                <w:sz w:val="24"/>
                <w:szCs w:val="24"/>
              </w:rPr>
              <w:t>通过设立或投资等方式取得的主要子公司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9244" w:type="dxa"/>
            <w:gridSpan w:val="6"/>
            <w:tcBorders>
              <w:top w:val="nil" w:sz="6" w:space="0" w:color="auto"/>
              <w:left w:val="nil" w:sz="6" w:space="0" w:color="auto"/>
              <w:bottom w:val="nil" w:sz="6" w:space="0" w:color="auto"/>
              <w:right w:val="nil" w:sz="6" w:space="0" w:color="auto"/>
            </w:tcBorders>
          </w:tcPr>
          <w:p>
            <w:pPr/>
          </w:p>
        </w:tc>
      </w:tr>
      <w:tr>
        <w:trPr>
          <w:trHeight w:val="383" w:hRule="exact"/>
        </w:trPr>
        <w:tc>
          <w:tcPr>
            <w:tcW w:w="534" w:type="dxa"/>
            <w:tcBorders>
              <w:top w:val="nil" w:sz="6" w:space="0" w:color="auto"/>
              <w:left w:val="nil" w:sz="6" w:space="0" w:color="auto"/>
              <w:bottom w:val="nil" w:sz="6" w:space="0" w:color="auto"/>
              <w:right w:val="nil" w:sz="6" w:space="0" w:color="auto"/>
            </w:tcBorders>
          </w:tcPr>
          <w:p>
            <w:pPr/>
          </w:p>
        </w:tc>
        <w:tc>
          <w:tcPr>
            <w:tcW w:w="4995" w:type="dxa"/>
            <w:tcBorders>
              <w:top w:val="nil" w:sz="6" w:space="0" w:color="auto"/>
              <w:left w:val="nil" w:sz="6" w:space="0" w:color="auto"/>
              <w:bottom w:val="nil" w:sz="6" w:space="0" w:color="auto"/>
              <w:right w:val="nil" w:sz="6" w:space="0" w:color="auto"/>
            </w:tcBorders>
          </w:tcPr>
          <w:p>
            <w:pPr>
              <w:pStyle w:val="TableParagraph"/>
              <w:tabs>
                <w:tab w:pos="1366" w:val="left" w:leader="none"/>
              </w:tabs>
              <w:spacing w:line="240" w:lineRule="auto" w:before="86"/>
              <w:ind w:right="346"/>
              <w:jc w:val="right"/>
              <w:rPr>
                <w:rFonts w:ascii="宋体" w:hAnsi="宋体" w:cs="宋体" w:eastAsia="宋体" w:hint="default"/>
                <w:sz w:val="20"/>
                <w:szCs w:val="20"/>
              </w:rPr>
            </w:pPr>
            <w:r>
              <w:rPr>
                <w:rFonts w:ascii="宋体" w:hAnsi="宋体" w:cs="宋体" w:eastAsia="宋体" w:hint="default"/>
                <w:spacing w:val="-1"/>
                <w:sz w:val="20"/>
                <w:szCs w:val="20"/>
              </w:rPr>
              <w:t>子公司类型</w:t>
              <w:tab/>
            </w:r>
            <w:r>
              <w:rPr>
                <w:rFonts w:ascii="宋体" w:hAnsi="宋体" w:cs="宋体" w:eastAsia="宋体" w:hint="default"/>
                <w:sz w:val="20"/>
                <w:szCs w:val="20"/>
              </w:rPr>
              <w:t>注册地</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96" w:right="0"/>
              <w:jc w:val="left"/>
              <w:rPr>
                <w:rFonts w:ascii="宋体" w:hAnsi="宋体" w:cs="宋体" w:eastAsia="宋体" w:hint="default"/>
                <w:sz w:val="20"/>
                <w:szCs w:val="20"/>
              </w:rPr>
            </w:pPr>
            <w:r>
              <w:rPr>
                <w:rFonts w:ascii="宋体" w:hAnsi="宋体" w:cs="宋体" w:eastAsia="宋体" w:hint="default"/>
                <w:sz w:val="20"/>
                <w:szCs w:val="20"/>
              </w:rPr>
              <w:t>业务性质</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7" w:right="0"/>
              <w:jc w:val="left"/>
              <w:rPr>
                <w:rFonts w:ascii="宋体" w:hAnsi="宋体" w:cs="宋体" w:eastAsia="宋体" w:hint="default"/>
                <w:sz w:val="20"/>
                <w:szCs w:val="20"/>
              </w:rPr>
            </w:pPr>
            <w:r>
              <w:rPr>
                <w:rFonts w:ascii="宋体" w:hAnsi="宋体" w:cs="宋体" w:eastAsia="宋体" w:hint="default"/>
                <w:sz w:val="20"/>
                <w:szCs w:val="20"/>
              </w:rPr>
              <w:t>注册资本</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06" w:right="0"/>
              <w:jc w:val="left"/>
              <w:rPr>
                <w:rFonts w:ascii="宋体" w:hAnsi="宋体" w:cs="宋体" w:eastAsia="宋体" w:hint="default"/>
                <w:sz w:val="20"/>
                <w:szCs w:val="20"/>
              </w:rPr>
            </w:pPr>
            <w:r>
              <w:rPr>
                <w:rFonts w:ascii="宋体" w:hAnsi="宋体" w:cs="宋体" w:eastAsia="宋体" w:hint="default"/>
                <w:sz w:val="20"/>
                <w:szCs w:val="20"/>
              </w:rPr>
              <w:t>经营范围</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4"/>
              <w:jc w:val="center"/>
              <w:rPr>
                <w:rFonts w:ascii="宋体" w:hAnsi="宋体" w:cs="宋体" w:eastAsia="宋体" w:hint="default"/>
                <w:sz w:val="20"/>
                <w:szCs w:val="20"/>
              </w:rPr>
            </w:pPr>
            <w:r>
              <w:rPr>
                <w:rFonts w:ascii="宋体" w:hAnsi="宋体" w:cs="宋体" w:eastAsia="宋体" w:hint="default"/>
                <w:sz w:val="20"/>
                <w:szCs w:val="20"/>
              </w:rPr>
              <w:t>企业类型</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71" w:right="0"/>
              <w:jc w:val="left"/>
              <w:rPr>
                <w:rFonts w:ascii="宋体" w:hAnsi="宋体" w:cs="宋体" w:eastAsia="宋体" w:hint="default"/>
                <w:sz w:val="20"/>
                <w:szCs w:val="20"/>
              </w:rPr>
            </w:pPr>
            <w:r>
              <w:rPr>
                <w:rFonts w:ascii="宋体" w:hAnsi="宋体" w:cs="宋体" w:eastAsia="宋体" w:hint="default"/>
                <w:sz w:val="20"/>
                <w:szCs w:val="20"/>
              </w:rPr>
              <w:t>法人代表</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14" w:right="0"/>
              <w:jc w:val="left"/>
              <w:rPr>
                <w:rFonts w:ascii="宋体" w:hAnsi="宋体" w:cs="宋体" w:eastAsia="宋体" w:hint="default"/>
                <w:sz w:val="20"/>
                <w:szCs w:val="20"/>
              </w:rPr>
            </w:pPr>
            <w:r>
              <w:rPr>
                <w:rFonts w:ascii="宋体" w:hAnsi="宋体" w:cs="宋体" w:eastAsia="宋体" w:hint="default"/>
                <w:sz w:val="20"/>
                <w:szCs w:val="20"/>
              </w:rPr>
              <w:t>组织机构代码</w:t>
            </w:r>
          </w:p>
        </w:tc>
      </w:tr>
      <w:tr>
        <w:trPr>
          <w:trHeight w:val="272" w:hRule="exact"/>
        </w:trPr>
        <w:tc>
          <w:tcPr>
            <w:tcW w:w="534" w:type="dxa"/>
            <w:tcBorders>
              <w:top w:val="nil" w:sz="6" w:space="0" w:color="auto"/>
              <w:left w:val="nil" w:sz="6" w:space="0" w:color="auto"/>
              <w:bottom w:val="nil" w:sz="6" w:space="0" w:color="auto"/>
              <w:right w:val="nil" w:sz="6" w:space="0" w:color="auto"/>
            </w:tcBorders>
          </w:tcPr>
          <w:p>
            <w:pPr/>
          </w:p>
        </w:tc>
        <w:tc>
          <w:tcPr>
            <w:tcW w:w="4995" w:type="dxa"/>
            <w:tcBorders>
              <w:top w:val="nil" w:sz="6" w:space="0" w:color="auto"/>
              <w:left w:val="nil" w:sz="6" w:space="0" w:color="auto"/>
              <w:bottom w:val="nil" w:sz="6" w:space="0" w:color="auto"/>
              <w:right w:val="nil" w:sz="6" w:space="0" w:color="auto"/>
            </w:tcBorders>
          </w:tcPr>
          <w:p>
            <w:pPr>
              <w:pStyle w:val="TableParagraph"/>
              <w:tabs>
                <w:tab w:pos="1861" w:val="left" w:leader="none"/>
                <w:tab w:pos="3199" w:val="left" w:leader="none"/>
              </w:tabs>
              <w:spacing w:line="242" w:lineRule="exact"/>
              <w:ind w:right="386"/>
              <w:jc w:val="right"/>
              <w:rPr>
                <w:rFonts w:ascii="宋体" w:hAnsi="宋体" w:cs="宋体" w:eastAsia="宋体" w:hint="default"/>
                <w:sz w:val="20"/>
                <w:szCs w:val="20"/>
              </w:rPr>
            </w:pPr>
            <w:r>
              <w:rPr>
                <w:rFonts w:ascii="宋体" w:hAnsi="宋体" w:cs="宋体" w:eastAsia="宋体" w:hint="default"/>
                <w:spacing w:val="-1"/>
                <w:sz w:val="20"/>
                <w:szCs w:val="20"/>
              </w:rPr>
              <w:t>四川苏宁电器</w:t>
              <w:tab/>
            </w:r>
            <w:r>
              <w:rPr>
                <w:rFonts w:ascii="宋体" w:hAnsi="宋体" w:cs="宋体" w:eastAsia="宋体" w:hint="default"/>
                <w:sz w:val="20"/>
                <w:szCs w:val="20"/>
              </w:rPr>
              <w:t>直接控股</w:t>
              <w:tab/>
              <w:t>成都市</w:t>
            </w:r>
          </w:p>
        </w:tc>
        <w:tc>
          <w:tcPr>
            <w:tcW w:w="1470" w:type="dxa"/>
            <w:tcBorders>
              <w:top w:val="nil" w:sz="6" w:space="0" w:color="auto"/>
              <w:left w:val="nil" w:sz="6" w:space="0" w:color="auto"/>
              <w:bottom w:val="nil" w:sz="6" w:space="0" w:color="auto"/>
              <w:right w:val="nil" w:sz="6" w:space="0" w:color="auto"/>
            </w:tcBorders>
          </w:tcPr>
          <w:p>
            <w:pPr>
              <w:pStyle w:val="TableParagraph"/>
              <w:spacing w:line="242" w:lineRule="exact"/>
              <w:ind w:left="348" w:right="0"/>
              <w:jc w:val="left"/>
              <w:rPr>
                <w:rFonts w:ascii="宋体" w:hAnsi="宋体" w:cs="宋体" w:eastAsia="宋体" w:hint="default"/>
                <w:sz w:val="20"/>
                <w:szCs w:val="20"/>
              </w:rPr>
            </w:pPr>
            <w:r>
              <w:rPr>
                <w:rFonts w:ascii="宋体" w:hAnsi="宋体" w:cs="宋体" w:eastAsia="宋体" w:hint="default"/>
                <w:sz w:val="20"/>
                <w:szCs w:val="20"/>
              </w:rPr>
              <w:t>零售</w:t>
            </w:r>
          </w:p>
        </w:tc>
        <w:tc>
          <w:tcPr>
            <w:tcW w:w="1652" w:type="dxa"/>
            <w:tcBorders>
              <w:top w:val="nil" w:sz="6" w:space="0" w:color="auto"/>
              <w:left w:val="nil" w:sz="6" w:space="0" w:color="auto"/>
              <w:bottom w:val="nil" w:sz="6" w:space="0" w:color="auto"/>
              <w:right w:val="nil" w:sz="6" w:space="0" w:color="auto"/>
            </w:tcBorders>
          </w:tcPr>
          <w:p>
            <w:pPr>
              <w:pStyle w:val="TableParagraph"/>
              <w:spacing w:line="242" w:lineRule="exact"/>
              <w:ind w:right="148"/>
              <w:jc w:val="right"/>
              <w:rPr>
                <w:rFonts w:ascii="宋体" w:hAnsi="宋体" w:cs="宋体" w:eastAsia="宋体" w:hint="default"/>
                <w:sz w:val="20"/>
                <w:szCs w:val="20"/>
              </w:rPr>
            </w:pPr>
            <w:r>
              <w:rPr>
                <w:rFonts w:ascii="宋体" w:hAnsi="宋体" w:cs="宋体" w:eastAsia="宋体" w:hint="default"/>
                <w:sz w:val="20"/>
                <w:szCs w:val="20"/>
              </w:rPr>
              <w:t>人民币</w:t>
            </w:r>
          </w:p>
        </w:tc>
        <w:tc>
          <w:tcPr>
            <w:tcW w:w="1660" w:type="dxa"/>
            <w:tcBorders>
              <w:top w:val="nil" w:sz="6" w:space="0" w:color="auto"/>
              <w:left w:val="nil" w:sz="6" w:space="0" w:color="auto"/>
              <w:bottom w:val="nil" w:sz="6" w:space="0" w:color="auto"/>
              <w:right w:val="nil" w:sz="6" w:space="0" w:color="auto"/>
            </w:tcBorders>
          </w:tcPr>
          <w:p>
            <w:pPr>
              <w:pStyle w:val="TableParagraph"/>
              <w:spacing w:line="242" w:lineRule="exact"/>
              <w:ind w:right="107"/>
              <w:jc w:val="right"/>
              <w:rPr>
                <w:rFonts w:ascii="宋体" w:hAnsi="宋体" w:cs="宋体" w:eastAsia="宋体" w:hint="default"/>
                <w:sz w:val="20"/>
                <w:szCs w:val="20"/>
              </w:rPr>
            </w:pPr>
            <w:r>
              <w:rPr>
                <w:rFonts w:ascii="宋体" w:hAnsi="宋体" w:cs="宋体" w:eastAsia="宋体" w:hint="default"/>
                <w:spacing w:val="-1"/>
                <w:sz w:val="20"/>
                <w:szCs w:val="20"/>
              </w:rPr>
              <w:t>电器和电子消费</w:t>
            </w:r>
          </w:p>
        </w:tc>
        <w:tc>
          <w:tcPr>
            <w:tcW w:w="1481" w:type="dxa"/>
            <w:tcBorders>
              <w:top w:val="nil" w:sz="6" w:space="0" w:color="auto"/>
              <w:left w:val="nil" w:sz="6" w:space="0" w:color="auto"/>
              <w:bottom w:val="nil" w:sz="6" w:space="0" w:color="auto"/>
              <w:right w:val="nil" w:sz="6" w:space="0" w:color="auto"/>
            </w:tcBorders>
          </w:tcPr>
          <w:p>
            <w:pPr>
              <w:pStyle w:val="TableParagraph"/>
              <w:spacing w:line="242" w:lineRule="exact"/>
              <w:ind w:right="61"/>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317" w:type="dxa"/>
            <w:tcBorders>
              <w:top w:val="nil" w:sz="6" w:space="0" w:color="auto"/>
              <w:left w:val="nil" w:sz="6" w:space="0" w:color="auto"/>
              <w:bottom w:val="nil" w:sz="6" w:space="0" w:color="auto"/>
              <w:right w:val="nil" w:sz="6" w:space="0" w:color="auto"/>
            </w:tcBorders>
          </w:tcPr>
          <w:p>
            <w:pPr>
              <w:pStyle w:val="TableParagraph"/>
              <w:spacing w:line="242" w:lineRule="exact"/>
              <w:ind w:right="212"/>
              <w:jc w:val="right"/>
              <w:rPr>
                <w:rFonts w:ascii="宋体" w:hAnsi="宋体" w:cs="宋体" w:eastAsia="宋体" w:hint="default"/>
                <w:sz w:val="20"/>
                <w:szCs w:val="20"/>
              </w:rPr>
            </w:pPr>
            <w:r>
              <w:rPr>
                <w:rFonts w:ascii="宋体" w:hAnsi="宋体" w:cs="宋体" w:eastAsia="宋体" w:hint="default"/>
                <w:sz w:val="20"/>
                <w:szCs w:val="20"/>
              </w:rPr>
              <w:t>陶京海</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66956674-3</w:t>
            </w:r>
          </w:p>
        </w:tc>
      </w:tr>
      <w:tr>
        <w:trPr>
          <w:trHeight w:val="520" w:hRule="exact"/>
        </w:trPr>
        <w:tc>
          <w:tcPr>
            <w:tcW w:w="534" w:type="dxa"/>
            <w:tcBorders>
              <w:top w:val="nil" w:sz="6" w:space="0" w:color="auto"/>
              <w:left w:val="nil" w:sz="6" w:space="0" w:color="auto"/>
              <w:bottom w:val="nil" w:sz="6" w:space="0" w:color="auto"/>
              <w:right w:val="nil" w:sz="6" w:space="0" w:color="auto"/>
            </w:tcBorders>
          </w:tcPr>
          <w:p>
            <w:pPr/>
          </w:p>
        </w:tc>
        <w:tc>
          <w:tcPr>
            <w:tcW w:w="4995" w:type="dxa"/>
            <w:tcBorders>
              <w:top w:val="nil" w:sz="6" w:space="0" w:color="auto"/>
              <w:left w:val="nil" w:sz="6" w:space="0" w:color="auto"/>
              <w:bottom w:val="nil" w:sz="6" w:space="0" w:color="auto"/>
              <w:right w:val="nil" w:sz="6" w:space="0" w:color="auto"/>
            </w:tcBorders>
          </w:tcPr>
          <w:p>
            <w:pPr>
              <w:pStyle w:val="TableParagraph"/>
              <w:spacing w:line="230" w:lineRule="exact"/>
              <w:ind w:left="1006" w:right="0"/>
              <w:jc w:val="left"/>
              <w:rPr>
                <w:rFonts w:ascii="宋体" w:hAnsi="宋体" w:cs="宋体" w:eastAsia="宋体" w:hint="default"/>
                <w:sz w:val="20"/>
                <w:szCs w:val="20"/>
              </w:rPr>
            </w:pPr>
            <w:r>
              <w:rPr>
                <w:rFonts w:ascii="宋体" w:hAnsi="宋体" w:cs="宋体" w:eastAsia="宋体" w:hint="default"/>
                <w:sz w:val="20"/>
                <w:szCs w:val="20"/>
              </w:rPr>
              <w:t>有限公司</w:t>
            </w:r>
          </w:p>
          <w:p>
            <w:pPr>
              <w:pStyle w:val="TableParagraph"/>
              <w:tabs>
                <w:tab w:pos="2667" w:val="left" w:leader="none"/>
                <w:tab w:pos="4005" w:val="left" w:leader="none"/>
              </w:tabs>
              <w:spacing w:line="261" w:lineRule="exact"/>
              <w:ind w:left="806" w:right="0"/>
              <w:jc w:val="left"/>
              <w:rPr>
                <w:rFonts w:ascii="宋体" w:hAnsi="宋体" w:cs="宋体" w:eastAsia="宋体" w:hint="default"/>
                <w:sz w:val="20"/>
                <w:szCs w:val="20"/>
              </w:rPr>
            </w:pPr>
            <w:r>
              <w:rPr>
                <w:rFonts w:ascii="宋体" w:hAnsi="宋体" w:cs="宋体" w:eastAsia="宋体" w:hint="default"/>
                <w:spacing w:val="-1"/>
                <w:sz w:val="20"/>
                <w:szCs w:val="20"/>
              </w:rPr>
              <w:t>陕西苏宁电器</w:t>
              <w:tab/>
            </w:r>
            <w:r>
              <w:rPr>
                <w:rFonts w:ascii="宋体" w:hAnsi="宋体" w:cs="宋体" w:eastAsia="宋体" w:hint="default"/>
                <w:sz w:val="20"/>
                <w:szCs w:val="20"/>
              </w:rPr>
              <w:t>直接控股</w:t>
              <w:tab/>
              <w:t>西安市</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348" w:right="0"/>
              <w:jc w:val="left"/>
              <w:rPr>
                <w:rFonts w:ascii="宋体" w:hAnsi="宋体" w:cs="宋体" w:eastAsia="宋体" w:hint="default"/>
                <w:sz w:val="20"/>
                <w:szCs w:val="20"/>
              </w:rPr>
            </w:pPr>
            <w:r>
              <w:rPr>
                <w:rFonts w:ascii="宋体" w:hAnsi="宋体" w:cs="宋体" w:eastAsia="宋体" w:hint="default"/>
                <w:sz w:val="20"/>
                <w:szCs w:val="20"/>
              </w:rPr>
              <w:t>零售</w:t>
            </w:r>
          </w:p>
        </w:tc>
        <w:tc>
          <w:tcPr>
            <w:tcW w:w="1652" w:type="dxa"/>
            <w:tcBorders>
              <w:top w:val="nil" w:sz="6" w:space="0" w:color="auto"/>
              <w:left w:val="nil" w:sz="6" w:space="0" w:color="auto"/>
              <w:bottom w:val="nil" w:sz="6" w:space="0" w:color="auto"/>
              <w:right w:val="nil" w:sz="6" w:space="0" w:color="auto"/>
            </w:tcBorders>
          </w:tcPr>
          <w:p>
            <w:pPr>
              <w:pStyle w:val="TableParagraph"/>
              <w:spacing w:line="237" w:lineRule="exact"/>
              <w:ind w:left="549" w:right="0"/>
              <w:jc w:val="left"/>
              <w:rPr>
                <w:rFonts w:ascii="宋体" w:hAnsi="宋体" w:cs="宋体" w:eastAsia="宋体" w:hint="default"/>
                <w:sz w:val="20"/>
                <w:szCs w:val="20"/>
              </w:rPr>
            </w:pPr>
            <w:r>
              <w:rPr>
                <w:rFonts w:ascii="Arial" w:hAnsi="Arial" w:cs="Arial" w:eastAsia="Arial" w:hint="default"/>
                <w:sz w:val="20"/>
                <w:szCs w:val="20"/>
              </w:rPr>
              <w:t>9,037</w:t>
            </w:r>
            <w:r>
              <w:rPr>
                <w:rFonts w:ascii="Arial" w:hAnsi="Arial" w:cs="Arial" w:eastAsia="Arial" w:hint="default"/>
                <w:spacing w:val="-6"/>
                <w:sz w:val="20"/>
                <w:szCs w:val="20"/>
              </w:rPr>
              <w:t> </w:t>
            </w:r>
            <w:r>
              <w:rPr>
                <w:rFonts w:ascii="宋体" w:hAnsi="宋体" w:cs="宋体" w:eastAsia="宋体" w:hint="default"/>
                <w:sz w:val="20"/>
                <w:szCs w:val="20"/>
              </w:rPr>
              <w:t>万元</w:t>
            </w:r>
          </w:p>
          <w:p>
            <w:pPr>
              <w:pStyle w:val="TableParagraph"/>
              <w:spacing w:line="254" w:lineRule="exact"/>
              <w:ind w:left="899"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660" w:type="dxa"/>
            <w:tcBorders>
              <w:top w:val="nil" w:sz="6" w:space="0" w:color="auto"/>
              <w:left w:val="nil" w:sz="6" w:space="0" w:color="auto"/>
              <w:bottom w:val="nil" w:sz="6" w:space="0" w:color="auto"/>
              <w:right w:val="nil" w:sz="6" w:space="0" w:color="auto"/>
            </w:tcBorders>
          </w:tcPr>
          <w:p>
            <w:pPr>
              <w:pStyle w:val="TableParagraph"/>
              <w:spacing w:line="230" w:lineRule="exact"/>
              <w:ind w:left="149" w:right="0" w:firstLine="200"/>
              <w:jc w:val="left"/>
              <w:rPr>
                <w:rFonts w:ascii="宋体" w:hAnsi="宋体" w:cs="宋体" w:eastAsia="宋体" w:hint="default"/>
                <w:sz w:val="20"/>
                <w:szCs w:val="20"/>
              </w:rPr>
            </w:pPr>
            <w:r>
              <w:rPr>
                <w:rFonts w:ascii="宋体" w:hAnsi="宋体" w:cs="宋体" w:eastAsia="宋体" w:hint="default"/>
                <w:sz w:val="20"/>
                <w:szCs w:val="20"/>
              </w:rPr>
              <w:t>品的连锁销售</w:t>
            </w:r>
          </w:p>
          <w:p>
            <w:pPr>
              <w:pStyle w:val="TableParagraph"/>
              <w:spacing w:line="261" w:lineRule="exact"/>
              <w:ind w:left="149" w:right="0"/>
              <w:jc w:val="left"/>
              <w:rPr>
                <w:rFonts w:ascii="宋体" w:hAnsi="宋体" w:cs="宋体" w:eastAsia="宋体" w:hint="default"/>
                <w:sz w:val="20"/>
                <w:szCs w:val="20"/>
              </w:rPr>
            </w:pPr>
            <w:r>
              <w:rPr>
                <w:rFonts w:ascii="宋体" w:hAnsi="宋体" w:cs="宋体" w:eastAsia="宋体" w:hint="default"/>
                <w:sz w:val="20"/>
                <w:szCs w:val="20"/>
              </w:rPr>
              <w:t>电器和电子消费</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61"/>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12"/>
              <w:jc w:val="right"/>
              <w:rPr>
                <w:rFonts w:ascii="宋体" w:hAnsi="宋体" w:cs="宋体" w:eastAsia="宋体" w:hint="default"/>
                <w:sz w:val="20"/>
                <w:szCs w:val="20"/>
              </w:rPr>
            </w:pPr>
            <w:r>
              <w:rPr>
                <w:rFonts w:ascii="宋体" w:hAnsi="宋体" w:cs="宋体" w:eastAsia="宋体" w:hint="default"/>
                <w:sz w:val="20"/>
                <w:szCs w:val="20"/>
              </w:rPr>
              <w:t>孙为民</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33"/>
              <w:jc w:val="right"/>
              <w:rPr>
                <w:rFonts w:ascii="Arial" w:hAnsi="Arial" w:cs="Arial" w:eastAsia="Arial" w:hint="default"/>
                <w:sz w:val="20"/>
                <w:szCs w:val="20"/>
              </w:rPr>
            </w:pPr>
            <w:r>
              <w:rPr>
                <w:rFonts w:ascii="Arial"/>
                <w:spacing w:val="-1"/>
                <w:sz w:val="20"/>
              </w:rPr>
              <w:t>71978340-5</w:t>
            </w:r>
          </w:p>
        </w:tc>
      </w:tr>
      <w:tr>
        <w:trPr>
          <w:trHeight w:val="520" w:hRule="exact"/>
        </w:trPr>
        <w:tc>
          <w:tcPr>
            <w:tcW w:w="534" w:type="dxa"/>
            <w:tcBorders>
              <w:top w:val="nil" w:sz="6" w:space="0" w:color="auto"/>
              <w:left w:val="nil" w:sz="6" w:space="0" w:color="auto"/>
              <w:bottom w:val="nil" w:sz="6" w:space="0" w:color="auto"/>
              <w:right w:val="nil" w:sz="6" w:space="0" w:color="auto"/>
            </w:tcBorders>
          </w:tcPr>
          <w:p>
            <w:pPr/>
          </w:p>
        </w:tc>
        <w:tc>
          <w:tcPr>
            <w:tcW w:w="4995" w:type="dxa"/>
            <w:tcBorders>
              <w:top w:val="nil" w:sz="6" w:space="0" w:color="auto"/>
              <w:left w:val="nil" w:sz="6" w:space="0" w:color="auto"/>
              <w:bottom w:val="nil" w:sz="6" w:space="0" w:color="auto"/>
              <w:right w:val="nil" w:sz="6" w:space="0" w:color="auto"/>
            </w:tcBorders>
          </w:tcPr>
          <w:p>
            <w:pPr>
              <w:pStyle w:val="TableParagraph"/>
              <w:spacing w:line="229" w:lineRule="exact"/>
              <w:ind w:left="1006" w:right="0"/>
              <w:jc w:val="left"/>
              <w:rPr>
                <w:rFonts w:ascii="宋体" w:hAnsi="宋体" w:cs="宋体" w:eastAsia="宋体" w:hint="default"/>
                <w:sz w:val="20"/>
                <w:szCs w:val="20"/>
              </w:rPr>
            </w:pPr>
            <w:r>
              <w:rPr>
                <w:rFonts w:ascii="宋体" w:hAnsi="宋体" w:cs="宋体" w:eastAsia="宋体" w:hint="default"/>
                <w:sz w:val="20"/>
                <w:szCs w:val="20"/>
              </w:rPr>
              <w:t>有限责任公司</w:t>
            </w:r>
          </w:p>
          <w:p>
            <w:pPr>
              <w:pStyle w:val="TableParagraph"/>
              <w:tabs>
                <w:tab w:pos="2667" w:val="left" w:leader="none"/>
                <w:tab w:pos="4005" w:val="left" w:leader="none"/>
              </w:tabs>
              <w:spacing w:line="261" w:lineRule="exact"/>
              <w:ind w:left="806" w:right="0"/>
              <w:jc w:val="left"/>
              <w:rPr>
                <w:rFonts w:ascii="宋体" w:hAnsi="宋体" w:cs="宋体" w:eastAsia="宋体" w:hint="default"/>
                <w:sz w:val="20"/>
                <w:szCs w:val="20"/>
              </w:rPr>
            </w:pPr>
            <w:r>
              <w:rPr>
                <w:rFonts w:ascii="宋体" w:hAnsi="宋体" w:cs="宋体" w:eastAsia="宋体" w:hint="default"/>
                <w:spacing w:val="-1"/>
                <w:sz w:val="20"/>
                <w:szCs w:val="20"/>
              </w:rPr>
              <w:t>浙江苏宁电器</w:t>
              <w:tab/>
            </w:r>
            <w:r>
              <w:rPr>
                <w:rFonts w:ascii="宋体" w:hAnsi="宋体" w:cs="宋体" w:eastAsia="宋体" w:hint="default"/>
                <w:sz w:val="20"/>
                <w:szCs w:val="20"/>
              </w:rPr>
              <w:t>直接控股</w:t>
              <w:tab/>
              <w:t>杭州市</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48" w:right="0"/>
              <w:jc w:val="left"/>
              <w:rPr>
                <w:rFonts w:ascii="宋体" w:hAnsi="宋体" w:cs="宋体" w:eastAsia="宋体" w:hint="default"/>
                <w:sz w:val="20"/>
                <w:szCs w:val="20"/>
              </w:rPr>
            </w:pPr>
            <w:r>
              <w:rPr>
                <w:rFonts w:ascii="宋体" w:hAnsi="宋体" w:cs="宋体" w:eastAsia="宋体" w:hint="default"/>
                <w:sz w:val="20"/>
                <w:szCs w:val="20"/>
              </w:rPr>
              <w:t>零售</w:t>
            </w:r>
          </w:p>
        </w:tc>
        <w:tc>
          <w:tcPr>
            <w:tcW w:w="1652" w:type="dxa"/>
            <w:tcBorders>
              <w:top w:val="nil" w:sz="6" w:space="0" w:color="auto"/>
              <w:left w:val="nil" w:sz="6" w:space="0" w:color="auto"/>
              <w:bottom w:val="nil" w:sz="6" w:space="0" w:color="auto"/>
              <w:right w:val="nil" w:sz="6" w:space="0" w:color="auto"/>
            </w:tcBorders>
          </w:tcPr>
          <w:p>
            <w:pPr>
              <w:pStyle w:val="TableParagraph"/>
              <w:spacing w:line="236" w:lineRule="exact"/>
              <w:ind w:left="549" w:right="0"/>
              <w:jc w:val="left"/>
              <w:rPr>
                <w:rFonts w:ascii="宋体" w:hAnsi="宋体" w:cs="宋体" w:eastAsia="宋体" w:hint="default"/>
                <w:sz w:val="20"/>
                <w:szCs w:val="20"/>
              </w:rPr>
            </w:pPr>
            <w:r>
              <w:rPr>
                <w:rFonts w:ascii="Arial" w:hAnsi="Arial" w:cs="Arial" w:eastAsia="Arial" w:hint="default"/>
                <w:sz w:val="20"/>
                <w:szCs w:val="20"/>
              </w:rPr>
              <w:t>4,186</w:t>
            </w:r>
            <w:r>
              <w:rPr>
                <w:rFonts w:ascii="Arial" w:hAnsi="Arial" w:cs="Arial" w:eastAsia="Arial" w:hint="default"/>
                <w:spacing w:val="-6"/>
                <w:sz w:val="20"/>
                <w:szCs w:val="20"/>
              </w:rPr>
              <w:t> </w:t>
            </w:r>
            <w:r>
              <w:rPr>
                <w:rFonts w:ascii="宋体" w:hAnsi="宋体" w:cs="宋体" w:eastAsia="宋体" w:hint="default"/>
                <w:sz w:val="20"/>
                <w:szCs w:val="20"/>
              </w:rPr>
              <w:t>万元</w:t>
            </w:r>
          </w:p>
          <w:p>
            <w:pPr>
              <w:pStyle w:val="TableParagraph"/>
              <w:spacing w:line="254" w:lineRule="exact"/>
              <w:ind w:left="899"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660" w:type="dxa"/>
            <w:tcBorders>
              <w:top w:val="nil" w:sz="6" w:space="0" w:color="auto"/>
              <w:left w:val="nil" w:sz="6" w:space="0" w:color="auto"/>
              <w:bottom w:val="nil" w:sz="6" w:space="0" w:color="auto"/>
              <w:right w:val="nil" w:sz="6" w:space="0" w:color="auto"/>
            </w:tcBorders>
          </w:tcPr>
          <w:p>
            <w:pPr>
              <w:pStyle w:val="TableParagraph"/>
              <w:spacing w:line="229" w:lineRule="exact"/>
              <w:ind w:left="149" w:right="0" w:firstLine="200"/>
              <w:jc w:val="left"/>
              <w:rPr>
                <w:rFonts w:ascii="宋体" w:hAnsi="宋体" w:cs="宋体" w:eastAsia="宋体" w:hint="default"/>
                <w:sz w:val="20"/>
                <w:szCs w:val="20"/>
              </w:rPr>
            </w:pPr>
            <w:r>
              <w:rPr>
                <w:rFonts w:ascii="宋体" w:hAnsi="宋体" w:cs="宋体" w:eastAsia="宋体" w:hint="default"/>
                <w:sz w:val="20"/>
                <w:szCs w:val="20"/>
              </w:rPr>
              <w:t>品的连锁销售</w:t>
            </w:r>
          </w:p>
          <w:p>
            <w:pPr>
              <w:pStyle w:val="TableParagraph"/>
              <w:spacing w:line="261" w:lineRule="exact"/>
              <w:ind w:left="149" w:right="0"/>
              <w:jc w:val="left"/>
              <w:rPr>
                <w:rFonts w:ascii="宋体" w:hAnsi="宋体" w:cs="宋体" w:eastAsia="宋体" w:hint="default"/>
                <w:sz w:val="20"/>
                <w:szCs w:val="20"/>
              </w:rPr>
            </w:pPr>
            <w:r>
              <w:rPr>
                <w:rFonts w:ascii="宋体" w:hAnsi="宋体" w:cs="宋体" w:eastAsia="宋体" w:hint="default"/>
                <w:sz w:val="20"/>
                <w:szCs w:val="20"/>
              </w:rPr>
              <w:t>电器和电子消费</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61"/>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12"/>
              <w:jc w:val="right"/>
              <w:rPr>
                <w:rFonts w:ascii="宋体" w:hAnsi="宋体" w:cs="宋体" w:eastAsia="宋体" w:hint="default"/>
                <w:sz w:val="20"/>
                <w:szCs w:val="20"/>
              </w:rPr>
            </w:pPr>
            <w:r>
              <w:rPr>
                <w:rFonts w:ascii="宋体" w:hAnsi="宋体" w:cs="宋体" w:eastAsia="宋体" w:hint="default"/>
                <w:sz w:val="20"/>
                <w:szCs w:val="20"/>
              </w:rPr>
              <w:t>卞农</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33"/>
              <w:jc w:val="right"/>
              <w:rPr>
                <w:rFonts w:ascii="Arial" w:hAnsi="Arial" w:cs="Arial" w:eastAsia="Arial" w:hint="default"/>
                <w:sz w:val="20"/>
                <w:szCs w:val="20"/>
              </w:rPr>
            </w:pPr>
            <w:r>
              <w:rPr>
                <w:rFonts w:ascii="Arial"/>
                <w:spacing w:val="-1"/>
                <w:sz w:val="20"/>
              </w:rPr>
              <w:t>70421064-7</w:t>
            </w:r>
          </w:p>
        </w:tc>
      </w:tr>
      <w:tr>
        <w:trPr>
          <w:trHeight w:val="520" w:hRule="exact"/>
        </w:trPr>
        <w:tc>
          <w:tcPr>
            <w:tcW w:w="534" w:type="dxa"/>
            <w:tcBorders>
              <w:top w:val="nil" w:sz="6" w:space="0" w:color="auto"/>
              <w:left w:val="nil" w:sz="6" w:space="0" w:color="auto"/>
              <w:bottom w:val="nil" w:sz="6" w:space="0" w:color="auto"/>
              <w:right w:val="nil" w:sz="6" w:space="0" w:color="auto"/>
            </w:tcBorders>
          </w:tcPr>
          <w:p>
            <w:pPr/>
          </w:p>
        </w:tc>
        <w:tc>
          <w:tcPr>
            <w:tcW w:w="4995" w:type="dxa"/>
            <w:tcBorders>
              <w:top w:val="nil" w:sz="6" w:space="0" w:color="auto"/>
              <w:left w:val="nil" w:sz="6" w:space="0" w:color="auto"/>
              <w:bottom w:val="nil" w:sz="6" w:space="0" w:color="auto"/>
              <w:right w:val="nil" w:sz="6" w:space="0" w:color="auto"/>
            </w:tcBorders>
          </w:tcPr>
          <w:p>
            <w:pPr>
              <w:pStyle w:val="TableParagraph"/>
              <w:spacing w:line="229" w:lineRule="exact"/>
              <w:ind w:left="1006" w:right="0"/>
              <w:jc w:val="left"/>
              <w:rPr>
                <w:rFonts w:ascii="宋体" w:hAnsi="宋体" w:cs="宋体" w:eastAsia="宋体" w:hint="default"/>
                <w:sz w:val="20"/>
                <w:szCs w:val="20"/>
              </w:rPr>
            </w:pPr>
            <w:r>
              <w:rPr>
                <w:rFonts w:ascii="宋体" w:hAnsi="宋体" w:cs="宋体" w:eastAsia="宋体" w:hint="default"/>
                <w:sz w:val="20"/>
                <w:szCs w:val="20"/>
              </w:rPr>
              <w:t>有限公司</w:t>
            </w:r>
          </w:p>
          <w:p>
            <w:pPr>
              <w:pStyle w:val="TableParagraph"/>
              <w:tabs>
                <w:tab w:pos="2667" w:val="left" w:leader="none"/>
                <w:tab w:pos="4005" w:val="left" w:leader="none"/>
              </w:tabs>
              <w:spacing w:line="260" w:lineRule="exact"/>
              <w:ind w:left="806" w:right="0"/>
              <w:jc w:val="left"/>
              <w:rPr>
                <w:rFonts w:ascii="宋体" w:hAnsi="宋体" w:cs="宋体" w:eastAsia="宋体" w:hint="default"/>
                <w:sz w:val="20"/>
                <w:szCs w:val="20"/>
              </w:rPr>
            </w:pPr>
            <w:r>
              <w:rPr>
                <w:rFonts w:ascii="宋体" w:hAnsi="宋体" w:cs="宋体" w:eastAsia="宋体" w:hint="default"/>
                <w:spacing w:val="-1"/>
                <w:sz w:val="20"/>
                <w:szCs w:val="20"/>
              </w:rPr>
              <w:t>山东苏宁电器</w:t>
              <w:tab/>
            </w:r>
            <w:r>
              <w:rPr>
                <w:rFonts w:ascii="宋体" w:hAnsi="宋体" w:cs="宋体" w:eastAsia="宋体" w:hint="default"/>
                <w:sz w:val="20"/>
                <w:szCs w:val="20"/>
              </w:rPr>
              <w:t>直接控股</w:t>
              <w:tab/>
              <w:t>济南市</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48" w:right="0"/>
              <w:jc w:val="left"/>
              <w:rPr>
                <w:rFonts w:ascii="宋体" w:hAnsi="宋体" w:cs="宋体" w:eastAsia="宋体" w:hint="default"/>
                <w:sz w:val="20"/>
                <w:szCs w:val="20"/>
              </w:rPr>
            </w:pPr>
            <w:r>
              <w:rPr>
                <w:rFonts w:ascii="宋体" w:hAnsi="宋体" w:cs="宋体" w:eastAsia="宋体" w:hint="default"/>
                <w:sz w:val="20"/>
                <w:szCs w:val="20"/>
              </w:rPr>
              <w:t>零售</w:t>
            </w:r>
          </w:p>
        </w:tc>
        <w:tc>
          <w:tcPr>
            <w:tcW w:w="1652" w:type="dxa"/>
            <w:tcBorders>
              <w:top w:val="nil" w:sz="6" w:space="0" w:color="auto"/>
              <w:left w:val="nil" w:sz="6" w:space="0" w:color="auto"/>
              <w:bottom w:val="nil" w:sz="6" w:space="0" w:color="auto"/>
              <w:right w:val="nil" w:sz="6" w:space="0" w:color="auto"/>
            </w:tcBorders>
          </w:tcPr>
          <w:p>
            <w:pPr>
              <w:pStyle w:val="TableParagraph"/>
              <w:spacing w:line="236" w:lineRule="exact"/>
              <w:ind w:left="439" w:right="0"/>
              <w:jc w:val="left"/>
              <w:rPr>
                <w:rFonts w:ascii="宋体" w:hAnsi="宋体" w:cs="宋体" w:eastAsia="宋体" w:hint="default"/>
                <w:sz w:val="20"/>
                <w:szCs w:val="20"/>
              </w:rPr>
            </w:pPr>
            <w:r>
              <w:rPr>
                <w:rFonts w:ascii="Arial" w:hAnsi="Arial" w:cs="Arial" w:eastAsia="Arial" w:hint="default"/>
                <w:sz w:val="20"/>
                <w:szCs w:val="20"/>
              </w:rPr>
              <w:t>25,001</w:t>
            </w:r>
            <w:r>
              <w:rPr>
                <w:rFonts w:ascii="Arial" w:hAnsi="Arial" w:cs="Arial" w:eastAsia="Arial" w:hint="default"/>
                <w:spacing w:val="-6"/>
                <w:sz w:val="20"/>
                <w:szCs w:val="20"/>
              </w:rPr>
              <w:t> </w:t>
            </w:r>
            <w:r>
              <w:rPr>
                <w:rFonts w:ascii="宋体" w:hAnsi="宋体" w:cs="宋体" w:eastAsia="宋体" w:hint="default"/>
                <w:sz w:val="20"/>
                <w:szCs w:val="20"/>
              </w:rPr>
              <w:t>万元</w:t>
            </w:r>
          </w:p>
          <w:p>
            <w:pPr>
              <w:pStyle w:val="TableParagraph"/>
              <w:spacing w:line="253" w:lineRule="exact"/>
              <w:ind w:left="899"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660" w:type="dxa"/>
            <w:tcBorders>
              <w:top w:val="nil" w:sz="6" w:space="0" w:color="auto"/>
              <w:left w:val="nil" w:sz="6" w:space="0" w:color="auto"/>
              <w:bottom w:val="nil" w:sz="6" w:space="0" w:color="auto"/>
              <w:right w:val="nil" w:sz="6" w:space="0" w:color="auto"/>
            </w:tcBorders>
          </w:tcPr>
          <w:p>
            <w:pPr>
              <w:pStyle w:val="TableParagraph"/>
              <w:spacing w:line="229" w:lineRule="exact"/>
              <w:ind w:left="149" w:right="0" w:firstLine="200"/>
              <w:jc w:val="left"/>
              <w:rPr>
                <w:rFonts w:ascii="宋体" w:hAnsi="宋体" w:cs="宋体" w:eastAsia="宋体" w:hint="default"/>
                <w:sz w:val="20"/>
                <w:szCs w:val="20"/>
              </w:rPr>
            </w:pPr>
            <w:r>
              <w:rPr>
                <w:rFonts w:ascii="宋体" w:hAnsi="宋体" w:cs="宋体" w:eastAsia="宋体" w:hint="default"/>
                <w:sz w:val="20"/>
                <w:szCs w:val="20"/>
              </w:rPr>
              <w:t>品的连锁销售</w:t>
            </w:r>
          </w:p>
          <w:p>
            <w:pPr>
              <w:pStyle w:val="TableParagraph"/>
              <w:spacing w:line="260" w:lineRule="exact"/>
              <w:ind w:left="149" w:right="0"/>
              <w:jc w:val="left"/>
              <w:rPr>
                <w:rFonts w:ascii="宋体" w:hAnsi="宋体" w:cs="宋体" w:eastAsia="宋体" w:hint="default"/>
                <w:sz w:val="20"/>
                <w:szCs w:val="20"/>
              </w:rPr>
            </w:pPr>
            <w:r>
              <w:rPr>
                <w:rFonts w:ascii="宋体" w:hAnsi="宋体" w:cs="宋体" w:eastAsia="宋体" w:hint="default"/>
                <w:sz w:val="20"/>
                <w:szCs w:val="20"/>
              </w:rPr>
              <w:t>电器和电子消费</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61"/>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2"/>
              <w:jc w:val="right"/>
              <w:rPr>
                <w:rFonts w:ascii="宋体" w:hAnsi="宋体" w:cs="宋体" w:eastAsia="宋体" w:hint="default"/>
                <w:sz w:val="20"/>
                <w:szCs w:val="20"/>
              </w:rPr>
            </w:pPr>
            <w:r>
              <w:rPr>
                <w:rFonts w:ascii="宋体" w:hAnsi="宋体" w:cs="宋体" w:eastAsia="宋体" w:hint="default"/>
                <w:sz w:val="20"/>
                <w:szCs w:val="20"/>
              </w:rPr>
              <w:t>戴冯军</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33"/>
              <w:jc w:val="right"/>
              <w:rPr>
                <w:rFonts w:ascii="Arial" w:hAnsi="Arial" w:cs="Arial" w:eastAsia="Arial" w:hint="default"/>
                <w:sz w:val="20"/>
                <w:szCs w:val="20"/>
              </w:rPr>
            </w:pPr>
            <w:r>
              <w:rPr>
                <w:rFonts w:ascii="Arial"/>
                <w:spacing w:val="-1"/>
                <w:sz w:val="20"/>
              </w:rPr>
              <w:t>66934454-2</w:t>
            </w:r>
          </w:p>
        </w:tc>
      </w:tr>
      <w:tr>
        <w:trPr>
          <w:trHeight w:val="520" w:hRule="exact"/>
        </w:trPr>
        <w:tc>
          <w:tcPr>
            <w:tcW w:w="534" w:type="dxa"/>
            <w:tcBorders>
              <w:top w:val="nil" w:sz="6" w:space="0" w:color="auto"/>
              <w:left w:val="nil" w:sz="6" w:space="0" w:color="auto"/>
              <w:bottom w:val="nil" w:sz="6" w:space="0" w:color="auto"/>
              <w:right w:val="nil" w:sz="6" w:space="0" w:color="auto"/>
            </w:tcBorders>
          </w:tcPr>
          <w:p>
            <w:pPr/>
          </w:p>
        </w:tc>
        <w:tc>
          <w:tcPr>
            <w:tcW w:w="4995" w:type="dxa"/>
            <w:tcBorders>
              <w:top w:val="nil" w:sz="6" w:space="0" w:color="auto"/>
              <w:left w:val="nil" w:sz="6" w:space="0" w:color="auto"/>
              <w:bottom w:val="nil" w:sz="6" w:space="0" w:color="auto"/>
              <w:right w:val="nil" w:sz="6" w:space="0" w:color="auto"/>
            </w:tcBorders>
          </w:tcPr>
          <w:p>
            <w:pPr>
              <w:pStyle w:val="TableParagraph"/>
              <w:spacing w:line="230" w:lineRule="exact"/>
              <w:ind w:left="1006" w:right="0"/>
              <w:jc w:val="left"/>
              <w:rPr>
                <w:rFonts w:ascii="宋体" w:hAnsi="宋体" w:cs="宋体" w:eastAsia="宋体" w:hint="default"/>
                <w:sz w:val="20"/>
                <w:szCs w:val="20"/>
              </w:rPr>
            </w:pPr>
            <w:r>
              <w:rPr>
                <w:rFonts w:ascii="宋体" w:hAnsi="宋体" w:cs="宋体" w:eastAsia="宋体" w:hint="default"/>
                <w:sz w:val="20"/>
                <w:szCs w:val="20"/>
              </w:rPr>
              <w:t>有限公司</w:t>
            </w:r>
          </w:p>
          <w:p>
            <w:pPr>
              <w:pStyle w:val="TableParagraph"/>
              <w:tabs>
                <w:tab w:pos="2711" w:val="left" w:leader="none"/>
                <w:tab w:pos="4005" w:val="left" w:leader="none"/>
              </w:tabs>
              <w:spacing w:line="261" w:lineRule="exact"/>
              <w:ind w:left="806" w:right="0"/>
              <w:jc w:val="left"/>
              <w:rPr>
                <w:rFonts w:ascii="宋体" w:hAnsi="宋体" w:cs="宋体" w:eastAsia="宋体" w:hint="default"/>
                <w:sz w:val="20"/>
                <w:szCs w:val="20"/>
              </w:rPr>
            </w:pPr>
            <w:r>
              <w:rPr>
                <w:rFonts w:ascii="宋体" w:hAnsi="宋体" w:cs="宋体" w:eastAsia="宋体" w:hint="default"/>
                <w:spacing w:val="-1"/>
                <w:sz w:val="20"/>
                <w:szCs w:val="20"/>
              </w:rPr>
              <w:t>武汉苏宁电器</w:t>
              <w:tab/>
            </w:r>
            <w:r>
              <w:rPr>
                <w:rFonts w:ascii="宋体" w:hAnsi="宋体" w:cs="宋体" w:eastAsia="宋体" w:hint="default"/>
                <w:sz w:val="20"/>
                <w:szCs w:val="20"/>
              </w:rPr>
              <w:t>直接控股</w:t>
              <w:tab/>
              <w:t>武汉市</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348" w:right="0"/>
              <w:jc w:val="left"/>
              <w:rPr>
                <w:rFonts w:ascii="宋体" w:hAnsi="宋体" w:cs="宋体" w:eastAsia="宋体" w:hint="default"/>
                <w:sz w:val="20"/>
                <w:szCs w:val="20"/>
              </w:rPr>
            </w:pPr>
            <w:r>
              <w:rPr>
                <w:rFonts w:ascii="宋体" w:hAnsi="宋体" w:cs="宋体" w:eastAsia="宋体" w:hint="default"/>
                <w:sz w:val="20"/>
                <w:szCs w:val="20"/>
              </w:rPr>
              <w:t>零售</w:t>
            </w:r>
          </w:p>
        </w:tc>
        <w:tc>
          <w:tcPr>
            <w:tcW w:w="1652" w:type="dxa"/>
            <w:tcBorders>
              <w:top w:val="nil" w:sz="6" w:space="0" w:color="auto"/>
              <w:left w:val="nil" w:sz="6" w:space="0" w:color="auto"/>
              <w:bottom w:val="nil" w:sz="6" w:space="0" w:color="auto"/>
              <w:right w:val="nil" w:sz="6" w:space="0" w:color="auto"/>
            </w:tcBorders>
          </w:tcPr>
          <w:p>
            <w:pPr>
              <w:pStyle w:val="TableParagraph"/>
              <w:spacing w:line="237" w:lineRule="exact"/>
              <w:ind w:left="549" w:right="0"/>
              <w:jc w:val="left"/>
              <w:rPr>
                <w:rFonts w:ascii="宋体" w:hAnsi="宋体" w:cs="宋体" w:eastAsia="宋体" w:hint="default"/>
                <w:sz w:val="20"/>
                <w:szCs w:val="20"/>
              </w:rPr>
            </w:pPr>
            <w:r>
              <w:rPr>
                <w:rFonts w:ascii="Arial" w:hAnsi="Arial" w:cs="Arial" w:eastAsia="Arial" w:hint="default"/>
                <w:sz w:val="20"/>
                <w:szCs w:val="20"/>
              </w:rPr>
              <w:t>1,420</w:t>
            </w:r>
            <w:r>
              <w:rPr>
                <w:rFonts w:ascii="Arial" w:hAnsi="Arial" w:cs="Arial" w:eastAsia="Arial" w:hint="default"/>
                <w:spacing w:val="-6"/>
                <w:sz w:val="20"/>
                <w:szCs w:val="20"/>
              </w:rPr>
              <w:t> </w:t>
            </w:r>
            <w:r>
              <w:rPr>
                <w:rFonts w:ascii="宋体" w:hAnsi="宋体" w:cs="宋体" w:eastAsia="宋体" w:hint="default"/>
                <w:sz w:val="20"/>
                <w:szCs w:val="20"/>
              </w:rPr>
              <w:t>万元</w:t>
            </w:r>
          </w:p>
          <w:p>
            <w:pPr>
              <w:pStyle w:val="TableParagraph"/>
              <w:spacing w:line="254" w:lineRule="exact"/>
              <w:ind w:left="899"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660" w:type="dxa"/>
            <w:tcBorders>
              <w:top w:val="nil" w:sz="6" w:space="0" w:color="auto"/>
              <w:left w:val="nil" w:sz="6" w:space="0" w:color="auto"/>
              <w:bottom w:val="nil" w:sz="6" w:space="0" w:color="auto"/>
              <w:right w:val="nil" w:sz="6" w:space="0" w:color="auto"/>
            </w:tcBorders>
          </w:tcPr>
          <w:p>
            <w:pPr>
              <w:pStyle w:val="TableParagraph"/>
              <w:spacing w:line="230" w:lineRule="exact"/>
              <w:ind w:left="149" w:right="0" w:firstLine="200"/>
              <w:jc w:val="left"/>
              <w:rPr>
                <w:rFonts w:ascii="宋体" w:hAnsi="宋体" w:cs="宋体" w:eastAsia="宋体" w:hint="default"/>
                <w:sz w:val="20"/>
                <w:szCs w:val="20"/>
              </w:rPr>
            </w:pPr>
            <w:r>
              <w:rPr>
                <w:rFonts w:ascii="宋体" w:hAnsi="宋体" w:cs="宋体" w:eastAsia="宋体" w:hint="default"/>
                <w:sz w:val="20"/>
                <w:szCs w:val="20"/>
              </w:rPr>
              <w:t>品的连锁销售</w:t>
            </w:r>
          </w:p>
          <w:p>
            <w:pPr>
              <w:pStyle w:val="TableParagraph"/>
              <w:spacing w:line="261" w:lineRule="exact"/>
              <w:ind w:left="149" w:right="0"/>
              <w:jc w:val="left"/>
              <w:rPr>
                <w:rFonts w:ascii="宋体" w:hAnsi="宋体" w:cs="宋体" w:eastAsia="宋体" w:hint="default"/>
                <w:sz w:val="20"/>
                <w:szCs w:val="20"/>
              </w:rPr>
            </w:pPr>
            <w:r>
              <w:rPr>
                <w:rFonts w:ascii="宋体" w:hAnsi="宋体" w:cs="宋体" w:eastAsia="宋体" w:hint="default"/>
                <w:sz w:val="20"/>
                <w:szCs w:val="20"/>
              </w:rPr>
              <w:t>电器和电子消费</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60"/>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12"/>
              <w:jc w:val="right"/>
              <w:rPr>
                <w:rFonts w:ascii="宋体" w:hAnsi="宋体" w:cs="宋体" w:eastAsia="宋体" w:hint="default"/>
                <w:sz w:val="20"/>
                <w:szCs w:val="20"/>
              </w:rPr>
            </w:pPr>
            <w:r>
              <w:rPr>
                <w:rFonts w:ascii="宋体" w:hAnsi="宋体" w:cs="宋体" w:eastAsia="宋体" w:hint="default"/>
                <w:sz w:val="20"/>
                <w:szCs w:val="20"/>
              </w:rPr>
              <w:t>赵蓓</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33"/>
              <w:jc w:val="right"/>
              <w:rPr>
                <w:rFonts w:ascii="Arial" w:hAnsi="Arial" w:cs="Arial" w:eastAsia="Arial" w:hint="default"/>
                <w:sz w:val="20"/>
                <w:szCs w:val="20"/>
              </w:rPr>
            </w:pPr>
            <w:r>
              <w:rPr>
                <w:rFonts w:ascii="Arial"/>
                <w:spacing w:val="-1"/>
                <w:sz w:val="20"/>
              </w:rPr>
              <w:t>77455948-1</w:t>
            </w:r>
          </w:p>
        </w:tc>
      </w:tr>
      <w:tr>
        <w:trPr>
          <w:trHeight w:val="265" w:hRule="exact"/>
        </w:trPr>
        <w:tc>
          <w:tcPr>
            <w:tcW w:w="534" w:type="dxa"/>
            <w:tcBorders>
              <w:top w:val="nil" w:sz="6" w:space="0" w:color="auto"/>
              <w:left w:val="nil" w:sz="6" w:space="0" w:color="auto"/>
              <w:bottom w:val="nil" w:sz="6" w:space="0" w:color="auto"/>
              <w:right w:val="nil" w:sz="6" w:space="0" w:color="auto"/>
            </w:tcBorders>
          </w:tcPr>
          <w:p>
            <w:pPr/>
          </w:p>
        </w:tc>
        <w:tc>
          <w:tcPr>
            <w:tcW w:w="4995"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230" w:lineRule="exact"/>
              <w:ind w:left="1006" w:right="0"/>
              <w:jc w:val="left"/>
              <w:rPr>
                <w:rFonts w:ascii="宋体" w:hAnsi="宋体" w:cs="宋体" w:eastAsia="宋体" w:hint="default"/>
                <w:sz w:val="20"/>
                <w:szCs w:val="20"/>
              </w:rPr>
            </w:pPr>
            <w:r>
              <w:rPr>
                <w:rFonts w:ascii="宋体" w:hAnsi="宋体" w:cs="宋体" w:eastAsia="宋体" w:hint="default"/>
                <w:sz w:val="20"/>
                <w:szCs w:val="20"/>
              </w:rPr>
              <w:t>有限公司</w:t>
              <w:tab/>
              <w:t>及</w:t>
            </w:r>
          </w:p>
        </w:tc>
        <w:tc>
          <w:tcPr>
            <w:tcW w:w="147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4" w:lineRule="exact"/>
              <w:ind w:right="147"/>
              <w:jc w:val="right"/>
              <w:rPr>
                <w:rFonts w:ascii="宋体" w:hAnsi="宋体" w:cs="宋体" w:eastAsia="宋体" w:hint="default"/>
                <w:sz w:val="20"/>
                <w:szCs w:val="20"/>
              </w:rPr>
            </w:pPr>
            <w:r>
              <w:rPr>
                <w:rFonts w:ascii="Arial" w:hAnsi="Arial" w:cs="Arial" w:eastAsia="Arial" w:hint="default"/>
                <w:sz w:val="20"/>
                <w:szCs w:val="20"/>
              </w:rPr>
              <w:t>33,443</w:t>
            </w:r>
            <w:r>
              <w:rPr>
                <w:rFonts w:ascii="Arial" w:hAnsi="Arial" w:cs="Arial" w:eastAsia="Arial" w:hint="default"/>
                <w:spacing w:val="-6"/>
                <w:sz w:val="20"/>
                <w:szCs w:val="20"/>
              </w:rPr>
              <w:t> </w:t>
            </w:r>
            <w:r>
              <w:rPr>
                <w:rFonts w:ascii="宋体" w:hAnsi="宋体" w:cs="宋体" w:eastAsia="宋体" w:hint="default"/>
                <w:sz w:val="20"/>
                <w:szCs w:val="20"/>
              </w:rPr>
              <w:t>万元</w:t>
            </w:r>
          </w:p>
        </w:tc>
        <w:tc>
          <w:tcPr>
            <w:tcW w:w="1660"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20"/>
                <w:szCs w:val="20"/>
              </w:rPr>
            </w:pPr>
            <w:r>
              <w:rPr>
                <w:rFonts w:ascii="宋体" w:hAnsi="宋体" w:cs="宋体" w:eastAsia="宋体" w:hint="default"/>
                <w:spacing w:val="-1"/>
                <w:sz w:val="20"/>
                <w:szCs w:val="20"/>
              </w:rPr>
              <w:t>品的连锁销售</w:t>
            </w:r>
          </w:p>
        </w:tc>
        <w:tc>
          <w:tcPr>
            <w:tcW w:w="1481"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r>
      <w:tr>
        <w:trPr>
          <w:trHeight w:val="252" w:hRule="exact"/>
        </w:trPr>
        <w:tc>
          <w:tcPr>
            <w:tcW w:w="534" w:type="dxa"/>
            <w:tcBorders>
              <w:top w:val="nil" w:sz="6" w:space="0" w:color="auto"/>
              <w:left w:val="nil" w:sz="6" w:space="0" w:color="auto"/>
              <w:bottom w:val="nil" w:sz="6" w:space="0" w:color="auto"/>
              <w:right w:val="nil" w:sz="6" w:space="0" w:color="auto"/>
            </w:tcBorders>
          </w:tcPr>
          <w:p>
            <w:pPr/>
          </w:p>
        </w:tc>
        <w:tc>
          <w:tcPr>
            <w:tcW w:w="4995" w:type="dxa"/>
            <w:tcBorders>
              <w:top w:val="nil" w:sz="6" w:space="0" w:color="auto"/>
              <w:left w:val="nil" w:sz="6" w:space="0" w:color="auto"/>
              <w:bottom w:val="nil" w:sz="6" w:space="0" w:color="auto"/>
              <w:right w:val="nil" w:sz="6" w:space="0" w:color="auto"/>
            </w:tcBorders>
          </w:tcPr>
          <w:p>
            <w:pPr>
              <w:pStyle w:val="TableParagraph"/>
              <w:spacing w:line="225" w:lineRule="exact"/>
              <w:ind w:left="2711" w:right="0"/>
              <w:jc w:val="left"/>
              <w:rPr>
                <w:rFonts w:ascii="宋体" w:hAnsi="宋体" w:cs="宋体" w:eastAsia="宋体" w:hint="default"/>
                <w:sz w:val="20"/>
                <w:szCs w:val="20"/>
              </w:rPr>
            </w:pPr>
            <w:r>
              <w:rPr>
                <w:rFonts w:ascii="宋体" w:hAnsi="宋体" w:cs="宋体" w:eastAsia="宋体" w:hint="default"/>
                <w:sz w:val="20"/>
                <w:szCs w:val="20"/>
              </w:rPr>
              <w:t>间接控股</w:t>
            </w:r>
          </w:p>
        </w:tc>
        <w:tc>
          <w:tcPr>
            <w:tcW w:w="147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r>
      <w:tr>
        <w:trPr>
          <w:trHeight w:val="263" w:hRule="exact"/>
        </w:trPr>
        <w:tc>
          <w:tcPr>
            <w:tcW w:w="534" w:type="dxa"/>
            <w:tcBorders>
              <w:top w:val="nil" w:sz="6" w:space="0" w:color="auto"/>
              <w:left w:val="nil" w:sz="6" w:space="0" w:color="auto"/>
              <w:bottom w:val="nil" w:sz="6" w:space="0" w:color="auto"/>
              <w:right w:val="nil" w:sz="6" w:space="0" w:color="auto"/>
            </w:tcBorders>
          </w:tcPr>
          <w:p>
            <w:pPr/>
          </w:p>
        </w:tc>
        <w:tc>
          <w:tcPr>
            <w:tcW w:w="4995" w:type="dxa"/>
            <w:tcBorders>
              <w:top w:val="nil" w:sz="6" w:space="0" w:color="auto"/>
              <w:left w:val="nil" w:sz="6" w:space="0" w:color="auto"/>
              <w:bottom w:val="nil" w:sz="6" w:space="0" w:color="auto"/>
              <w:right w:val="nil" w:sz="6" w:space="0" w:color="auto"/>
            </w:tcBorders>
          </w:tcPr>
          <w:p>
            <w:pPr>
              <w:pStyle w:val="TableParagraph"/>
              <w:tabs>
                <w:tab w:pos="1905" w:val="left" w:leader="none"/>
                <w:tab w:pos="3199" w:val="left" w:leader="none"/>
              </w:tabs>
              <w:spacing w:line="234" w:lineRule="exact"/>
              <w:ind w:right="386"/>
              <w:jc w:val="right"/>
              <w:rPr>
                <w:rFonts w:ascii="宋体" w:hAnsi="宋体" w:cs="宋体" w:eastAsia="宋体" w:hint="default"/>
                <w:sz w:val="20"/>
                <w:szCs w:val="20"/>
              </w:rPr>
            </w:pPr>
            <w:r>
              <w:rPr>
                <w:rFonts w:ascii="宋体" w:hAnsi="宋体" w:cs="宋体" w:eastAsia="宋体" w:hint="default"/>
                <w:spacing w:val="-1"/>
                <w:sz w:val="20"/>
                <w:szCs w:val="20"/>
              </w:rPr>
              <w:t>沈阳苏宁电器</w:t>
              <w:tab/>
            </w:r>
            <w:r>
              <w:rPr>
                <w:rFonts w:ascii="宋体" w:hAnsi="宋体" w:cs="宋体" w:eastAsia="宋体" w:hint="default"/>
                <w:sz w:val="20"/>
                <w:szCs w:val="20"/>
              </w:rPr>
              <w:t>直接控股</w:t>
              <w:tab/>
              <w:t>沈阳市</w:t>
            </w:r>
          </w:p>
        </w:tc>
        <w:tc>
          <w:tcPr>
            <w:tcW w:w="1470" w:type="dxa"/>
            <w:tcBorders>
              <w:top w:val="nil" w:sz="6" w:space="0" w:color="auto"/>
              <w:left w:val="nil" w:sz="6" w:space="0" w:color="auto"/>
              <w:bottom w:val="nil" w:sz="6" w:space="0" w:color="auto"/>
              <w:right w:val="nil" w:sz="6" w:space="0" w:color="auto"/>
            </w:tcBorders>
          </w:tcPr>
          <w:p>
            <w:pPr>
              <w:pStyle w:val="TableParagraph"/>
              <w:spacing w:line="234" w:lineRule="exact"/>
              <w:ind w:left="348" w:right="0"/>
              <w:jc w:val="left"/>
              <w:rPr>
                <w:rFonts w:ascii="宋体" w:hAnsi="宋体" w:cs="宋体" w:eastAsia="宋体" w:hint="default"/>
                <w:sz w:val="20"/>
                <w:szCs w:val="20"/>
              </w:rPr>
            </w:pPr>
            <w:r>
              <w:rPr>
                <w:rFonts w:ascii="宋体" w:hAnsi="宋体" w:cs="宋体" w:eastAsia="宋体" w:hint="default"/>
                <w:sz w:val="20"/>
                <w:szCs w:val="20"/>
              </w:rPr>
              <w:t>零售</w:t>
            </w:r>
          </w:p>
        </w:tc>
        <w:tc>
          <w:tcPr>
            <w:tcW w:w="1652" w:type="dxa"/>
            <w:tcBorders>
              <w:top w:val="nil" w:sz="6" w:space="0" w:color="auto"/>
              <w:left w:val="nil" w:sz="6" w:space="0" w:color="auto"/>
              <w:bottom w:val="nil" w:sz="6" w:space="0" w:color="auto"/>
              <w:right w:val="nil" w:sz="6" w:space="0" w:color="auto"/>
            </w:tcBorders>
          </w:tcPr>
          <w:p>
            <w:pPr>
              <w:pStyle w:val="TableParagraph"/>
              <w:spacing w:line="234" w:lineRule="exact"/>
              <w:ind w:right="148"/>
              <w:jc w:val="right"/>
              <w:rPr>
                <w:rFonts w:ascii="宋体" w:hAnsi="宋体" w:cs="宋体" w:eastAsia="宋体" w:hint="default"/>
                <w:sz w:val="20"/>
                <w:szCs w:val="20"/>
              </w:rPr>
            </w:pPr>
            <w:r>
              <w:rPr>
                <w:rFonts w:ascii="宋体" w:hAnsi="宋体" w:cs="宋体" w:eastAsia="宋体" w:hint="default"/>
                <w:sz w:val="20"/>
                <w:szCs w:val="20"/>
              </w:rPr>
              <w:t>人民币</w:t>
            </w:r>
          </w:p>
        </w:tc>
        <w:tc>
          <w:tcPr>
            <w:tcW w:w="1660" w:type="dxa"/>
            <w:tcBorders>
              <w:top w:val="nil" w:sz="6" w:space="0" w:color="auto"/>
              <w:left w:val="nil" w:sz="6" w:space="0" w:color="auto"/>
              <w:bottom w:val="nil" w:sz="6" w:space="0" w:color="auto"/>
              <w:right w:val="nil" w:sz="6" w:space="0" w:color="auto"/>
            </w:tcBorders>
          </w:tcPr>
          <w:p>
            <w:pPr>
              <w:pStyle w:val="TableParagraph"/>
              <w:spacing w:line="234" w:lineRule="exact"/>
              <w:ind w:right="107"/>
              <w:jc w:val="right"/>
              <w:rPr>
                <w:rFonts w:ascii="宋体" w:hAnsi="宋体" w:cs="宋体" w:eastAsia="宋体" w:hint="default"/>
                <w:sz w:val="20"/>
                <w:szCs w:val="20"/>
              </w:rPr>
            </w:pPr>
            <w:r>
              <w:rPr>
                <w:rFonts w:ascii="宋体" w:hAnsi="宋体" w:cs="宋体" w:eastAsia="宋体" w:hint="default"/>
                <w:spacing w:val="-1"/>
                <w:sz w:val="20"/>
                <w:szCs w:val="20"/>
              </w:rPr>
              <w:t>电器和电子消费</w:t>
            </w:r>
          </w:p>
        </w:tc>
        <w:tc>
          <w:tcPr>
            <w:tcW w:w="1481" w:type="dxa"/>
            <w:tcBorders>
              <w:top w:val="nil" w:sz="6" w:space="0" w:color="auto"/>
              <w:left w:val="nil" w:sz="6" w:space="0" w:color="auto"/>
              <w:bottom w:val="nil" w:sz="6" w:space="0" w:color="auto"/>
              <w:right w:val="nil" w:sz="6" w:space="0" w:color="auto"/>
            </w:tcBorders>
          </w:tcPr>
          <w:p>
            <w:pPr>
              <w:pStyle w:val="TableParagraph"/>
              <w:spacing w:line="234" w:lineRule="exact"/>
              <w:ind w:right="60"/>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317" w:type="dxa"/>
            <w:tcBorders>
              <w:top w:val="nil" w:sz="6" w:space="0" w:color="auto"/>
              <w:left w:val="nil" w:sz="6" w:space="0" w:color="auto"/>
              <w:bottom w:val="nil" w:sz="6" w:space="0" w:color="auto"/>
              <w:right w:val="nil" w:sz="6" w:space="0" w:color="auto"/>
            </w:tcBorders>
          </w:tcPr>
          <w:p>
            <w:pPr>
              <w:pStyle w:val="TableParagraph"/>
              <w:spacing w:line="234" w:lineRule="exact"/>
              <w:ind w:right="212"/>
              <w:jc w:val="right"/>
              <w:rPr>
                <w:rFonts w:ascii="宋体" w:hAnsi="宋体" w:cs="宋体" w:eastAsia="宋体" w:hint="default"/>
                <w:sz w:val="20"/>
                <w:szCs w:val="20"/>
              </w:rPr>
            </w:pPr>
            <w:r>
              <w:rPr>
                <w:rFonts w:ascii="宋体" w:hAnsi="宋体" w:cs="宋体" w:eastAsia="宋体" w:hint="default"/>
                <w:sz w:val="20"/>
                <w:szCs w:val="20"/>
              </w:rPr>
              <w:t>范志军</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Arial" w:hAnsi="Arial" w:cs="Arial" w:eastAsia="Arial" w:hint="default"/>
                <w:sz w:val="20"/>
                <w:szCs w:val="20"/>
              </w:rPr>
            </w:pPr>
            <w:r>
              <w:rPr>
                <w:rFonts w:ascii="Arial"/>
                <w:spacing w:val="-1"/>
                <w:sz w:val="20"/>
              </w:rPr>
              <w:t>75078305-9</w:t>
            </w:r>
          </w:p>
        </w:tc>
      </w:tr>
      <w:tr>
        <w:trPr>
          <w:trHeight w:val="265" w:hRule="exact"/>
        </w:trPr>
        <w:tc>
          <w:tcPr>
            <w:tcW w:w="534" w:type="dxa"/>
            <w:tcBorders>
              <w:top w:val="nil" w:sz="6" w:space="0" w:color="auto"/>
              <w:left w:val="nil" w:sz="6" w:space="0" w:color="auto"/>
              <w:bottom w:val="nil" w:sz="6" w:space="0" w:color="auto"/>
              <w:right w:val="nil" w:sz="6" w:space="0" w:color="auto"/>
            </w:tcBorders>
          </w:tcPr>
          <w:p>
            <w:pPr/>
          </w:p>
        </w:tc>
        <w:tc>
          <w:tcPr>
            <w:tcW w:w="4995"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230" w:lineRule="exact"/>
              <w:ind w:left="1006" w:right="0"/>
              <w:jc w:val="left"/>
              <w:rPr>
                <w:rFonts w:ascii="宋体" w:hAnsi="宋体" w:cs="宋体" w:eastAsia="宋体" w:hint="default"/>
                <w:sz w:val="20"/>
                <w:szCs w:val="20"/>
              </w:rPr>
            </w:pPr>
            <w:r>
              <w:rPr>
                <w:rFonts w:ascii="宋体" w:hAnsi="宋体" w:cs="宋体" w:eastAsia="宋体" w:hint="default"/>
                <w:sz w:val="20"/>
                <w:szCs w:val="20"/>
              </w:rPr>
              <w:t>有限公司</w:t>
              <w:tab/>
              <w:t>及</w:t>
            </w:r>
          </w:p>
        </w:tc>
        <w:tc>
          <w:tcPr>
            <w:tcW w:w="147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4" w:lineRule="exact"/>
              <w:ind w:right="149"/>
              <w:jc w:val="right"/>
              <w:rPr>
                <w:rFonts w:ascii="宋体" w:hAnsi="宋体" w:cs="宋体" w:eastAsia="宋体" w:hint="default"/>
                <w:sz w:val="20"/>
                <w:szCs w:val="20"/>
              </w:rPr>
            </w:pPr>
            <w:r>
              <w:rPr>
                <w:rFonts w:ascii="Arial" w:hAnsi="Arial" w:cs="Arial" w:eastAsia="Arial" w:hint="default"/>
                <w:sz w:val="20"/>
                <w:szCs w:val="20"/>
              </w:rPr>
              <w:t>26,593.3</w:t>
            </w:r>
            <w:r>
              <w:rPr>
                <w:rFonts w:ascii="Arial" w:hAnsi="Arial" w:cs="Arial" w:eastAsia="Arial" w:hint="default"/>
                <w:spacing w:val="-9"/>
                <w:sz w:val="20"/>
                <w:szCs w:val="20"/>
              </w:rPr>
              <w:t> </w:t>
            </w:r>
            <w:r>
              <w:rPr>
                <w:rFonts w:ascii="宋体" w:hAnsi="宋体" w:cs="宋体" w:eastAsia="宋体" w:hint="default"/>
                <w:sz w:val="20"/>
                <w:szCs w:val="20"/>
              </w:rPr>
              <w:t>万元</w:t>
            </w:r>
          </w:p>
        </w:tc>
        <w:tc>
          <w:tcPr>
            <w:tcW w:w="1660"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20"/>
                <w:szCs w:val="20"/>
              </w:rPr>
            </w:pPr>
            <w:r>
              <w:rPr>
                <w:rFonts w:ascii="宋体" w:hAnsi="宋体" w:cs="宋体" w:eastAsia="宋体" w:hint="default"/>
                <w:spacing w:val="-1"/>
                <w:sz w:val="20"/>
                <w:szCs w:val="20"/>
              </w:rPr>
              <w:t>品的连锁销售</w:t>
            </w:r>
          </w:p>
        </w:tc>
        <w:tc>
          <w:tcPr>
            <w:tcW w:w="1481"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r>
      <w:tr>
        <w:trPr>
          <w:trHeight w:val="252" w:hRule="exact"/>
        </w:trPr>
        <w:tc>
          <w:tcPr>
            <w:tcW w:w="534" w:type="dxa"/>
            <w:tcBorders>
              <w:top w:val="nil" w:sz="6" w:space="0" w:color="auto"/>
              <w:left w:val="nil" w:sz="6" w:space="0" w:color="auto"/>
              <w:bottom w:val="nil" w:sz="6" w:space="0" w:color="auto"/>
              <w:right w:val="nil" w:sz="6" w:space="0" w:color="auto"/>
            </w:tcBorders>
          </w:tcPr>
          <w:p>
            <w:pPr/>
          </w:p>
        </w:tc>
        <w:tc>
          <w:tcPr>
            <w:tcW w:w="4995" w:type="dxa"/>
            <w:tcBorders>
              <w:top w:val="nil" w:sz="6" w:space="0" w:color="auto"/>
              <w:left w:val="nil" w:sz="6" w:space="0" w:color="auto"/>
              <w:bottom w:val="nil" w:sz="6" w:space="0" w:color="auto"/>
              <w:right w:val="nil" w:sz="6" w:space="0" w:color="auto"/>
            </w:tcBorders>
          </w:tcPr>
          <w:p>
            <w:pPr>
              <w:pStyle w:val="TableParagraph"/>
              <w:spacing w:line="225" w:lineRule="exact"/>
              <w:ind w:left="2711" w:right="0"/>
              <w:jc w:val="left"/>
              <w:rPr>
                <w:rFonts w:ascii="宋体" w:hAnsi="宋体" w:cs="宋体" w:eastAsia="宋体" w:hint="default"/>
                <w:sz w:val="20"/>
                <w:szCs w:val="20"/>
              </w:rPr>
            </w:pPr>
            <w:r>
              <w:rPr>
                <w:rFonts w:ascii="宋体" w:hAnsi="宋体" w:cs="宋体" w:eastAsia="宋体" w:hint="default"/>
                <w:sz w:val="20"/>
                <w:szCs w:val="20"/>
              </w:rPr>
              <w:t>间接控股</w:t>
            </w:r>
          </w:p>
        </w:tc>
        <w:tc>
          <w:tcPr>
            <w:tcW w:w="147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r>
      <w:tr>
        <w:trPr>
          <w:trHeight w:val="263" w:hRule="exact"/>
        </w:trPr>
        <w:tc>
          <w:tcPr>
            <w:tcW w:w="534" w:type="dxa"/>
            <w:tcBorders>
              <w:top w:val="nil" w:sz="6" w:space="0" w:color="auto"/>
              <w:left w:val="nil" w:sz="6" w:space="0" w:color="auto"/>
              <w:bottom w:val="nil" w:sz="6" w:space="0" w:color="auto"/>
              <w:right w:val="nil" w:sz="6" w:space="0" w:color="auto"/>
            </w:tcBorders>
          </w:tcPr>
          <w:p>
            <w:pPr/>
          </w:p>
        </w:tc>
        <w:tc>
          <w:tcPr>
            <w:tcW w:w="4995" w:type="dxa"/>
            <w:tcBorders>
              <w:top w:val="nil" w:sz="6" w:space="0" w:color="auto"/>
              <w:left w:val="nil" w:sz="6" w:space="0" w:color="auto"/>
              <w:bottom w:val="nil" w:sz="6" w:space="0" w:color="auto"/>
              <w:right w:val="nil" w:sz="6" w:space="0" w:color="auto"/>
            </w:tcBorders>
          </w:tcPr>
          <w:p>
            <w:pPr>
              <w:pStyle w:val="TableParagraph"/>
              <w:tabs>
                <w:tab w:pos="1905" w:val="left" w:leader="none"/>
                <w:tab w:pos="3199" w:val="left" w:leader="none"/>
              </w:tabs>
              <w:spacing w:line="234" w:lineRule="exact"/>
              <w:ind w:right="386"/>
              <w:jc w:val="right"/>
              <w:rPr>
                <w:rFonts w:ascii="宋体" w:hAnsi="宋体" w:cs="宋体" w:eastAsia="宋体" w:hint="default"/>
                <w:sz w:val="20"/>
                <w:szCs w:val="20"/>
              </w:rPr>
            </w:pPr>
            <w:r>
              <w:rPr>
                <w:rFonts w:ascii="宋体" w:hAnsi="宋体" w:cs="宋体" w:eastAsia="宋体" w:hint="default"/>
                <w:spacing w:val="-1"/>
                <w:sz w:val="20"/>
                <w:szCs w:val="20"/>
              </w:rPr>
              <w:t>上海长宁苏宁</w:t>
              <w:tab/>
            </w:r>
            <w:r>
              <w:rPr>
                <w:rFonts w:ascii="宋体" w:hAnsi="宋体" w:cs="宋体" w:eastAsia="宋体" w:hint="default"/>
                <w:sz w:val="20"/>
                <w:szCs w:val="20"/>
              </w:rPr>
              <w:t>直接控股</w:t>
              <w:tab/>
              <w:t>上海市</w:t>
            </w:r>
          </w:p>
        </w:tc>
        <w:tc>
          <w:tcPr>
            <w:tcW w:w="1470" w:type="dxa"/>
            <w:tcBorders>
              <w:top w:val="nil" w:sz="6" w:space="0" w:color="auto"/>
              <w:left w:val="nil" w:sz="6" w:space="0" w:color="auto"/>
              <w:bottom w:val="nil" w:sz="6" w:space="0" w:color="auto"/>
              <w:right w:val="nil" w:sz="6" w:space="0" w:color="auto"/>
            </w:tcBorders>
          </w:tcPr>
          <w:p>
            <w:pPr>
              <w:pStyle w:val="TableParagraph"/>
              <w:spacing w:line="234" w:lineRule="exact"/>
              <w:ind w:left="348" w:right="0"/>
              <w:jc w:val="left"/>
              <w:rPr>
                <w:rFonts w:ascii="宋体" w:hAnsi="宋体" w:cs="宋体" w:eastAsia="宋体" w:hint="default"/>
                <w:sz w:val="20"/>
                <w:szCs w:val="20"/>
              </w:rPr>
            </w:pPr>
            <w:r>
              <w:rPr>
                <w:rFonts w:ascii="宋体" w:hAnsi="宋体" w:cs="宋体" w:eastAsia="宋体" w:hint="default"/>
                <w:sz w:val="20"/>
                <w:szCs w:val="20"/>
              </w:rPr>
              <w:t>零售</w:t>
            </w:r>
          </w:p>
        </w:tc>
        <w:tc>
          <w:tcPr>
            <w:tcW w:w="1652" w:type="dxa"/>
            <w:tcBorders>
              <w:top w:val="nil" w:sz="6" w:space="0" w:color="auto"/>
              <w:left w:val="nil" w:sz="6" w:space="0" w:color="auto"/>
              <w:bottom w:val="nil" w:sz="6" w:space="0" w:color="auto"/>
              <w:right w:val="nil" w:sz="6" w:space="0" w:color="auto"/>
            </w:tcBorders>
          </w:tcPr>
          <w:p>
            <w:pPr>
              <w:pStyle w:val="TableParagraph"/>
              <w:spacing w:line="234" w:lineRule="exact"/>
              <w:ind w:right="148"/>
              <w:jc w:val="right"/>
              <w:rPr>
                <w:rFonts w:ascii="宋体" w:hAnsi="宋体" w:cs="宋体" w:eastAsia="宋体" w:hint="default"/>
                <w:sz w:val="20"/>
                <w:szCs w:val="20"/>
              </w:rPr>
            </w:pPr>
            <w:r>
              <w:rPr>
                <w:rFonts w:ascii="宋体" w:hAnsi="宋体" w:cs="宋体" w:eastAsia="宋体" w:hint="default"/>
                <w:sz w:val="20"/>
                <w:szCs w:val="20"/>
              </w:rPr>
              <w:t>人民币</w:t>
            </w:r>
          </w:p>
        </w:tc>
        <w:tc>
          <w:tcPr>
            <w:tcW w:w="1660" w:type="dxa"/>
            <w:tcBorders>
              <w:top w:val="nil" w:sz="6" w:space="0" w:color="auto"/>
              <w:left w:val="nil" w:sz="6" w:space="0" w:color="auto"/>
              <w:bottom w:val="nil" w:sz="6" w:space="0" w:color="auto"/>
              <w:right w:val="nil" w:sz="6" w:space="0" w:color="auto"/>
            </w:tcBorders>
          </w:tcPr>
          <w:p>
            <w:pPr>
              <w:pStyle w:val="TableParagraph"/>
              <w:spacing w:line="234" w:lineRule="exact"/>
              <w:ind w:right="107"/>
              <w:jc w:val="right"/>
              <w:rPr>
                <w:rFonts w:ascii="宋体" w:hAnsi="宋体" w:cs="宋体" w:eastAsia="宋体" w:hint="default"/>
                <w:sz w:val="20"/>
                <w:szCs w:val="20"/>
              </w:rPr>
            </w:pPr>
            <w:r>
              <w:rPr>
                <w:rFonts w:ascii="宋体" w:hAnsi="宋体" w:cs="宋体" w:eastAsia="宋体" w:hint="default"/>
                <w:spacing w:val="-1"/>
                <w:sz w:val="20"/>
                <w:szCs w:val="20"/>
              </w:rPr>
              <w:t>电器和电子消费</w:t>
            </w:r>
          </w:p>
        </w:tc>
        <w:tc>
          <w:tcPr>
            <w:tcW w:w="1481" w:type="dxa"/>
            <w:tcBorders>
              <w:top w:val="nil" w:sz="6" w:space="0" w:color="auto"/>
              <w:left w:val="nil" w:sz="6" w:space="0" w:color="auto"/>
              <w:bottom w:val="nil" w:sz="6" w:space="0" w:color="auto"/>
              <w:right w:val="nil" w:sz="6" w:space="0" w:color="auto"/>
            </w:tcBorders>
          </w:tcPr>
          <w:p>
            <w:pPr>
              <w:pStyle w:val="TableParagraph"/>
              <w:spacing w:line="234" w:lineRule="exact"/>
              <w:ind w:right="60"/>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317" w:type="dxa"/>
            <w:tcBorders>
              <w:top w:val="nil" w:sz="6" w:space="0" w:color="auto"/>
              <w:left w:val="nil" w:sz="6" w:space="0" w:color="auto"/>
              <w:bottom w:val="nil" w:sz="6" w:space="0" w:color="auto"/>
              <w:right w:val="nil" w:sz="6" w:space="0" w:color="auto"/>
            </w:tcBorders>
          </w:tcPr>
          <w:p>
            <w:pPr>
              <w:pStyle w:val="TableParagraph"/>
              <w:spacing w:line="234" w:lineRule="exact"/>
              <w:ind w:right="212"/>
              <w:jc w:val="right"/>
              <w:rPr>
                <w:rFonts w:ascii="宋体" w:hAnsi="宋体" w:cs="宋体" w:eastAsia="宋体" w:hint="default"/>
                <w:sz w:val="20"/>
                <w:szCs w:val="20"/>
              </w:rPr>
            </w:pPr>
            <w:r>
              <w:rPr>
                <w:rFonts w:ascii="宋体" w:hAnsi="宋体" w:cs="宋体" w:eastAsia="宋体" w:hint="default"/>
                <w:sz w:val="20"/>
                <w:szCs w:val="20"/>
              </w:rPr>
              <w:t>蒋勇</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Arial" w:hAnsi="Arial" w:cs="Arial" w:eastAsia="Arial" w:hint="default"/>
                <w:sz w:val="20"/>
                <w:szCs w:val="20"/>
              </w:rPr>
            </w:pPr>
            <w:r>
              <w:rPr>
                <w:rFonts w:ascii="Arial"/>
                <w:spacing w:val="-1"/>
                <w:sz w:val="20"/>
              </w:rPr>
              <w:t>79702660-2</w:t>
            </w:r>
          </w:p>
        </w:tc>
      </w:tr>
      <w:tr>
        <w:trPr>
          <w:trHeight w:val="265" w:hRule="exact"/>
        </w:trPr>
        <w:tc>
          <w:tcPr>
            <w:tcW w:w="534" w:type="dxa"/>
            <w:tcBorders>
              <w:top w:val="nil" w:sz="6" w:space="0" w:color="auto"/>
              <w:left w:val="nil" w:sz="6" w:space="0" w:color="auto"/>
              <w:bottom w:val="nil" w:sz="6" w:space="0" w:color="auto"/>
              <w:right w:val="nil" w:sz="6" w:space="0" w:color="auto"/>
            </w:tcBorders>
          </w:tcPr>
          <w:p>
            <w:pPr/>
          </w:p>
        </w:tc>
        <w:tc>
          <w:tcPr>
            <w:tcW w:w="4995"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230" w:lineRule="exact"/>
              <w:ind w:left="1006" w:right="0"/>
              <w:jc w:val="left"/>
              <w:rPr>
                <w:rFonts w:ascii="宋体" w:hAnsi="宋体" w:cs="宋体" w:eastAsia="宋体" w:hint="default"/>
                <w:sz w:val="20"/>
                <w:szCs w:val="20"/>
              </w:rPr>
            </w:pPr>
            <w:r>
              <w:rPr>
                <w:rFonts w:ascii="宋体" w:hAnsi="宋体" w:cs="宋体" w:eastAsia="宋体" w:hint="default"/>
                <w:spacing w:val="-1"/>
                <w:sz w:val="20"/>
                <w:szCs w:val="20"/>
              </w:rPr>
              <w:t>电器有限公司</w:t>
              <w:tab/>
            </w:r>
            <w:r>
              <w:rPr>
                <w:rFonts w:ascii="宋体" w:hAnsi="宋体" w:cs="宋体" w:eastAsia="宋体" w:hint="default"/>
                <w:sz w:val="20"/>
                <w:szCs w:val="20"/>
              </w:rPr>
              <w:t>及</w:t>
            </w:r>
          </w:p>
        </w:tc>
        <w:tc>
          <w:tcPr>
            <w:tcW w:w="147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4" w:lineRule="exact"/>
              <w:ind w:right="149"/>
              <w:jc w:val="right"/>
              <w:rPr>
                <w:rFonts w:ascii="宋体" w:hAnsi="宋体" w:cs="宋体" w:eastAsia="宋体" w:hint="default"/>
                <w:sz w:val="20"/>
                <w:szCs w:val="20"/>
              </w:rPr>
            </w:pPr>
            <w:r>
              <w:rPr>
                <w:rFonts w:ascii="Arial" w:hAnsi="Arial" w:cs="Arial" w:eastAsia="Arial" w:hint="default"/>
                <w:sz w:val="20"/>
                <w:szCs w:val="20"/>
              </w:rPr>
              <w:t>55,818.6</w:t>
            </w:r>
            <w:r>
              <w:rPr>
                <w:rFonts w:ascii="Arial" w:hAnsi="Arial" w:cs="Arial" w:eastAsia="Arial" w:hint="default"/>
                <w:spacing w:val="-9"/>
                <w:sz w:val="20"/>
                <w:szCs w:val="20"/>
              </w:rPr>
              <w:t> </w:t>
            </w:r>
            <w:r>
              <w:rPr>
                <w:rFonts w:ascii="宋体" w:hAnsi="宋体" w:cs="宋体" w:eastAsia="宋体" w:hint="default"/>
                <w:sz w:val="20"/>
                <w:szCs w:val="20"/>
              </w:rPr>
              <w:t>万元</w:t>
            </w:r>
          </w:p>
        </w:tc>
        <w:tc>
          <w:tcPr>
            <w:tcW w:w="1660"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20"/>
                <w:szCs w:val="20"/>
              </w:rPr>
            </w:pPr>
            <w:r>
              <w:rPr>
                <w:rFonts w:ascii="宋体" w:hAnsi="宋体" w:cs="宋体" w:eastAsia="宋体" w:hint="default"/>
                <w:spacing w:val="-1"/>
                <w:sz w:val="20"/>
                <w:szCs w:val="20"/>
              </w:rPr>
              <w:t>品的连锁销售</w:t>
            </w:r>
          </w:p>
        </w:tc>
        <w:tc>
          <w:tcPr>
            <w:tcW w:w="1481"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r>
      <w:tr>
        <w:trPr>
          <w:trHeight w:val="252" w:hRule="exact"/>
        </w:trPr>
        <w:tc>
          <w:tcPr>
            <w:tcW w:w="534" w:type="dxa"/>
            <w:tcBorders>
              <w:top w:val="nil" w:sz="6" w:space="0" w:color="auto"/>
              <w:left w:val="nil" w:sz="6" w:space="0" w:color="auto"/>
              <w:bottom w:val="nil" w:sz="6" w:space="0" w:color="auto"/>
              <w:right w:val="nil" w:sz="6" w:space="0" w:color="auto"/>
            </w:tcBorders>
          </w:tcPr>
          <w:p>
            <w:pPr/>
          </w:p>
        </w:tc>
        <w:tc>
          <w:tcPr>
            <w:tcW w:w="4995" w:type="dxa"/>
            <w:tcBorders>
              <w:top w:val="nil" w:sz="6" w:space="0" w:color="auto"/>
              <w:left w:val="nil" w:sz="6" w:space="0" w:color="auto"/>
              <w:bottom w:val="nil" w:sz="6" w:space="0" w:color="auto"/>
              <w:right w:val="nil" w:sz="6" w:space="0" w:color="auto"/>
            </w:tcBorders>
          </w:tcPr>
          <w:p>
            <w:pPr>
              <w:pStyle w:val="TableParagraph"/>
              <w:spacing w:line="225" w:lineRule="exact"/>
              <w:ind w:left="2711" w:right="0"/>
              <w:jc w:val="left"/>
              <w:rPr>
                <w:rFonts w:ascii="宋体" w:hAnsi="宋体" w:cs="宋体" w:eastAsia="宋体" w:hint="default"/>
                <w:sz w:val="20"/>
                <w:szCs w:val="20"/>
              </w:rPr>
            </w:pPr>
            <w:r>
              <w:rPr>
                <w:rFonts w:ascii="宋体" w:hAnsi="宋体" w:cs="宋体" w:eastAsia="宋体" w:hint="default"/>
                <w:sz w:val="20"/>
                <w:szCs w:val="20"/>
              </w:rPr>
              <w:t>间接控股</w:t>
            </w:r>
          </w:p>
        </w:tc>
        <w:tc>
          <w:tcPr>
            <w:tcW w:w="147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r>
      <w:tr>
        <w:trPr>
          <w:trHeight w:val="263" w:hRule="exact"/>
        </w:trPr>
        <w:tc>
          <w:tcPr>
            <w:tcW w:w="534" w:type="dxa"/>
            <w:tcBorders>
              <w:top w:val="nil" w:sz="6" w:space="0" w:color="auto"/>
              <w:left w:val="nil" w:sz="6" w:space="0" w:color="auto"/>
              <w:bottom w:val="nil" w:sz="6" w:space="0" w:color="auto"/>
              <w:right w:val="nil" w:sz="6" w:space="0" w:color="auto"/>
            </w:tcBorders>
          </w:tcPr>
          <w:p>
            <w:pPr/>
          </w:p>
        </w:tc>
        <w:tc>
          <w:tcPr>
            <w:tcW w:w="4995" w:type="dxa"/>
            <w:tcBorders>
              <w:top w:val="nil" w:sz="6" w:space="0" w:color="auto"/>
              <w:left w:val="nil" w:sz="6" w:space="0" w:color="auto"/>
              <w:bottom w:val="nil" w:sz="6" w:space="0" w:color="auto"/>
              <w:right w:val="nil" w:sz="6" w:space="0" w:color="auto"/>
            </w:tcBorders>
          </w:tcPr>
          <w:p>
            <w:pPr>
              <w:pStyle w:val="TableParagraph"/>
              <w:tabs>
                <w:tab w:pos="1905" w:val="left" w:leader="none"/>
                <w:tab w:pos="3199" w:val="left" w:leader="none"/>
              </w:tabs>
              <w:spacing w:line="234" w:lineRule="exact"/>
              <w:ind w:right="386"/>
              <w:jc w:val="right"/>
              <w:rPr>
                <w:rFonts w:ascii="宋体" w:hAnsi="宋体" w:cs="宋体" w:eastAsia="宋体" w:hint="default"/>
                <w:sz w:val="20"/>
                <w:szCs w:val="20"/>
              </w:rPr>
            </w:pPr>
            <w:r>
              <w:rPr>
                <w:rFonts w:ascii="宋体" w:hAnsi="宋体" w:cs="宋体" w:eastAsia="宋体" w:hint="default"/>
                <w:spacing w:val="-1"/>
                <w:sz w:val="20"/>
                <w:szCs w:val="20"/>
              </w:rPr>
              <w:t>南京苏宁中央空</w:t>
              <w:tab/>
            </w:r>
            <w:r>
              <w:rPr>
                <w:rFonts w:ascii="宋体" w:hAnsi="宋体" w:cs="宋体" w:eastAsia="宋体" w:hint="default"/>
                <w:sz w:val="20"/>
                <w:szCs w:val="20"/>
              </w:rPr>
              <w:t>直接控股</w:t>
              <w:tab/>
              <w:t>南京市</w:t>
            </w:r>
          </w:p>
        </w:tc>
        <w:tc>
          <w:tcPr>
            <w:tcW w:w="1470" w:type="dxa"/>
            <w:tcBorders>
              <w:top w:val="nil" w:sz="6" w:space="0" w:color="auto"/>
              <w:left w:val="nil" w:sz="6" w:space="0" w:color="auto"/>
              <w:bottom w:val="nil" w:sz="6" w:space="0" w:color="auto"/>
              <w:right w:val="nil" w:sz="6" w:space="0" w:color="auto"/>
            </w:tcBorders>
          </w:tcPr>
          <w:p>
            <w:pPr>
              <w:pStyle w:val="TableParagraph"/>
              <w:spacing w:line="234" w:lineRule="exact"/>
              <w:ind w:left="69" w:right="0"/>
              <w:jc w:val="left"/>
              <w:rPr>
                <w:rFonts w:ascii="宋体" w:hAnsi="宋体" w:cs="宋体" w:eastAsia="宋体" w:hint="default"/>
                <w:sz w:val="20"/>
                <w:szCs w:val="20"/>
              </w:rPr>
            </w:pPr>
            <w:r>
              <w:rPr>
                <w:rFonts w:ascii="宋体" w:hAnsi="宋体" w:cs="宋体" w:eastAsia="宋体" w:hint="default"/>
                <w:sz w:val="20"/>
                <w:szCs w:val="20"/>
              </w:rPr>
              <w:t>批发及工</w:t>
            </w:r>
          </w:p>
        </w:tc>
        <w:tc>
          <w:tcPr>
            <w:tcW w:w="1652" w:type="dxa"/>
            <w:tcBorders>
              <w:top w:val="nil" w:sz="6" w:space="0" w:color="auto"/>
              <w:left w:val="nil" w:sz="6" w:space="0" w:color="auto"/>
              <w:bottom w:val="nil" w:sz="6" w:space="0" w:color="auto"/>
              <w:right w:val="nil" w:sz="6" w:space="0" w:color="auto"/>
            </w:tcBorders>
          </w:tcPr>
          <w:p>
            <w:pPr>
              <w:pStyle w:val="TableParagraph"/>
              <w:spacing w:line="234" w:lineRule="exact"/>
              <w:ind w:right="148"/>
              <w:jc w:val="right"/>
              <w:rPr>
                <w:rFonts w:ascii="宋体" w:hAnsi="宋体" w:cs="宋体" w:eastAsia="宋体" w:hint="default"/>
                <w:sz w:val="20"/>
                <w:szCs w:val="20"/>
              </w:rPr>
            </w:pPr>
            <w:r>
              <w:rPr>
                <w:rFonts w:ascii="宋体" w:hAnsi="宋体" w:cs="宋体" w:eastAsia="宋体" w:hint="default"/>
                <w:sz w:val="20"/>
                <w:szCs w:val="20"/>
              </w:rPr>
              <w:t>人民币</w:t>
            </w:r>
          </w:p>
        </w:tc>
        <w:tc>
          <w:tcPr>
            <w:tcW w:w="1660" w:type="dxa"/>
            <w:tcBorders>
              <w:top w:val="nil" w:sz="6" w:space="0" w:color="auto"/>
              <w:left w:val="nil" w:sz="6" w:space="0" w:color="auto"/>
              <w:bottom w:val="nil" w:sz="6" w:space="0" w:color="auto"/>
              <w:right w:val="nil" w:sz="6" w:space="0" w:color="auto"/>
            </w:tcBorders>
          </w:tcPr>
          <w:p>
            <w:pPr>
              <w:pStyle w:val="TableParagraph"/>
              <w:spacing w:line="234" w:lineRule="exact"/>
              <w:ind w:right="107"/>
              <w:jc w:val="right"/>
              <w:rPr>
                <w:rFonts w:ascii="宋体" w:hAnsi="宋体" w:cs="宋体" w:eastAsia="宋体" w:hint="default"/>
                <w:sz w:val="20"/>
                <w:szCs w:val="20"/>
              </w:rPr>
            </w:pPr>
            <w:r>
              <w:rPr>
                <w:rFonts w:ascii="宋体" w:hAnsi="宋体" w:cs="宋体" w:eastAsia="宋体" w:hint="default"/>
                <w:spacing w:val="-1"/>
                <w:sz w:val="20"/>
                <w:szCs w:val="20"/>
              </w:rPr>
              <w:t>电器和电子消费</w:t>
            </w:r>
          </w:p>
        </w:tc>
        <w:tc>
          <w:tcPr>
            <w:tcW w:w="1481" w:type="dxa"/>
            <w:tcBorders>
              <w:top w:val="nil" w:sz="6" w:space="0" w:color="auto"/>
              <w:left w:val="nil" w:sz="6" w:space="0" w:color="auto"/>
              <w:bottom w:val="nil" w:sz="6" w:space="0" w:color="auto"/>
              <w:right w:val="nil" w:sz="6" w:space="0" w:color="auto"/>
            </w:tcBorders>
          </w:tcPr>
          <w:p>
            <w:pPr>
              <w:pStyle w:val="TableParagraph"/>
              <w:spacing w:line="234" w:lineRule="exact"/>
              <w:ind w:right="60"/>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317" w:type="dxa"/>
            <w:tcBorders>
              <w:top w:val="nil" w:sz="6" w:space="0" w:color="auto"/>
              <w:left w:val="nil" w:sz="6" w:space="0" w:color="auto"/>
              <w:bottom w:val="nil" w:sz="6" w:space="0" w:color="auto"/>
              <w:right w:val="nil" w:sz="6" w:space="0" w:color="auto"/>
            </w:tcBorders>
          </w:tcPr>
          <w:p>
            <w:pPr>
              <w:pStyle w:val="TableParagraph"/>
              <w:spacing w:line="234" w:lineRule="exact"/>
              <w:ind w:right="212"/>
              <w:jc w:val="right"/>
              <w:rPr>
                <w:rFonts w:ascii="宋体" w:hAnsi="宋体" w:cs="宋体" w:eastAsia="宋体" w:hint="default"/>
                <w:sz w:val="20"/>
                <w:szCs w:val="20"/>
              </w:rPr>
            </w:pPr>
            <w:r>
              <w:rPr>
                <w:rFonts w:ascii="宋体" w:hAnsi="宋体" w:cs="宋体" w:eastAsia="宋体" w:hint="default"/>
                <w:sz w:val="20"/>
                <w:szCs w:val="20"/>
              </w:rPr>
              <w:t>金明</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Arial" w:hAnsi="Arial" w:cs="Arial" w:eastAsia="Arial" w:hint="default"/>
                <w:sz w:val="20"/>
                <w:szCs w:val="20"/>
              </w:rPr>
            </w:pPr>
            <w:r>
              <w:rPr>
                <w:rFonts w:ascii="Arial"/>
                <w:spacing w:val="-1"/>
                <w:sz w:val="20"/>
              </w:rPr>
              <w:t>67902185-1</w:t>
            </w:r>
          </w:p>
        </w:tc>
      </w:tr>
      <w:tr>
        <w:trPr>
          <w:trHeight w:val="265" w:hRule="exact"/>
        </w:trPr>
        <w:tc>
          <w:tcPr>
            <w:tcW w:w="534" w:type="dxa"/>
            <w:tcBorders>
              <w:top w:val="nil" w:sz="6" w:space="0" w:color="auto"/>
              <w:left w:val="nil" w:sz="6" w:space="0" w:color="auto"/>
              <w:bottom w:val="nil" w:sz="6" w:space="0" w:color="auto"/>
              <w:right w:val="nil" w:sz="6" w:space="0" w:color="auto"/>
            </w:tcBorders>
          </w:tcPr>
          <w:p>
            <w:pPr/>
          </w:p>
        </w:tc>
        <w:tc>
          <w:tcPr>
            <w:tcW w:w="4995"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230" w:lineRule="exact"/>
              <w:ind w:left="1005" w:right="0"/>
              <w:jc w:val="left"/>
              <w:rPr>
                <w:rFonts w:ascii="宋体" w:hAnsi="宋体" w:cs="宋体" w:eastAsia="宋体" w:hint="default"/>
                <w:sz w:val="20"/>
                <w:szCs w:val="20"/>
              </w:rPr>
            </w:pPr>
            <w:r>
              <w:rPr>
                <w:rFonts w:ascii="宋体" w:hAnsi="宋体" w:cs="宋体" w:eastAsia="宋体" w:hint="default"/>
                <w:spacing w:val="-1"/>
                <w:sz w:val="20"/>
                <w:szCs w:val="20"/>
              </w:rPr>
              <w:t>调销售有限公司</w:t>
              <w:tab/>
            </w:r>
            <w:r>
              <w:rPr>
                <w:rFonts w:ascii="宋体" w:hAnsi="宋体" w:cs="宋体" w:eastAsia="宋体" w:hint="default"/>
                <w:sz w:val="20"/>
                <w:szCs w:val="20"/>
              </w:rPr>
              <w:t>及</w:t>
            </w:r>
          </w:p>
        </w:tc>
        <w:tc>
          <w:tcPr>
            <w:tcW w:w="1470" w:type="dxa"/>
            <w:tcBorders>
              <w:top w:val="nil" w:sz="6" w:space="0" w:color="auto"/>
              <w:left w:val="nil" w:sz="6" w:space="0" w:color="auto"/>
              <w:bottom w:val="nil" w:sz="6" w:space="0" w:color="auto"/>
              <w:right w:val="nil" w:sz="6" w:space="0" w:color="auto"/>
            </w:tcBorders>
          </w:tcPr>
          <w:p>
            <w:pPr>
              <w:pStyle w:val="TableParagraph"/>
              <w:spacing w:line="230" w:lineRule="exact"/>
              <w:ind w:left="269" w:right="0"/>
              <w:jc w:val="left"/>
              <w:rPr>
                <w:rFonts w:ascii="宋体" w:hAnsi="宋体" w:cs="宋体" w:eastAsia="宋体" w:hint="default"/>
                <w:sz w:val="20"/>
                <w:szCs w:val="20"/>
              </w:rPr>
            </w:pPr>
            <w:r>
              <w:rPr>
                <w:rFonts w:ascii="宋体" w:hAnsi="宋体" w:cs="宋体" w:eastAsia="宋体" w:hint="default"/>
                <w:sz w:val="20"/>
                <w:szCs w:val="20"/>
              </w:rPr>
              <w:t>程销售</w:t>
            </w:r>
          </w:p>
        </w:tc>
        <w:tc>
          <w:tcPr>
            <w:tcW w:w="1652" w:type="dxa"/>
            <w:tcBorders>
              <w:top w:val="nil" w:sz="6" w:space="0" w:color="auto"/>
              <w:left w:val="nil" w:sz="6" w:space="0" w:color="auto"/>
              <w:bottom w:val="nil" w:sz="6" w:space="0" w:color="auto"/>
              <w:right w:val="nil" w:sz="6" w:space="0" w:color="auto"/>
            </w:tcBorders>
          </w:tcPr>
          <w:p>
            <w:pPr>
              <w:pStyle w:val="TableParagraph"/>
              <w:spacing w:line="244" w:lineRule="exact"/>
              <w:ind w:right="148"/>
              <w:jc w:val="right"/>
              <w:rPr>
                <w:rFonts w:ascii="宋体" w:hAnsi="宋体" w:cs="宋体" w:eastAsia="宋体" w:hint="default"/>
                <w:sz w:val="20"/>
                <w:szCs w:val="20"/>
              </w:rPr>
            </w:pPr>
            <w:r>
              <w:rPr>
                <w:rFonts w:ascii="Arial" w:hAnsi="Arial" w:cs="Arial" w:eastAsia="Arial" w:hint="default"/>
                <w:sz w:val="20"/>
                <w:szCs w:val="20"/>
              </w:rPr>
              <w:t>500</w:t>
            </w:r>
            <w:r>
              <w:rPr>
                <w:rFonts w:ascii="Arial" w:hAnsi="Arial" w:cs="Arial" w:eastAsia="Arial" w:hint="default"/>
                <w:spacing w:val="-6"/>
                <w:sz w:val="20"/>
                <w:szCs w:val="20"/>
              </w:rPr>
              <w:t> </w:t>
            </w:r>
            <w:r>
              <w:rPr>
                <w:rFonts w:ascii="宋体" w:hAnsi="宋体" w:cs="宋体" w:eastAsia="宋体" w:hint="default"/>
                <w:sz w:val="20"/>
                <w:szCs w:val="20"/>
              </w:rPr>
              <w:t>万元</w:t>
            </w:r>
          </w:p>
        </w:tc>
        <w:tc>
          <w:tcPr>
            <w:tcW w:w="1660"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20"/>
                <w:szCs w:val="20"/>
              </w:rPr>
            </w:pPr>
            <w:r>
              <w:rPr>
                <w:rFonts w:ascii="宋体" w:hAnsi="宋体" w:cs="宋体" w:eastAsia="宋体" w:hint="default"/>
                <w:spacing w:val="-1"/>
                <w:sz w:val="20"/>
                <w:szCs w:val="20"/>
              </w:rPr>
              <w:t>品的连锁销售</w:t>
            </w:r>
          </w:p>
        </w:tc>
        <w:tc>
          <w:tcPr>
            <w:tcW w:w="1481"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r>
      <w:tr>
        <w:trPr>
          <w:trHeight w:val="325" w:hRule="exact"/>
        </w:trPr>
        <w:tc>
          <w:tcPr>
            <w:tcW w:w="534" w:type="dxa"/>
            <w:tcBorders>
              <w:top w:val="nil" w:sz="6" w:space="0" w:color="auto"/>
              <w:left w:val="nil" w:sz="6" w:space="0" w:color="auto"/>
              <w:bottom w:val="nil" w:sz="6" w:space="0" w:color="auto"/>
              <w:right w:val="nil" w:sz="6" w:space="0" w:color="auto"/>
            </w:tcBorders>
          </w:tcPr>
          <w:p>
            <w:pPr/>
          </w:p>
        </w:tc>
        <w:tc>
          <w:tcPr>
            <w:tcW w:w="4995" w:type="dxa"/>
            <w:tcBorders>
              <w:top w:val="nil" w:sz="6" w:space="0" w:color="auto"/>
              <w:left w:val="nil" w:sz="6" w:space="0" w:color="auto"/>
              <w:bottom w:val="nil" w:sz="6" w:space="0" w:color="auto"/>
              <w:right w:val="nil" w:sz="6" w:space="0" w:color="auto"/>
            </w:tcBorders>
          </w:tcPr>
          <w:p>
            <w:pPr>
              <w:pStyle w:val="TableParagraph"/>
              <w:spacing w:line="225" w:lineRule="exact"/>
              <w:ind w:left="2711" w:right="0"/>
              <w:jc w:val="left"/>
              <w:rPr>
                <w:rFonts w:ascii="宋体" w:hAnsi="宋体" w:cs="宋体" w:eastAsia="宋体" w:hint="default"/>
                <w:sz w:val="20"/>
                <w:szCs w:val="20"/>
              </w:rPr>
            </w:pPr>
            <w:r>
              <w:rPr>
                <w:rFonts w:ascii="宋体" w:hAnsi="宋体" w:cs="宋体" w:eastAsia="宋体" w:hint="default"/>
                <w:sz w:val="20"/>
                <w:szCs w:val="20"/>
              </w:rPr>
              <w:t>间接控股</w:t>
            </w:r>
          </w:p>
        </w:tc>
        <w:tc>
          <w:tcPr>
            <w:tcW w:w="1470"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1475" w:footer="945" w:top="3020" w:bottom="1140" w:left="980" w:right="860"/>
        </w:sectPr>
      </w:pPr>
    </w:p>
    <w:p>
      <w:pPr>
        <w:spacing w:line="240" w:lineRule="auto" w:before="4"/>
        <w:rPr>
          <w:rFonts w:ascii="Times New Roman" w:hAnsi="Times New Roman" w:cs="Times New Roman" w:eastAsia="Times New Roman" w:hint="default"/>
          <w:sz w:val="15"/>
          <w:szCs w:val="15"/>
        </w:rPr>
      </w:pPr>
    </w:p>
    <w:p>
      <w:pPr>
        <w:pStyle w:val="Heading2"/>
        <w:tabs>
          <w:tab w:pos="856" w:val="left" w:leader="none"/>
        </w:tabs>
        <w:spacing w:line="240" w:lineRule="auto"/>
        <w:ind w:left="149" w:right="0"/>
        <w:jc w:val="left"/>
        <w:rPr>
          <w:rFonts w:ascii="Arial" w:hAnsi="Arial" w:cs="Arial" w:eastAsia="Arial" w:hint="default"/>
          <w:b w:val="0"/>
          <w:bCs w:val="0"/>
        </w:rPr>
      </w:pPr>
      <w:r>
        <w:rPr>
          <w:w w:val="95"/>
        </w:rPr>
        <w:t>四</w:t>
        <w:tab/>
      </w:r>
      <w:r>
        <w:rPr/>
        <w:t>企业合并及合并财务报表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56" w:val="left" w:leader="none"/>
        </w:tabs>
        <w:spacing w:before="0"/>
        <w:ind w:left="149" w:right="0" w:firstLine="0"/>
        <w:jc w:val="left"/>
        <w:rPr>
          <w:rFonts w:ascii="Arial" w:hAnsi="Arial" w:cs="Arial" w:eastAsia="Arial" w:hint="default"/>
          <w:sz w:val="24"/>
          <w:szCs w:val="24"/>
        </w:rPr>
      </w:pPr>
      <w:r>
        <w:rPr>
          <w:rFonts w:ascii="Arial" w:hAnsi="Arial" w:cs="Arial" w:eastAsia="Arial" w:hint="default"/>
          <w:w w:val="95"/>
          <w:position w:val="2"/>
          <w:sz w:val="24"/>
          <w:szCs w:val="24"/>
        </w:rPr>
        <w:t>(1)</w:t>
        <w:tab/>
      </w:r>
      <w:r>
        <w:rPr>
          <w:rFonts w:ascii="宋体" w:hAnsi="宋体" w:cs="宋体" w:eastAsia="宋体" w:hint="default"/>
          <w:b/>
          <w:bCs/>
          <w:sz w:val="24"/>
          <w:szCs w:val="24"/>
        </w:rPr>
        <w:t>子公司情况</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56" w:val="left" w:leader="none"/>
        </w:tabs>
        <w:spacing w:line="240" w:lineRule="auto"/>
        <w:ind w:left="149" w:right="0"/>
        <w:jc w:val="left"/>
        <w:rPr>
          <w:rFonts w:ascii="Arial" w:hAnsi="Arial" w:cs="Arial" w:eastAsia="Arial" w:hint="default"/>
        </w:rPr>
      </w:pPr>
      <w:r>
        <w:rPr>
          <w:rFonts w:ascii="Arial" w:hAnsi="Arial" w:cs="Arial" w:eastAsia="Arial" w:hint="default"/>
          <w:w w:val="95"/>
          <w:position w:val="2"/>
        </w:rPr>
        <w:t>(a)</w:t>
        <w:tab/>
      </w:r>
      <w:r>
        <w:rPr/>
        <w:t>通过设立或投资等方式取得的主要子公司</w:t>
      </w:r>
      <w:r>
        <w:rPr>
          <w:rFonts w:ascii="Arial" w:hAnsi="Arial" w:cs="Arial" w:eastAsia="Arial" w:hint="default"/>
        </w:rPr>
        <w:t>(</w:t>
      </w:r>
      <w:r>
        <w:rPr/>
        <w:t>续</w:t>
      </w:r>
      <w:r>
        <w:rPr>
          <w:rFonts w:ascii="Arial" w:hAnsi="Arial" w:cs="Arial" w:eastAsia="Arial" w:hint="default"/>
        </w:rPr>
        <w:t>)</w:t>
      </w:r>
    </w:p>
    <w:p>
      <w:pPr>
        <w:spacing w:line="240" w:lineRule="auto" w:before="7"/>
        <w:rPr>
          <w:rFonts w:ascii="Arial" w:hAnsi="Arial" w:cs="Arial" w:eastAsia="Arial" w:hint="default"/>
          <w:sz w:val="19"/>
          <w:szCs w:val="19"/>
        </w:rPr>
      </w:pPr>
    </w:p>
    <w:tbl>
      <w:tblPr>
        <w:tblW w:w="0" w:type="auto"/>
        <w:jc w:val="left"/>
        <w:tblInd w:w="821" w:type="dxa"/>
        <w:tblLayout w:type="fixed"/>
        <w:tblCellMar>
          <w:top w:w="0" w:type="dxa"/>
          <w:left w:w="0" w:type="dxa"/>
          <w:bottom w:w="0" w:type="dxa"/>
          <w:right w:w="0" w:type="dxa"/>
        </w:tblCellMar>
        <w:tblLook w:val="01E0"/>
      </w:tblPr>
      <w:tblGrid>
        <w:gridCol w:w="1497"/>
        <w:gridCol w:w="1600"/>
        <w:gridCol w:w="1691"/>
        <w:gridCol w:w="732"/>
        <w:gridCol w:w="890"/>
        <w:gridCol w:w="695"/>
        <w:gridCol w:w="1718"/>
        <w:gridCol w:w="1483"/>
      </w:tblGrid>
      <w:tr>
        <w:trPr>
          <w:trHeight w:val="587" w:hRule="exact"/>
        </w:trPr>
        <w:tc>
          <w:tcPr>
            <w:tcW w:w="1497" w:type="dxa"/>
            <w:vMerge w:val="restart"/>
            <w:tcBorders>
              <w:top w:val="nil" w:sz="6" w:space="0" w:color="auto"/>
              <w:left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16" w:right="180" w:hanging="201"/>
              <w:jc w:val="left"/>
              <w:rPr>
                <w:rFonts w:ascii="宋体" w:hAnsi="宋体" w:cs="宋体" w:eastAsia="宋体" w:hint="default"/>
                <w:sz w:val="20"/>
                <w:szCs w:val="20"/>
              </w:rPr>
            </w:pPr>
            <w:r>
              <w:rPr>
                <w:rFonts w:ascii="宋体" w:hAnsi="宋体" w:cs="宋体" w:eastAsia="宋体" w:hint="default"/>
                <w:sz w:val="20"/>
                <w:szCs w:val="20"/>
              </w:rPr>
              <w:t>年末实际</w:t>
            </w:r>
            <w:r>
              <w:rPr>
                <w:rFonts w:ascii="宋体" w:hAnsi="宋体" w:cs="宋体" w:eastAsia="宋体" w:hint="default"/>
                <w:w w:val="100"/>
                <w:sz w:val="20"/>
                <w:szCs w:val="20"/>
              </w:rPr>
              <w:t> </w:t>
            </w:r>
            <w:r>
              <w:rPr>
                <w:rFonts w:ascii="宋体" w:hAnsi="宋体" w:cs="宋体" w:eastAsia="宋体" w:hint="default"/>
                <w:sz w:val="20"/>
                <w:szCs w:val="20"/>
              </w:rPr>
              <w:t>出资额</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82" w:right="104" w:hanging="201"/>
              <w:jc w:val="left"/>
              <w:rPr>
                <w:rFonts w:ascii="宋体" w:hAnsi="宋体" w:cs="宋体" w:eastAsia="宋体" w:hint="default"/>
                <w:sz w:val="20"/>
                <w:szCs w:val="20"/>
              </w:rPr>
            </w:pPr>
            <w:r>
              <w:rPr>
                <w:rFonts w:ascii="宋体" w:hAnsi="宋体" w:cs="宋体" w:eastAsia="宋体" w:hint="default"/>
                <w:sz w:val="20"/>
                <w:szCs w:val="20"/>
              </w:rPr>
              <w:t>实质上构成对子</w:t>
            </w:r>
            <w:r>
              <w:rPr>
                <w:rFonts w:ascii="宋体" w:hAnsi="宋体" w:cs="宋体" w:eastAsia="宋体" w:hint="default"/>
                <w:w w:val="100"/>
                <w:sz w:val="20"/>
                <w:szCs w:val="20"/>
              </w:rPr>
              <w:t> </w:t>
            </w:r>
            <w:r>
              <w:rPr>
                <w:rFonts w:ascii="宋体" w:hAnsi="宋体" w:cs="宋体" w:eastAsia="宋体" w:hint="default"/>
                <w:sz w:val="20"/>
                <w:szCs w:val="20"/>
              </w:rPr>
              <w:t>公司净投资的</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2" w:right="166"/>
              <w:jc w:val="left"/>
              <w:rPr>
                <w:rFonts w:ascii="宋体" w:hAnsi="宋体" w:cs="宋体" w:eastAsia="宋体" w:hint="default"/>
                <w:sz w:val="20"/>
                <w:szCs w:val="20"/>
              </w:rPr>
            </w:pPr>
            <w:r>
              <w:rPr>
                <w:rFonts w:ascii="宋体" w:hAnsi="宋体" w:cs="宋体" w:eastAsia="宋体" w:hint="default"/>
                <w:sz w:val="20"/>
                <w:szCs w:val="20"/>
              </w:rPr>
              <w:t>持股</w:t>
            </w:r>
            <w:r>
              <w:rPr>
                <w:rFonts w:ascii="宋体" w:hAnsi="宋体" w:cs="宋体" w:eastAsia="宋体" w:hint="default"/>
                <w:w w:val="100"/>
                <w:sz w:val="20"/>
                <w:szCs w:val="20"/>
              </w:rPr>
              <w:t> </w:t>
            </w:r>
            <w:r>
              <w:rPr>
                <w:rFonts w:ascii="宋体" w:hAnsi="宋体" w:cs="宋体" w:eastAsia="宋体" w:hint="default"/>
                <w:sz w:val="20"/>
                <w:szCs w:val="20"/>
              </w:rPr>
              <w:t>比例</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11" w:right="176" w:hanging="200"/>
              <w:jc w:val="left"/>
              <w:rPr>
                <w:rFonts w:ascii="宋体" w:hAnsi="宋体" w:cs="宋体" w:eastAsia="宋体" w:hint="default"/>
                <w:sz w:val="20"/>
                <w:szCs w:val="20"/>
              </w:rPr>
            </w:pPr>
            <w:r>
              <w:rPr>
                <w:rFonts w:ascii="宋体" w:hAnsi="宋体" w:cs="宋体" w:eastAsia="宋体" w:hint="default"/>
                <w:sz w:val="20"/>
                <w:szCs w:val="20"/>
              </w:rPr>
              <w:t>表决权</w:t>
            </w:r>
            <w:r>
              <w:rPr>
                <w:rFonts w:ascii="宋体" w:hAnsi="宋体" w:cs="宋体" w:eastAsia="宋体" w:hint="default"/>
                <w:w w:val="100"/>
                <w:sz w:val="20"/>
                <w:szCs w:val="20"/>
              </w:rPr>
              <w:t> </w:t>
            </w:r>
            <w:r>
              <w:rPr>
                <w:rFonts w:ascii="宋体" w:hAnsi="宋体" w:cs="宋体" w:eastAsia="宋体" w:hint="default"/>
                <w:sz w:val="20"/>
                <w:szCs w:val="20"/>
              </w:rPr>
              <w:t>比例</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78" w:right="113"/>
              <w:jc w:val="left"/>
              <w:rPr>
                <w:rFonts w:ascii="宋体" w:hAnsi="宋体" w:cs="宋体" w:eastAsia="宋体" w:hint="default"/>
                <w:sz w:val="20"/>
                <w:szCs w:val="20"/>
              </w:rPr>
            </w:pPr>
            <w:r>
              <w:rPr>
                <w:rFonts w:ascii="宋体" w:hAnsi="宋体" w:cs="宋体" w:eastAsia="宋体" w:hint="default"/>
                <w:sz w:val="20"/>
                <w:szCs w:val="20"/>
              </w:rPr>
              <w:t>是否</w:t>
            </w:r>
            <w:r>
              <w:rPr>
                <w:rFonts w:ascii="宋体" w:hAnsi="宋体" w:cs="宋体" w:eastAsia="宋体" w:hint="default"/>
                <w:w w:val="100"/>
                <w:sz w:val="20"/>
                <w:szCs w:val="20"/>
              </w:rPr>
              <w:t> </w:t>
            </w:r>
            <w:r>
              <w:rPr>
                <w:rFonts w:ascii="宋体" w:hAnsi="宋体" w:cs="宋体" w:eastAsia="宋体" w:hint="default"/>
                <w:sz w:val="20"/>
                <w:szCs w:val="20"/>
              </w:rPr>
              <w:t>合并</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4"/>
              <w:jc w:val="right"/>
              <w:rPr>
                <w:rFonts w:ascii="宋体" w:hAnsi="宋体" w:cs="宋体" w:eastAsia="宋体" w:hint="default"/>
                <w:sz w:val="20"/>
                <w:szCs w:val="20"/>
              </w:rPr>
            </w:pPr>
            <w:r>
              <w:rPr>
                <w:rFonts w:ascii="宋体" w:hAnsi="宋体" w:cs="宋体" w:eastAsia="宋体" w:hint="default"/>
                <w:spacing w:val="-1"/>
                <w:sz w:val="20"/>
                <w:szCs w:val="20"/>
              </w:rPr>
              <w:t>少数股东权益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46" w:right="33"/>
              <w:jc w:val="left"/>
              <w:rPr>
                <w:rFonts w:ascii="宋体" w:hAnsi="宋体" w:cs="宋体" w:eastAsia="宋体" w:hint="default"/>
                <w:sz w:val="20"/>
                <w:szCs w:val="20"/>
              </w:rPr>
            </w:pPr>
            <w:r>
              <w:rPr>
                <w:rFonts w:ascii="宋体" w:hAnsi="宋体" w:cs="宋体" w:eastAsia="宋体" w:hint="default"/>
                <w:sz w:val="20"/>
                <w:szCs w:val="20"/>
              </w:rPr>
              <w:t>少数股东权益</w:t>
            </w:r>
            <w:r>
              <w:rPr>
                <w:rFonts w:ascii="宋体" w:hAnsi="宋体" w:cs="宋体" w:eastAsia="宋体" w:hint="default"/>
                <w:w w:val="100"/>
                <w:sz w:val="20"/>
                <w:szCs w:val="20"/>
              </w:rPr>
              <w:t> </w:t>
            </w:r>
            <w:r>
              <w:rPr>
                <w:rFonts w:ascii="宋体" w:hAnsi="宋体" w:cs="宋体" w:eastAsia="宋体" w:hint="default"/>
                <w:sz w:val="20"/>
                <w:szCs w:val="20"/>
              </w:rPr>
              <w:t>中用于冲减少</w:t>
            </w:r>
          </w:p>
        </w:tc>
      </w:tr>
      <w:tr>
        <w:trPr>
          <w:trHeight w:val="263" w:hRule="exact"/>
        </w:trPr>
        <w:tc>
          <w:tcPr>
            <w:tcW w:w="1497" w:type="dxa"/>
            <w:vMerge/>
            <w:tcBorders>
              <w:left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34" w:lineRule="exact"/>
              <w:ind w:right="104"/>
              <w:jc w:val="right"/>
              <w:rPr>
                <w:rFonts w:ascii="宋体" w:hAnsi="宋体" w:cs="宋体" w:eastAsia="宋体" w:hint="default"/>
                <w:sz w:val="20"/>
                <w:szCs w:val="20"/>
              </w:rPr>
            </w:pPr>
            <w:r>
              <w:rPr>
                <w:rFonts w:ascii="宋体" w:hAnsi="宋体" w:cs="宋体" w:eastAsia="宋体" w:hint="default"/>
                <w:spacing w:val="-1"/>
                <w:sz w:val="20"/>
                <w:szCs w:val="20"/>
              </w:rPr>
              <w:t>其他项目余额</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
              <w:ind w:left="81" w:right="0"/>
              <w:jc w:val="center"/>
              <w:rPr>
                <w:rFonts w:ascii="Arial" w:hAnsi="Arial" w:cs="Arial" w:eastAsia="Arial" w:hint="default"/>
                <w:sz w:val="20"/>
                <w:szCs w:val="20"/>
              </w:rPr>
            </w:pPr>
            <w:r>
              <w:rPr>
                <w:rFonts w:ascii="Arial"/>
                <w:sz w:val="20"/>
              </w:rPr>
              <w:t>(%)</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6"/>
              <w:jc w:val="right"/>
              <w:rPr>
                <w:rFonts w:ascii="Arial" w:hAnsi="Arial" w:cs="Arial" w:eastAsia="Arial" w:hint="default"/>
                <w:sz w:val="20"/>
                <w:szCs w:val="20"/>
              </w:rPr>
            </w:pPr>
            <w:r>
              <w:rPr>
                <w:rFonts w:ascii="Arial"/>
                <w:spacing w:val="-1"/>
                <w:sz w:val="20"/>
              </w:rPr>
              <w:t>(%)</w:t>
            </w:r>
          </w:p>
        </w:tc>
        <w:tc>
          <w:tcPr>
            <w:tcW w:w="695" w:type="dxa"/>
            <w:tcBorders>
              <w:top w:val="nil" w:sz="6" w:space="0" w:color="auto"/>
              <w:left w:val="nil" w:sz="6" w:space="0" w:color="auto"/>
              <w:bottom w:val="nil" w:sz="6" w:space="0" w:color="auto"/>
              <w:right w:val="nil" w:sz="6" w:space="0" w:color="auto"/>
            </w:tcBorders>
          </w:tcPr>
          <w:p>
            <w:pPr>
              <w:pStyle w:val="TableParagraph"/>
              <w:spacing w:line="234" w:lineRule="exact"/>
              <w:ind w:right="116"/>
              <w:jc w:val="right"/>
              <w:rPr>
                <w:rFonts w:ascii="宋体" w:hAnsi="宋体" w:cs="宋体" w:eastAsia="宋体" w:hint="default"/>
                <w:sz w:val="20"/>
                <w:szCs w:val="20"/>
              </w:rPr>
            </w:pPr>
            <w:r>
              <w:rPr>
                <w:rFonts w:ascii="宋体" w:hAnsi="宋体" w:cs="宋体" w:eastAsia="宋体" w:hint="default"/>
                <w:sz w:val="20"/>
                <w:szCs w:val="20"/>
              </w:rPr>
              <w:t>报表</w:t>
            </w:r>
          </w:p>
        </w:tc>
        <w:tc>
          <w:tcPr>
            <w:tcW w:w="171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34" w:lineRule="exact"/>
              <w:ind w:right="33"/>
              <w:jc w:val="right"/>
              <w:rPr>
                <w:rFonts w:ascii="宋体" w:hAnsi="宋体" w:cs="宋体" w:eastAsia="宋体" w:hint="default"/>
                <w:sz w:val="20"/>
                <w:szCs w:val="20"/>
              </w:rPr>
            </w:pPr>
            <w:r>
              <w:rPr>
                <w:rFonts w:ascii="宋体" w:hAnsi="宋体" w:cs="宋体" w:eastAsia="宋体" w:hint="default"/>
                <w:spacing w:val="-1"/>
                <w:sz w:val="20"/>
                <w:szCs w:val="20"/>
              </w:rPr>
              <w:t>数股东损益的</w:t>
            </w:r>
          </w:p>
        </w:tc>
      </w:tr>
      <w:tr>
        <w:trPr>
          <w:trHeight w:val="256" w:hRule="exact"/>
        </w:trPr>
        <w:tc>
          <w:tcPr>
            <w:tcW w:w="1497" w:type="dxa"/>
            <w:vMerge/>
            <w:tcBorders>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c>
          <w:tcPr>
            <w:tcW w:w="732"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695"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宋体" w:hAnsi="宋体" w:cs="宋体" w:eastAsia="宋体" w:hint="default"/>
                <w:sz w:val="20"/>
                <w:szCs w:val="20"/>
              </w:rPr>
            </w:pPr>
            <w:r>
              <w:rPr>
                <w:rFonts w:ascii="宋体" w:hAnsi="宋体" w:cs="宋体" w:eastAsia="宋体" w:hint="default"/>
                <w:sz w:val="20"/>
                <w:szCs w:val="20"/>
              </w:rPr>
              <w:t>金额</w:t>
            </w:r>
          </w:p>
        </w:tc>
      </w:tr>
      <w:tr>
        <w:trPr>
          <w:trHeight w:val="264" w:hRule="exact"/>
        </w:trPr>
        <w:tc>
          <w:tcPr>
            <w:tcW w:w="1497" w:type="dxa"/>
            <w:tcBorders>
              <w:top w:val="nil" w:sz="6" w:space="0" w:color="auto"/>
              <w:left w:val="nil" w:sz="6" w:space="0" w:color="auto"/>
              <w:bottom w:val="nil" w:sz="6" w:space="0" w:color="auto"/>
              <w:right w:val="nil" w:sz="6" w:space="0" w:color="auto"/>
            </w:tcBorders>
          </w:tcPr>
          <w:p>
            <w:pPr>
              <w:pStyle w:val="TableParagraph"/>
              <w:spacing w:line="234" w:lineRule="exact"/>
              <w:ind w:right="223"/>
              <w:jc w:val="center"/>
              <w:rPr>
                <w:rFonts w:ascii="宋体" w:hAnsi="宋体" w:cs="宋体" w:eastAsia="宋体" w:hint="default"/>
                <w:sz w:val="20"/>
                <w:szCs w:val="20"/>
              </w:rPr>
            </w:pPr>
            <w:r>
              <w:rPr>
                <w:rFonts w:ascii="宋体" w:hAnsi="宋体" w:cs="宋体" w:eastAsia="宋体" w:hint="default"/>
                <w:sz w:val="20"/>
                <w:szCs w:val="20"/>
              </w:rPr>
              <w:t>北京苏宁电器</w:t>
            </w:r>
          </w:p>
        </w:tc>
        <w:tc>
          <w:tcPr>
            <w:tcW w:w="1600" w:type="dxa"/>
            <w:tcBorders>
              <w:top w:val="nil" w:sz="6" w:space="0" w:color="auto"/>
              <w:left w:val="nil" w:sz="6" w:space="0" w:color="auto"/>
              <w:bottom w:val="nil" w:sz="6" w:space="0" w:color="auto"/>
              <w:right w:val="nil" w:sz="6" w:space="0" w:color="auto"/>
            </w:tcBorders>
          </w:tcPr>
          <w:p>
            <w:pPr>
              <w:pStyle w:val="TableParagraph"/>
              <w:spacing w:line="234" w:lineRule="exact"/>
              <w:ind w:right="197"/>
              <w:jc w:val="right"/>
              <w:rPr>
                <w:rFonts w:ascii="宋体" w:hAnsi="宋体" w:cs="宋体" w:eastAsia="宋体" w:hint="default"/>
                <w:sz w:val="20"/>
                <w:szCs w:val="20"/>
              </w:rPr>
            </w:pPr>
            <w:r>
              <w:rPr>
                <w:rFonts w:ascii="宋体" w:hAnsi="宋体" w:cs="宋体" w:eastAsia="宋体" w:hint="default"/>
                <w:sz w:val="20"/>
                <w:szCs w:val="20"/>
              </w:rPr>
              <w:t>人民币</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6"/>
              <w:jc w:val="right"/>
              <w:rPr>
                <w:rFonts w:ascii="Arial" w:hAnsi="Arial" w:cs="Arial" w:eastAsia="Arial" w:hint="default"/>
                <w:sz w:val="20"/>
                <w:szCs w:val="20"/>
              </w:rPr>
            </w:pPr>
            <w:r>
              <w:rPr>
                <w:rFonts w:ascii="Arial"/>
                <w:w w:val="100"/>
                <w:sz w:val="20"/>
              </w:rPr>
              <w:t>-</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center"/>
              <w:rPr>
                <w:rFonts w:ascii="Arial" w:hAnsi="Arial" w:cs="Arial" w:eastAsia="Arial" w:hint="default"/>
                <w:sz w:val="20"/>
                <w:szCs w:val="20"/>
              </w:rPr>
            </w:pPr>
            <w:r>
              <w:rPr>
                <w:rFonts w:ascii="Arial"/>
                <w:sz w:val="20"/>
              </w:rPr>
              <w:t>89%</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22"/>
              <w:jc w:val="right"/>
              <w:rPr>
                <w:rFonts w:ascii="Arial" w:hAnsi="Arial" w:cs="Arial" w:eastAsia="Arial" w:hint="default"/>
                <w:sz w:val="20"/>
                <w:szCs w:val="20"/>
              </w:rPr>
            </w:pPr>
            <w:r>
              <w:rPr>
                <w:rFonts w:ascii="Arial"/>
                <w:sz w:val="20"/>
              </w:rPr>
              <w:t>89%</w:t>
            </w:r>
          </w:p>
        </w:tc>
        <w:tc>
          <w:tcPr>
            <w:tcW w:w="695" w:type="dxa"/>
            <w:tcBorders>
              <w:top w:val="nil" w:sz="6" w:space="0" w:color="auto"/>
              <w:left w:val="nil" w:sz="6" w:space="0" w:color="auto"/>
              <w:bottom w:val="nil" w:sz="6" w:space="0" w:color="auto"/>
              <w:right w:val="nil" w:sz="6" w:space="0" w:color="auto"/>
            </w:tcBorders>
          </w:tcPr>
          <w:p>
            <w:pPr>
              <w:pStyle w:val="TableParagraph"/>
              <w:spacing w:line="234" w:lineRule="exact"/>
              <w:ind w:right="92"/>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718" w:type="dxa"/>
            <w:tcBorders>
              <w:top w:val="nil" w:sz="6" w:space="0" w:color="auto"/>
              <w:left w:val="nil" w:sz="6" w:space="0" w:color="auto"/>
              <w:bottom w:val="nil" w:sz="6" w:space="0" w:color="auto"/>
              <w:right w:val="nil" w:sz="6" w:space="0" w:color="auto"/>
            </w:tcBorders>
          </w:tcPr>
          <w:p>
            <w:pPr>
              <w:pStyle w:val="TableParagraph"/>
              <w:spacing w:line="234" w:lineRule="exact"/>
              <w:ind w:right="281"/>
              <w:jc w:val="right"/>
              <w:rPr>
                <w:rFonts w:ascii="宋体" w:hAnsi="宋体" w:cs="宋体" w:eastAsia="宋体" w:hint="default"/>
                <w:sz w:val="20"/>
                <w:szCs w:val="20"/>
              </w:rPr>
            </w:pPr>
            <w:r>
              <w:rPr>
                <w:rFonts w:ascii="宋体" w:hAnsi="宋体" w:cs="宋体" w:eastAsia="宋体" w:hint="default"/>
                <w:sz w:val="20"/>
                <w:szCs w:val="20"/>
              </w:rPr>
              <w:t>人民币</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0"/>
                <w:szCs w:val="20"/>
              </w:rPr>
            </w:pPr>
            <w:r>
              <w:rPr>
                <w:rFonts w:ascii="Arial"/>
                <w:w w:val="100"/>
                <w:sz w:val="20"/>
              </w:rPr>
              <w:t>-</w:t>
            </w:r>
          </w:p>
        </w:tc>
      </w:tr>
      <w:tr>
        <w:trPr>
          <w:trHeight w:val="520" w:hRule="exact"/>
        </w:trPr>
        <w:tc>
          <w:tcPr>
            <w:tcW w:w="1497" w:type="dxa"/>
            <w:tcBorders>
              <w:top w:val="nil" w:sz="6" w:space="0" w:color="auto"/>
              <w:left w:val="nil" w:sz="6" w:space="0" w:color="auto"/>
              <w:bottom w:val="nil" w:sz="6" w:space="0" w:color="auto"/>
              <w:right w:val="nil" w:sz="6" w:space="0" w:color="auto"/>
            </w:tcBorders>
          </w:tcPr>
          <w:p>
            <w:pPr>
              <w:pStyle w:val="TableParagraph"/>
              <w:spacing w:line="229" w:lineRule="exact"/>
              <w:ind w:right="223"/>
              <w:jc w:val="center"/>
              <w:rPr>
                <w:rFonts w:ascii="宋体" w:hAnsi="宋体" w:cs="宋体" w:eastAsia="宋体" w:hint="default"/>
                <w:sz w:val="20"/>
                <w:szCs w:val="20"/>
              </w:rPr>
            </w:pPr>
            <w:r>
              <w:rPr>
                <w:rFonts w:ascii="宋体" w:hAnsi="宋体" w:cs="宋体" w:eastAsia="宋体" w:hint="default"/>
                <w:sz w:val="20"/>
                <w:szCs w:val="20"/>
              </w:rPr>
              <w:t>有限公司</w:t>
            </w:r>
          </w:p>
          <w:p>
            <w:pPr>
              <w:pStyle w:val="TableParagraph"/>
              <w:spacing w:line="260" w:lineRule="exact"/>
              <w:ind w:right="223"/>
              <w:jc w:val="center"/>
              <w:rPr>
                <w:rFonts w:ascii="宋体" w:hAnsi="宋体" w:cs="宋体" w:eastAsia="宋体" w:hint="default"/>
                <w:sz w:val="20"/>
                <w:szCs w:val="20"/>
              </w:rPr>
            </w:pPr>
            <w:r>
              <w:rPr>
                <w:rFonts w:ascii="宋体" w:hAnsi="宋体" w:cs="宋体" w:eastAsia="宋体" w:hint="default"/>
                <w:sz w:val="20"/>
                <w:szCs w:val="20"/>
              </w:rPr>
              <w:t>上海苏宁电器</w:t>
            </w:r>
          </w:p>
        </w:tc>
        <w:tc>
          <w:tcPr>
            <w:tcW w:w="1600" w:type="dxa"/>
            <w:tcBorders>
              <w:top w:val="nil" w:sz="6" w:space="0" w:color="auto"/>
              <w:left w:val="nil" w:sz="6" w:space="0" w:color="auto"/>
              <w:bottom w:val="nil" w:sz="6" w:space="0" w:color="auto"/>
              <w:right w:val="nil" w:sz="6" w:space="0" w:color="auto"/>
            </w:tcBorders>
          </w:tcPr>
          <w:p>
            <w:pPr>
              <w:pStyle w:val="TableParagraph"/>
              <w:spacing w:line="236" w:lineRule="exact"/>
              <w:ind w:left="60" w:right="0"/>
              <w:jc w:val="left"/>
              <w:rPr>
                <w:rFonts w:ascii="宋体" w:hAnsi="宋体" w:cs="宋体" w:eastAsia="宋体" w:hint="default"/>
                <w:sz w:val="20"/>
                <w:szCs w:val="20"/>
              </w:rPr>
            </w:pPr>
            <w:r>
              <w:rPr>
                <w:rFonts w:ascii="Arial" w:hAnsi="Arial" w:cs="Arial" w:eastAsia="Arial" w:hint="default"/>
                <w:sz w:val="20"/>
                <w:szCs w:val="20"/>
              </w:rPr>
              <w:t>27,910.58</w:t>
            </w:r>
            <w:r>
              <w:rPr>
                <w:rFonts w:ascii="Arial" w:hAnsi="Arial" w:cs="Arial" w:eastAsia="Arial" w:hint="default"/>
                <w:spacing w:val="-16"/>
                <w:sz w:val="20"/>
                <w:szCs w:val="20"/>
              </w:rPr>
              <w:t> </w:t>
            </w:r>
            <w:r>
              <w:rPr>
                <w:rFonts w:ascii="宋体" w:hAnsi="宋体" w:cs="宋体" w:eastAsia="宋体" w:hint="default"/>
                <w:sz w:val="20"/>
                <w:szCs w:val="20"/>
              </w:rPr>
              <w:t>万元</w:t>
            </w:r>
          </w:p>
          <w:p>
            <w:pPr>
              <w:pStyle w:val="TableParagraph"/>
              <w:spacing w:line="253" w:lineRule="exact"/>
              <w:ind w:left="799"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146"/>
              <w:jc w:val="right"/>
              <w:rPr>
                <w:rFonts w:ascii="Arial" w:hAnsi="Arial" w:cs="Arial" w:eastAsia="Arial" w:hint="default"/>
                <w:sz w:val="20"/>
                <w:szCs w:val="20"/>
              </w:rPr>
            </w:pPr>
            <w:r>
              <w:rPr>
                <w:rFonts w:ascii="Arial"/>
                <w:w w:val="100"/>
                <w:sz w:val="20"/>
              </w:rPr>
              <w:t>-</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0"/>
              <w:jc w:val="center"/>
              <w:rPr>
                <w:rFonts w:ascii="Arial" w:hAnsi="Arial" w:cs="Arial" w:eastAsia="Arial" w:hint="default"/>
                <w:sz w:val="20"/>
                <w:szCs w:val="20"/>
              </w:rPr>
            </w:pPr>
            <w:r>
              <w:rPr>
                <w:rFonts w:ascii="Arial"/>
                <w:sz w:val="20"/>
              </w:rPr>
              <w:t>90%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222"/>
              <w:jc w:val="right"/>
              <w:rPr>
                <w:rFonts w:ascii="Arial" w:hAnsi="Arial" w:cs="Arial" w:eastAsia="Arial" w:hint="default"/>
                <w:sz w:val="20"/>
                <w:szCs w:val="20"/>
              </w:rPr>
            </w:pPr>
            <w:r>
              <w:rPr>
                <w:rFonts w:ascii="Arial"/>
                <w:sz w:val="20"/>
              </w:rPr>
              <w:t>90%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9"/>
                <w:szCs w:val="19"/>
              </w:rPr>
            </w:pPr>
          </w:p>
          <w:p>
            <w:pPr>
              <w:pStyle w:val="TableParagraph"/>
              <w:spacing w:line="240" w:lineRule="auto"/>
              <w:ind w:right="92"/>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718" w:type="dxa"/>
            <w:tcBorders>
              <w:top w:val="nil" w:sz="6" w:space="0" w:color="auto"/>
              <w:left w:val="nil" w:sz="6" w:space="0" w:color="auto"/>
              <w:bottom w:val="nil" w:sz="6" w:space="0" w:color="auto"/>
              <w:right w:val="nil" w:sz="6" w:space="0" w:color="auto"/>
            </w:tcBorders>
          </w:tcPr>
          <w:p>
            <w:pPr>
              <w:pStyle w:val="TableParagraph"/>
              <w:spacing w:line="236" w:lineRule="exact"/>
              <w:ind w:left="94" w:right="0"/>
              <w:jc w:val="left"/>
              <w:rPr>
                <w:rFonts w:ascii="宋体" w:hAnsi="宋体" w:cs="宋体" w:eastAsia="宋体" w:hint="default"/>
                <w:sz w:val="20"/>
                <w:szCs w:val="20"/>
              </w:rPr>
            </w:pPr>
            <w:r>
              <w:rPr>
                <w:rFonts w:ascii="Arial" w:hAnsi="Arial" w:cs="Arial" w:eastAsia="Arial" w:hint="default"/>
                <w:sz w:val="20"/>
                <w:szCs w:val="20"/>
              </w:rPr>
              <w:t>12,155.25</w:t>
            </w:r>
            <w:r>
              <w:rPr>
                <w:rFonts w:ascii="Arial" w:hAnsi="Arial" w:cs="Arial" w:eastAsia="Arial" w:hint="default"/>
                <w:spacing w:val="-16"/>
                <w:sz w:val="20"/>
                <w:szCs w:val="20"/>
              </w:rPr>
              <w:t> </w:t>
            </w:r>
            <w:r>
              <w:rPr>
                <w:rFonts w:ascii="宋体" w:hAnsi="宋体" w:cs="宋体" w:eastAsia="宋体" w:hint="default"/>
                <w:sz w:val="20"/>
                <w:szCs w:val="20"/>
              </w:rPr>
              <w:t>万元</w:t>
            </w:r>
          </w:p>
          <w:p>
            <w:pPr>
              <w:pStyle w:val="TableParagraph"/>
              <w:spacing w:line="253" w:lineRule="exact"/>
              <w:ind w:left="833"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106"/>
              <w:jc w:val="right"/>
              <w:rPr>
                <w:rFonts w:ascii="Arial" w:hAnsi="Arial" w:cs="Arial" w:eastAsia="Arial" w:hint="default"/>
                <w:sz w:val="20"/>
                <w:szCs w:val="20"/>
              </w:rPr>
            </w:pPr>
            <w:r>
              <w:rPr>
                <w:rFonts w:ascii="Arial"/>
                <w:w w:val="100"/>
                <w:sz w:val="20"/>
              </w:rPr>
              <w:t>-</w:t>
            </w:r>
          </w:p>
        </w:tc>
      </w:tr>
      <w:tr>
        <w:trPr>
          <w:trHeight w:val="520" w:hRule="exact"/>
        </w:trPr>
        <w:tc>
          <w:tcPr>
            <w:tcW w:w="1497" w:type="dxa"/>
            <w:tcBorders>
              <w:top w:val="nil" w:sz="6" w:space="0" w:color="auto"/>
              <w:left w:val="nil" w:sz="6" w:space="0" w:color="auto"/>
              <w:bottom w:val="nil" w:sz="6" w:space="0" w:color="auto"/>
              <w:right w:val="nil" w:sz="6" w:space="0" w:color="auto"/>
            </w:tcBorders>
          </w:tcPr>
          <w:p>
            <w:pPr>
              <w:pStyle w:val="TableParagraph"/>
              <w:spacing w:line="230" w:lineRule="exact"/>
              <w:ind w:right="223"/>
              <w:jc w:val="center"/>
              <w:rPr>
                <w:rFonts w:ascii="宋体" w:hAnsi="宋体" w:cs="宋体" w:eastAsia="宋体" w:hint="default"/>
                <w:sz w:val="20"/>
                <w:szCs w:val="20"/>
              </w:rPr>
            </w:pPr>
            <w:r>
              <w:rPr>
                <w:rFonts w:ascii="宋体" w:hAnsi="宋体" w:cs="宋体" w:eastAsia="宋体" w:hint="default"/>
                <w:sz w:val="20"/>
                <w:szCs w:val="20"/>
              </w:rPr>
              <w:t>有限公司</w:t>
            </w:r>
          </w:p>
          <w:p>
            <w:pPr>
              <w:pStyle w:val="TableParagraph"/>
              <w:spacing w:line="261" w:lineRule="exact"/>
              <w:ind w:right="223"/>
              <w:jc w:val="center"/>
              <w:rPr>
                <w:rFonts w:ascii="宋体" w:hAnsi="宋体" w:cs="宋体" w:eastAsia="宋体" w:hint="default"/>
                <w:sz w:val="20"/>
                <w:szCs w:val="20"/>
              </w:rPr>
            </w:pPr>
            <w:r>
              <w:rPr>
                <w:rFonts w:ascii="宋体" w:hAnsi="宋体" w:cs="宋体" w:eastAsia="宋体" w:hint="default"/>
                <w:sz w:val="20"/>
                <w:szCs w:val="20"/>
              </w:rPr>
              <w:t>广东苏宁电器</w:t>
            </w:r>
          </w:p>
        </w:tc>
        <w:tc>
          <w:tcPr>
            <w:tcW w:w="1600" w:type="dxa"/>
            <w:tcBorders>
              <w:top w:val="nil" w:sz="6" w:space="0" w:color="auto"/>
              <w:left w:val="nil" w:sz="6" w:space="0" w:color="auto"/>
              <w:bottom w:val="nil" w:sz="6" w:space="0" w:color="auto"/>
              <w:right w:val="nil" w:sz="6" w:space="0" w:color="auto"/>
            </w:tcBorders>
          </w:tcPr>
          <w:p>
            <w:pPr>
              <w:pStyle w:val="TableParagraph"/>
              <w:spacing w:line="237" w:lineRule="exact"/>
              <w:ind w:left="60" w:right="0"/>
              <w:jc w:val="left"/>
              <w:rPr>
                <w:rFonts w:ascii="宋体" w:hAnsi="宋体" w:cs="宋体" w:eastAsia="宋体" w:hint="default"/>
                <w:sz w:val="20"/>
                <w:szCs w:val="20"/>
              </w:rPr>
            </w:pPr>
            <w:r>
              <w:rPr>
                <w:rFonts w:ascii="Arial" w:hAnsi="Arial" w:cs="Arial" w:eastAsia="Arial" w:hint="default"/>
                <w:sz w:val="20"/>
                <w:szCs w:val="20"/>
              </w:rPr>
              <w:t>23,466.64</w:t>
            </w:r>
            <w:r>
              <w:rPr>
                <w:rFonts w:ascii="Arial" w:hAnsi="Arial" w:cs="Arial" w:eastAsia="Arial" w:hint="default"/>
                <w:spacing w:val="-16"/>
                <w:sz w:val="20"/>
                <w:szCs w:val="20"/>
              </w:rPr>
              <w:t> </w:t>
            </w:r>
            <w:r>
              <w:rPr>
                <w:rFonts w:ascii="宋体" w:hAnsi="宋体" w:cs="宋体" w:eastAsia="宋体" w:hint="default"/>
                <w:sz w:val="20"/>
                <w:szCs w:val="20"/>
              </w:rPr>
              <w:t>万元</w:t>
            </w:r>
          </w:p>
          <w:p>
            <w:pPr>
              <w:pStyle w:val="TableParagraph"/>
              <w:spacing w:line="254" w:lineRule="exact"/>
              <w:ind w:left="799"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46"/>
              <w:jc w:val="right"/>
              <w:rPr>
                <w:rFonts w:ascii="Arial" w:hAnsi="Arial" w:cs="Arial" w:eastAsia="Arial" w:hint="default"/>
                <w:sz w:val="20"/>
                <w:szCs w:val="20"/>
              </w:rPr>
            </w:pPr>
            <w:r>
              <w:rPr>
                <w:rFonts w:ascii="Arial"/>
                <w:w w:val="100"/>
                <w:sz w:val="20"/>
              </w:rPr>
              <w:t>-</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0"/>
              <w:jc w:val="center"/>
              <w:rPr>
                <w:rFonts w:ascii="Arial" w:hAnsi="Arial" w:cs="Arial" w:eastAsia="Arial" w:hint="default"/>
                <w:sz w:val="20"/>
                <w:szCs w:val="20"/>
              </w:rPr>
            </w:pPr>
            <w:r>
              <w:rPr>
                <w:rFonts w:ascii="Arial"/>
                <w:sz w:val="20"/>
              </w:rPr>
              <w:t>99%</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222"/>
              <w:jc w:val="right"/>
              <w:rPr>
                <w:rFonts w:ascii="Arial" w:hAnsi="Arial" w:cs="Arial" w:eastAsia="Arial" w:hint="default"/>
                <w:sz w:val="20"/>
                <w:szCs w:val="20"/>
              </w:rPr>
            </w:pPr>
            <w:r>
              <w:rPr>
                <w:rFonts w:ascii="Arial"/>
                <w:sz w:val="20"/>
              </w:rPr>
              <w:t>100%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9"/>
                <w:szCs w:val="19"/>
              </w:rPr>
            </w:pPr>
          </w:p>
          <w:p>
            <w:pPr>
              <w:pStyle w:val="TableParagraph"/>
              <w:spacing w:line="240" w:lineRule="auto"/>
              <w:ind w:right="92"/>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718" w:type="dxa"/>
            <w:tcBorders>
              <w:top w:val="nil" w:sz="6" w:space="0" w:color="auto"/>
              <w:left w:val="nil" w:sz="6" w:space="0" w:color="auto"/>
              <w:bottom w:val="nil" w:sz="6" w:space="0" w:color="auto"/>
              <w:right w:val="nil" w:sz="6" w:space="0" w:color="auto"/>
            </w:tcBorders>
          </w:tcPr>
          <w:p>
            <w:pPr>
              <w:pStyle w:val="TableParagraph"/>
              <w:spacing w:line="245" w:lineRule="exact"/>
              <w:ind w:right="283"/>
              <w:jc w:val="right"/>
              <w:rPr>
                <w:rFonts w:ascii="宋体" w:hAnsi="宋体" w:cs="宋体" w:eastAsia="宋体" w:hint="default"/>
                <w:sz w:val="20"/>
                <w:szCs w:val="20"/>
              </w:rPr>
            </w:pPr>
            <w:r>
              <w:rPr>
                <w:rFonts w:ascii="Arial" w:hAnsi="Arial" w:cs="Arial" w:eastAsia="Arial" w:hint="default"/>
                <w:sz w:val="20"/>
                <w:szCs w:val="20"/>
              </w:rPr>
              <w:t>9,762.27</w:t>
            </w:r>
            <w:r>
              <w:rPr>
                <w:rFonts w:ascii="Arial" w:hAnsi="Arial" w:cs="Arial" w:eastAsia="Arial" w:hint="default"/>
                <w:spacing w:val="-15"/>
                <w:sz w:val="20"/>
                <w:szCs w:val="20"/>
              </w:rPr>
              <w:t> </w:t>
            </w:r>
            <w:r>
              <w:rPr>
                <w:rFonts w:ascii="宋体" w:hAnsi="宋体" w:cs="宋体" w:eastAsia="宋体" w:hint="default"/>
                <w:sz w:val="20"/>
                <w:szCs w:val="20"/>
              </w:rPr>
              <w:t>万元</w:t>
            </w:r>
          </w:p>
          <w:p>
            <w:pPr>
              <w:pStyle w:val="TableParagraph"/>
              <w:spacing w:line="240" w:lineRule="auto" w:before="13"/>
              <w:ind w:right="282"/>
              <w:jc w:val="right"/>
              <w:rPr>
                <w:rFonts w:ascii="Arial" w:hAnsi="Arial" w:cs="Arial" w:eastAsia="Arial" w:hint="default"/>
                <w:sz w:val="20"/>
                <w:szCs w:val="20"/>
              </w:rPr>
            </w:pPr>
            <w:r>
              <w:rPr>
                <w:rFonts w:ascii="Arial"/>
                <w:w w:val="100"/>
                <w:sz w:val="20"/>
              </w:rPr>
              <w:t>-</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06"/>
              <w:jc w:val="right"/>
              <w:rPr>
                <w:rFonts w:ascii="Arial" w:hAnsi="Arial" w:cs="Arial" w:eastAsia="Arial" w:hint="default"/>
                <w:sz w:val="20"/>
                <w:szCs w:val="20"/>
              </w:rPr>
            </w:pPr>
            <w:r>
              <w:rPr>
                <w:rFonts w:ascii="Arial"/>
                <w:w w:val="100"/>
                <w:sz w:val="20"/>
              </w:rPr>
              <w:t>-</w:t>
            </w:r>
          </w:p>
        </w:tc>
      </w:tr>
      <w:tr>
        <w:trPr>
          <w:trHeight w:val="520" w:hRule="exact"/>
        </w:trPr>
        <w:tc>
          <w:tcPr>
            <w:tcW w:w="1497" w:type="dxa"/>
            <w:tcBorders>
              <w:top w:val="nil" w:sz="6" w:space="0" w:color="auto"/>
              <w:left w:val="nil" w:sz="6" w:space="0" w:color="auto"/>
              <w:bottom w:val="nil" w:sz="6" w:space="0" w:color="auto"/>
              <w:right w:val="nil" w:sz="6" w:space="0" w:color="auto"/>
            </w:tcBorders>
          </w:tcPr>
          <w:p>
            <w:pPr>
              <w:pStyle w:val="TableParagraph"/>
              <w:spacing w:line="229" w:lineRule="exact"/>
              <w:ind w:left="235" w:right="0"/>
              <w:jc w:val="left"/>
              <w:rPr>
                <w:rFonts w:ascii="宋体" w:hAnsi="宋体" w:cs="宋体" w:eastAsia="宋体" w:hint="default"/>
                <w:sz w:val="20"/>
                <w:szCs w:val="20"/>
              </w:rPr>
            </w:pPr>
            <w:r>
              <w:rPr>
                <w:rFonts w:ascii="宋体" w:hAnsi="宋体" w:cs="宋体" w:eastAsia="宋体" w:hint="default"/>
                <w:sz w:val="20"/>
                <w:szCs w:val="20"/>
              </w:rPr>
              <w:t>有限公司</w:t>
            </w:r>
          </w:p>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深圳市苏宁电器</w:t>
            </w:r>
          </w:p>
        </w:tc>
        <w:tc>
          <w:tcPr>
            <w:tcW w:w="1600" w:type="dxa"/>
            <w:tcBorders>
              <w:top w:val="nil" w:sz="6" w:space="0" w:color="auto"/>
              <w:left w:val="nil" w:sz="6" w:space="0" w:color="auto"/>
              <w:bottom w:val="nil" w:sz="6" w:space="0" w:color="auto"/>
              <w:right w:val="nil" w:sz="6" w:space="0" w:color="auto"/>
            </w:tcBorders>
          </w:tcPr>
          <w:p>
            <w:pPr>
              <w:pStyle w:val="TableParagraph"/>
              <w:spacing w:line="236" w:lineRule="exact"/>
              <w:ind w:left="338" w:right="0"/>
              <w:jc w:val="left"/>
              <w:rPr>
                <w:rFonts w:ascii="宋体" w:hAnsi="宋体" w:cs="宋体" w:eastAsia="宋体" w:hint="default"/>
                <w:sz w:val="20"/>
                <w:szCs w:val="20"/>
              </w:rPr>
            </w:pPr>
            <w:r>
              <w:rPr>
                <w:rFonts w:ascii="Arial" w:hAnsi="Arial" w:cs="Arial" w:eastAsia="Arial" w:hint="default"/>
                <w:sz w:val="20"/>
                <w:szCs w:val="20"/>
              </w:rPr>
              <w:t>24,040</w:t>
            </w:r>
            <w:r>
              <w:rPr>
                <w:rFonts w:ascii="Arial" w:hAnsi="Arial" w:cs="Arial" w:eastAsia="Arial" w:hint="default"/>
                <w:spacing w:val="-6"/>
                <w:sz w:val="20"/>
                <w:szCs w:val="20"/>
              </w:rPr>
              <w:t> </w:t>
            </w:r>
            <w:r>
              <w:rPr>
                <w:rFonts w:ascii="宋体" w:hAnsi="宋体" w:cs="宋体" w:eastAsia="宋体" w:hint="default"/>
                <w:sz w:val="20"/>
                <w:szCs w:val="20"/>
              </w:rPr>
              <w:t>万元</w:t>
            </w:r>
          </w:p>
          <w:p>
            <w:pPr>
              <w:pStyle w:val="TableParagraph"/>
              <w:spacing w:line="254" w:lineRule="exact"/>
              <w:ind w:left="799"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46"/>
              <w:jc w:val="right"/>
              <w:rPr>
                <w:rFonts w:ascii="Arial" w:hAnsi="Arial" w:cs="Arial" w:eastAsia="Arial" w:hint="default"/>
                <w:sz w:val="20"/>
                <w:szCs w:val="20"/>
              </w:rPr>
            </w:pPr>
            <w:r>
              <w:rPr>
                <w:rFonts w:ascii="Arial"/>
                <w:w w:val="100"/>
                <w:sz w:val="20"/>
              </w:rPr>
              <w:t>-</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0"/>
              <w:jc w:val="center"/>
              <w:rPr>
                <w:rFonts w:ascii="Arial" w:hAnsi="Arial" w:cs="Arial" w:eastAsia="Arial" w:hint="default"/>
                <w:sz w:val="20"/>
                <w:szCs w:val="20"/>
              </w:rPr>
            </w:pPr>
            <w:r>
              <w:rPr>
                <w:rFonts w:ascii="Arial"/>
                <w:sz w:val="20"/>
              </w:rPr>
              <w:t>90%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222"/>
              <w:jc w:val="right"/>
              <w:rPr>
                <w:rFonts w:ascii="Arial" w:hAnsi="Arial" w:cs="Arial" w:eastAsia="Arial" w:hint="default"/>
                <w:sz w:val="20"/>
                <w:szCs w:val="20"/>
              </w:rPr>
            </w:pPr>
            <w:r>
              <w:rPr>
                <w:rFonts w:ascii="Arial"/>
                <w:sz w:val="20"/>
              </w:rPr>
              <w:t>90%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9"/>
                <w:szCs w:val="19"/>
              </w:rPr>
            </w:pPr>
          </w:p>
          <w:p>
            <w:pPr>
              <w:pStyle w:val="TableParagraph"/>
              <w:spacing w:line="240" w:lineRule="auto"/>
              <w:ind w:right="92"/>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9"/>
                <w:szCs w:val="19"/>
              </w:rPr>
            </w:pPr>
          </w:p>
          <w:p>
            <w:pPr>
              <w:pStyle w:val="TableParagraph"/>
              <w:spacing w:line="240" w:lineRule="auto"/>
              <w:ind w:right="281"/>
              <w:jc w:val="right"/>
              <w:rPr>
                <w:rFonts w:ascii="宋体" w:hAnsi="宋体" w:cs="宋体" w:eastAsia="宋体" w:hint="default"/>
                <w:sz w:val="20"/>
                <w:szCs w:val="20"/>
              </w:rPr>
            </w:pPr>
            <w:r>
              <w:rPr>
                <w:rFonts w:ascii="宋体" w:hAnsi="宋体" w:cs="宋体" w:eastAsia="宋体" w:hint="default"/>
                <w:sz w:val="20"/>
                <w:szCs w:val="20"/>
              </w:rPr>
              <w:t>人民币</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06"/>
              <w:jc w:val="right"/>
              <w:rPr>
                <w:rFonts w:ascii="Arial" w:hAnsi="Arial" w:cs="Arial" w:eastAsia="Arial" w:hint="default"/>
                <w:sz w:val="20"/>
                <w:szCs w:val="20"/>
              </w:rPr>
            </w:pPr>
            <w:r>
              <w:rPr>
                <w:rFonts w:ascii="Arial"/>
                <w:w w:val="100"/>
                <w:sz w:val="20"/>
              </w:rPr>
              <w:t>-</w:t>
            </w:r>
          </w:p>
        </w:tc>
      </w:tr>
      <w:tr>
        <w:trPr>
          <w:trHeight w:val="520" w:hRule="exact"/>
        </w:trPr>
        <w:tc>
          <w:tcPr>
            <w:tcW w:w="1497" w:type="dxa"/>
            <w:tcBorders>
              <w:top w:val="nil" w:sz="6" w:space="0" w:color="auto"/>
              <w:left w:val="nil" w:sz="6" w:space="0" w:color="auto"/>
              <w:bottom w:val="nil" w:sz="6" w:space="0" w:color="auto"/>
              <w:right w:val="nil" w:sz="6" w:space="0" w:color="auto"/>
            </w:tcBorders>
          </w:tcPr>
          <w:p>
            <w:pPr>
              <w:pStyle w:val="TableParagraph"/>
              <w:spacing w:line="229" w:lineRule="exact"/>
              <w:ind w:right="223"/>
              <w:jc w:val="center"/>
              <w:rPr>
                <w:rFonts w:ascii="宋体" w:hAnsi="宋体" w:cs="宋体" w:eastAsia="宋体" w:hint="default"/>
                <w:sz w:val="20"/>
                <w:szCs w:val="20"/>
              </w:rPr>
            </w:pPr>
            <w:r>
              <w:rPr>
                <w:rFonts w:ascii="宋体" w:hAnsi="宋体" w:cs="宋体" w:eastAsia="宋体" w:hint="default"/>
                <w:sz w:val="20"/>
                <w:szCs w:val="20"/>
              </w:rPr>
              <w:t>有限公司</w:t>
            </w:r>
          </w:p>
          <w:p>
            <w:pPr>
              <w:pStyle w:val="TableParagraph"/>
              <w:spacing w:line="260" w:lineRule="exact"/>
              <w:ind w:right="223"/>
              <w:jc w:val="center"/>
              <w:rPr>
                <w:rFonts w:ascii="宋体" w:hAnsi="宋体" w:cs="宋体" w:eastAsia="宋体" w:hint="default"/>
                <w:sz w:val="20"/>
                <w:szCs w:val="20"/>
              </w:rPr>
            </w:pPr>
            <w:r>
              <w:rPr>
                <w:rFonts w:ascii="宋体" w:hAnsi="宋体" w:cs="宋体" w:eastAsia="宋体" w:hint="default"/>
                <w:sz w:val="20"/>
                <w:szCs w:val="20"/>
              </w:rPr>
              <w:t>天津天宁苏宁</w:t>
            </w:r>
          </w:p>
        </w:tc>
        <w:tc>
          <w:tcPr>
            <w:tcW w:w="1600" w:type="dxa"/>
            <w:tcBorders>
              <w:top w:val="nil" w:sz="6" w:space="0" w:color="auto"/>
              <w:left w:val="nil" w:sz="6" w:space="0" w:color="auto"/>
              <w:bottom w:val="nil" w:sz="6" w:space="0" w:color="auto"/>
              <w:right w:val="nil" w:sz="6" w:space="0" w:color="auto"/>
            </w:tcBorders>
          </w:tcPr>
          <w:p>
            <w:pPr>
              <w:pStyle w:val="TableParagraph"/>
              <w:spacing w:line="236" w:lineRule="exact"/>
              <w:ind w:left="448" w:right="0"/>
              <w:jc w:val="left"/>
              <w:rPr>
                <w:rFonts w:ascii="宋体" w:hAnsi="宋体" w:cs="宋体" w:eastAsia="宋体" w:hint="default"/>
                <w:sz w:val="20"/>
                <w:szCs w:val="20"/>
              </w:rPr>
            </w:pPr>
            <w:r>
              <w:rPr>
                <w:rFonts w:ascii="Arial" w:hAnsi="Arial" w:cs="Arial" w:eastAsia="Arial" w:hint="default"/>
                <w:sz w:val="20"/>
                <w:szCs w:val="20"/>
              </w:rPr>
              <w:t>8,406</w:t>
            </w:r>
            <w:r>
              <w:rPr>
                <w:rFonts w:ascii="Arial" w:hAnsi="Arial" w:cs="Arial" w:eastAsia="Arial" w:hint="default"/>
                <w:spacing w:val="-6"/>
                <w:sz w:val="20"/>
                <w:szCs w:val="20"/>
              </w:rPr>
              <w:t> </w:t>
            </w:r>
            <w:r>
              <w:rPr>
                <w:rFonts w:ascii="宋体" w:hAnsi="宋体" w:cs="宋体" w:eastAsia="宋体" w:hint="default"/>
                <w:sz w:val="20"/>
                <w:szCs w:val="20"/>
              </w:rPr>
              <w:t>万元</w:t>
            </w:r>
          </w:p>
          <w:p>
            <w:pPr>
              <w:pStyle w:val="TableParagraph"/>
              <w:spacing w:line="253" w:lineRule="exact"/>
              <w:ind w:left="799"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146"/>
              <w:jc w:val="right"/>
              <w:rPr>
                <w:rFonts w:ascii="Arial" w:hAnsi="Arial" w:cs="Arial" w:eastAsia="Arial" w:hint="default"/>
                <w:sz w:val="20"/>
                <w:szCs w:val="20"/>
              </w:rPr>
            </w:pPr>
            <w:r>
              <w:rPr>
                <w:rFonts w:ascii="Arial"/>
                <w:w w:val="100"/>
                <w:sz w:val="20"/>
              </w:rPr>
              <w:t>-</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3"/>
              <w:jc w:val="center"/>
              <w:rPr>
                <w:rFonts w:ascii="Arial" w:hAnsi="Arial" w:cs="Arial" w:eastAsia="Arial" w:hint="default"/>
                <w:sz w:val="20"/>
                <w:szCs w:val="20"/>
              </w:rPr>
            </w:pPr>
            <w:r>
              <w:rPr>
                <w:rFonts w:ascii="Arial"/>
                <w:sz w:val="20"/>
              </w:rPr>
              <w:t>100%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222"/>
              <w:jc w:val="right"/>
              <w:rPr>
                <w:rFonts w:ascii="Arial" w:hAnsi="Arial" w:cs="Arial" w:eastAsia="Arial" w:hint="default"/>
                <w:sz w:val="20"/>
                <w:szCs w:val="20"/>
              </w:rPr>
            </w:pPr>
            <w:r>
              <w:rPr>
                <w:rFonts w:ascii="Arial"/>
                <w:sz w:val="20"/>
              </w:rPr>
              <w:t>100%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9"/>
                <w:szCs w:val="19"/>
              </w:rPr>
            </w:pPr>
          </w:p>
          <w:p>
            <w:pPr>
              <w:pStyle w:val="TableParagraph"/>
              <w:spacing w:line="240" w:lineRule="auto"/>
              <w:ind w:right="92"/>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718" w:type="dxa"/>
            <w:tcBorders>
              <w:top w:val="nil" w:sz="6" w:space="0" w:color="auto"/>
              <w:left w:val="nil" w:sz="6" w:space="0" w:color="auto"/>
              <w:bottom w:val="nil" w:sz="6" w:space="0" w:color="auto"/>
              <w:right w:val="nil" w:sz="6" w:space="0" w:color="auto"/>
            </w:tcBorders>
          </w:tcPr>
          <w:p>
            <w:pPr>
              <w:pStyle w:val="TableParagraph"/>
              <w:spacing w:line="245" w:lineRule="exact"/>
              <w:ind w:right="283"/>
              <w:jc w:val="right"/>
              <w:rPr>
                <w:rFonts w:ascii="宋体" w:hAnsi="宋体" w:cs="宋体" w:eastAsia="宋体" w:hint="default"/>
                <w:sz w:val="20"/>
                <w:szCs w:val="20"/>
              </w:rPr>
            </w:pPr>
            <w:r>
              <w:rPr>
                <w:rFonts w:ascii="Arial" w:hAnsi="Arial" w:cs="Arial" w:eastAsia="Arial" w:hint="default"/>
                <w:sz w:val="20"/>
                <w:szCs w:val="20"/>
              </w:rPr>
              <w:t>4,457.48</w:t>
            </w:r>
            <w:r>
              <w:rPr>
                <w:rFonts w:ascii="Arial" w:hAnsi="Arial" w:cs="Arial" w:eastAsia="Arial" w:hint="default"/>
                <w:spacing w:val="-15"/>
                <w:sz w:val="20"/>
                <w:szCs w:val="20"/>
              </w:rPr>
              <w:t> </w:t>
            </w:r>
            <w:r>
              <w:rPr>
                <w:rFonts w:ascii="宋体" w:hAnsi="宋体" w:cs="宋体" w:eastAsia="宋体" w:hint="default"/>
                <w:sz w:val="20"/>
                <w:szCs w:val="20"/>
              </w:rPr>
              <w:t>万元</w:t>
            </w:r>
          </w:p>
          <w:p>
            <w:pPr>
              <w:pStyle w:val="TableParagraph"/>
              <w:spacing w:line="240" w:lineRule="auto" w:before="12"/>
              <w:ind w:right="282"/>
              <w:jc w:val="right"/>
              <w:rPr>
                <w:rFonts w:ascii="Arial" w:hAnsi="Arial" w:cs="Arial" w:eastAsia="Arial" w:hint="default"/>
                <w:sz w:val="20"/>
                <w:szCs w:val="20"/>
              </w:rPr>
            </w:pPr>
            <w:r>
              <w:rPr>
                <w:rFonts w:ascii="Arial"/>
                <w:w w:val="100"/>
                <w:sz w:val="20"/>
              </w:rPr>
              <w:t>-</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106"/>
              <w:jc w:val="right"/>
              <w:rPr>
                <w:rFonts w:ascii="Arial" w:hAnsi="Arial" w:cs="Arial" w:eastAsia="Arial" w:hint="default"/>
                <w:sz w:val="20"/>
                <w:szCs w:val="20"/>
              </w:rPr>
            </w:pPr>
            <w:r>
              <w:rPr>
                <w:rFonts w:ascii="Arial"/>
                <w:w w:val="100"/>
                <w:sz w:val="20"/>
              </w:rPr>
              <w:t>-</w:t>
            </w:r>
          </w:p>
        </w:tc>
      </w:tr>
      <w:tr>
        <w:trPr>
          <w:trHeight w:val="520" w:hRule="exact"/>
        </w:trPr>
        <w:tc>
          <w:tcPr>
            <w:tcW w:w="1497"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电器有限公司</w:t>
            </w:r>
          </w:p>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重庆渝宁苏宁</w:t>
            </w:r>
          </w:p>
        </w:tc>
        <w:tc>
          <w:tcPr>
            <w:tcW w:w="1600" w:type="dxa"/>
            <w:tcBorders>
              <w:top w:val="nil" w:sz="6" w:space="0" w:color="auto"/>
              <w:left w:val="nil" w:sz="6" w:space="0" w:color="auto"/>
              <w:bottom w:val="nil" w:sz="6" w:space="0" w:color="auto"/>
              <w:right w:val="nil" w:sz="6" w:space="0" w:color="auto"/>
            </w:tcBorders>
          </w:tcPr>
          <w:p>
            <w:pPr>
              <w:pStyle w:val="TableParagraph"/>
              <w:spacing w:line="237" w:lineRule="exact"/>
              <w:ind w:left="448" w:right="0"/>
              <w:jc w:val="left"/>
              <w:rPr>
                <w:rFonts w:ascii="宋体" w:hAnsi="宋体" w:cs="宋体" w:eastAsia="宋体" w:hint="default"/>
                <w:sz w:val="20"/>
                <w:szCs w:val="20"/>
              </w:rPr>
            </w:pPr>
            <w:r>
              <w:rPr>
                <w:rFonts w:ascii="Arial" w:hAnsi="Arial" w:cs="Arial" w:eastAsia="Arial" w:hint="default"/>
                <w:sz w:val="20"/>
                <w:szCs w:val="20"/>
              </w:rPr>
              <w:t>5,800</w:t>
            </w:r>
            <w:r>
              <w:rPr>
                <w:rFonts w:ascii="Arial" w:hAnsi="Arial" w:cs="Arial" w:eastAsia="Arial" w:hint="default"/>
                <w:spacing w:val="-6"/>
                <w:sz w:val="20"/>
                <w:szCs w:val="20"/>
              </w:rPr>
              <w:t> </w:t>
            </w:r>
            <w:r>
              <w:rPr>
                <w:rFonts w:ascii="宋体" w:hAnsi="宋体" w:cs="宋体" w:eastAsia="宋体" w:hint="default"/>
                <w:sz w:val="20"/>
                <w:szCs w:val="20"/>
              </w:rPr>
              <w:t>万元</w:t>
            </w:r>
          </w:p>
          <w:p>
            <w:pPr>
              <w:pStyle w:val="TableParagraph"/>
              <w:spacing w:line="254" w:lineRule="exact"/>
              <w:ind w:left="799"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46"/>
              <w:jc w:val="right"/>
              <w:rPr>
                <w:rFonts w:ascii="Arial" w:hAnsi="Arial" w:cs="Arial" w:eastAsia="Arial" w:hint="default"/>
                <w:sz w:val="20"/>
                <w:szCs w:val="20"/>
              </w:rPr>
            </w:pPr>
            <w:r>
              <w:rPr>
                <w:rFonts w:ascii="Arial"/>
                <w:w w:val="100"/>
                <w:sz w:val="20"/>
              </w:rPr>
              <w:t>-</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3"/>
              <w:jc w:val="center"/>
              <w:rPr>
                <w:rFonts w:ascii="Arial" w:hAnsi="Arial" w:cs="Arial" w:eastAsia="Arial" w:hint="default"/>
                <w:sz w:val="20"/>
                <w:szCs w:val="20"/>
              </w:rPr>
            </w:pPr>
            <w:r>
              <w:rPr>
                <w:rFonts w:ascii="Arial"/>
                <w:sz w:val="20"/>
              </w:rPr>
              <w:t>100%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222"/>
              <w:jc w:val="right"/>
              <w:rPr>
                <w:rFonts w:ascii="Arial" w:hAnsi="Arial" w:cs="Arial" w:eastAsia="Arial" w:hint="default"/>
                <w:sz w:val="20"/>
                <w:szCs w:val="20"/>
              </w:rPr>
            </w:pPr>
            <w:r>
              <w:rPr>
                <w:rFonts w:ascii="Arial"/>
                <w:sz w:val="20"/>
              </w:rPr>
              <w:t>100%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9"/>
                <w:szCs w:val="19"/>
              </w:rPr>
            </w:pPr>
          </w:p>
          <w:p>
            <w:pPr>
              <w:pStyle w:val="TableParagraph"/>
              <w:spacing w:line="240" w:lineRule="auto"/>
              <w:ind w:right="92"/>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282"/>
              <w:jc w:val="right"/>
              <w:rPr>
                <w:rFonts w:ascii="Arial" w:hAnsi="Arial" w:cs="Arial" w:eastAsia="Arial" w:hint="default"/>
                <w:sz w:val="20"/>
                <w:szCs w:val="20"/>
              </w:rPr>
            </w:pPr>
            <w:r>
              <w:rPr>
                <w:rFonts w:ascii="Arial"/>
                <w:w w:val="100"/>
                <w:sz w:val="20"/>
              </w:rPr>
              <w:t>-</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06"/>
              <w:jc w:val="right"/>
              <w:rPr>
                <w:rFonts w:ascii="Arial" w:hAnsi="Arial" w:cs="Arial" w:eastAsia="Arial" w:hint="default"/>
                <w:sz w:val="20"/>
                <w:szCs w:val="20"/>
              </w:rPr>
            </w:pPr>
            <w:r>
              <w:rPr>
                <w:rFonts w:ascii="Arial"/>
                <w:w w:val="100"/>
                <w:sz w:val="20"/>
              </w:rPr>
              <w:t>-</w:t>
            </w:r>
          </w:p>
        </w:tc>
      </w:tr>
      <w:tr>
        <w:trPr>
          <w:trHeight w:val="520" w:hRule="exact"/>
        </w:trPr>
        <w:tc>
          <w:tcPr>
            <w:tcW w:w="1497" w:type="dxa"/>
            <w:tcBorders>
              <w:top w:val="nil" w:sz="6" w:space="0" w:color="auto"/>
              <w:left w:val="nil" w:sz="6" w:space="0" w:color="auto"/>
              <w:bottom w:val="nil" w:sz="6" w:space="0" w:color="auto"/>
              <w:right w:val="nil" w:sz="6" w:space="0" w:color="auto"/>
            </w:tcBorders>
          </w:tcPr>
          <w:p>
            <w:pPr>
              <w:pStyle w:val="TableParagraph"/>
              <w:spacing w:line="229" w:lineRule="exact"/>
              <w:ind w:left="235" w:right="0"/>
              <w:jc w:val="left"/>
              <w:rPr>
                <w:rFonts w:ascii="宋体" w:hAnsi="宋体" w:cs="宋体" w:eastAsia="宋体" w:hint="default"/>
                <w:sz w:val="20"/>
                <w:szCs w:val="20"/>
              </w:rPr>
            </w:pPr>
            <w:r>
              <w:rPr>
                <w:rFonts w:ascii="宋体" w:hAnsi="宋体" w:cs="宋体" w:eastAsia="宋体" w:hint="default"/>
                <w:sz w:val="20"/>
                <w:szCs w:val="20"/>
              </w:rPr>
              <w:t>电器有限公司</w:t>
            </w:r>
          </w:p>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四川苏宁电器</w:t>
            </w:r>
          </w:p>
        </w:tc>
        <w:tc>
          <w:tcPr>
            <w:tcW w:w="1600" w:type="dxa"/>
            <w:tcBorders>
              <w:top w:val="nil" w:sz="6" w:space="0" w:color="auto"/>
              <w:left w:val="nil" w:sz="6" w:space="0" w:color="auto"/>
              <w:bottom w:val="nil" w:sz="6" w:space="0" w:color="auto"/>
              <w:right w:val="nil" w:sz="6" w:space="0" w:color="auto"/>
            </w:tcBorders>
          </w:tcPr>
          <w:p>
            <w:pPr>
              <w:pStyle w:val="TableParagraph"/>
              <w:spacing w:line="236" w:lineRule="exact"/>
              <w:ind w:left="338" w:right="0"/>
              <w:jc w:val="left"/>
              <w:rPr>
                <w:rFonts w:ascii="宋体" w:hAnsi="宋体" w:cs="宋体" w:eastAsia="宋体" w:hint="default"/>
                <w:sz w:val="20"/>
                <w:szCs w:val="20"/>
              </w:rPr>
            </w:pPr>
            <w:r>
              <w:rPr>
                <w:rFonts w:ascii="Arial" w:hAnsi="Arial" w:cs="Arial" w:eastAsia="Arial" w:hint="default"/>
                <w:sz w:val="20"/>
                <w:szCs w:val="20"/>
              </w:rPr>
              <w:t>34,548</w:t>
            </w:r>
            <w:r>
              <w:rPr>
                <w:rFonts w:ascii="Arial" w:hAnsi="Arial" w:cs="Arial" w:eastAsia="Arial" w:hint="default"/>
                <w:spacing w:val="-6"/>
                <w:sz w:val="20"/>
                <w:szCs w:val="20"/>
              </w:rPr>
              <w:t> </w:t>
            </w:r>
            <w:r>
              <w:rPr>
                <w:rFonts w:ascii="宋体" w:hAnsi="宋体" w:cs="宋体" w:eastAsia="宋体" w:hint="default"/>
                <w:sz w:val="20"/>
                <w:szCs w:val="20"/>
              </w:rPr>
              <w:t>万元</w:t>
            </w:r>
          </w:p>
          <w:p>
            <w:pPr>
              <w:pStyle w:val="TableParagraph"/>
              <w:spacing w:line="254" w:lineRule="exact"/>
              <w:ind w:left="799"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46"/>
              <w:jc w:val="right"/>
              <w:rPr>
                <w:rFonts w:ascii="Arial" w:hAnsi="Arial" w:cs="Arial" w:eastAsia="Arial" w:hint="default"/>
                <w:sz w:val="20"/>
                <w:szCs w:val="20"/>
              </w:rPr>
            </w:pPr>
            <w:r>
              <w:rPr>
                <w:rFonts w:ascii="Arial"/>
                <w:w w:val="100"/>
                <w:sz w:val="20"/>
              </w:rPr>
              <w:t>-</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3"/>
              <w:jc w:val="center"/>
              <w:rPr>
                <w:rFonts w:ascii="Arial" w:hAnsi="Arial" w:cs="Arial" w:eastAsia="Arial" w:hint="default"/>
                <w:sz w:val="20"/>
                <w:szCs w:val="20"/>
              </w:rPr>
            </w:pPr>
            <w:r>
              <w:rPr>
                <w:rFonts w:ascii="Arial"/>
                <w:sz w:val="20"/>
              </w:rPr>
              <w:t>100%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222"/>
              <w:jc w:val="right"/>
              <w:rPr>
                <w:rFonts w:ascii="Arial" w:hAnsi="Arial" w:cs="Arial" w:eastAsia="Arial" w:hint="default"/>
                <w:sz w:val="20"/>
                <w:szCs w:val="20"/>
              </w:rPr>
            </w:pPr>
            <w:r>
              <w:rPr>
                <w:rFonts w:ascii="Arial"/>
                <w:sz w:val="20"/>
              </w:rPr>
              <w:t>100%</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9"/>
                <w:szCs w:val="19"/>
              </w:rPr>
            </w:pPr>
          </w:p>
          <w:p>
            <w:pPr>
              <w:pStyle w:val="TableParagraph"/>
              <w:spacing w:line="240" w:lineRule="auto"/>
              <w:ind w:right="92"/>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282"/>
              <w:jc w:val="right"/>
              <w:rPr>
                <w:rFonts w:ascii="Arial" w:hAnsi="Arial" w:cs="Arial" w:eastAsia="Arial" w:hint="default"/>
                <w:sz w:val="20"/>
                <w:szCs w:val="20"/>
              </w:rPr>
            </w:pPr>
            <w:r>
              <w:rPr>
                <w:rFonts w:ascii="Arial"/>
                <w:w w:val="100"/>
                <w:sz w:val="20"/>
              </w:rPr>
              <w:t>-</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06"/>
              <w:jc w:val="right"/>
              <w:rPr>
                <w:rFonts w:ascii="Arial" w:hAnsi="Arial" w:cs="Arial" w:eastAsia="Arial" w:hint="default"/>
                <w:sz w:val="20"/>
                <w:szCs w:val="20"/>
              </w:rPr>
            </w:pPr>
            <w:r>
              <w:rPr>
                <w:rFonts w:ascii="Arial"/>
                <w:w w:val="100"/>
                <w:sz w:val="20"/>
              </w:rPr>
              <w:t>-</w:t>
            </w:r>
          </w:p>
        </w:tc>
      </w:tr>
      <w:tr>
        <w:trPr>
          <w:trHeight w:val="340" w:hRule="exact"/>
        </w:trPr>
        <w:tc>
          <w:tcPr>
            <w:tcW w:w="1497" w:type="dxa"/>
            <w:tcBorders>
              <w:top w:val="nil" w:sz="6" w:space="0" w:color="auto"/>
              <w:left w:val="nil" w:sz="6" w:space="0" w:color="auto"/>
              <w:bottom w:val="nil" w:sz="6" w:space="0" w:color="auto"/>
              <w:right w:val="nil" w:sz="6" w:space="0" w:color="auto"/>
            </w:tcBorders>
          </w:tcPr>
          <w:p>
            <w:pPr>
              <w:pStyle w:val="TableParagraph"/>
              <w:spacing w:line="230" w:lineRule="exact"/>
              <w:ind w:right="222"/>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1600" w:type="dxa"/>
            <w:tcBorders>
              <w:top w:val="nil" w:sz="6" w:space="0" w:color="auto"/>
              <w:left w:val="nil" w:sz="6" w:space="0" w:color="auto"/>
              <w:bottom w:val="nil" w:sz="6" w:space="0" w:color="auto"/>
              <w:right w:val="nil" w:sz="6" w:space="0" w:color="auto"/>
            </w:tcBorders>
          </w:tcPr>
          <w:p>
            <w:pPr>
              <w:pStyle w:val="TableParagraph"/>
              <w:spacing w:line="245" w:lineRule="exact"/>
              <w:ind w:right="197"/>
              <w:jc w:val="right"/>
              <w:rPr>
                <w:rFonts w:ascii="宋体" w:hAnsi="宋体" w:cs="宋体" w:eastAsia="宋体" w:hint="default"/>
                <w:sz w:val="20"/>
                <w:szCs w:val="20"/>
              </w:rPr>
            </w:pPr>
            <w:r>
              <w:rPr>
                <w:rFonts w:ascii="Arial" w:hAnsi="Arial" w:cs="Arial" w:eastAsia="Arial" w:hint="default"/>
                <w:sz w:val="20"/>
                <w:szCs w:val="20"/>
              </w:rPr>
              <w:t>9,037</w:t>
            </w:r>
            <w:r>
              <w:rPr>
                <w:rFonts w:ascii="Arial" w:hAnsi="Arial" w:cs="Arial" w:eastAsia="Arial" w:hint="default"/>
                <w:spacing w:val="-6"/>
                <w:sz w:val="20"/>
                <w:szCs w:val="20"/>
              </w:rPr>
              <w:t> </w:t>
            </w:r>
            <w:r>
              <w:rPr>
                <w:rFonts w:ascii="宋体" w:hAnsi="宋体" w:cs="宋体" w:eastAsia="宋体" w:hint="default"/>
                <w:sz w:val="20"/>
                <w:szCs w:val="20"/>
              </w:rPr>
              <w:t>万元</w:t>
            </w:r>
          </w:p>
        </w:tc>
        <w:tc>
          <w:tcPr>
            <w:tcW w:w="1691" w:type="dxa"/>
            <w:tcBorders>
              <w:top w:val="nil" w:sz="6" w:space="0" w:color="auto"/>
              <w:left w:val="nil" w:sz="6" w:space="0" w:color="auto"/>
              <w:bottom w:val="nil" w:sz="6" w:space="0" w:color="auto"/>
              <w:right w:val="nil" w:sz="6" w:space="0" w:color="auto"/>
            </w:tcBorders>
          </w:tcPr>
          <w:p>
            <w:pPr/>
          </w:p>
        </w:tc>
        <w:tc>
          <w:tcPr>
            <w:tcW w:w="732"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695"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1475" w:footer="945" w:top="3020" w:bottom="1140" w:left="1580" w:right="1300"/>
        </w:sectPr>
      </w:pPr>
    </w:p>
    <w:p>
      <w:pPr>
        <w:spacing w:line="240" w:lineRule="auto" w:before="4"/>
        <w:rPr>
          <w:rFonts w:ascii="Arial" w:hAnsi="Arial" w:cs="Arial" w:eastAsia="Arial" w:hint="default"/>
          <w:sz w:val="15"/>
          <w:szCs w:val="15"/>
        </w:rPr>
      </w:pPr>
    </w:p>
    <w:p>
      <w:pPr>
        <w:pStyle w:val="Heading2"/>
        <w:tabs>
          <w:tab w:pos="856" w:val="left" w:leader="none"/>
        </w:tabs>
        <w:spacing w:line="240" w:lineRule="auto"/>
        <w:ind w:left="149" w:right="0"/>
        <w:jc w:val="left"/>
        <w:rPr>
          <w:rFonts w:ascii="Arial" w:hAnsi="Arial" w:cs="Arial" w:eastAsia="Arial" w:hint="default"/>
          <w:b w:val="0"/>
          <w:bCs w:val="0"/>
        </w:rPr>
      </w:pPr>
      <w:r>
        <w:rPr>
          <w:w w:val="95"/>
        </w:rPr>
        <w:t>四</w:t>
        <w:tab/>
      </w:r>
      <w:r>
        <w:rPr/>
        <w:t>企业合并及合并财务报表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56" w:val="left" w:leader="none"/>
        </w:tabs>
        <w:spacing w:before="0"/>
        <w:ind w:left="149" w:right="0" w:firstLine="0"/>
        <w:jc w:val="left"/>
        <w:rPr>
          <w:rFonts w:ascii="Arial" w:hAnsi="Arial" w:cs="Arial" w:eastAsia="Arial" w:hint="default"/>
          <w:sz w:val="24"/>
          <w:szCs w:val="24"/>
        </w:rPr>
      </w:pPr>
      <w:r>
        <w:rPr>
          <w:rFonts w:ascii="Arial" w:hAnsi="Arial" w:cs="Arial" w:eastAsia="Arial" w:hint="default"/>
          <w:w w:val="95"/>
          <w:position w:val="2"/>
          <w:sz w:val="24"/>
          <w:szCs w:val="24"/>
        </w:rPr>
        <w:t>(1)</w:t>
        <w:tab/>
      </w:r>
      <w:r>
        <w:rPr>
          <w:rFonts w:ascii="宋体" w:hAnsi="宋体" w:cs="宋体" w:eastAsia="宋体" w:hint="default"/>
          <w:b/>
          <w:bCs/>
          <w:sz w:val="24"/>
          <w:szCs w:val="24"/>
        </w:rPr>
        <w:t>子公司情况</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56" w:val="left" w:leader="none"/>
        </w:tabs>
        <w:spacing w:line="240" w:lineRule="auto"/>
        <w:ind w:left="149" w:right="0"/>
        <w:jc w:val="left"/>
        <w:rPr>
          <w:rFonts w:ascii="Arial" w:hAnsi="Arial" w:cs="Arial" w:eastAsia="Arial" w:hint="default"/>
        </w:rPr>
      </w:pPr>
      <w:r>
        <w:rPr>
          <w:rFonts w:ascii="Arial" w:hAnsi="Arial" w:cs="Arial" w:eastAsia="Arial" w:hint="default"/>
          <w:w w:val="95"/>
          <w:position w:val="2"/>
        </w:rPr>
        <w:t>(a)</w:t>
        <w:tab/>
      </w:r>
      <w:r>
        <w:rPr/>
        <w:t>通过设立或投资等方式取得的主要子公司</w:t>
      </w:r>
      <w:r>
        <w:rPr>
          <w:rFonts w:ascii="Arial" w:hAnsi="Arial" w:cs="Arial" w:eastAsia="Arial" w:hint="default"/>
        </w:rPr>
        <w:t>(</w:t>
      </w:r>
      <w:r>
        <w:rPr/>
        <w:t>续</w:t>
      </w:r>
      <w:r>
        <w:rPr>
          <w:rFonts w:ascii="Arial" w:hAnsi="Arial" w:cs="Arial" w:eastAsia="Arial" w:hint="default"/>
        </w:rPr>
        <w:t>)</w:t>
      </w:r>
    </w:p>
    <w:p>
      <w:pPr>
        <w:spacing w:line="240" w:lineRule="auto" w:before="7"/>
        <w:rPr>
          <w:rFonts w:ascii="Arial" w:hAnsi="Arial" w:cs="Arial" w:eastAsia="Arial" w:hint="default"/>
          <w:sz w:val="19"/>
          <w:szCs w:val="19"/>
        </w:rPr>
      </w:pPr>
    </w:p>
    <w:tbl>
      <w:tblPr>
        <w:tblW w:w="0" w:type="auto"/>
        <w:jc w:val="left"/>
        <w:tblInd w:w="822" w:type="dxa"/>
        <w:tblLayout w:type="fixed"/>
        <w:tblCellMar>
          <w:top w:w="0" w:type="dxa"/>
          <w:left w:w="0" w:type="dxa"/>
          <w:bottom w:w="0" w:type="dxa"/>
          <w:right w:w="0" w:type="dxa"/>
        </w:tblCellMar>
        <w:tblLook w:val="01E0"/>
      </w:tblPr>
      <w:tblGrid>
        <w:gridCol w:w="1497"/>
        <w:gridCol w:w="1600"/>
        <w:gridCol w:w="2422"/>
        <w:gridCol w:w="890"/>
        <w:gridCol w:w="692"/>
        <w:gridCol w:w="1604"/>
        <w:gridCol w:w="1483"/>
      </w:tblGrid>
      <w:tr>
        <w:trPr>
          <w:trHeight w:val="587" w:hRule="exact"/>
        </w:trPr>
        <w:tc>
          <w:tcPr>
            <w:tcW w:w="1497" w:type="dxa"/>
            <w:vMerge w:val="restart"/>
            <w:tcBorders>
              <w:top w:val="nil" w:sz="6" w:space="0" w:color="auto"/>
              <w:left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16" w:right="180" w:hanging="201"/>
              <w:jc w:val="left"/>
              <w:rPr>
                <w:rFonts w:ascii="宋体" w:hAnsi="宋体" w:cs="宋体" w:eastAsia="宋体" w:hint="default"/>
                <w:sz w:val="20"/>
                <w:szCs w:val="20"/>
              </w:rPr>
            </w:pPr>
            <w:r>
              <w:rPr>
                <w:rFonts w:ascii="宋体" w:hAnsi="宋体" w:cs="宋体" w:eastAsia="宋体" w:hint="default"/>
                <w:sz w:val="20"/>
                <w:szCs w:val="20"/>
              </w:rPr>
              <w:t>年末实际</w:t>
            </w:r>
            <w:r>
              <w:rPr>
                <w:rFonts w:ascii="宋体" w:hAnsi="宋体" w:cs="宋体" w:eastAsia="宋体" w:hint="default"/>
                <w:w w:val="100"/>
                <w:sz w:val="20"/>
                <w:szCs w:val="20"/>
              </w:rPr>
              <w:t> </w:t>
            </w:r>
            <w:r>
              <w:rPr>
                <w:rFonts w:ascii="宋体" w:hAnsi="宋体" w:cs="宋体" w:eastAsia="宋体" w:hint="default"/>
                <w:sz w:val="20"/>
                <w:szCs w:val="20"/>
              </w:rPr>
              <w:t>出资额</w:t>
            </w:r>
          </w:p>
        </w:tc>
        <w:tc>
          <w:tcPr>
            <w:tcW w:w="2422" w:type="dxa"/>
            <w:tcBorders>
              <w:top w:val="nil" w:sz="6" w:space="0" w:color="auto"/>
              <w:left w:val="nil" w:sz="6" w:space="0" w:color="auto"/>
              <w:bottom w:val="nil" w:sz="6" w:space="0" w:color="auto"/>
              <w:right w:val="nil" w:sz="6" w:space="0" w:color="auto"/>
            </w:tcBorders>
          </w:tcPr>
          <w:p>
            <w:pPr>
              <w:pStyle w:val="TableParagraph"/>
              <w:tabs>
                <w:tab w:pos="1852" w:val="left" w:leader="none"/>
              </w:tabs>
              <w:spacing w:line="240" w:lineRule="auto" w:before="38"/>
              <w:ind w:left="382" w:right="166" w:hanging="201"/>
              <w:jc w:val="left"/>
              <w:rPr>
                <w:rFonts w:ascii="宋体" w:hAnsi="宋体" w:cs="宋体" w:eastAsia="宋体" w:hint="default"/>
                <w:sz w:val="20"/>
                <w:szCs w:val="20"/>
              </w:rPr>
            </w:pPr>
            <w:r>
              <w:rPr>
                <w:rFonts w:ascii="宋体" w:hAnsi="宋体" w:cs="宋体" w:eastAsia="宋体" w:hint="default"/>
                <w:spacing w:val="-1"/>
                <w:sz w:val="20"/>
                <w:szCs w:val="20"/>
              </w:rPr>
              <w:t>实质上构成对子</w:t>
              <w:tab/>
            </w:r>
            <w:r>
              <w:rPr>
                <w:rFonts w:ascii="宋体" w:hAnsi="宋体" w:cs="宋体" w:eastAsia="宋体" w:hint="default"/>
                <w:sz w:val="20"/>
                <w:szCs w:val="20"/>
              </w:rPr>
              <w:t>持股</w:t>
            </w:r>
            <w:r>
              <w:rPr>
                <w:rFonts w:ascii="宋体" w:hAnsi="宋体" w:cs="宋体" w:eastAsia="宋体" w:hint="default"/>
                <w:w w:val="100"/>
                <w:sz w:val="20"/>
                <w:szCs w:val="20"/>
              </w:rPr>
              <w:t> </w:t>
            </w:r>
            <w:r>
              <w:rPr>
                <w:rFonts w:ascii="宋体" w:hAnsi="宋体" w:cs="宋体" w:eastAsia="宋体" w:hint="default"/>
                <w:spacing w:val="-1"/>
                <w:sz w:val="20"/>
                <w:szCs w:val="20"/>
              </w:rPr>
              <w:t>公司净投资的</w:t>
              <w:tab/>
            </w:r>
            <w:r>
              <w:rPr>
                <w:rFonts w:ascii="宋体" w:hAnsi="宋体" w:cs="宋体" w:eastAsia="宋体" w:hint="default"/>
                <w:sz w:val="20"/>
                <w:szCs w:val="20"/>
              </w:rPr>
              <w:t>比例</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11" w:right="176" w:hanging="200"/>
              <w:jc w:val="left"/>
              <w:rPr>
                <w:rFonts w:ascii="宋体" w:hAnsi="宋体" w:cs="宋体" w:eastAsia="宋体" w:hint="default"/>
                <w:sz w:val="20"/>
                <w:szCs w:val="20"/>
              </w:rPr>
            </w:pPr>
            <w:r>
              <w:rPr>
                <w:rFonts w:ascii="宋体" w:hAnsi="宋体" w:cs="宋体" w:eastAsia="宋体" w:hint="default"/>
                <w:sz w:val="20"/>
                <w:szCs w:val="20"/>
              </w:rPr>
              <w:t>表决权</w:t>
            </w:r>
            <w:r>
              <w:rPr>
                <w:rFonts w:ascii="宋体" w:hAnsi="宋体" w:cs="宋体" w:eastAsia="宋体" w:hint="default"/>
                <w:w w:val="100"/>
                <w:sz w:val="20"/>
                <w:szCs w:val="20"/>
              </w:rPr>
              <w:t> </w:t>
            </w:r>
            <w:r>
              <w:rPr>
                <w:rFonts w:ascii="宋体" w:hAnsi="宋体" w:cs="宋体" w:eastAsia="宋体" w:hint="default"/>
                <w:sz w:val="20"/>
                <w:szCs w:val="20"/>
              </w:rPr>
              <w:t>比例</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78" w:right="110"/>
              <w:jc w:val="left"/>
              <w:rPr>
                <w:rFonts w:ascii="宋体" w:hAnsi="宋体" w:cs="宋体" w:eastAsia="宋体" w:hint="default"/>
                <w:sz w:val="20"/>
                <w:szCs w:val="20"/>
              </w:rPr>
            </w:pPr>
            <w:r>
              <w:rPr>
                <w:rFonts w:ascii="宋体" w:hAnsi="宋体" w:cs="宋体" w:eastAsia="宋体" w:hint="default"/>
                <w:sz w:val="20"/>
                <w:szCs w:val="20"/>
              </w:rPr>
              <w:t>是否</w:t>
            </w:r>
            <w:r>
              <w:rPr>
                <w:rFonts w:ascii="宋体" w:hAnsi="宋体" w:cs="宋体" w:eastAsia="宋体" w:hint="default"/>
                <w:w w:val="100"/>
                <w:sz w:val="20"/>
                <w:szCs w:val="20"/>
              </w:rPr>
              <w:t> </w:t>
            </w:r>
            <w:r>
              <w:rPr>
                <w:rFonts w:ascii="宋体" w:hAnsi="宋体" w:cs="宋体" w:eastAsia="宋体" w:hint="default"/>
                <w:sz w:val="20"/>
                <w:szCs w:val="20"/>
              </w:rPr>
              <w:t>合并</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4"/>
              <w:jc w:val="right"/>
              <w:rPr>
                <w:rFonts w:ascii="宋体" w:hAnsi="宋体" w:cs="宋体" w:eastAsia="宋体" w:hint="default"/>
                <w:sz w:val="20"/>
                <w:szCs w:val="20"/>
              </w:rPr>
            </w:pPr>
            <w:r>
              <w:rPr>
                <w:rFonts w:ascii="宋体" w:hAnsi="宋体" w:cs="宋体" w:eastAsia="宋体" w:hint="default"/>
                <w:spacing w:val="-1"/>
                <w:sz w:val="20"/>
                <w:szCs w:val="20"/>
              </w:rPr>
              <w:t>少数股东权益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46" w:right="33"/>
              <w:jc w:val="left"/>
              <w:rPr>
                <w:rFonts w:ascii="宋体" w:hAnsi="宋体" w:cs="宋体" w:eastAsia="宋体" w:hint="default"/>
                <w:sz w:val="20"/>
                <w:szCs w:val="20"/>
              </w:rPr>
            </w:pPr>
            <w:r>
              <w:rPr>
                <w:rFonts w:ascii="宋体" w:hAnsi="宋体" w:cs="宋体" w:eastAsia="宋体" w:hint="default"/>
                <w:sz w:val="20"/>
                <w:szCs w:val="20"/>
              </w:rPr>
              <w:t>少数股东权益</w:t>
            </w:r>
            <w:r>
              <w:rPr>
                <w:rFonts w:ascii="宋体" w:hAnsi="宋体" w:cs="宋体" w:eastAsia="宋体" w:hint="default"/>
                <w:w w:val="100"/>
                <w:sz w:val="20"/>
                <w:szCs w:val="20"/>
              </w:rPr>
              <w:t> </w:t>
            </w:r>
            <w:r>
              <w:rPr>
                <w:rFonts w:ascii="宋体" w:hAnsi="宋体" w:cs="宋体" w:eastAsia="宋体" w:hint="default"/>
                <w:sz w:val="20"/>
                <w:szCs w:val="20"/>
              </w:rPr>
              <w:t>中用于冲减少</w:t>
            </w:r>
          </w:p>
        </w:tc>
      </w:tr>
      <w:tr>
        <w:trPr>
          <w:trHeight w:val="263" w:hRule="exact"/>
        </w:trPr>
        <w:tc>
          <w:tcPr>
            <w:tcW w:w="1497" w:type="dxa"/>
            <w:vMerge/>
            <w:tcBorders>
              <w:left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tabs>
                <w:tab w:pos="1941" w:val="left" w:leader="none"/>
              </w:tabs>
              <w:spacing w:line="234" w:lineRule="exact"/>
              <w:ind w:left="382" w:right="0"/>
              <w:jc w:val="left"/>
              <w:rPr>
                <w:rFonts w:ascii="Arial" w:hAnsi="Arial" w:cs="Arial" w:eastAsia="Arial" w:hint="default"/>
                <w:sz w:val="20"/>
                <w:szCs w:val="20"/>
              </w:rPr>
            </w:pPr>
            <w:r>
              <w:rPr>
                <w:rFonts w:ascii="宋体" w:hAnsi="宋体" w:cs="宋体" w:eastAsia="宋体" w:hint="default"/>
                <w:spacing w:val="-1"/>
                <w:sz w:val="20"/>
                <w:szCs w:val="20"/>
              </w:rPr>
              <w:t>其他项目余额</w:t>
              <w:tab/>
            </w:r>
            <w:r>
              <w:rPr>
                <w:rFonts w:ascii="Arial" w:hAnsi="Arial" w:cs="Arial" w:eastAsia="Arial" w:hint="default"/>
                <w:spacing w:val="-1"/>
                <w:position w:val="2"/>
                <w:sz w:val="20"/>
                <w:szCs w:val="20"/>
              </w:rPr>
              <w:t>(%)</w:t>
            </w:r>
            <w:r>
              <w:rPr>
                <w:rFonts w:ascii="Arial" w:hAnsi="Arial" w:cs="Arial" w:eastAsia="Arial" w:hint="default"/>
                <w:spacing w:val="-1"/>
                <w:sz w:val="20"/>
                <w:szCs w:val="20"/>
              </w:rPr>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6"/>
              <w:jc w:val="right"/>
              <w:rPr>
                <w:rFonts w:ascii="Arial" w:hAnsi="Arial" w:cs="Arial" w:eastAsia="Arial" w:hint="default"/>
                <w:sz w:val="20"/>
                <w:szCs w:val="20"/>
              </w:rPr>
            </w:pPr>
            <w:r>
              <w:rPr>
                <w:rFonts w:ascii="Arial"/>
                <w:spacing w:val="-1"/>
                <w:sz w:val="20"/>
              </w:rPr>
              <w:t>(%)</w:t>
            </w:r>
          </w:p>
        </w:tc>
        <w:tc>
          <w:tcPr>
            <w:tcW w:w="692" w:type="dxa"/>
            <w:tcBorders>
              <w:top w:val="nil" w:sz="6" w:space="0" w:color="auto"/>
              <w:left w:val="nil" w:sz="6" w:space="0" w:color="auto"/>
              <w:bottom w:val="nil" w:sz="6" w:space="0" w:color="auto"/>
              <w:right w:val="nil" w:sz="6" w:space="0" w:color="auto"/>
            </w:tcBorders>
          </w:tcPr>
          <w:p>
            <w:pPr>
              <w:pStyle w:val="TableParagraph"/>
              <w:spacing w:line="234" w:lineRule="exact"/>
              <w:ind w:right="113"/>
              <w:jc w:val="right"/>
              <w:rPr>
                <w:rFonts w:ascii="宋体" w:hAnsi="宋体" w:cs="宋体" w:eastAsia="宋体" w:hint="default"/>
                <w:sz w:val="20"/>
                <w:szCs w:val="20"/>
              </w:rPr>
            </w:pPr>
            <w:r>
              <w:rPr>
                <w:rFonts w:ascii="宋体" w:hAnsi="宋体" w:cs="宋体" w:eastAsia="宋体" w:hint="default"/>
                <w:sz w:val="20"/>
                <w:szCs w:val="20"/>
              </w:rPr>
              <w:t>报表</w:t>
            </w:r>
          </w:p>
        </w:tc>
        <w:tc>
          <w:tcPr>
            <w:tcW w:w="1604"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34" w:lineRule="exact"/>
              <w:ind w:right="33"/>
              <w:jc w:val="right"/>
              <w:rPr>
                <w:rFonts w:ascii="宋体" w:hAnsi="宋体" w:cs="宋体" w:eastAsia="宋体" w:hint="default"/>
                <w:sz w:val="20"/>
                <w:szCs w:val="20"/>
              </w:rPr>
            </w:pPr>
            <w:r>
              <w:rPr>
                <w:rFonts w:ascii="宋体" w:hAnsi="宋体" w:cs="宋体" w:eastAsia="宋体" w:hint="default"/>
                <w:spacing w:val="-1"/>
                <w:sz w:val="20"/>
                <w:szCs w:val="20"/>
              </w:rPr>
              <w:t>数股东损益的</w:t>
            </w:r>
          </w:p>
        </w:tc>
      </w:tr>
      <w:tr>
        <w:trPr>
          <w:trHeight w:val="256" w:hRule="exact"/>
        </w:trPr>
        <w:tc>
          <w:tcPr>
            <w:tcW w:w="1497" w:type="dxa"/>
            <w:vMerge/>
            <w:tcBorders>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宋体" w:hAnsi="宋体" w:cs="宋体" w:eastAsia="宋体" w:hint="default"/>
                <w:sz w:val="20"/>
                <w:szCs w:val="20"/>
              </w:rPr>
            </w:pPr>
            <w:r>
              <w:rPr>
                <w:rFonts w:ascii="宋体" w:hAnsi="宋体" w:cs="宋体" w:eastAsia="宋体" w:hint="default"/>
                <w:sz w:val="20"/>
                <w:szCs w:val="20"/>
              </w:rPr>
              <w:t>金额</w:t>
            </w:r>
          </w:p>
        </w:tc>
      </w:tr>
      <w:tr>
        <w:trPr>
          <w:trHeight w:val="264" w:hRule="exact"/>
        </w:trPr>
        <w:tc>
          <w:tcPr>
            <w:tcW w:w="1497" w:type="dxa"/>
            <w:tcBorders>
              <w:top w:val="nil" w:sz="6" w:space="0" w:color="auto"/>
              <w:left w:val="nil" w:sz="6" w:space="0" w:color="auto"/>
              <w:bottom w:val="nil" w:sz="6" w:space="0" w:color="auto"/>
              <w:right w:val="nil" w:sz="6" w:space="0" w:color="auto"/>
            </w:tcBorders>
          </w:tcPr>
          <w:p>
            <w:pPr>
              <w:pStyle w:val="TableParagraph"/>
              <w:spacing w:line="234" w:lineRule="exact"/>
              <w:ind w:right="258"/>
              <w:jc w:val="right"/>
              <w:rPr>
                <w:rFonts w:ascii="宋体" w:hAnsi="宋体" w:cs="宋体" w:eastAsia="宋体" w:hint="default"/>
                <w:sz w:val="20"/>
                <w:szCs w:val="20"/>
              </w:rPr>
            </w:pPr>
            <w:r>
              <w:rPr>
                <w:rFonts w:ascii="宋体" w:hAnsi="宋体" w:cs="宋体" w:eastAsia="宋体" w:hint="default"/>
                <w:spacing w:val="-1"/>
                <w:sz w:val="20"/>
                <w:szCs w:val="20"/>
              </w:rPr>
              <w:t>陕西苏宁电器</w:t>
            </w:r>
          </w:p>
        </w:tc>
        <w:tc>
          <w:tcPr>
            <w:tcW w:w="1600" w:type="dxa"/>
            <w:tcBorders>
              <w:top w:val="nil" w:sz="6" w:space="0" w:color="auto"/>
              <w:left w:val="nil" w:sz="6" w:space="0" w:color="auto"/>
              <w:bottom w:val="nil" w:sz="6" w:space="0" w:color="auto"/>
              <w:right w:val="nil" w:sz="6" w:space="0" w:color="auto"/>
            </w:tcBorders>
          </w:tcPr>
          <w:p>
            <w:pPr>
              <w:pStyle w:val="TableParagraph"/>
              <w:spacing w:line="234" w:lineRule="exact"/>
              <w:ind w:right="197"/>
              <w:jc w:val="right"/>
              <w:rPr>
                <w:rFonts w:ascii="宋体" w:hAnsi="宋体" w:cs="宋体" w:eastAsia="宋体" w:hint="default"/>
                <w:sz w:val="20"/>
                <w:szCs w:val="20"/>
              </w:rPr>
            </w:pPr>
            <w:r>
              <w:rPr>
                <w:rFonts w:ascii="宋体" w:hAnsi="宋体" w:cs="宋体" w:eastAsia="宋体" w:hint="default"/>
                <w:sz w:val="20"/>
                <w:szCs w:val="20"/>
              </w:rPr>
              <w:t>人民币</w:t>
            </w:r>
          </w:p>
        </w:tc>
        <w:tc>
          <w:tcPr>
            <w:tcW w:w="2422" w:type="dxa"/>
            <w:tcBorders>
              <w:top w:val="nil" w:sz="6" w:space="0" w:color="auto"/>
              <w:left w:val="nil" w:sz="6" w:space="0" w:color="auto"/>
              <w:bottom w:val="nil" w:sz="6" w:space="0" w:color="auto"/>
              <w:right w:val="nil" w:sz="6" w:space="0" w:color="auto"/>
            </w:tcBorders>
          </w:tcPr>
          <w:p>
            <w:pPr>
              <w:pStyle w:val="TableParagraph"/>
              <w:tabs>
                <w:tab w:pos="380" w:val="left" w:leader="none"/>
              </w:tabs>
              <w:spacing w:line="240" w:lineRule="auto" w:before="1"/>
              <w:ind w:right="162"/>
              <w:jc w:val="right"/>
              <w:rPr>
                <w:rFonts w:ascii="Arial" w:hAnsi="Arial" w:cs="Arial" w:eastAsia="Arial" w:hint="default"/>
                <w:sz w:val="20"/>
                <w:szCs w:val="20"/>
              </w:rPr>
            </w:pPr>
            <w:r>
              <w:rPr>
                <w:rFonts w:ascii="Arial"/>
                <w:sz w:val="20"/>
              </w:rPr>
              <w:t>-</w:t>
              <w:tab/>
              <w:t>90%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22"/>
              <w:jc w:val="right"/>
              <w:rPr>
                <w:rFonts w:ascii="Arial" w:hAnsi="Arial" w:cs="Arial" w:eastAsia="Arial" w:hint="default"/>
                <w:sz w:val="20"/>
                <w:szCs w:val="20"/>
              </w:rPr>
            </w:pPr>
            <w:r>
              <w:rPr>
                <w:rFonts w:ascii="Arial"/>
                <w:sz w:val="20"/>
              </w:rPr>
              <w:t>90%</w:t>
            </w:r>
          </w:p>
        </w:tc>
        <w:tc>
          <w:tcPr>
            <w:tcW w:w="692" w:type="dxa"/>
            <w:tcBorders>
              <w:top w:val="nil" w:sz="6" w:space="0" w:color="auto"/>
              <w:left w:val="nil" w:sz="6" w:space="0" w:color="auto"/>
              <w:bottom w:val="nil" w:sz="6" w:space="0" w:color="auto"/>
              <w:right w:val="nil" w:sz="6" w:space="0" w:color="auto"/>
            </w:tcBorders>
          </w:tcPr>
          <w:p>
            <w:pPr>
              <w:pStyle w:val="TableParagraph"/>
              <w:spacing w:line="234" w:lineRule="exact"/>
              <w:ind w:right="89"/>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604" w:type="dxa"/>
            <w:tcBorders>
              <w:top w:val="nil" w:sz="6" w:space="0" w:color="auto"/>
              <w:left w:val="nil" w:sz="6" w:space="0" w:color="auto"/>
              <w:bottom w:val="nil" w:sz="6" w:space="0" w:color="auto"/>
              <w:right w:val="nil" w:sz="6" w:space="0" w:color="auto"/>
            </w:tcBorders>
          </w:tcPr>
          <w:p>
            <w:pPr>
              <w:pStyle w:val="TableParagraph"/>
              <w:spacing w:line="234" w:lineRule="exact"/>
              <w:ind w:right="262"/>
              <w:jc w:val="right"/>
              <w:rPr>
                <w:rFonts w:ascii="宋体" w:hAnsi="宋体" w:cs="宋体" w:eastAsia="宋体" w:hint="default"/>
                <w:sz w:val="20"/>
                <w:szCs w:val="20"/>
              </w:rPr>
            </w:pPr>
            <w:r>
              <w:rPr>
                <w:rFonts w:ascii="宋体" w:hAnsi="宋体" w:cs="宋体" w:eastAsia="宋体" w:hint="default"/>
                <w:sz w:val="20"/>
                <w:szCs w:val="20"/>
              </w:rPr>
              <w:t>人民币</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0"/>
                <w:szCs w:val="20"/>
              </w:rPr>
            </w:pPr>
            <w:r>
              <w:rPr>
                <w:rFonts w:ascii="Arial"/>
                <w:w w:val="100"/>
                <w:sz w:val="20"/>
              </w:rPr>
              <w:t>-</w:t>
            </w:r>
          </w:p>
        </w:tc>
      </w:tr>
      <w:tr>
        <w:trPr>
          <w:trHeight w:val="520" w:hRule="exact"/>
        </w:trPr>
        <w:tc>
          <w:tcPr>
            <w:tcW w:w="1497" w:type="dxa"/>
            <w:tcBorders>
              <w:top w:val="nil" w:sz="6" w:space="0" w:color="auto"/>
              <w:left w:val="nil" w:sz="6" w:space="0" w:color="auto"/>
              <w:bottom w:val="nil" w:sz="6" w:space="0" w:color="auto"/>
              <w:right w:val="nil" w:sz="6" w:space="0" w:color="auto"/>
            </w:tcBorders>
          </w:tcPr>
          <w:p>
            <w:pPr>
              <w:pStyle w:val="TableParagraph"/>
              <w:spacing w:line="229" w:lineRule="exact"/>
              <w:ind w:left="235" w:right="0"/>
              <w:jc w:val="left"/>
              <w:rPr>
                <w:rFonts w:ascii="宋体" w:hAnsi="宋体" w:cs="宋体" w:eastAsia="宋体" w:hint="default"/>
                <w:sz w:val="20"/>
                <w:szCs w:val="20"/>
              </w:rPr>
            </w:pPr>
            <w:r>
              <w:rPr>
                <w:rFonts w:ascii="宋体" w:hAnsi="宋体" w:cs="宋体" w:eastAsia="宋体" w:hint="default"/>
                <w:sz w:val="20"/>
                <w:szCs w:val="20"/>
              </w:rPr>
              <w:t>有限责任公司</w:t>
            </w:r>
          </w:p>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浙江苏宁电器</w:t>
            </w:r>
          </w:p>
        </w:tc>
        <w:tc>
          <w:tcPr>
            <w:tcW w:w="1600" w:type="dxa"/>
            <w:tcBorders>
              <w:top w:val="nil" w:sz="6" w:space="0" w:color="auto"/>
              <w:left w:val="nil" w:sz="6" w:space="0" w:color="auto"/>
              <w:bottom w:val="nil" w:sz="6" w:space="0" w:color="auto"/>
              <w:right w:val="nil" w:sz="6" w:space="0" w:color="auto"/>
            </w:tcBorders>
          </w:tcPr>
          <w:p>
            <w:pPr>
              <w:pStyle w:val="TableParagraph"/>
              <w:spacing w:line="236" w:lineRule="exact"/>
              <w:ind w:left="283" w:right="0"/>
              <w:jc w:val="left"/>
              <w:rPr>
                <w:rFonts w:ascii="宋体" w:hAnsi="宋体" w:cs="宋体" w:eastAsia="宋体" w:hint="default"/>
                <w:sz w:val="20"/>
                <w:szCs w:val="20"/>
              </w:rPr>
            </w:pPr>
            <w:r>
              <w:rPr>
                <w:rFonts w:ascii="Arial" w:hAnsi="Arial" w:cs="Arial" w:eastAsia="Arial" w:hint="default"/>
                <w:sz w:val="20"/>
                <w:szCs w:val="20"/>
              </w:rPr>
              <w:t>3,767.4</w:t>
            </w:r>
            <w:r>
              <w:rPr>
                <w:rFonts w:ascii="Arial" w:hAnsi="Arial" w:cs="Arial" w:eastAsia="Arial" w:hint="default"/>
                <w:spacing w:val="-11"/>
                <w:sz w:val="20"/>
                <w:szCs w:val="20"/>
              </w:rPr>
              <w:t> </w:t>
            </w:r>
            <w:r>
              <w:rPr>
                <w:rFonts w:ascii="宋体" w:hAnsi="宋体" w:cs="宋体" w:eastAsia="宋体" w:hint="default"/>
                <w:sz w:val="20"/>
                <w:szCs w:val="20"/>
              </w:rPr>
              <w:t>万元</w:t>
            </w:r>
          </w:p>
          <w:p>
            <w:pPr>
              <w:pStyle w:val="TableParagraph"/>
              <w:spacing w:line="253" w:lineRule="exact"/>
              <w:ind w:left="799"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2"/>
                <w:szCs w:val="22"/>
              </w:rPr>
            </w:pPr>
          </w:p>
          <w:p>
            <w:pPr>
              <w:pStyle w:val="TableParagraph"/>
              <w:tabs>
                <w:tab w:pos="380" w:val="left" w:leader="none"/>
              </w:tabs>
              <w:spacing w:line="240" w:lineRule="auto"/>
              <w:ind w:right="162"/>
              <w:jc w:val="right"/>
              <w:rPr>
                <w:rFonts w:ascii="Arial" w:hAnsi="Arial" w:cs="Arial" w:eastAsia="Arial" w:hint="default"/>
                <w:sz w:val="20"/>
                <w:szCs w:val="20"/>
              </w:rPr>
            </w:pPr>
            <w:r>
              <w:rPr>
                <w:rFonts w:ascii="Arial"/>
                <w:sz w:val="20"/>
              </w:rPr>
              <w:t>-</w:t>
              <w:tab/>
              <w:t>89%</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222"/>
              <w:jc w:val="right"/>
              <w:rPr>
                <w:rFonts w:ascii="Arial" w:hAnsi="Arial" w:cs="Arial" w:eastAsia="Arial" w:hint="default"/>
                <w:sz w:val="20"/>
                <w:szCs w:val="20"/>
              </w:rPr>
            </w:pPr>
            <w:r>
              <w:rPr>
                <w:rFonts w:ascii="Arial"/>
                <w:sz w:val="20"/>
              </w:rPr>
              <w:t>89%</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9"/>
                <w:szCs w:val="19"/>
              </w:rPr>
            </w:pPr>
          </w:p>
          <w:p>
            <w:pPr>
              <w:pStyle w:val="TableParagraph"/>
              <w:spacing w:line="240" w:lineRule="auto"/>
              <w:ind w:right="89"/>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604" w:type="dxa"/>
            <w:tcBorders>
              <w:top w:val="nil" w:sz="6" w:space="0" w:color="auto"/>
              <w:left w:val="nil" w:sz="6" w:space="0" w:color="auto"/>
              <w:bottom w:val="nil" w:sz="6" w:space="0" w:color="auto"/>
              <w:right w:val="nil" w:sz="6" w:space="0" w:color="auto"/>
            </w:tcBorders>
          </w:tcPr>
          <w:p>
            <w:pPr>
              <w:pStyle w:val="TableParagraph"/>
              <w:spacing w:line="236" w:lineRule="exact"/>
              <w:ind w:left="91" w:right="0"/>
              <w:jc w:val="left"/>
              <w:rPr>
                <w:rFonts w:ascii="宋体" w:hAnsi="宋体" w:cs="宋体" w:eastAsia="宋体" w:hint="default"/>
                <w:sz w:val="20"/>
                <w:szCs w:val="20"/>
              </w:rPr>
            </w:pPr>
            <w:r>
              <w:rPr>
                <w:rFonts w:ascii="Arial" w:hAnsi="Arial" w:cs="Arial" w:eastAsia="Arial" w:hint="default"/>
                <w:sz w:val="20"/>
                <w:szCs w:val="20"/>
              </w:rPr>
              <w:t>3,561.08</w:t>
            </w:r>
            <w:r>
              <w:rPr>
                <w:rFonts w:ascii="Arial" w:hAnsi="Arial" w:cs="Arial" w:eastAsia="Arial" w:hint="default"/>
                <w:spacing w:val="-15"/>
                <w:sz w:val="20"/>
                <w:szCs w:val="20"/>
              </w:rPr>
              <w:t> </w:t>
            </w:r>
            <w:r>
              <w:rPr>
                <w:rFonts w:ascii="宋体" w:hAnsi="宋体" w:cs="宋体" w:eastAsia="宋体" w:hint="default"/>
                <w:sz w:val="20"/>
                <w:szCs w:val="20"/>
              </w:rPr>
              <w:t>万元</w:t>
            </w:r>
          </w:p>
          <w:p>
            <w:pPr>
              <w:pStyle w:val="TableParagraph"/>
              <w:spacing w:line="253" w:lineRule="exact"/>
              <w:ind w:left="738"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106"/>
              <w:jc w:val="right"/>
              <w:rPr>
                <w:rFonts w:ascii="Arial" w:hAnsi="Arial" w:cs="Arial" w:eastAsia="Arial" w:hint="default"/>
                <w:sz w:val="20"/>
                <w:szCs w:val="20"/>
              </w:rPr>
            </w:pPr>
            <w:r>
              <w:rPr>
                <w:rFonts w:ascii="Arial"/>
                <w:w w:val="100"/>
                <w:sz w:val="20"/>
              </w:rPr>
              <w:t>-</w:t>
            </w:r>
          </w:p>
        </w:tc>
      </w:tr>
      <w:tr>
        <w:trPr>
          <w:trHeight w:val="520" w:hRule="exact"/>
        </w:trPr>
        <w:tc>
          <w:tcPr>
            <w:tcW w:w="1497" w:type="dxa"/>
            <w:tcBorders>
              <w:top w:val="nil" w:sz="6" w:space="0" w:color="auto"/>
              <w:left w:val="nil" w:sz="6" w:space="0" w:color="auto"/>
              <w:bottom w:val="nil" w:sz="6" w:space="0" w:color="auto"/>
              <w:right w:val="nil" w:sz="6" w:space="0" w:color="auto"/>
            </w:tcBorders>
          </w:tcPr>
          <w:p>
            <w:pPr>
              <w:pStyle w:val="TableParagraph"/>
              <w:spacing w:line="230" w:lineRule="exact"/>
              <w:ind w:right="223"/>
              <w:jc w:val="center"/>
              <w:rPr>
                <w:rFonts w:ascii="宋体" w:hAnsi="宋体" w:cs="宋体" w:eastAsia="宋体" w:hint="default"/>
                <w:sz w:val="20"/>
                <w:szCs w:val="20"/>
              </w:rPr>
            </w:pPr>
            <w:r>
              <w:rPr>
                <w:rFonts w:ascii="宋体" w:hAnsi="宋体" w:cs="宋体" w:eastAsia="宋体" w:hint="default"/>
                <w:sz w:val="20"/>
                <w:szCs w:val="20"/>
              </w:rPr>
              <w:t>有限公司</w:t>
            </w:r>
          </w:p>
          <w:p>
            <w:pPr>
              <w:pStyle w:val="TableParagraph"/>
              <w:spacing w:line="261" w:lineRule="exact"/>
              <w:ind w:right="223"/>
              <w:jc w:val="center"/>
              <w:rPr>
                <w:rFonts w:ascii="宋体" w:hAnsi="宋体" w:cs="宋体" w:eastAsia="宋体" w:hint="default"/>
                <w:sz w:val="20"/>
                <w:szCs w:val="20"/>
              </w:rPr>
            </w:pPr>
            <w:r>
              <w:rPr>
                <w:rFonts w:ascii="宋体" w:hAnsi="宋体" w:cs="宋体" w:eastAsia="宋体" w:hint="default"/>
                <w:sz w:val="20"/>
                <w:szCs w:val="20"/>
              </w:rPr>
              <w:t>山东苏宁电器</w:t>
            </w:r>
          </w:p>
        </w:tc>
        <w:tc>
          <w:tcPr>
            <w:tcW w:w="1600" w:type="dxa"/>
            <w:tcBorders>
              <w:top w:val="nil" w:sz="6" w:space="0" w:color="auto"/>
              <w:left w:val="nil" w:sz="6" w:space="0" w:color="auto"/>
              <w:bottom w:val="nil" w:sz="6" w:space="0" w:color="auto"/>
              <w:right w:val="nil" w:sz="6" w:space="0" w:color="auto"/>
            </w:tcBorders>
          </w:tcPr>
          <w:p>
            <w:pPr>
              <w:pStyle w:val="TableParagraph"/>
              <w:spacing w:line="237" w:lineRule="exact"/>
              <w:ind w:left="59" w:right="0"/>
              <w:jc w:val="left"/>
              <w:rPr>
                <w:rFonts w:ascii="宋体" w:hAnsi="宋体" w:cs="宋体" w:eastAsia="宋体" w:hint="default"/>
                <w:sz w:val="20"/>
                <w:szCs w:val="20"/>
              </w:rPr>
            </w:pPr>
            <w:r>
              <w:rPr>
                <w:rFonts w:ascii="Arial" w:hAnsi="Arial" w:cs="Arial" w:eastAsia="Arial" w:hint="default"/>
                <w:sz w:val="20"/>
                <w:szCs w:val="20"/>
              </w:rPr>
              <w:t>22,200.89</w:t>
            </w:r>
            <w:r>
              <w:rPr>
                <w:rFonts w:ascii="Arial" w:hAnsi="Arial" w:cs="Arial" w:eastAsia="Arial" w:hint="default"/>
                <w:spacing w:val="-16"/>
                <w:sz w:val="20"/>
                <w:szCs w:val="20"/>
              </w:rPr>
              <w:t> </w:t>
            </w:r>
            <w:r>
              <w:rPr>
                <w:rFonts w:ascii="宋体" w:hAnsi="宋体" w:cs="宋体" w:eastAsia="宋体" w:hint="default"/>
                <w:sz w:val="20"/>
                <w:szCs w:val="20"/>
              </w:rPr>
              <w:t>万元</w:t>
            </w:r>
          </w:p>
          <w:p>
            <w:pPr>
              <w:pStyle w:val="TableParagraph"/>
              <w:spacing w:line="254" w:lineRule="exact"/>
              <w:ind w:left="799"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tabs>
                <w:tab w:pos="321" w:val="left" w:leader="none"/>
              </w:tabs>
              <w:spacing w:line="240" w:lineRule="auto"/>
              <w:ind w:right="109"/>
              <w:jc w:val="right"/>
              <w:rPr>
                <w:rFonts w:ascii="Arial" w:hAnsi="Arial" w:cs="Arial" w:eastAsia="Arial" w:hint="default"/>
                <w:sz w:val="20"/>
                <w:szCs w:val="20"/>
              </w:rPr>
            </w:pPr>
            <w:r>
              <w:rPr>
                <w:rFonts w:ascii="Arial"/>
                <w:sz w:val="20"/>
              </w:rPr>
              <w:t>-</w:t>
              <w:tab/>
              <w:t>100%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222"/>
              <w:jc w:val="right"/>
              <w:rPr>
                <w:rFonts w:ascii="Arial" w:hAnsi="Arial" w:cs="Arial" w:eastAsia="Arial" w:hint="default"/>
                <w:sz w:val="20"/>
                <w:szCs w:val="20"/>
              </w:rPr>
            </w:pPr>
            <w:r>
              <w:rPr>
                <w:rFonts w:ascii="Arial"/>
                <w:sz w:val="20"/>
              </w:rPr>
              <w:t>100%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9"/>
                <w:szCs w:val="19"/>
              </w:rPr>
            </w:pPr>
          </w:p>
          <w:p>
            <w:pPr>
              <w:pStyle w:val="TableParagraph"/>
              <w:spacing w:line="240" w:lineRule="auto"/>
              <w:ind w:right="89"/>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604" w:type="dxa"/>
            <w:tcBorders>
              <w:top w:val="nil" w:sz="6" w:space="0" w:color="auto"/>
              <w:left w:val="nil" w:sz="6" w:space="0" w:color="auto"/>
              <w:bottom w:val="nil" w:sz="6" w:space="0" w:color="auto"/>
              <w:right w:val="nil" w:sz="6" w:space="0" w:color="auto"/>
            </w:tcBorders>
          </w:tcPr>
          <w:p>
            <w:pPr>
              <w:pStyle w:val="TableParagraph"/>
              <w:spacing w:line="245" w:lineRule="exact"/>
              <w:ind w:right="284"/>
              <w:jc w:val="right"/>
              <w:rPr>
                <w:rFonts w:ascii="宋体" w:hAnsi="宋体" w:cs="宋体" w:eastAsia="宋体" w:hint="default"/>
                <w:sz w:val="20"/>
                <w:szCs w:val="20"/>
              </w:rPr>
            </w:pPr>
            <w:r>
              <w:rPr>
                <w:rFonts w:ascii="Arial" w:hAnsi="Arial" w:cs="Arial" w:eastAsia="Arial" w:hint="default"/>
                <w:sz w:val="20"/>
                <w:szCs w:val="20"/>
              </w:rPr>
              <w:t>6,012.82</w:t>
            </w:r>
            <w:r>
              <w:rPr>
                <w:rFonts w:ascii="Arial" w:hAnsi="Arial" w:cs="Arial" w:eastAsia="Arial" w:hint="default"/>
                <w:spacing w:val="-15"/>
                <w:sz w:val="20"/>
                <w:szCs w:val="20"/>
              </w:rPr>
              <w:t> </w:t>
            </w:r>
            <w:r>
              <w:rPr>
                <w:rFonts w:ascii="宋体" w:hAnsi="宋体" w:cs="宋体" w:eastAsia="宋体" w:hint="default"/>
                <w:sz w:val="20"/>
                <w:szCs w:val="20"/>
              </w:rPr>
              <w:t>万元</w:t>
            </w:r>
          </w:p>
          <w:p>
            <w:pPr>
              <w:pStyle w:val="TableParagraph"/>
              <w:spacing w:line="240" w:lineRule="auto" w:before="13"/>
              <w:ind w:right="282"/>
              <w:jc w:val="right"/>
              <w:rPr>
                <w:rFonts w:ascii="Arial" w:hAnsi="Arial" w:cs="Arial" w:eastAsia="Arial" w:hint="default"/>
                <w:sz w:val="20"/>
                <w:szCs w:val="20"/>
              </w:rPr>
            </w:pPr>
            <w:r>
              <w:rPr>
                <w:rFonts w:ascii="Arial"/>
                <w:w w:val="100"/>
                <w:sz w:val="20"/>
              </w:rPr>
              <w:t>-</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06"/>
              <w:jc w:val="right"/>
              <w:rPr>
                <w:rFonts w:ascii="Arial" w:hAnsi="Arial" w:cs="Arial" w:eastAsia="Arial" w:hint="default"/>
                <w:sz w:val="20"/>
                <w:szCs w:val="20"/>
              </w:rPr>
            </w:pPr>
            <w:r>
              <w:rPr>
                <w:rFonts w:ascii="Arial"/>
                <w:w w:val="100"/>
                <w:sz w:val="20"/>
              </w:rPr>
              <w:t>-</w:t>
            </w:r>
          </w:p>
        </w:tc>
      </w:tr>
      <w:tr>
        <w:trPr>
          <w:trHeight w:val="520" w:hRule="exact"/>
        </w:trPr>
        <w:tc>
          <w:tcPr>
            <w:tcW w:w="1497" w:type="dxa"/>
            <w:tcBorders>
              <w:top w:val="nil" w:sz="6" w:space="0" w:color="auto"/>
              <w:left w:val="nil" w:sz="6" w:space="0" w:color="auto"/>
              <w:bottom w:val="nil" w:sz="6" w:space="0" w:color="auto"/>
              <w:right w:val="nil" w:sz="6" w:space="0" w:color="auto"/>
            </w:tcBorders>
          </w:tcPr>
          <w:p>
            <w:pPr>
              <w:pStyle w:val="TableParagraph"/>
              <w:spacing w:line="229" w:lineRule="exact"/>
              <w:ind w:right="223"/>
              <w:jc w:val="center"/>
              <w:rPr>
                <w:rFonts w:ascii="宋体" w:hAnsi="宋体" w:cs="宋体" w:eastAsia="宋体" w:hint="default"/>
                <w:sz w:val="20"/>
                <w:szCs w:val="20"/>
              </w:rPr>
            </w:pPr>
            <w:r>
              <w:rPr>
                <w:rFonts w:ascii="宋体" w:hAnsi="宋体" w:cs="宋体" w:eastAsia="宋体" w:hint="default"/>
                <w:sz w:val="20"/>
                <w:szCs w:val="20"/>
              </w:rPr>
              <w:t>有限公司</w:t>
            </w:r>
          </w:p>
          <w:p>
            <w:pPr>
              <w:pStyle w:val="TableParagraph"/>
              <w:spacing w:line="261" w:lineRule="exact"/>
              <w:ind w:right="223"/>
              <w:jc w:val="center"/>
              <w:rPr>
                <w:rFonts w:ascii="宋体" w:hAnsi="宋体" w:cs="宋体" w:eastAsia="宋体" w:hint="default"/>
                <w:sz w:val="20"/>
                <w:szCs w:val="20"/>
              </w:rPr>
            </w:pPr>
            <w:r>
              <w:rPr>
                <w:rFonts w:ascii="宋体" w:hAnsi="宋体" w:cs="宋体" w:eastAsia="宋体" w:hint="default"/>
                <w:sz w:val="20"/>
                <w:szCs w:val="20"/>
              </w:rPr>
              <w:t>武汉苏宁电器</w:t>
            </w:r>
          </w:p>
        </w:tc>
        <w:tc>
          <w:tcPr>
            <w:tcW w:w="1600" w:type="dxa"/>
            <w:tcBorders>
              <w:top w:val="nil" w:sz="6" w:space="0" w:color="auto"/>
              <w:left w:val="nil" w:sz="6" w:space="0" w:color="auto"/>
              <w:bottom w:val="nil" w:sz="6" w:space="0" w:color="auto"/>
              <w:right w:val="nil" w:sz="6" w:space="0" w:color="auto"/>
            </w:tcBorders>
          </w:tcPr>
          <w:p>
            <w:pPr>
              <w:pStyle w:val="TableParagraph"/>
              <w:spacing w:line="236" w:lineRule="exact"/>
              <w:ind w:left="448" w:right="0"/>
              <w:jc w:val="left"/>
              <w:rPr>
                <w:rFonts w:ascii="宋体" w:hAnsi="宋体" w:cs="宋体" w:eastAsia="宋体" w:hint="default"/>
                <w:sz w:val="20"/>
                <w:szCs w:val="20"/>
              </w:rPr>
            </w:pPr>
            <w:r>
              <w:rPr>
                <w:rFonts w:ascii="Arial" w:hAnsi="Arial" w:cs="Arial" w:eastAsia="Arial" w:hint="default"/>
                <w:sz w:val="20"/>
                <w:szCs w:val="20"/>
              </w:rPr>
              <w:t>1,420</w:t>
            </w:r>
            <w:r>
              <w:rPr>
                <w:rFonts w:ascii="Arial" w:hAnsi="Arial" w:cs="Arial" w:eastAsia="Arial" w:hint="default"/>
                <w:spacing w:val="-6"/>
                <w:sz w:val="20"/>
                <w:szCs w:val="20"/>
              </w:rPr>
              <w:t> </w:t>
            </w:r>
            <w:r>
              <w:rPr>
                <w:rFonts w:ascii="宋体" w:hAnsi="宋体" w:cs="宋体" w:eastAsia="宋体" w:hint="default"/>
                <w:sz w:val="20"/>
                <w:szCs w:val="20"/>
              </w:rPr>
              <w:t>万元</w:t>
            </w:r>
          </w:p>
          <w:p>
            <w:pPr>
              <w:pStyle w:val="TableParagraph"/>
              <w:spacing w:line="254" w:lineRule="exact"/>
              <w:ind w:left="799"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tabs>
                <w:tab w:pos="321" w:val="left" w:leader="none"/>
              </w:tabs>
              <w:spacing w:line="240" w:lineRule="auto"/>
              <w:ind w:right="109"/>
              <w:jc w:val="right"/>
              <w:rPr>
                <w:rFonts w:ascii="Arial" w:hAnsi="Arial" w:cs="Arial" w:eastAsia="Arial" w:hint="default"/>
                <w:sz w:val="20"/>
                <w:szCs w:val="20"/>
              </w:rPr>
            </w:pPr>
            <w:r>
              <w:rPr>
                <w:rFonts w:ascii="Arial"/>
                <w:sz w:val="20"/>
              </w:rPr>
              <w:t>-</w:t>
              <w:tab/>
              <w:t>100%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222"/>
              <w:jc w:val="right"/>
              <w:rPr>
                <w:rFonts w:ascii="Arial" w:hAnsi="Arial" w:cs="Arial" w:eastAsia="Arial" w:hint="default"/>
                <w:sz w:val="20"/>
                <w:szCs w:val="20"/>
              </w:rPr>
            </w:pPr>
            <w:r>
              <w:rPr>
                <w:rFonts w:ascii="Arial"/>
                <w:sz w:val="20"/>
              </w:rPr>
              <w:t>100%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9"/>
                <w:szCs w:val="19"/>
              </w:rPr>
            </w:pPr>
          </w:p>
          <w:p>
            <w:pPr>
              <w:pStyle w:val="TableParagraph"/>
              <w:spacing w:line="240" w:lineRule="auto"/>
              <w:ind w:right="89"/>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282"/>
              <w:jc w:val="right"/>
              <w:rPr>
                <w:rFonts w:ascii="Arial" w:hAnsi="Arial" w:cs="Arial" w:eastAsia="Arial" w:hint="default"/>
                <w:sz w:val="20"/>
                <w:szCs w:val="20"/>
              </w:rPr>
            </w:pPr>
            <w:r>
              <w:rPr>
                <w:rFonts w:ascii="Arial"/>
                <w:w w:val="100"/>
                <w:sz w:val="20"/>
              </w:rPr>
              <w:t>-</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06"/>
              <w:jc w:val="right"/>
              <w:rPr>
                <w:rFonts w:ascii="Arial" w:hAnsi="Arial" w:cs="Arial" w:eastAsia="Arial" w:hint="default"/>
                <w:sz w:val="20"/>
                <w:szCs w:val="20"/>
              </w:rPr>
            </w:pPr>
            <w:r>
              <w:rPr>
                <w:rFonts w:ascii="Arial"/>
                <w:w w:val="100"/>
                <w:sz w:val="20"/>
              </w:rPr>
              <w:t>-</w:t>
            </w:r>
          </w:p>
        </w:tc>
      </w:tr>
      <w:tr>
        <w:trPr>
          <w:trHeight w:val="520" w:hRule="exact"/>
        </w:trPr>
        <w:tc>
          <w:tcPr>
            <w:tcW w:w="1497" w:type="dxa"/>
            <w:tcBorders>
              <w:top w:val="nil" w:sz="6" w:space="0" w:color="auto"/>
              <w:left w:val="nil" w:sz="6" w:space="0" w:color="auto"/>
              <w:bottom w:val="nil" w:sz="6" w:space="0" w:color="auto"/>
              <w:right w:val="nil" w:sz="6" w:space="0" w:color="auto"/>
            </w:tcBorders>
          </w:tcPr>
          <w:p>
            <w:pPr>
              <w:pStyle w:val="TableParagraph"/>
              <w:spacing w:line="229" w:lineRule="exact"/>
              <w:ind w:right="223"/>
              <w:jc w:val="center"/>
              <w:rPr>
                <w:rFonts w:ascii="宋体" w:hAnsi="宋体" w:cs="宋体" w:eastAsia="宋体" w:hint="default"/>
                <w:sz w:val="20"/>
                <w:szCs w:val="20"/>
              </w:rPr>
            </w:pPr>
            <w:r>
              <w:rPr>
                <w:rFonts w:ascii="宋体" w:hAnsi="宋体" w:cs="宋体" w:eastAsia="宋体" w:hint="default"/>
                <w:sz w:val="20"/>
                <w:szCs w:val="20"/>
              </w:rPr>
              <w:t>有限公司</w:t>
            </w:r>
          </w:p>
          <w:p>
            <w:pPr>
              <w:pStyle w:val="TableParagraph"/>
              <w:spacing w:line="260" w:lineRule="exact"/>
              <w:ind w:right="223"/>
              <w:jc w:val="center"/>
              <w:rPr>
                <w:rFonts w:ascii="宋体" w:hAnsi="宋体" w:cs="宋体" w:eastAsia="宋体" w:hint="default"/>
                <w:sz w:val="20"/>
                <w:szCs w:val="20"/>
              </w:rPr>
            </w:pPr>
            <w:r>
              <w:rPr>
                <w:rFonts w:ascii="宋体" w:hAnsi="宋体" w:cs="宋体" w:eastAsia="宋体" w:hint="default"/>
                <w:sz w:val="20"/>
                <w:szCs w:val="20"/>
              </w:rPr>
              <w:t>沈阳苏宁电器</w:t>
            </w:r>
          </w:p>
        </w:tc>
        <w:tc>
          <w:tcPr>
            <w:tcW w:w="1600" w:type="dxa"/>
            <w:tcBorders>
              <w:top w:val="nil" w:sz="6" w:space="0" w:color="auto"/>
              <w:left w:val="nil" w:sz="6" w:space="0" w:color="auto"/>
              <w:bottom w:val="nil" w:sz="6" w:space="0" w:color="auto"/>
              <w:right w:val="nil" w:sz="6" w:space="0" w:color="auto"/>
            </w:tcBorders>
          </w:tcPr>
          <w:p>
            <w:pPr>
              <w:pStyle w:val="TableParagraph"/>
              <w:spacing w:line="236" w:lineRule="exact"/>
              <w:ind w:left="338" w:right="0"/>
              <w:jc w:val="left"/>
              <w:rPr>
                <w:rFonts w:ascii="宋体" w:hAnsi="宋体" w:cs="宋体" w:eastAsia="宋体" w:hint="default"/>
                <w:sz w:val="20"/>
                <w:szCs w:val="20"/>
              </w:rPr>
            </w:pPr>
            <w:r>
              <w:rPr>
                <w:rFonts w:ascii="Arial" w:hAnsi="Arial" w:cs="Arial" w:eastAsia="Arial" w:hint="default"/>
                <w:sz w:val="20"/>
                <w:szCs w:val="20"/>
              </w:rPr>
              <w:t>33,443</w:t>
            </w:r>
            <w:r>
              <w:rPr>
                <w:rFonts w:ascii="Arial" w:hAnsi="Arial" w:cs="Arial" w:eastAsia="Arial" w:hint="default"/>
                <w:spacing w:val="-6"/>
                <w:sz w:val="20"/>
                <w:szCs w:val="20"/>
              </w:rPr>
              <w:t> </w:t>
            </w:r>
            <w:r>
              <w:rPr>
                <w:rFonts w:ascii="宋体" w:hAnsi="宋体" w:cs="宋体" w:eastAsia="宋体" w:hint="default"/>
                <w:sz w:val="20"/>
                <w:szCs w:val="20"/>
              </w:rPr>
              <w:t>万元</w:t>
            </w:r>
          </w:p>
          <w:p>
            <w:pPr>
              <w:pStyle w:val="TableParagraph"/>
              <w:spacing w:line="253" w:lineRule="exact"/>
              <w:ind w:left="799"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2"/>
                <w:szCs w:val="22"/>
              </w:rPr>
            </w:pPr>
          </w:p>
          <w:p>
            <w:pPr>
              <w:pStyle w:val="TableParagraph"/>
              <w:tabs>
                <w:tab w:pos="321" w:val="left" w:leader="none"/>
              </w:tabs>
              <w:spacing w:line="240" w:lineRule="auto"/>
              <w:ind w:right="109"/>
              <w:jc w:val="right"/>
              <w:rPr>
                <w:rFonts w:ascii="Arial" w:hAnsi="Arial" w:cs="Arial" w:eastAsia="Arial" w:hint="default"/>
                <w:sz w:val="20"/>
                <w:szCs w:val="20"/>
              </w:rPr>
            </w:pPr>
            <w:r>
              <w:rPr>
                <w:rFonts w:ascii="Arial"/>
                <w:sz w:val="20"/>
              </w:rPr>
              <w:t>-</w:t>
              <w:tab/>
              <w:t>100%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222"/>
              <w:jc w:val="right"/>
              <w:rPr>
                <w:rFonts w:ascii="Arial" w:hAnsi="Arial" w:cs="Arial" w:eastAsia="Arial" w:hint="default"/>
                <w:sz w:val="20"/>
                <w:szCs w:val="20"/>
              </w:rPr>
            </w:pPr>
            <w:r>
              <w:rPr>
                <w:rFonts w:ascii="Arial"/>
                <w:sz w:val="20"/>
              </w:rPr>
              <w:t>100%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9"/>
                <w:szCs w:val="19"/>
              </w:rPr>
            </w:pPr>
          </w:p>
          <w:p>
            <w:pPr>
              <w:pStyle w:val="TableParagraph"/>
              <w:spacing w:line="240" w:lineRule="auto"/>
              <w:ind w:right="89"/>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282"/>
              <w:jc w:val="right"/>
              <w:rPr>
                <w:rFonts w:ascii="Arial" w:hAnsi="Arial" w:cs="Arial" w:eastAsia="Arial" w:hint="default"/>
                <w:sz w:val="20"/>
                <w:szCs w:val="20"/>
              </w:rPr>
            </w:pPr>
            <w:r>
              <w:rPr>
                <w:rFonts w:ascii="Arial"/>
                <w:w w:val="100"/>
                <w:sz w:val="20"/>
              </w:rPr>
              <w:t>-</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106"/>
              <w:jc w:val="right"/>
              <w:rPr>
                <w:rFonts w:ascii="Arial" w:hAnsi="Arial" w:cs="Arial" w:eastAsia="Arial" w:hint="default"/>
                <w:sz w:val="20"/>
                <w:szCs w:val="20"/>
              </w:rPr>
            </w:pPr>
            <w:r>
              <w:rPr>
                <w:rFonts w:ascii="Arial"/>
                <w:w w:val="100"/>
                <w:sz w:val="20"/>
              </w:rPr>
              <w:t>-</w:t>
            </w:r>
          </w:p>
        </w:tc>
      </w:tr>
      <w:tr>
        <w:trPr>
          <w:trHeight w:val="520" w:hRule="exact"/>
        </w:trPr>
        <w:tc>
          <w:tcPr>
            <w:tcW w:w="1497" w:type="dxa"/>
            <w:tcBorders>
              <w:top w:val="nil" w:sz="6" w:space="0" w:color="auto"/>
              <w:left w:val="nil" w:sz="6" w:space="0" w:color="auto"/>
              <w:bottom w:val="nil" w:sz="6" w:space="0" w:color="auto"/>
              <w:right w:val="nil" w:sz="6" w:space="0" w:color="auto"/>
            </w:tcBorders>
          </w:tcPr>
          <w:p>
            <w:pPr>
              <w:pStyle w:val="TableParagraph"/>
              <w:spacing w:line="230" w:lineRule="exact"/>
              <w:ind w:right="223"/>
              <w:jc w:val="center"/>
              <w:rPr>
                <w:rFonts w:ascii="宋体" w:hAnsi="宋体" w:cs="宋体" w:eastAsia="宋体" w:hint="default"/>
                <w:sz w:val="20"/>
                <w:szCs w:val="20"/>
              </w:rPr>
            </w:pPr>
            <w:r>
              <w:rPr>
                <w:rFonts w:ascii="宋体" w:hAnsi="宋体" w:cs="宋体" w:eastAsia="宋体" w:hint="default"/>
                <w:sz w:val="20"/>
                <w:szCs w:val="20"/>
              </w:rPr>
              <w:t>有限公司</w:t>
            </w:r>
          </w:p>
          <w:p>
            <w:pPr>
              <w:pStyle w:val="TableParagraph"/>
              <w:spacing w:line="261" w:lineRule="exact"/>
              <w:ind w:right="223"/>
              <w:jc w:val="center"/>
              <w:rPr>
                <w:rFonts w:ascii="宋体" w:hAnsi="宋体" w:cs="宋体" w:eastAsia="宋体" w:hint="default"/>
                <w:sz w:val="20"/>
                <w:szCs w:val="20"/>
              </w:rPr>
            </w:pPr>
            <w:r>
              <w:rPr>
                <w:rFonts w:ascii="宋体" w:hAnsi="宋体" w:cs="宋体" w:eastAsia="宋体" w:hint="default"/>
                <w:sz w:val="20"/>
                <w:szCs w:val="20"/>
              </w:rPr>
              <w:t>上海长宁苏宁</w:t>
            </w:r>
          </w:p>
        </w:tc>
        <w:tc>
          <w:tcPr>
            <w:tcW w:w="1600" w:type="dxa"/>
            <w:tcBorders>
              <w:top w:val="nil" w:sz="6" w:space="0" w:color="auto"/>
              <w:left w:val="nil" w:sz="6" w:space="0" w:color="auto"/>
              <w:bottom w:val="nil" w:sz="6" w:space="0" w:color="auto"/>
              <w:right w:val="nil" w:sz="6" w:space="0" w:color="auto"/>
            </w:tcBorders>
          </w:tcPr>
          <w:p>
            <w:pPr>
              <w:pStyle w:val="TableParagraph"/>
              <w:spacing w:line="237" w:lineRule="exact"/>
              <w:ind w:left="171" w:right="0"/>
              <w:jc w:val="left"/>
              <w:rPr>
                <w:rFonts w:ascii="宋体" w:hAnsi="宋体" w:cs="宋体" w:eastAsia="宋体" w:hint="default"/>
                <w:sz w:val="20"/>
                <w:szCs w:val="20"/>
              </w:rPr>
            </w:pPr>
            <w:r>
              <w:rPr>
                <w:rFonts w:ascii="Arial" w:hAnsi="Arial" w:cs="Arial" w:eastAsia="Arial" w:hint="default"/>
                <w:sz w:val="20"/>
                <w:szCs w:val="20"/>
              </w:rPr>
              <w:t>26,593.3</w:t>
            </w:r>
            <w:r>
              <w:rPr>
                <w:rFonts w:ascii="Arial" w:hAnsi="Arial" w:cs="Arial" w:eastAsia="Arial" w:hint="default"/>
                <w:spacing w:val="-9"/>
                <w:sz w:val="20"/>
                <w:szCs w:val="20"/>
              </w:rPr>
              <w:t> </w:t>
            </w:r>
            <w:r>
              <w:rPr>
                <w:rFonts w:ascii="宋体" w:hAnsi="宋体" w:cs="宋体" w:eastAsia="宋体" w:hint="default"/>
                <w:sz w:val="20"/>
                <w:szCs w:val="20"/>
              </w:rPr>
              <w:t>万元</w:t>
            </w:r>
          </w:p>
          <w:p>
            <w:pPr>
              <w:pStyle w:val="TableParagraph"/>
              <w:spacing w:line="254" w:lineRule="exact"/>
              <w:ind w:left="799"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tabs>
                <w:tab w:pos="321" w:val="left" w:leader="none"/>
              </w:tabs>
              <w:spacing w:line="240" w:lineRule="auto"/>
              <w:ind w:right="109"/>
              <w:jc w:val="right"/>
              <w:rPr>
                <w:rFonts w:ascii="Arial" w:hAnsi="Arial" w:cs="Arial" w:eastAsia="Arial" w:hint="default"/>
                <w:sz w:val="20"/>
                <w:szCs w:val="20"/>
              </w:rPr>
            </w:pPr>
            <w:r>
              <w:rPr>
                <w:rFonts w:ascii="Arial"/>
                <w:sz w:val="20"/>
              </w:rPr>
              <w:t>-</w:t>
              <w:tab/>
              <w:t>100%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222"/>
              <w:jc w:val="right"/>
              <w:rPr>
                <w:rFonts w:ascii="Arial" w:hAnsi="Arial" w:cs="Arial" w:eastAsia="Arial" w:hint="default"/>
                <w:sz w:val="20"/>
                <w:szCs w:val="20"/>
              </w:rPr>
            </w:pPr>
            <w:r>
              <w:rPr>
                <w:rFonts w:ascii="Arial"/>
                <w:sz w:val="20"/>
              </w:rPr>
              <w:t>100%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9"/>
                <w:szCs w:val="19"/>
              </w:rPr>
            </w:pPr>
          </w:p>
          <w:p>
            <w:pPr>
              <w:pStyle w:val="TableParagraph"/>
              <w:spacing w:line="240" w:lineRule="auto"/>
              <w:ind w:right="89"/>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282"/>
              <w:jc w:val="right"/>
              <w:rPr>
                <w:rFonts w:ascii="Arial" w:hAnsi="Arial" w:cs="Arial" w:eastAsia="Arial" w:hint="default"/>
                <w:sz w:val="20"/>
                <w:szCs w:val="20"/>
              </w:rPr>
            </w:pPr>
            <w:r>
              <w:rPr>
                <w:rFonts w:ascii="Arial"/>
                <w:w w:val="100"/>
                <w:sz w:val="20"/>
              </w:rPr>
              <w:t>-</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06"/>
              <w:jc w:val="right"/>
              <w:rPr>
                <w:rFonts w:ascii="Arial" w:hAnsi="Arial" w:cs="Arial" w:eastAsia="Arial" w:hint="default"/>
                <w:sz w:val="20"/>
                <w:szCs w:val="20"/>
              </w:rPr>
            </w:pPr>
            <w:r>
              <w:rPr>
                <w:rFonts w:ascii="Arial"/>
                <w:w w:val="100"/>
                <w:sz w:val="20"/>
              </w:rPr>
              <w:t>-</w:t>
            </w:r>
          </w:p>
        </w:tc>
      </w:tr>
      <w:tr>
        <w:trPr>
          <w:trHeight w:val="520" w:hRule="exact"/>
        </w:trPr>
        <w:tc>
          <w:tcPr>
            <w:tcW w:w="1497" w:type="dxa"/>
            <w:tcBorders>
              <w:top w:val="nil" w:sz="6" w:space="0" w:color="auto"/>
              <w:left w:val="nil" w:sz="6" w:space="0" w:color="auto"/>
              <w:bottom w:val="nil" w:sz="6" w:space="0" w:color="auto"/>
              <w:right w:val="nil" w:sz="6" w:space="0" w:color="auto"/>
            </w:tcBorders>
          </w:tcPr>
          <w:p>
            <w:pPr>
              <w:pStyle w:val="TableParagraph"/>
              <w:spacing w:line="229" w:lineRule="exact"/>
              <w:ind w:left="235" w:right="0"/>
              <w:jc w:val="left"/>
              <w:rPr>
                <w:rFonts w:ascii="宋体" w:hAnsi="宋体" w:cs="宋体" w:eastAsia="宋体" w:hint="default"/>
                <w:sz w:val="20"/>
                <w:szCs w:val="20"/>
              </w:rPr>
            </w:pPr>
            <w:r>
              <w:rPr>
                <w:rFonts w:ascii="宋体" w:hAnsi="宋体" w:cs="宋体" w:eastAsia="宋体" w:hint="default"/>
                <w:sz w:val="20"/>
                <w:szCs w:val="20"/>
              </w:rPr>
              <w:t>电器有限公司</w:t>
            </w:r>
          </w:p>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南京苏宁中央</w:t>
            </w:r>
          </w:p>
        </w:tc>
        <w:tc>
          <w:tcPr>
            <w:tcW w:w="1600" w:type="dxa"/>
            <w:tcBorders>
              <w:top w:val="nil" w:sz="6" w:space="0" w:color="auto"/>
              <w:left w:val="nil" w:sz="6" w:space="0" w:color="auto"/>
              <w:bottom w:val="nil" w:sz="6" w:space="0" w:color="auto"/>
              <w:right w:val="nil" w:sz="6" w:space="0" w:color="auto"/>
            </w:tcBorders>
          </w:tcPr>
          <w:p>
            <w:pPr>
              <w:pStyle w:val="TableParagraph"/>
              <w:spacing w:line="236" w:lineRule="exact"/>
              <w:ind w:left="171" w:right="0"/>
              <w:jc w:val="left"/>
              <w:rPr>
                <w:rFonts w:ascii="宋体" w:hAnsi="宋体" w:cs="宋体" w:eastAsia="宋体" w:hint="default"/>
                <w:sz w:val="20"/>
                <w:szCs w:val="20"/>
              </w:rPr>
            </w:pPr>
            <w:r>
              <w:rPr>
                <w:rFonts w:ascii="Arial" w:hAnsi="Arial" w:cs="Arial" w:eastAsia="Arial" w:hint="default"/>
                <w:sz w:val="20"/>
                <w:szCs w:val="20"/>
              </w:rPr>
              <w:t>55,818.6</w:t>
            </w:r>
            <w:r>
              <w:rPr>
                <w:rFonts w:ascii="Arial" w:hAnsi="Arial" w:cs="Arial" w:eastAsia="Arial" w:hint="default"/>
                <w:spacing w:val="-9"/>
                <w:sz w:val="20"/>
                <w:szCs w:val="20"/>
              </w:rPr>
              <w:t> </w:t>
            </w:r>
            <w:r>
              <w:rPr>
                <w:rFonts w:ascii="宋体" w:hAnsi="宋体" w:cs="宋体" w:eastAsia="宋体" w:hint="default"/>
                <w:sz w:val="20"/>
                <w:szCs w:val="20"/>
              </w:rPr>
              <w:t>万元</w:t>
            </w:r>
          </w:p>
          <w:p>
            <w:pPr>
              <w:pStyle w:val="TableParagraph"/>
              <w:spacing w:line="254" w:lineRule="exact"/>
              <w:ind w:left="799"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tabs>
                <w:tab w:pos="321" w:val="left" w:leader="none"/>
              </w:tabs>
              <w:spacing w:line="240" w:lineRule="auto"/>
              <w:ind w:right="109"/>
              <w:jc w:val="right"/>
              <w:rPr>
                <w:rFonts w:ascii="Arial" w:hAnsi="Arial" w:cs="Arial" w:eastAsia="Arial" w:hint="default"/>
                <w:sz w:val="20"/>
                <w:szCs w:val="20"/>
              </w:rPr>
            </w:pPr>
            <w:r>
              <w:rPr>
                <w:rFonts w:ascii="Arial"/>
                <w:sz w:val="20"/>
              </w:rPr>
              <w:t>-</w:t>
              <w:tab/>
              <w:t>100%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222"/>
              <w:jc w:val="right"/>
              <w:rPr>
                <w:rFonts w:ascii="Arial" w:hAnsi="Arial" w:cs="Arial" w:eastAsia="Arial" w:hint="default"/>
                <w:sz w:val="20"/>
                <w:szCs w:val="20"/>
              </w:rPr>
            </w:pPr>
            <w:r>
              <w:rPr>
                <w:rFonts w:ascii="Arial"/>
                <w:sz w:val="20"/>
              </w:rPr>
              <w:t>100%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9"/>
                <w:szCs w:val="19"/>
              </w:rPr>
            </w:pPr>
          </w:p>
          <w:p>
            <w:pPr>
              <w:pStyle w:val="TableParagraph"/>
              <w:spacing w:line="240" w:lineRule="auto"/>
              <w:ind w:right="89"/>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282"/>
              <w:jc w:val="right"/>
              <w:rPr>
                <w:rFonts w:ascii="Arial" w:hAnsi="Arial" w:cs="Arial" w:eastAsia="Arial" w:hint="default"/>
                <w:sz w:val="20"/>
                <w:szCs w:val="20"/>
              </w:rPr>
            </w:pPr>
            <w:r>
              <w:rPr>
                <w:rFonts w:ascii="Arial"/>
                <w:w w:val="100"/>
                <w:sz w:val="20"/>
              </w:rPr>
              <w:t>-</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06"/>
              <w:jc w:val="right"/>
              <w:rPr>
                <w:rFonts w:ascii="Arial" w:hAnsi="Arial" w:cs="Arial" w:eastAsia="Arial" w:hint="default"/>
                <w:sz w:val="20"/>
                <w:szCs w:val="20"/>
              </w:rPr>
            </w:pPr>
            <w:r>
              <w:rPr>
                <w:rFonts w:ascii="Arial"/>
                <w:w w:val="100"/>
                <w:sz w:val="20"/>
              </w:rPr>
              <w:t>-</w:t>
            </w:r>
          </w:p>
        </w:tc>
      </w:tr>
      <w:tr>
        <w:trPr>
          <w:trHeight w:val="265" w:hRule="exact"/>
        </w:trPr>
        <w:tc>
          <w:tcPr>
            <w:tcW w:w="1497" w:type="dxa"/>
            <w:tcBorders>
              <w:top w:val="nil" w:sz="6" w:space="0" w:color="auto"/>
              <w:left w:val="nil" w:sz="6" w:space="0" w:color="auto"/>
              <w:bottom w:val="nil" w:sz="6" w:space="0" w:color="auto"/>
              <w:right w:val="nil" w:sz="6" w:space="0" w:color="auto"/>
            </w:tcBorders>
          </w:tcPr>
          <w:p>
            <w:pPr>
              <w:pStyle w:val="TableParagraph"/>
              <w:spacing w:line="230" w:lineRule="exact"/>
              <w:ind w:right="248"/>
              <w:jc w:val="right"/>
              <w:rPr>
                <w:rFonts w:ascii="宋体" w:hAnsi="宋体" w:cs="宋体" w:eastAsia="宋体" w:hint="default"/>
                <w:sz w:val="20"/>
                <w:szCs w:val="20"/>
              </w:rPr>
            </w:pPr>
            <w:r>
              <w:rPr>
                <w:rFonts w:ascii="宋体" w:hAnsi="宋体" w:cs="宋体" w:eastAsia="宋体" w:hint="default"/>
                <w:spacing w:val="-1"/>
                <w:sz w:val="20"/>
                <w:szCs w:val="20"/>
              </w:rPr>
              <w:t>空调销售有</w:t>
            </w:r>
          </w:p>
        </w:tc>
        <w:tc>
          <w:tcPr>
            <w:tcW w:w="1600" w:type="dxa"/>
            <w:tcBorders>
              <w:top w:val="nil" w:sz="6" w:space="0" w:color="auto"/>
              <w:left w:val="nil" w:sz="6" w:space="0" w:color="auto"/>
              <w:bottom w:val="nil" w:sz="6" w:space="0" w:color="auto"/>
              <w:right w:val="nil" w:sz="6" w:space="0" w:color="auto"/>
            </w:tcBorders>
          </w:tcPr>
          <w:p>
            <w:pPr>
              <w:pStyle w:val="TableParagraph"/>
              <w:spacing w:line="245" w:lineRule="exact"/>
              <w:ind w:right="197"/>
              <w:jc w:val="right"/>
              <w:rPr>
                <w:rFonts w:ascii="宋体" w:hAnsi="宋体" w:cs="宋体" w:eastAsia="宋体" w:hint="default"/>
                <w:sz w:val="20"/>
                <w:szCs w:val="20"/>
              </w:rPr>
            </w:pPr>
            <w:r>
              <w:rPr>
                <w:rFonts w:ascii="Arial" w:hAnsi="Arial" w:cs="Arial" w:eastAsia="Arial" w:hint="default"/>
                <w:sz w:val="20"/>
                <w:szCs w:val="20"/>
              </w:rPr>
              <w:t>500</w:t>
            </w:r>
            <w:r>
              <w:rPr>
                <w:rFonts w:ascii="Arial" w:hAnsi="Arial" w:cs="Arial" w:eastAsia="Arial" w:hint="default"/>
                <w:spacing w:val="-6"/>
                <w:sz w:val="20"/>
                <w:szCs w:val="20"/>
              </w:rPr>
              <w:t> </w:t>
            </w:r>
            <w:r>
              <w:rPr>
                <w:rFonts w:ascii="宋体" w:hAnsi="宋体" w:cs="宋体" w:eastAsia="宋体" w:hint="default"/>
                <w:sz w:val="20"/>
                <w:szCs w:val="20"/>
              </w:rPr>
              <w:t>万元</w:t>
            </w:r>
          </w:p>
        </w:tc>
        <w:tc>
          <w:tcPr>
            <w:tcW w:w="2422"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325" w:hRule="exact"/>
        </w:trPr>
        <w:tc>
          <w:tcPr>
            <w:tcW w:w="1497" w:type="dxa"/>
            <w:tcBorders>
              <w:top w:val="nil" w:sz="6" w:space="0" w:color="auto"/>
              <w:left w:val="nil" w:sz="6" w:space="0" w:color="auto"/>
              <w:bottom w:val="nil" w:sz="6" w:space="0" w:color="auto"/>
              <w:right w:val="nil" w:sz="6" w:space="0" w:color="auto"/>
            </w:tcBorders>
          </w:tcPr>
          <w:p>
            <w:pPr>
              <w:pStyle w:val="TableParagraph"/>
              <w:spacing w:line="225" w:lineRule="exact"/>
              <w:ind w:left="244"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600"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1475" w:footer="945" w:top="3020" w:bottom="1140" w:left="1580" w:right="1300"/>
        </w:sectPr>
      </w:pPr>
    </w:p>
    <w:p>
      <w:pPr>
        <w:spacing w:line="240" w:lineRule="auto" w:before="4"/>
        <w:rPr>
          <w:rFonts w:ascii="Arial" w:hAnsi="Arial" w:cs="Arial" w:eastAsia="Arial" w:hint="default"/>
          <w:sz w:val="15"/>
          <w:szCs w:val="15"/>
        </w:rPr>
      </w:pPr>
    </w:p>
    <w:p>
      <w:pPr>
        <w:pStyle w:val="Heading2"/>
        <w:tabs>
          <w:tab w:pos="796" w:val="left" w:leader="none"/>
        </w:tabs>
        <w:spacing w:line="240" w:lineRule="auto"/>
        <w:ind w:right="0"/>
        <w:jc w:val="left"/>
        <w:rPr>
          <w:rFonts w:ascii="Arial" w:hAnsi="Arial" w:cs="Arial" w:eastAsia="Arial" w:hint="default"/>
          <w:b w:val="0"/>
          <w:bCs w:val="0"/>
        </w:rPr>
      </w:pPr>
      <w:r>
        <w:rPr>
          <w:w w:val="95"/>
        </w:rPr>
        <w:t>四</w:t>
        <w:tab/>
      </w:r>
      <w:r>
        <w:rPr/>
        <w:t>企业合并及合并财务报表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Heading2"/>
        <w:tabs>
          <w:tab w:pos="796" w:val="left" w:leader="none"/>
        </w:tabs>
        <w:spacing w:line="240" w:lineRule="auto" w:before="0"/>
        <w:ind w:right="0"/>
        <w:jc w:val="left"/>
        <w:rPr>
          <w:b w:val="0"/>
          <w:bCs w:val="0"/>
        </w:rPr>
      </w:pPr>
      <w:r>
        <w:rPr>
          <w:rFonts w:ascii="Arial" w:hAnsi="Arial" w:cs="Arial" w:eastAsia="Arial" w:hint="default"/>
          <w:b w:val="0"/>
          <w:bCs w:val="0"/>
          <w:w w:val="95"/>
          <w:position w:val="2"/>
        </w:rPr>
        <w:t>(2)</w:t>
        <w:tab/>
      </w:r>
      <w:r>
        <w:rPr/>
        <w:t>本年度新纳入合并范围的主体和本年度不再纳入合并范围的主体</w:t>
      </w:r>
      <w:r>
        <w:rPr>
          <w:b w:val="0"/>
          <w:bCs w:val="0"/>
        </w:rPr>
      </w:r>
    </w:p>
    <w:p>
      <w:pPr>
        <w:spacing w:line="240" w:lineRule="auto" w:before="12"/>
        <w:rPr>
          <w:rFonts w:ascii="宋体" w:hAnsi="宋体" w:cs="宋体" w:eastAsia="宋体" w:hint="default"/>
          <w:b/>
          <w:bCs/>
          <w:sz w:val="20"/>
          <w:szCs w:val="20"/>
        </w:rPr>
      </w:pPr>
    </w:p>
    <w:p>
      <w:pPr>
        <w:pStyle w:val="BodyText"/>
        <w:tabs>
          <w:tab w:pos="796" w:val="left" w:leader="none"/>
        </w:tabs>
        <w:spacing w:line="240" w:lineRule="auto"/>
        <w:ind w:left="107" w:right="0"/>
        <w:jc w:val="left"/>
      </w:pPr>
      <w:r>
        <w:rPr>
          <w:rFonts w:ascii="Arial" w:hAnsi="Arial" w:cs="Arial" w:eastAsia="Arial" w:hint="default"/>
          <w:w w:val="95"/>
          <w:position w:val="2"/>
        </w:rPr>
        <w:t>(a)</w:t>
        <w:tab/>
      </w:r>
      <w:r>
        <w:rPr/>
        <w:t>本年度新纳入合并范围的主要主体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312" w:lineRule="exact" w:before="56"/>
        <w:ind w:left="1294" w:right="6770" w:hanging="480"/>
        <w:jc w:val="left"/>
      </w:pPr>
      <w:r>
        <w:rPr/>
        <w:pict>
          <v:shape style="position:absolute;margin-left:229.729996pt;margin-top:-29.432516pt;width:316pt;height:169.1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33"/>
                    <w:gridCol w:w="1986"/>
                  </w:tblGrid>
                  <w:tr>
                    <w:trPr>
                      <w:trHeight w:val="1390" w:hRule="exact"/>
                    </w:trPr>
                    <w:tc>
                      <w:tcPr>
                        <w:tcW w:w="433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Arial" w:hAnsi="Arial" w:cs="Arial" w:eastAsia="Arial"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日净资产</w:t>
                        </w:r>
                        <w:r>
                          <w:rPr>
                            <w:rFonts w:ascii="Arial" w:hAnsi="Arial" w:cs="Arial" w:eastAsia="Arial" w:hint="default"/>
                            <w:sz w:val="24"/>
                            <w:szCs w:val="24"/>
                          </w:rPr>
                          <w:t>/(</w:t>
                        </w:r>
                        <w:r>
                          <w:rPr>
                            <w:rFonts w:ascii="宋体" w:hAnsi="宋体" w:cs="宋体" w:eastAsia="宋体" w:hint="default"/>
                            <w:sz w:val="24"/>
                            <w:szCs w:val="24"/>
                          </w:rPr>
                          <w:t>负债</w:t>
                        </w:r>
                        <w:r>
                          <w:rPr>
                            <w:rFonts w:ascii="Arial" w:hAnsi="Arial" w:cs="Arial" w:eastAsia="Arial" w:hint="default"/>
                            <w:sz w:val="24"/>
                            <w:szCs w:val="24"/>
                          </w:rPr>
                          <w:t>)</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812" w:right="0"/>
                          <w:jc w:val="left"/>
                          <w:rPr>
                            <w:rFonts w:ascii="Arial" w:hAnsi="Arial" w:cs="Arial" w:eastAsia="Arial" w:hint="default"/>
                            <w:sz w:val="24"/>
                            <w:szCs w:val="24"/>
                          </w:rPr>
                        </w:pPr>
                        <w:r>
                          <w:rPr>
                            <w:rFonts w:ascii="Arial"/>
                            <w:sz w:val="24"/>
                          </w:rPr>
                          <w:t>45,339</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07" w:right="0"/>
                          <w:jc w:val="left"/>
                          <w:rPr>
                            <w:rFonts w:ascii="宋体" w:hAnsi="宋体" w:cs="宋体" w:eastAsia="宋体" w:hint="default"/>
                            <w:sz w:val="24"/>
                            <w:szCs w:val="24"/>
                          </w:rPr>
                        </w:pPr>
                        <w:r>
                          <w:rPr>
                            <w:rFonts w:ascii="宋体" w:hAnsi="宋体" w:cs="宋体" w:eastAsia="宋体" w:hint="default"/>
                            <w:sz w:val="24"/>
                            <w:szCs w:val="24"/>
                          </w:rPr>
                          <w:t>本期净利润</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138" w:right="0"/>
                          <w:jc w:val="left"/>
                          <w:rPr>
                            <w:rFonts w:ascii="Arial" w:hAnsi="Arial" w:cs="Arial" w:eastAsia="Arial" w:hint="default"/>
                            <w:sz w:val="24"/>
                            <w:szCs w:val="24"/>
                          </w:rPr>
                        </w:pPr>
                        <w:r>
                          <w:rPr>
                            <w:rFonts w:ascii="Arial"/>
                            <w:sz w:val="24"/>
                          </w:rPr>
                          <w:t>15,339</w:t>
                        </w:r>
                      </w:p>
                    </w:tc>
                  </w:tr>
                  <w:tr>
                    <w:trPr>
                      <w:trHeight w:val="624" w:hRule="exact"/>
                    </w:trPr>
                    <w:tc>
                      <w:tcPr>
                        <w:tcW w:w="433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785"/>
                          <w:jc w:val="right"/>
                          <w:rPr>
                            <w:rFonts w:ascii="Arial" w:hAnsi="Arial" w:cs="Arial" w:eastAsia="Arial" w:hint="default"/>
                            <w:sz w:val="24"/>
                            <w:szCs w:val="24"/>
                          </w:rPr>
                        </w:pPr>
                        <w:r>
                          <w:rPr>
                            <w:rFonts w:ascii="Arial"/>
                            <w:spacing w:val="-1"/>
                            <w:w w:val="95"/>
                            <w:sz w:val="24"/>
                          </w:rPr>
                          <w:t>100,392</w:t>
                        </w:r>
                        <w:r>
                          <w:rPr>
                            <w:rFonts w:ascii="Arial"/>
                            <w:sz w:val="24"/>
                          </w:rPr>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2"/>
                          <w:jc w:val="right"/>
                          <w:rPr>
                            <w:rFonts w:ascii="Arial" w:hAnsi="Arial" w:cs="Arial" w:eastAsia="Arial" w:hint="default"/>
                            <w:sz w:val="24"/>
                            <w:szCs w:val="24"/>
                          </w:rPr>
                        </w:pPr>
                        <w:r>
                          <w:rPr>
                            <w:rFonts w:ascii="Arial"/>
                            <w:spacing w:val="-1"/>
                            <w:w w:val="95"/>
                            <w:sz w:val="24"/>
                          </w:rPr>
                          <w:t>392</w:t>
                        </w:r>
                        <w:r>
                          <w:rPr>
                            <w:rFonts w:ascii="Arial"/>
                            <w:sz w:val="24"/>
                          </w:rPr>
                        </w:r>
                      </w:p>
                    </w:tc>
                  </w:tr>
                  <w:tr>
                    <w:trPr>
                      <w:trHeight w:val="486" w:hRule="exact"/>
                    </w:trPr>
                    <w:tc>
                      <w:tcPr>
                        <w:tcW w:w="433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785"/>
                          <w:jc w:val="right"/>
                          <w:rPr>
                            <w:rFonts w:ascii="Arial" w:hAnsi="Arial" w:cs="Arial" w:eastAsia="Arial" w:hint="default"/>
                            <w:sz w:val="24"/>
                            <w:szCs w:val="24"/>
                          </w:rPr>
                        </w:pPr>
                        <w:r>
                          <w:rPr>
                            <w:rFonts w:ascii="Arial"/>
                            <w:spacing w:val="-1"/>
                            <w:w w:val="95"/>
                            <w:sz w:val="24"/>
                          </w:rPr>
                          <w:t>5,562</w:t>
                        </w:r>
                        <w:r>
                          <w:rPr>
                            <w:rFonts w:ascii="Arial"/>
                            <w:sz w:val="24"/>
                          </w:rPr>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2"/>
                          <w:jc w:val="right"/>
                          <w:rPr>
                            <w:rFonts w:ascii="Arial" w:hAnsi="Arial" w:cs="Arial" w:eastAsia="Arial" w:hint="default"/>
                            <w:sz w:val="24"/>
                            <w:szCs w:val="24"/>
                          </w:rPr>
                        </w:pPr>
                        <w:r>
                          <w:rPr>
                            <w:rFonts w:ascii="Arial"/>
                            <w:spacing w:val="-1"/>
                            <w:w w:val="95"/>
                            <w:sz w:val="24"/>
                          </w:rPr>
                          <w:t>562</w:t>
                        </w:r>
                        <w:r>
                          <w:rPr>
                            <w:rFonts w:ascii="Arial"/>
                            <w:sz w:val="24"/>
                          </w:rPr>
                        </w:r>
                      </w:p>
                    </w:tc>
                  </w:tr>
                  <w:tr>
                    <w:trPr>
                      <w:trHeight w:val="468" w:hRule="exact"/>
                    </w:trPr>
                    <w:tc>
                      <w:tcPr>
                        <w:tcW w:w="433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85"/>
                          <w:jc w:val="right"/>
                          <w:rPr>
                            <w:rFonts w:ascii="Arial" w:hAnsi="Arial" w:cs="Arial" w:eastAsia="Arial" w:hint="default"/>
                            <w:sz w:val="24"/>
                            <w:szCs w:val="24"/>
                          </w:rPr>
                        </w:pPr>
                        <w:r>
                          <w:rPr>
                            <w:rFonts w:ascii="Arial"/>
                            <w:spacing w:val="-1"/>
                            <w:w w:val="95"/>
                            <w:sz w:val="24"/>
                          </w:rPr>
                          <w:t>5,272</w:t>
                        </w:r>
                        <w:r>
                          <w:rPr>
                            <w:rFonts w:ascii="Arial"/>
                            <w:sz w:val="24"/>
                          </w:rPr>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2"/>
                          <w:jc w:val="right"/>
                          <w:rPr>
                            <w:rFonts w:ascii="Arial" w:hAnsi="Arial" w:cs="Arial" w:eastAsia="Arial" w:hint="default"/>
                            <w:sz w:val="24"/>
                            <w:szCs w:val="24"/>
                          </w:rPr>
                        </w:pPr>
                        <w:r>
                          <w:rPr>
                            <w:rFonts w:ascii="Arial"/>
                            <w:spacing w:val="-1"/>
                            <w:w w:val="95"/>
                            <w:sz w:val="24"/>
                          </w:rPr>
                          <w:t>272</w:t>
                        </w:r>
                        <w:r>
                          <w:rPr>
                            <w:rFonts w:ascii="Arial"/>
                            <w:sz w:val="24"/>
                          </w:rPr>
                        </w:r>
                      </w:p>
                    </w:tc>
                  </w:tr>
                  <w:tr>
                    <w:trPr>
                      <w:trHeight w:val="414" w:hRule="exact"/>
                    </w:trPr>
                    <w:tc>
                      <w:tcPr>
                        <w:tcW w:w="433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705"/>
                          <w:jc w:val="right"/>
                          <w:rPr>
                            <w:rFonts w:ascii="Arial" w:hAnsi="Arial" w:cs="Arial" w:eastAsia="Arial" w:hint="default"/>
                            <w:sz w:val="24"/>
                            <w:szCs w:val="24"/>
                          </w:rPr>
                        </w:pPr>
                        <w:r>
                          <w:rPr>
                            <w:rFonts w:ascii="Arial"/>
                            <w:spacing w:val="-1"/>
                            <w:w w:val="95"/>
                            <w:sz w:val="24"/>
                          </w:rPr>
                          <w:t>(41,901)</w:t>
                        </w:r>
                        <w:r>
                          <w:rPr>
                            <w:rFonts w:ascii="Arial"/>
                            <w:sz w:val="24"/>
                          </w:rPr>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24"/>
                            <w:szCs w:val="24"/>
                          </w:rPr>
                        </w:pPr>
                        <w:r>
                          <w:rPr>
                            <w:rFonts w:ascii="Arial"/>
                            <w:spacing w:val="-1"/>
                            <w:w w:val="95"/>
                            <w:sz w:val="24"/>
                          </w:rPr>
                          <w:t>(52,622)</w:t>
                        </w:r>
                        <w:r>
                          <w:rPr>
                            <w:rFonts w:ascii="Arial"/>
                            <w:sz w:val="24"/>
                          </w:rPr>
                        </w:r>
                      </w:p>
                    </w:tc>
                  </w:tr>
                </w:tbl>
                <w:p>
                  <w:pPr/>
                </w:p>
              </w:txbxContent>
            </v:textbox>
            <w10:wrap type="none"/>
          </v:shape>
        </w:pict>
      </w:r>
      <w:r>
        <w:rPr/>
        <w:t>湖南苏宁先锋电子有限 公司</w:t>
      </w:r>
    </w:p>
    <w:p>
      <w:pPr>
        <w:pStyle w:val="BodyText"/>
        <w:spacing w:line="312" w:lineRule="exact"/>
        <w:ind w:left="1294" w:right="7090" w:hanging="480"/>
        <w:jc w:val="left"/>
      </w:pPr>
      <w:r>
        <w:rPr/>
        <w:t>苏宁</w:t>
      </w:r>
      <w:r>
        <w:rPr>
          <w:rFonts w:ascii="Arial" w:hAnsi="Arial" w:cs="Arial" w:eastAsia="Arial" w:hint="default"/>
        </w:rPr>
        <w:t>(</w:t>
      </w:r>
      <w:r>
        <w:rPr/>
        <w:t>天津</w:t>
      </w:r>
      <w:r>
        <w:rPr>
          <w:rFonts w:ascii="Arial" w:hAnsi="Arial" w:cs="Arial" w:eastAsia="Arial" w:hint="default"/>
        </w:rPr>
        <w:t>)</w:t>
      </w:r>
      <w:r>
        <w:rPr/>
        <w:t>电器采购 有限公司</w:t>
      </w:r>
    </w:p>
    <w:p>
      <w:pPr>
        <w:pStyle w:val="BodyText"/>
        <w:spacing w:line="312" w:lineRule="exact"/>
        <w:ind w:left="1294" w:right="6770" w:hanging="480"/>
        <w:jc w:val="left"/>
      </w:pPr>
      <w:r>
        <w:rPr/>
        <w:t>淄博鲁宁苏宁电器有限 公司</w:t>
      </w:r>
    </w:p>
    <w:p>
      <w:pPr>
        <w:pStyle w:val="BodyText"/>
        <w:spacing w:line="312" w:lineRule="exact"/>
        <w:ind w:left="814" w:right="6770"/>
        <w:jc w:val="left"/>
      </w:pPr>
      <w:r>
        <w:rPr/>
        <w:t>枣庄苏宁电器有限公司 香港苏宁镭射电器有限</w:t>
      </w:r>
    </w:p>
    <w:p>
      <w:pPr>
        <w:pStyle w:val="BodyText"/>
        <w:spacing w:line="283" w:lineRule="exact"/>
        <w:ind w:left="1294" w:right="0"/>
        <w:jc w:val="left"/>
      </w:pPr>
      <w:r>
        <w:rPr/>
        <w:t>公司</w:t>
      </w:r>
    </w:p>
    <w:p>
      <w:pPr>
        <w:spacing w:line="240" w:lineRule="auto" w:before="12"/>
        <w:rPr>
          <w:rFonts w:ascii="宋体" w:hAnsi="宋体" w:cs="宋体" w:eastAsia="宋体" w:hint="default"/>
          <w:sz w:val="18"/>
          <w:szCs w:val="18"/>
        </w:rPr>
      </w:pPr>
    </w:p>
    <w:p>
      <w:pPr>
        <w:pStyle w:val="BodyText"/>
        <w:spacing w:line="312" w:lineRule="exact" w:before="56"/>
        <w:ind w:left="814" w:right="184"/>
        <w:jc w:val="both"/>
      </w:pPr>
      <w:r>
        <w:rPr>
          <w:rFonts w:ascii="Arial" w:hAnsi="Arial" w:cs="Arial" w:eastAsia="Arial" w:hint="default"/>
        </w:rPr>
        <w:t>(i)</w:t>
      </w:r>
      <w:r>
        <w:rPr>
          <w:rFonts w:ascii="Arial" w:hAnsi="Arial" w:cs="Arial" w:eastAsia="Arial" w:hint="default"/>
          <w:spacing w:val="53"/>
        </w:rPr>
        <w:t> </w:t>
      </w:r>
      <w:r>
        <w:rPr/>
        <w:t>本集团本年度全部新增子公司均为通过设立方式取得的子公司。其中，本年新设的 </w:t>
      </w:r>
      <w:r>
        <w:rPr>
          <w:spacing w:val="31"/>
        </w:rPr>
        <w:t>香港苏宁镭射电器有限公司通过非同一控制下企业合并取得了 </w:t>
      </w:r>
      <w:r>
        <w:rPr>
          <w:rFonts w:ascii="Arial" w:hAnsi="Arial" w:cs="Arial" w:eastAsia="Arial" w:hint="default"/>
        </w:rPr>
        <w:t>Citical</w:t>
      </w:r>
      <w:r>
        <w:rPr>
          <w:rFonts w:ascii="Arial" w:hAnsi="Arial" w:cs="Arial" w:eastAsia="Arial" w:hint="default"/>
          <w:spacing w:val="25"/>
        </w:rPr>
        <w:t> </w:t>
      </w:r>
      <w:r>
        <w:rPr>
          <w:rFonts w:ascii="Arial" w:hAnsi="Arial" w:cs="Arial" w:eastAsia="Arial" w:hint="default"/>
        </w:rPr>
        <w:t>Retain</w:t>
      </w:r>
      <w:r>
        <w:rPr>
          <w:rFonts w:ascii="Arial" w:hAnsi="Arial" w:cs="Arial" w:eastAsia="Arial" w:hint="default"/>
          <w:spacing w:val="-1"/>
          <w:w w:val="99"/>
        </w:rPr>
        <w:t> </w:t>
      </w:r>
      <w:r>
        <w:rPr>
          <w:rFonts w:ascii="Arial" w:hAnsi="Arial" w:cs="Arial" w:eastAsia="Arial" w:hint="default"/>
        </w:rPr>
        <w:t>Management Limited</w:t>
      </w:r>
      <w:r>
        <w:rPr>
          <w:rFonts w:ascii="Arial" w:hAnsi="Arial" w:cs="Arial" w:eastAsia="Arial" w:hint="default"/>
          <w:spacing w:val="-37"/>
        </w:rPr>
        <w:t> </w:t>
      </w:r>
      <w:r>
        <w:rPr/>
        <w:t>之零售批发业务。该公司本期净利润为自购买该零售批发业务日 至</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日止期间的净利润</w:t>
      </w:r>
      <w:r>
        <w:rPr>
          <w:rFonts w:ascii="Arial" w:hAnsi="Arial" w:cs="Arial" w:eastAsia="Arial" w:hint="default"/>
        </w:rPr>
        <w:t>(</w:t>
      </w:r>
      <w:r>
        <w:rPr/>
        <w:t>附注四</w:t>
      </w:r>
      <w:r>
        <w:rPr>
          <w:rFonts w:ascii="Arial" w:hAnsi="Arial" w:cs="Arial" w:eastAsia="Arial" w:hint="default"/>
        </w:rPr>
        <w:t>(3))</w:t>
      </w:r>
      <w:r>
        <w:rPr/>
        <w:t>。</w:t>
      </w:r>
    </w:p>
    <w:p>
      <w:pPr>
        <w:spacing w:after="0" w:line="312" w:lineRule="exact"/>
        <w:jc w:val="both"/>
        <w:sectPr>
          <w:headerReference w:type="default" r:id="rId56"/>
          <w:footerReference w:type="default" r:id="rId57"/>
          <w:pgSz w:w="11910" w:h="16840"/>
          <w:pgMar w:header="1475" w:footer="947" w:top="3020" w:bottom="1140" w:left="1020" w:right="880"/>
          <w:pgNumType w:start="141"/>
        </w:sectPr>
      </w:pPr>
    </w:p>
    <w:p>
      <w:pPr>
        <w:spacing w:line="240" w:lineRule="auto" w:before="2"/>
        <w:rPr>
          <w:rFonts w:ascii="宋体" w:hAnsi="宋体" w:cs="宋体" w:eastAsia="宋体" w:hint="default"/>
          <w:sz w:val="16"/>
          <w:szCs w:val="16"/>
        </w:rPr>
      </w:pPr>
    </w:p>
    <w:p>
      <w:pPr>
        <w:pStyle w:val="Heading2"/>
        <w:tabs>
          <w:tab w:pos="814" w:val="left" w:leader="none"/>
        </w:tabs>
        <w:spacing w:line="240" w:lineRule="auto"/>
        <w:ind w:right="0"/>
        <w:jc w:val="left"/>
        <w:rPr>
          <w:rFonts w:ascii="Arial" w:hAnsi="Arial" w:cs="Arial" w:eastAsia="Arial" w:hint="default"/>
          <w:b w:val="0"/>
          <w:bCs w:val="0"/>
        </w:rPr>
      </w:pPr>
      <w:r>
        <w:rPr>
          <w:w w:val="95"/>
        </w:rPr>
        <w:t>四</w:t>
        <w:tab/>
      </w:r>
      <w:r>
        <w:rPr/>
        <w:t>企业合并及合并财务报表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4" w:val="left" w:leader="none"/>
        </w:tabs>
        <w:spacing w:before="0"/>
        <w:ind w:left="108"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(3)</w:t>
        <w:tab/>
      </w:r>
      <w:r>
        <w:rPr>
          <w:rFonts w:ascii="宋体" w:hAnsi="宋体" w:cs="宋体" w:eastAsia="宋体" w:hint="default"/>
          <w:b/>
          <w:bCs/>
          <w:sz w:val="24"/>
          <w:szCs w:val="24"/>
        </w:rPr>
        <w:t>非同一控制下企业合并</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pStyle w:val="BodyText"/>
        <w:tabs>
          <w:tab w:pos="8054" w:val="left" w:leader="none"/>
        </w:tabs>
        <w:spacing w:line="240" w:lineRule="auto" w:before="26"/>
        <w:ind w:left="4095" w:right="0"/>
        <w:jc w:val="left"/>
      </w:pPr>
      <w:r>
        <w:rPr/>
        <w:t>商誉金额</w:t>
        <w:tab/>
        <w:t>商誉的计算方法</w:t>
      </w:r>
    </w:p>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1475" w:footer="947" w:top="3020" w:bottom="1140" w:left="1020" w:right="560"/>
        </w:sectPr>
      </w:pPr>
    </w:p>
    <w:p>
      <w:pPr>
        <w:pStyle w:val="BodyText"/>
        <w:spacing w:line="225" w:lineRule="auto" w:before="83"/>
        <w:ind w:left="1060" w:right="-16" w:hanging="240"/>
        <w:jc w:val="left"/>
      </w:pPr>
      <w:r>
        <w:rPr>
          <w:rFonts w:ascii="Arial" w:hAnsi="Arial" w:cs="Arial" w:eastAsia="Arial" w:hint="default"/>
        </w:rPr>
        <w:t>Citical</w:t>
      </w:r>
      <w:r>
        <w:rPr>
          <w:rFonts w:ascii="Arial" w:hAnsi="Arial" w:cs="Arial" w:eastAsia="Arial" w:hint="default"/>
          <w:spacing w:val="-3"/>
        </w:rPr>
        <w:t> </w:t>
      </w:r>
      <w:r>
        <w:rPr>
          <w:rFonts w:ascii="Arial" w:hAnsi="Arial" w:cs="Arial" w:eastAsia="Arial" w:hint="default"/>
        </w:rPr>
        <w:t>Retain</w:t>
      </w:r>
      <w:r>
        <w:rPr>
          <w:rFonts w:ascii="Arial" w:hAnsi="Arial" w:cs="Arial" w:eastAsia="Arial" w:hint="default"/>
          <w:spacing w:val="-1"/>
          <w:w w:val="99"/>
        </w:rPr>
        <w:t> </w:t>
      </w:r>
      <w:r>
        <w:rPr>
          <w:rFonts w:ascii="Arial" w:hAnsi="Arial" w:cs="Arial" w:eastAsia="Arial" w:hint="default"/>
        </w:rPr>
        <w:t>Management</w:t>
      </w:r>
      <w:r>
        <w:rPr>
          <w:rFonts w:ascii="Arial" w:hAnsi="Arial" w:cs="Arial" w:eastAsia="Arial" w:hint="default"/>
          <w:w w:val="99"/>
        </w:rPr>
        <w:t> </w:t>
      </w:r>
      <w:r>
        <w:rPr>
          <w:rFonts w:ascii="Arial" w:hAnsi="Arial" w:cs="Arial" w:eastAsia="Arial" w:hint="default"/>
        </w:rPr>
        <w:t>Limited</w:t>
      </w:r>
      <w:r>
        <w:rPr>
          <w:rFonts w:ascii="Arial" w:hAnsi="Arial" w:cs="Arial" w:eastAsia="Arial" w:hint="default"/>
          <w:spacing w:val="-10"/>
        </w:rPr>
        <w:t> </w:t>
      </w:r>
      <w:r>
        <w:rPr/>
        <w:t>之零售 批发业务</w:t>
      </w:r>
    </w:p>
    <w:p>
      <w:pPr>
        <w:pStyle w:val="BodyText"/>
        <w:spacing w:line="312" w:lineRule="exact" w:before="63"/>
        <w:ind w:left="1796" w:right="530" w:hanging="976"/>
        <w:jc w:val="both"/>
      </w:pPr>
      <w:r>
        <w:rPr/>
        <w:br w:type="column"/>
      </w:r>
      <w:r>
        <w:rPr>
          <w:rFonts w:ascii="Arial" w:hAnsi="Arial" w:cs="Arial" w:eastAsia="Arial" w:hint="default"/>
          <w:position w:val="2"/>
        </w:rPr>
        <w:t>616</w:t>
      </w:r>
      <w:r>
        <w:rPr>
          <w:rFonts w:ascii="Arial" w:hAnsi="Arial" w:cs="Arial" w:eastAsia="Arial" w:hint="default"/>
          <w:spacing w:val="39"/>
          <w:position w:val="2"/>
        </w:rPr>
        <w:t> </w:t>
      </w:r>
      <w:r>
        <w:rPr>
          <w:spacing w:val="10"/>
        </w:rPr>
        <w:t>合并成本减去合并中取得的被购买方 于购买日可辨认净资产公允价值份额 </w:t>
      </w:r>
      <w:r>
        <w:rPr/>
        <w:t>的差额确认为商誉，具体计算如下。</w:t>
      </w:r>
    </w:p>
    <w:p>
      <w:pPr>
        <w:spacing w:after="0" w:line="312" w:lineRule="exact"/>
        <w:jc w:val="both"/>
        <w:sectPr>
          <w:type w:val="continuous"/>
          <w:pgSz w:w="11910" w:h="16840"/>
          <w:pgMar w:top="920" w:bottom="900" w:left="1020" w:right="560"/>
          <w:cols w:num="2" w:equalWidth="0">
            <w:col w:w="2615" w:space="1367"/>
            <w:col w:w="6348"/>
          </w:cols>
        </w:sectPr>
      </w:pPr>
    </w:p>
    <w:p>
      <w:pPr>
        <w:spacing w:line="240" w:lineRule="auto" w:before="9"/>
        <w:rPr>
          <w:rFonts w:ascii="宋体" w:hAnsi="宋体" w:cs="宋体" w:eastAsia="宋体" w:hint="default"/>
          <w:sz w:val="18"/>
          <w:szCs w:val="18"/>
        </w:rPr>
      </w:pPr>
    </w:p>
    <w:p>
      <w:pPr>
        <w:pStyle w:val="BodyText"/>
        <w:tabs>
          <w:tab w:pos="814" w:val="left" w:leader="none"/>
        </w:tabs>
        <w:spacing w:line="240" w:lineRule="auto" w:before="32"/>
        <w:ind w:left="107" w:right="0"/>
        <w:jc w:val="left"/>
      </w:pPr>
      <w:r>
        <w:rPr>
          <w:rFonts w:ascii="Arial" w:hAnsi="Arial" w:cs="Arial" w:eastAsia="Arial" w:hint="default"/>
          <w:w w:val="95"/>
          <w:position w:val="2"/>
        </w:rPr>
        <w:t>(a)</w:t>
        <w:tab/>
      </w:r>
      <w:r>
        <w:rPr>
          <w:rFonts w:ascii="Arial" w:hAnsi="Arial" w:cs="Arial" w:eastAsia="Arial" w:hint="default"/>
        </w:rPr>
        <w:t>Citical Retain Management Limited</w:t>
      </w:r>
      <w:r>
        <w:rPr>
          <w:rFonts w:ascii="Arial" w:hAnsi="Arial" w:cs="Arial" w:eastAsia="Arial" w:hint="default"/>
          <w:spacing w:val="-37"/>
        </w:rPr>
        <w:t> </w:t>
      </w:r>
      <w:r>
        <w:rPr/>
        <w:t>之零售批发业务</w:t>
      </w:r>
    </w:p>
    <w:p>
      <w:pPr>
        <w:spacing w:line="240" w:lineRule="auto" w:before="13"/>
        <w:rPr>
          <w:rFonts w:ascii="宋体" w:hAnsi="宋体" w:cs="宋体" w:eastAsia="宋体" w:hint="default"/>
          <w:sz w:val="21"/>
          <w:szCs w:val="21"/>
        </w:rPr>
      </w:pPr>
    </w:p>
    <w:p>
      <w:pPr>
        <w:pStyle w:val="BodyText"/>
        <w:spacing w:line="312" w:lineRule="exact"/>
        <w:ind w:left="814" w:right="0"/>
        <w:jc w:val="left"/>
      </w:pPr>
      <w:r>
        <w:rPr>
          <w:spacing w:val="6"/>
        </w:rPr>
        <w:t>于</w:t>
      </w:r>
      <w:r>
        <w:rPr>
          <w:rFonts w:ascii="Arial" w:hAnsi="Arial" w:cs="Arial" w:eastAsia="Arial" w:hint="default"/>
          <w:spacing w:val="6"/>
        </w:rPr>
        <w:t>2010</w:t>
      </w:r>
      <w:r>
        <w:rPr>
          <w:spacing w:val="6"/>
        </w:rPr>
        <w:t>年</w:t>
      </w:r>
      <w:r>
        <w:rPr>
          <w:rFonts w:ascii="Arial" w:hAnsi="Arial" w:cs="Arial" w:eastAsia="Arial" w:hint="default"/>
          <w:spacing w:val="6"/>
        </w:rPr>
        <w:t>2</w:t>
      </w:r>
      <w:r>
        <w:rPr>
          <w:spacing w:val="6"/>
        </w:rPr>
        <w:t>月</w:t>
      </w:r>
      <w:r>
        <w:rPr>
          <w:rFonts w:ascii="Arial" w:hAnsi="Arial" w:cs="Arial" w:eastAsia="Arial" w:hint="default"/>
          <w:spacing w:val="6"/>
        </w:rPr>
        <w:t>8</w:t>
      </w:r>
      <w:r>
        <w:rPr>
          <w:spacing w:val="6"/>
        </w:rPr>
        <w:t>日，本公司之子公司香港苏宁镭射电器有限公司向第三方</w:t>
      </w:r>
      <w:r>
        <w:rPr>
          <w:rFonts w:ascii="Arial" w:hAnsi="Arial" w:cs="Arial" w:eastAsia="Arial" w:hint="default"/>
          <w:spacing w:val="6"/>
        </w:rPr>
        <w:t>Citical</w:t>
      </w:r>
      <w:r>
        <w:rPr>
          <w:rFonts w:ascii="Arial" w:hAnsi="Arial" w:cs="Arial" w:eastAsia="Arial" w:hint="default"/>
          <w:spacing w:val="68"/>
        </w:rPr>
        <w:t> </w:t>
      </w:r>
      <w:r>
        <w:rPr>
          <w:rFonts w:ascii="Arial" w:hAnsi="Arial" w:cs="Arial" w:eastAsia="Arial" w:hint="default"/>
        </w:rPr>
        <w:t>Retain</w:t>
      </w:r>
      <w:r>
        <w:rPr>
          <w:rFonts w:ascii="Arial" w:hAnsi="Arial" w:cs="Arial" w:eastAsia="Arial" w:hint="default"/>
          <w:spacing w:val="-60"/>
        </w:rPr>
        <w:t> </w:t>
      </w:r>
      <w:r>
        <w:rPr>
          <w:rFonts w:ascii="Arial" w:hAnsi="Arial" w:cs="Arial" w:eastAsia="Arial" w:hint="default"/>
          <w:spacing w:val="-60"/>
        </w:rPr>
      </w:r>
      <w:r>
        <w:rPr>
          <w:rFonts w:ascii="Arial" w:hAnsi="Arial" w:cs="Arial" w:eastAsia="Arial" w:hint="default"/>
          <w:spacing w:val="-1"/>
          <w:w w:val="99"/>
        </w:rPr>
        <w:t>Management</w:t>
      </w:r>
      <w:r>
        <w:rPr>
          <w:rFonts w:ascii="Arial" w:hAnsi="Arial" w:cs="Arial" w:eastAsia="Arial" w:hint="default"/>
          <w:spacing w:val="24"/>
          <w:w w:val="99"/>
        </w:rPr>
        <w:t> </w:t>
      </w:r>
      <w:r>
        <w:rPr>
          <w:rFonts w:ascii="Arial" w:hAnsi="Arial" w:cs="Arial" w:eastAsia="Arial" w:hint="default"/>
          <w:spacing w:val="-4"/>
          <w:w w:val="99"/>
        </w:rPr>
        <w:t>Limited</w:t>
      </w:r>
      <w:r>
        <w:rPr>
          <w:spacing w:val="-4"/>
          <w:w w:val="99"/>
        </w:rPr>
        <w:t>收购了其拥有的零售批发业务。本次交易的购买日为</w:t>
      </w:r>
      <w:r>
        <w:rPr>
          <w:rFonts w:ascii="Arial" w:hAnsi="Arial" w:cs="Arial" w:eastAsia="Arial" w:hint="default"/>
          <w:spacing w:val="-4"/>
          <w:w w:val="99"/>
        </w:rPr>
        <w:t>2010</w:t>
      </w:r>
      <w:r>
        <w:rPr>
          <w:spacing w:val="-4"/>
          <w:w w:val="99"/>
        </w:rPr>
        <w:t>年</w:t>
      </w:r>
      <w:r>
        <w:rPr>
          <w:rFonts w:ascii="Arial" w:hAnsi="Arial" w:cs="Arial" w:eastAsia="Arial" w:hint="default"/>
          <w:spacing w:val="-4"/>
          <w:w w:val="99"/>
        </w:rPr>
        <w:t>2</w:t>
      </w:r>
      <w:r>
        <w:rPr>
          <w:spacing w:val="-4"/>
          <w:w w:val="99"/>
        </w:rPr>
        <w:t>月</w:t>
      </w:r>
      <w:r>
        <w:rPr>
          <w:rFonts w:ascii="Arial" w:hAnsi="Arial" w:cs="Arial" w:eastAsia="Arial" w:hint="default"/>
          <w:spacing w:val="-4"/>
          <w:w w:val="99"/>
        </w:rPr>
        <w:t>8</w:t>
      </w:r>
      <w:r>
        <w:rPr>
          <w:spacing w:val="-4"/>
          <w:w w:val="99"/>
        </w:rPr>
        <w:t>日，</w:t>
      </w:r>
      <w:r>
        <w:rPr>
          <w:spacing w:val="-110"/>
          <w:w w:val="99"/>
        </w:rPr>
        <w:t> </w:t>
      </w:r>
      <w:r>
        <w:rPr/>
        <w:t>系香港苏宁镭射电器有限公司完成业务及资产转让交割的日期。</w:t>
      </w:r>
    </w:p>
    <w:p>
      <w:pPr>
        <w:pStyle w:val="BodyText"/>
        <w:tabs>
          <w:tab w:pos="814" w:val="left" w:leader="none"/>
        </w:tabs>
        <w:spacing w:line="588" w:lineRule="exact" w:before="55"/>
        <w:ind w:left="814" w:right="5667" w:hanging="707"/>
        <w:jc w:val="left"/>
        <w:rPr>
          <w:rFonts w:ascii="Arial" w:hAnsi="Arial" w:cs="Arial" w:eastAsia="Arial" w:hint="default"/>
        </w:rPr>
      </w:pPr>
      <w:r>
        <w:rPr>
          <w:rFonts w:ascii="Arial" w:hAnsi="Arial" w:cs="Arial" w:eastAsia="Arial" w:hint="default"/>
          <w:w w:val="95"/>
          <w:position w:val="2"/>
        </w:rPr>
        <w:t>(i)</w:t>
        <w:tab/>
      </w:r>
      <w:r>
        <w:rPr/>
        <w:t>合并成本以及商誉的确认情况如下： 合并成本 </w:t>
      </w:r>
      <w:r>
        <w:rPr>
          <w:rFonts w:ascii="Arial" w:hAnsi="Arial" w:cs="Arial" w:eastAsia="Arial" w:hint="default"/>
        </w:rPr>
        <w:t>-</w:t>
      </w:r>
    </w:p>
    <w:p>
      <w:pPr>
        <w:pStyle w:val="BodyText"/>
        <w:tabs>
          <w:tab w:pos="9231" w:val="left" w:leader="none"/>
        </w:tabs>
        <w:spacing w:line="227" w:lineRule="exact"/>
        <w:ind w:left="854" w:right="0"/>
        <w:jc w:val="left"/>
        <w:rPr>
          <w:rFonts w:ascii="Arial" w:hAnsi="Arial" w:cs="Arial" w:eastAsia="Arial" w:hint="default"/>
        </w:rPr>
      </w:pPr>
      <w:r>
        <w:rPr/>
        <w:t>支付的现金</w:t>
        <w:tab/>
      </w:r>
      <w:r>
        <w:rPr>
          <w:rFonts w:ascii="Arial" w:hAnsi="Arial" w:cs="Arial" w:eastAsia="Arial" w:hint="default"/>
          <w:position w:val="2"/>
        </w:rPr>
        <w:t>101,404</w:t>
      </w:r>
      <w:r>
        <w:rPr>
          <w:rFonts w:ascii="Arial" w:hAnsi="Arial" w:cs="Arial" w:eastAsia="Arial" w:hint="default"/>
        </w:rPr>
      </w:r>
    </w:p>
    <w:p>
      <w:pPr>
        <w:pStyle w:val="BodyText"/>
        <w:tabs>
          <w:tab w:pos="9147" w:val="left" w:leader="none"/>
        </w:tabs>
        <w:spacing w:line="313" w:lineRule="exact"/>
        <w:ind w:left="814" w:right="0"/>
        <w:jc w:val="left"/>
        <w:rPr>
          <w:rFonts w:ascii="Arial" w:hAnsi="Arial" w:cs="Arial" w:eastAsia="Arial" w:hint="default"/>
        </w:rPr>
      </w:pPr>
      <w:r>
        <w:rPr/>
        <w:t>减：取得的可辨认净资产公允价值份额</w:t>
        <w:tab/>
      </w:r>
      <w:r>
        <w:rPr>
          <w:rFonts w:ascii="Arial" w:hAnsi="Arial" w:cs="Arial" w:eastAsia="Arial" w:hint="default"/>
          <w:position w:val="2"/>
        </w:rPr>
        <w:t>(100,788)</w:t>
      </w:r>
      <w:r>
        <w:rPr>
          <w:rFonts w:ascii="Arial" w:hAnsi="Arial" w:cs="Arial" w:eastAsia="Arial" w:hint="default"/>
        </w:rPr>
      </w:r>
    </w:p>
    <w:p>
      <w:pPr>
        <w:pStyle w:val="BodyText"/>
        <w:tabs>
          <w:tab w:pos="10097" w:val="right" w:leader="none"/>
        </w:tabs>
        <w:spacing w:line="240" w:lineRule="auto" w:before="7"/>
        <w:ind w:left="814" w:right="0"/>
        <w:jc w:val="left"/>
        <w:rPr>
          <w:rFonts w:ascii="Arial" w:hAnsi="Arial" w:cs="Arial" w:eastAsia="Arial" w:hint="default"/>
        </w:rPr>
      </w:pPr>
      <w:r>
        <w:rPr/>
        <w:pict>
          <v:group style="position:absolute;margin-left:427.859985pt;margin-top:2.065934pt;width:133.1pt;height:.1pt;mso-position-horizontal-relative:page;mso-position-vertical-relative:paragraph;z-index:-1004584" coordorigin="8557,41" coordsize="2662,2">
            <v:shape style="position:absolute;left:8557;top:41;width:2662;height:2" coordorigin="8557,41" coordsize="2662,0" path="m8557,41l11219,41e" filled="false" stroked="true" strokeweight=".47998pt" strokecolor="#000000">
              <v:path arrowok="t"/>
            </v:shape>
            <w10:wrap type="none"/>
          </v:group>
        </w:pict>
      </w:r>
      <w:r>
        <w:rPr/>
        <w:t>商誉</w:t>
      </w:r>
      <w:r>
        <w:rPr>
          <w:rFonts w:ascii="Arial" w:hAnsi="Arial" w:cs="Arial" w:eastAsia="Arial" w:hint="default"/>
          <w:position w:val="2"/>
        </w:rPr>
        <w:tab/>
        <w:t>616</w:t>
      </w:r>
      <w:r>
        <w:rPr>
          <w:rFonts w:ascii="Arial" w:hAnsi="Arial" w:cs="Arial" w:eastAsia="Arial" w:hint="default"/>
        </w:rPr>
      </w:r>
    </w:p>
    <w:p>
      <w:pPr>
        <w:spacing w:line="240" w:lineRule="auto" w:before="3"/>
        <w:rPr>
          <w:rFonts w:ascii="Arial" w:hAnsi="Arial" w:cs="Arial" w:eastAsia="Arial" w:hint="default"/>
          <w:sz w:val="3"/>
          <w:szCs w:val="3"/>
        </w:rPr>
      </w:pPr>
    </w:p>
    <w:p>
      <w:pPr>
        <w:spacing w:line="30" w:lineRule="exact"/>
        <w:ind w:left="7522" w:right="0" w:firstLine="0"/>
        <w:rPr>
          <w:rFonts w:ascii="Arial" w:hAnsi="Arial" w:cs="Arial" w:eastAsia="Arial" w:hint="default"/>
          <w:sz w:val="3"/>
          <w:szCs w:val="3"/>
        </w:rPr>
      </w:pPr>
      <w:r>
        <w:rPr>
          <w:rFonts w:ascii="Arial" w:hAnsi="Arial" w:cs="Arial" w:eastAsia="Arial" w:hint="default"/>
          <w:position w:val="0"/>
          <w:sz w:val="3"/>
          <w:szCs w:val="3"/>
        </w:rPr>
        <w:pict>
          <v:group style="width:134.6pt;height:1.5pt;mso-position-horizontal-relative:char;mso-position-vertical-relative:line" coordorigin="0,0" coordsize="2692,30">
            <v:group style="position:absolute;left:15;top:15;width:2662;height:2" coordorigin="15,15" coordsize="2662,2">
              <v:shape style="position:absolute;left:15;top:15;width:2662;height:2" coordorigin="15,15" coordsize="2662,0" path="m15,15l2677,15e" filled="false" stroked="true" strokeweight="1.5pt" strokecolor="#000000">
                <v:path arrowok="t"/>
              </v:shape>
            </v:group>
          </v:group>
        </w:pict>
      </w:r>
      <w:r>
        <w:rPr>
          <w:rFonts w:ascii="Arial" w:hAnsi="Arial" w:cs="Arial" w:eastAsia="Arial" w:hint="default"/>
          <w:position w:val="0"/>
          <w:sz w:val="3"/>
          <w:szCs w:val="3"/>
        </w:rPr>
      </w:r>
    </w:p>
    <w:p>
      <w:pPr>
        <w:spacing w:after="0" w:line="30" w:lineRule="exact"/>
        <w:rPr>
          <w:rFonts w:ascii="Arial" w:hAnsi="Arial" w:cs="Arial" w:eastAsia="Arial" w:hint="default"/>
          <w:sz w:val="3"/>
          <w:szCs w:val="3"/>
        </w:rPr>
        <w:sectPr>
          <w:type w:val="continuous"/>
          <w:pgSz w:w="11910" w:h="16840"/>
          <w:pgMar w:top="920" w:bottom="900" w:left="1020" w:right="560"/>
        </w:sectPr>
      </w:pPr>
    </w:p>
    <w:p>
      <w:pPr>
        <w:spacing w:line="240" w:lineRule="auto" w:before="4"/>
        <w:rPr>
          <w:rFonts w:ascii="Arial" w:hAnsi="Arial" w:cs="Arial" w:eastAsia="Arial" w:hint="default"/>
          <w:sz w:val="18"/>
          <w:szCs w:val="18"/>
        </w:rPr>
      </w:pPr>
    </w:p>
    <w:p>
      <w:pPr>
        <w:pStyle w:val="Heading2"/>
        <w:tabs>
          <w:tab w:pos="814" w:val="left" w:leader="none"/>
        </w:tabs>
        <w:spacing w:line="240" w:lineRule="auto"/>
        <w:ind w:right="99"/>
        <w:jc w:val="left"/>
        <w:rPr>
          <w:rFonts w:ascii="Arial" w:hAnsi="Arial" w:cs="Arial" w:eastAsia="Arial" w:hint="default"/>
          <w:b w:val="0"/>
          <w:bCs w:val="0"/>
        </w:rPr>
      </w:pPr>
      <w:r>
        <w:rPr>
          <w:w w:val="95"/>
        </w:rPr>
        <w:t>四</w:t>
        <w:tab/>
      </w:r>
      <w:r>
        <w:rPr/>
        <w:t>企业合并及合并财务报表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4" w:val="left" w:leader="none"/>
        </w:tabs>
        <w:spacing w:before="0"/>
        <w:ind w:left="108" w:right="99" w:firstLine="0"/>
        <w:jc w:val="left"/>
        <w:rPr>
          <w:rFonts w:ascii="Arial" w:hAnsi="Arial" w:cs="Arial" w:eastAsia="Arial" w:hint="default"/>
          <w:sz w:val="24"/>
          <w:szCs w:val="24"/>
        </w:rPr>
      </w:pPr>
      <w:r>
        <w:rPr>
          <w:rFonts w:ascii="Arial" w:hAnsi="Arial" w:cs="Arial" w:eastAsia="Arial" w:hint="default"/>
          <w:w w:val="95"/>
          <w:position w:val="2"/>
          <w:sz w:val="24"/>
          <w:szCs w:val="24"/>
        </w:rPr>
        <w:t>(3)</w:t>
        <w:tab/>
      </w:r>
      <w:r>
        <w:rPr>
          <w:rFonts w:ascii="宋体" w:hAnsi="宋体" w:cs="宋体" w:eastAsia="宋体" w:hint="default"/>
          <w:b/>
          <w:bCs/>
          <w:sz w:val="24"/>
          <w:szCs w:val="24"/>
        </w:rPr>
        <w:t>非同一控制下企业合并</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08" w:val="left" w:leader="none"/>
        </w:tabs>
        <w:spacing w:line="240" w:lineRule="auto"/>
        <w:ind w:left="108" w:right="99"/>
        <w:jc w:val="left"/>
        <w:rPr>
          <w:rFonts w:ascii="Arial" w:hAnsi="Arial" w:cs="Arial" w:eastAsia="Arial" w:hint="default"/>
        </w:rPr>
      </w:pPr>
      <w:r>
        <w:rPr>
          <w:rFonts w:ascii="Arial" w:hAnsi="Arial" w:cs="Arial" w:eastAsia="Arial" w:hint="default"/>
          <w:w w:val="95"/>
          <w:position w:val="2"/>
        </w:rPr>
        <w:t>(a)</w:t>
        <w:tab/>
      </w:r>
      <w:r>
        <w:rPr>
          <w:rFonts w:ascii="Arial" w:hAnsi="Arial" w:cs="Arial" w:eastAsia="Arial" w:hint="default"/>
        </w:rPr>
        <w:t>Citical Retain Management Limited</w:t>
      </w:r>
      <w:r>
        <w:rPr>
          <w:rFonts w:ascii="Arial" w:hAnsi="Arial" w:cs="Arial" w:eastAsia="Arial" w:hint="default"/>
          <w:spacing w:val="-37"/>
        </w:rPr>
        <w:t> </w:t>
      </w:r>
      <w:r>
        <w:rPr/>
        <w:t>之零售批发业务</w:t>
      </w:r>
      <w:r>
        <w:rPr>
          <w:rFonts w:ascii="Arial" w:hAnsi="Arial" w:cs="Arial" w:eastAsia="Arial" w:hint="default"/>
        </w:rPr>
        <w:t>(</w:t>
      </w:r>
      <w:r>
        <w:rPr/>
        <w:t>续</w:t>
      </w:r>
      <w:r>
        <w:rPr>
          <w:rFonts w:ascii="Arial" w:hAnsi="Arial" w:cs="Arial" w:eastAsia="Arial" w:hint="default"/>
        </w:rPr>
        <w:t>)</w:t>
      </w:r>
    </w:p>
    <w:p>
      <w:pPr>
        <w:spacing w:line="240" w:lineRule="auto" w:before="0"/>
        <w:rPr>
          <w:rFonts w:ascii="Arial" w:hAnsi="Arial" w:cs="Arial" w:eastAsia="Arial" w:hint="default"/>
          <w:sz w:val="25"/>
          <w:szCs w:val="25"/>
        </w:rPr>
      </w:pPr>
    </w:p>
    <w:p>
      <w:pPr>
        <w:pStyle w:val="BodyText"/>
        <w:tabs>
          <w:tab w:pos="808" w:val="left" w:leader="none"/>
        </w:tabs>
        <w:spacing w:line="312" w:lineRule="exact"/>
        <w:ind w:left="808" w:right="99" w:hanging="701"/>
        <w:jc w:val="left"/>
      </w:pPr>
      <w:r>
        <w:rPr>
          <w:rFonts w:ascii="Arial" w:hAnsi="Arial" w:cs="Arial" w:eastAsia="Arial" w:hint="default"/>
          <w:spacing w:val="-1"/>
          <w:position w:val="2"/>
        </w:rPr>
        <w:t>(ii)</w:t>
        <w:tab/>
      </w:r>
      <w:r>
        <w:rPr>
          <w:spacing w:val="2"/>
        </w:rPr>
        <w:t>被注入香港苏宁镭射电器有限公司的零售批发业务于购买日的资产、负债及与收购相</w:t>
      </w:r>
      <w:r>
        <w:rPr>
          <w:spacing w:val="-87"/>
        </w:rPr>
        <w:t> </w:t>
      </w:r>
      <w:r>
        <w:rPr>
          <w:spacing w:val="-87"/>
        </w:rPr>
      </w:r>
      <w:r>
        <w:rPr/>
        <w:t>关的现金流量情况列示如下：</w:t>
      </w:r>
    </w:p>
    <w:p>
      <w:pPr>
        <w:spacing w:line="240" w:lineRule="auto" w:before="10"/>
        <w:rPr>
          <w:rFonts w:ascii="宋体" w:hAnsi="宋体" w:cs="宋体" w:eastAsia="宋体" w:hint="default"/>
          <w:sz w:val="16"/>
          <w:szCs w:val="16"/>
        </w:rPr>
      </w:pPr>
    </w:p>
    <w:tbl>
      <w:tblPr>
        <w:tblW w:w="0" w:type="auto"/>
        <w:jc w:val="left"/>
        <w:tblInd w:w="773" w:type="dxa"/>
        <w:tblLayout w:type="fixed"/>
        <w:tblCellMar>
          <w:top w:w="0" w:type="dxa"/>
          <w:left w:w="0" w:type="dxa"/>
          <w:bottom w:w="0" w:type="dxa"/>
          <w:right w:w="0" w:type="dxa"/>
        </w:tblCellMar>
        <w:tblLook w:val="01E0"/>
      </w:tblPr>
      <w:tblGrid>
        <w:gridCol w:w="3639"/>
        <w:gridCol w:w="1703"/>
        <w:gridCol w:w="283"/>
        <w:gridCol w:w="1699"/>
      </w:tblGrid>
      <w:tr>
        <w:trPr>
          <w:trHeight w:val="694" w:hRule="exact"/>
        </w:trPr>
        <w:tc>
          <w:tcPr>
            <w:tcW w:w="3639" w:type="dxa"/>
            <w:vMerge w:val="restart"/>
            <w:tcBorders>
              <w:top w:val="nil" w:sz="6" w:space="0" w:color="auto"/>
              <w:left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313" w:lineRule="exact" w:before="26"/>
              <w:ind w:left="781" w:right="0"/>
              <w:jc w:val="center"/>
              <w:rPr>
                <w:rFonts w:ascii="宋体" w:hAnsi="宋体" w:cs="宋体" w:eastAsia="宋体" w:hint="default"/>
                <w:sz w:val="24"/>
                <w:szCs w:val="24"/>
              </w:rPr>
            </w:pPr>
            <w:r>
              <w:rPr>
                <w:rFonts w:ascii="宋体" w:hAnsi="宋体" w:cs="宋体" w:eastAsia="宋体" w:hint="default"/>
                <w:sz w:val="24"/>
                <w:szCs w:val="24"/>
              </w:rPr>
              <w:t>购买日</w:t>
            </w:r>
          </w:p>
          <w:p>
            <w:pPr>
              <w:pStyle w:val="TableParagraph"/>
              <w:spacing w:line="330" w:lineRule="exact"/>
              <w:ind w:left="619" w:right="0"/>
              <w:jc w:val="center"/>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w:t>
            </w:r>
            <w:r>
              <w:rPr>
                <w:rFonts w:ascii="Arial" w:hAnsi="Arial" w:cs="Arial" w:eastAsia="Arial" w:hint="default"/>
                <w:sz w:val="24"/>
                <w:szCs w:val="24"/>
              </w:rPr>
              <w:t>)</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313" w:lineRule="exact" w:before="26"/>
              <w:ind w:left="537" w:right="0"/>
              <w:jc w:val="center"/>
              <w:rPr>
                <w:rFonts w:ascii="宋体" w:hAnsi="宋体" w:cs="宋体" w:eastAsia="宋体" w:hint="default"/>
                <w:sz w:val="24"/>
                <w:szCs w:val="24"/>
              </w:rPr>
            </w:pPr>
            <w:r>
              <w:rPr>
                <w:rFonts w:ascii="宋体" w:hAnsi="宋体" w:cs="宋体" w:eastAsia="宋体" w:hint="default"/>
                <w:sz w:val="24"/>
                <w:szCs w:val="24"/>
              </w:rPr>
              <w:t>购买日</w:t>
            </w:r>
          </w:p>
          <w:p>
            <w:pPr>
              <w:pStyle w:val="TableParagraph"/>
              <w:spacing w:line="330" w:lineRule="exact"/>
              <w:ind w:left="376" w:right="0"/>
              <w:jc w:val="center"/>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w:t>
            </w:r>
            <w:r>
              <w:rPr>
                <w:rFonts w:ascii="Arial" w:hAnsi="Arial" w:cs="Arial" w:eastAsia="Arial" w:hint="default"/>
                <w:sz w:val="24"/>
                <w:szCs w:val="24"/>
              </w:rPr>
              <w:t>)</w:t>
            </w:r>
          </w:p>
        </w:tc>
      </w:tr>
      <w:tr>
        <w:trPr>
          <w:trHeight w:val="441" w:hRule="exact"/>
        </w:trPr>
        <w:tc>
          <w:tcPr>
            <w:tcW w:w="3639" w:type="dxa"/>
            <w:vMerge/>
            <w:tcBorders>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270" w:lineRule="exact"/>
              <w:ind w:right="98"/>
              <w:jc w:val="right"/>
              <w:rPr>
                <w:rFonts w:ascii="宋体" w:hAnsi="宋体" w:cs="宋体" w:eastAsia="宋体" w:hint="default"/>
                <w:sz w:val="24"/>
                <w:szCs w:val="24"/>
              </w:rPr>
            </w:pPr>
            <w:r>
              <w:rPr>
                <w:rFonts w:ascii="宋体" w:hAnsi="宋体" w:cs="宋体" w:eastAsia="宋体" w:hint="default"/>
                <w:sz w:val="24"/>
                <w:szCs w:val="24"/>
              </w:rPr>
              <w:t>公允价值</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70" w:lineRule="exact"/>
              <w:ind w:right="218"/>
              <w:jc w:val="right"/>
              <w:rPr>
                <w:rFonts w:ascii="宋体" w:hAnsi="宋体" w:cs="宋体" w:eastAsia="宋体" w:hint="default"/>
                <w:sz w:val="24"/>
                <w:szCs w:val="24"/>
              </w:rPr>
            </w:pPr>
            <w:r>
              <w:rPr>
                <w:rFonts w:ascii="宋体" w:hAnsi="宋体" w:cs="宋体" w:eastAsia="宋体" w:hint="default"/>
                <w:sz w:val="24"/>
                <w:szCs w:val="24"/>
              </w:rPr>
              <w:t>账面价值</w:t>
            </w:r>
          </w:p>
        </w:tc>
      </w:tr>
      <w:tr>
        <w:trPr>
          <w:trHeight w:val="450" w:hRule="exact"/>
        </w:trPr>
        <w:tc>
          <w:tcPr>
            <w:tcW w:w="363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5"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99"/>
              <w:jc w:val="right"/>
              <w:rPr>
                <w:rFonts w:ascii="Arial" w:hAnsi="Arial" w:cs="Arial" w:eastAsia="Arial" w:hint="default"/>
                <w:sz w:val="24"/>
                <w:szCs w:val="24"/>
              </w:rPr>
            </w:pPr>
            <w:r>
              <w:rPr>
                <w:rFonts w:ascii="Arial"/>
                <w:spacing w:val="-1"/>
                <w:w w:val="95"/>
                <w:sz w:val="24"/>
              </w:rPr>
              <w:t>71,185</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19"/>
              <w:jc w:val="right"/>
              <w:rPr>
                <w:rFonts w:ascii="Arial" w:hAnsi="Arial" w:cs="Arial" w:eastAsia="Arial" w:hint="default"/>
                <w:sz w:val="24"/>
                <w:szCs w:val="24"/>
              </w:rPr>
            </w:pPr>
            <w:r>
              <w:rPr>
                <w:rFonts w:ascii="Arial"/>
                <w:spacing w:val="-1"/>
                <w:w w:val="95"/>
                <w:sz w:val="24"/>
              </w:rPr>
              <w:t>71,138</w:t>
            </w:r>
            <w:r>
              <w:rPr>
                <w:rFonts w:ascii="Arial"/>
                <w:sz w:val="24"/>
              </w:rPr>
            </w:r>
          </w:p>
        </w:tc>
      </w:tr>
      <w:tr>
        <w:trPr>
          <w:trHeight w:val="312" w:hRule="exact"/>
        </w:trPr>
        <w:tc>
          <w:tcPr>
            <w:tcW w:w="3639"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4"/>
                <w:szCs w:val="24"/>
              </w:rPr>
            </w:pPr>
            <w:r>
              <w:rPr>
                <w:rFonts w:ascii="Arial"/>
                <w:spacing w:val="-5"/>
                <w:sz w:val="24"/>
              </w:rPr>
              <w:t>2,118</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19"/>
              <w:jc w:val="right"/>
              <w:rPr>
                <w:rFonts w:ascii="Arial" w:hAnsi="Arial" w:cs="Arial" w:eastAsia="Arial" w:hint="default"/>
                <w:sz w:val="24"/>
                <w:szCs w:val="24"/>
              </w:rPr>
            </w:pPr>
            <w:r>
              <w:rPr>
                <w:rFonts w:ascii="Arial"/>
                <w:spacing w:val="-1"/>
                <w:w w:val="95"/>
                <w:sz w:val="24"/>
              </w:rPr>
              <w:t>2,167</w:t>
            </w:r>
            <w:r>
              <w:rPr>
                <w:rFonts w:ascii="Arial"/>
                <w:sz w:val="24"/>
              </w:rPr>
            </w:r>
          </w:p>
        </w:tc>
      </w:tr>
      <w:tr>
        <w:trPr>
          <w:trHeight w:val="312" w:hRule="exact"/>
        </w:trPr>
        <w:tc>
          <w:tcPr>
            <w:tcW w:w="3639"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w w:val="95"/>
                <w:sz w:val="24"/>
              </w:rPr>
              <w:t>21,016</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18"/>
              <w:jc w:val="right"/>
              <w:rPr>
                <w:rFonts w:ascii="Arial" w:hAnsi="Arial" w:cs="Arial" w:eastAsia="Arial" w:hint="default"/>
                <w:sz w:val="24"/>
                <w:szCs w:val="24"/>
              </w:rPr>
            </w:pPr>
            <w:r>
              <w:rPr>
                <w:rFonts w:ascii="Arial"/>
                <w:w w:val="99"/>
                <w:sz w:val="24"/>
              </w:rPr>
              <w:t>-</w:t>
            </w:r>
            <w:r>
              <w:rPr>
                <w:rFonts w:ascii="Arial"/>
                <w:sz w:val="24"/>
              </w:rPr>
            </w:r>
          </w:p>
        </w:tc>
      </w:tr>
      <w:tr>
        <w:trPr>
          <w:trHeight w:val="321" w:hRule="exact"/>
        </w:trPr>
        <w:tc>
          <w:tcPr>
            <w:tcW w:w="3639"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170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6,469</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19"/>
              <w:jc w:val="right"/>
              <w:rPr>
                <w:rFonts w:ascii="Arial" w:hAnsi="Arial" w:cs="Arial" w:eastAsia="Arial" w:hint="default"/>
                <w:sz w:val="24"/>
                <w:szCs w:val="24"/>
              </w:rPr>
            </w:pPr>
            <w:r>
              <w:rPr>
                <w:rFonts w:ascii="Arial"/>
                <w:spacing w:val="-1"/>
                <w:w w:val="95"/>
                <w:sz w:val="24"/>
              </w:rPr>
              <w:t>5,183</w:t>
            </w:r>
            <w:r>
              <w:rPr>
                <w:rFonts w:ascii="Arial"/>
                <w:sz w:val="24"/>
              </w:rPr>
            </w:r>
          </w:p>
        </w:tc>
      </w:tr>
      <w:tr>
        <w:trPr>
          <w:trHeight w:val="332" w:hRule="exact"/>
        </w:trPr>
        <w:tc>
          <w:tcPr>
            <w:tcW w:w="3639"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宋体" w:hAnsi="宋体" w:cs="宋体" w:eastAsia="宋体" w:hint="default"/>
                <w:sz w:val="24"/>
                <w:szCs w:val="24"/>
              </w:rPr>
            </w:pPr>
            <w:r>
              <w:rPr>
                <w:rFonts w:ascii="宋体" w:hAnsi="宋体" w:cs="宋体" w:eastAsia="宋体" w:hint="default"/>
                <w:sz w:val="24"/>
                <w:szCs w:val="24"/>
              </w:rPr>
              <w:t>取得的净资产</w:t>
            </w:r>
          </w:p>
        </w:tc>
        <w:tc>
          <w:tcPr>
            <w:tcW w:w="1703"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1"/>
                <w:w w:val="95"/>
                <w:sz w:val="24"/>
              </w:rPr>
              <w:t>100,788</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219"/>
              <w:jc w:val="right"/>
              <w:rPr>
                <w:rFonts w:ascii="Arial" w:hAnsi="Arial" w:cs="Arial" w:eastAsia="Arial" w:hint="default"/>
                <w:sz w:val="24"/>
                <w:szCs w:val="24"/>
              </w:rPr>
            </w:pPr>
            <w:r>
              <w:rPr>
                <w:rFonts w:ascii="Arial"/>
                <w:spacing w:val="-1"/>
                <w:w w:val="95"/>
                <w:sz w:val="24"/>
              </w:rPr>
              <w:t>78,488</w:t>
            </w:r>
            <w:r>
              <w:rPr>
                <w:rFonts w:ascii="Arial"/>
                <w:sz w:val="24"/>
              </w:rPr>
            </w:r>
          </w:p>
        </w:tc>
      </w:tr>
      <w:tr>
        <w:trPr>
          <w:trHeight w:val="602" w:hRule="exact"/>
        </w:trPr>
        <w:tc>
          <w:tcPr>
            <w:tcW w:w="363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以现金支付的对价</w:t>
            </w:r>
          </w:p>
        </w:tc>
        <w:tc>
          <w:tcPr>
            <w:tcW w:w="1703"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Arial" w:hAnsi="Arial" w:cs="Arial" w:eastAsia="Arial" w:hint="default"/>
                <w:sz w:val="24"/>
                <w:szCs w:val="24"/>
              </w:rPr>
            </w:pPr>
            <w:r>
              <w:rPr>
                <w:rFonts w:ascii="Arial"/>
                <w:spacing w:val="-1"/>
                <w:w w:val="95"/>
                <w:sz w:val="24"/>
              </w:rPr>
              <w:t>101,404</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single" w:sz="12" w:space="0" w:color="000000"/>
              <w:left w:val="nil" w:sz="6" w:space="0" w:color="auto"/>
              <w:bottom w:val="nil" w:sz="6" w:space="0" w:color="auto"/>
              <w:right w:val="nil" w:sz="6" w:space="0" w:color="auto"/>
            </w:tcBorders>
          </w:tcPr>
          <w:p>
            <w:pPr/>
          </w:p>
        </w:tc>
      </w:tr>
      <w:tr>
        <w:trPr>
          <w:trHeight w:val="276" w:hRule="exact"/>
        </w:trPr>
        <w:tc>
          <w:tcPr>
            <w:tcW w:w="3639"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宋体" w:hAnsi="宋体" w:cs="宋体" w:eastAsia="宋体" w:hint="default"/>
                <w:sz w:val="24"/>
                <w:szCs w:val="24"/>
              </w:rPr>
            </w:pPr>
            <w:r>
              <w:rPr>
                <w:rFonts w:ascii="宋体" w:hAnsi="宋体" w:cs="宋体" w:eastAsia="宋体" w:hint="default"/>
                <w:sz w:val="24"/>
                <w:szCs w:val="24"/>
              </w:rPr>
              <w:t>减</w:t>
            </w:r>
            <w:r>
              <w:rPr>
                <w:rFonts w:ascii="宋体" w:hAnsi="宋体" w:cs="宋体" w:eastAsia="宋体" w:hint="default"/>
                <w:spacing w:val="-98"/>
                <w:sz w:val="24"/>
                <w:szCs w:val="24"/>
              </w:rPr>
              <w:t>：</w:t>
            </w:r>
            <w:r>
              <w:rPr>
                <w:rFonts w:ascii="宋体" w:hAnsi="宋体" w:cs="宋体" w:eastAsia="宋体" w:hint="default"/>
                <w:sz w:val="24"/>
                <w:szCs w:val="24"/>
              </w:rPr>
              <w:t>取得的被收购业务的现金及现</w:t>
            </w:r>
          </w:p>
        </w:tc>
        <w:tc>
          <w:tcPr>
            <w:tcW w:w="170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r>
    </w:tbl>
    <w:p>
      <w:pPr>
        <w:pStyle w:val="BodyText"/>
        <w:tabs>
          <w:tab w:pos="5933" w:val="left" w:leader="none"/>
        </w:tabs>
        <w:spacing w:line="312" w:lineRule="exact"/>
        <w:ind w:left="1315" w:right="99"/>
        <w:jc w:val="left"/>
        <w:rPr>
          <w:rFonts w:ascii="Arial" w:hAnsi="Arial" w:cs="Arial" w:eastAsia="Arial" w:hint="default"/>
        </w:rPr>
      </w:pPr>
      <w:r>
        <w:rPr/>
        <w:t>金等价物</w:t>
        <w:tab/>
      </w:r>
      <w:r>
        <w:rPr>
          <w:rFonts w:ascii="Arial" w:hAnsi="Arial" w:cs="Arial" w:eastAsia="Arial" w:hint="default"/>
          <w:position w:val="5"/>
        </w:rPr>
        <w:t>-</w:t>
      </w:r>
      <w:r>
        <w:rPr>
          <w:rFonts w:ascii="Arial" w:hAnsi="Arial" w:cs="Arial" w:eastAsia="Arial" w:hint="default"/>
        </w:rPr>
      </w:r>
    </w:p>
    <w:p>
      <w:pPr>
        <w:pStyle w:val="BodyText"/>
        <w:tabs>
          <w:tab w:pos="5147" w:val="left" w:leader="none"/>
        </w:tabs>
        <w:spacing w:line="240" w:lineRule="auto" w:before="7"/>
        <w:ind w:left="836" w:right="99"/>
        <w:jc w:val="left"/>
        <w:rPr>
          <w:rFonts w:ascii="Arial" w:hAnsi="Arial" w:cs="Arial" w:eastAsia="Arial" w:hint="default"/>
        </w:rPr>
      </w:pPr>
      <w:r>
        <w:rPr/>
        <w:pict>
          <v:group style="position:absolute;margin-left:271.619995pt;margin-top:2.065934pt;width:85.15pt;height:.1pt;mso-position-horizontal-relative:page;mso-position-vertical-relative:paragraph;z-index:-1004536" coordorigin="5432,41" coordsize="1703,2">
            <v:shape style="position:absolute;left:5432;top:41;width:1703;height:2" coordorigin="5432,41" coordsize="1703,0" path="m5432,41l7135,41e" filled="false" stroked="true" strokeweight=".48001pt" strokecolor="#000000">
              <v:path arrowok="t"/>
            </v:shape>
            <w10:wrap type="none"/>
          </v:group>
        </w:pict>
      </w:r>
      <w:r>
        <w:rPr/>
        <w:t>取得被收购业务支付的现金净额</w:t>
        <w:tab/>
      </w:r>
      <w:r>
        <w:rPr>
          <w:rFonts w:ascii="Arial" w:hAnsi="Arial" w:cs="Arial" w:eastAsia="Arial" w:hint="default"/>
          <w:position w:val="2"/>
        </w:rPr>
        <w:t>101,404</w:t>
      </w:r>
      <w:r>
        <w:rPr>
          <w:rFonts w:ascii="Arial" w:hAnsi="Arial" w:cs="Arial" w:eastAsia="Arial" w:hint="default"/>
        </w:rPr>
      </w:r>
    </w:p>
    <w:p>
      <w:pPr>
        <w:spacing w:line="240" w:lineRule="auto" w:before="4"/>
        <w:rPr>
          <w:rFonts w:ascii="Arial" w:hAnsi="Arial" w:cs="Arial" w:eastAsia="Arial" w:hint="default"/>
          <w:sz w:val="3"/>
          <w:szCs w:val="3"/>
        </w:rPr>
      </w:pPr>
    </w:p>
    <w:p>
      <w:pPr>
        <w:spacing w:line="30" w:lineRule="exact"/>
        <w:ind w:left="4397" w:right="0" w:firstLine="0"/>
        <w:rPr>
          <w:rFonts w:ascii="Arial" w:hAnsi="Arial" w:cs="Arial" w:eastAsia="Arial" w:hint="default"/>
          <w:sz w:val="3"/>
          <w:szCs w:val="3"/>
        </w:rPr>
      </w:pPr>
      <w:r>
        <w:rPr>
          <w:rFonts w:ascii="Arial" w:hAnsi="Arial" w:cs="Arial" w:eastAsia="Arial" w:hint="default"/>
          <w:position w:val="0"/>
          <w:sz w:val="3"/>
          <w:szCs w:val="3"/>
        </w:rPr>
        <w:pict>
          <v:group style="width:86.65pt;height:1.5pt;mso-position-horizontal-relative:char;mso-position-vertical-relative:line" coordorigin="0,0" coordsize="1733,30">
            <v:group style="position:absolute;left:15;top:15;width:1703;height:2" coordorigin="15,15" coordsize="1703,2">
              <v:shape style="position:absolute;left:15;top:15;width:1703;height:2" coordorigin="15,15" coordsize="1703,0" path="m15,15l1718,15e" filled="false" stroked="true" strokeweight="1.5pt" strokecolor="#000000">
                <v:path arrowok="t"/>
              </v:shape>
            </v:group>
          </v:group>
        </w:pict>
      </w:r>
      <w:r>
        <w:rPr>
          <w:rFonts w:ascii="Arial" w:hAnsi="Arial" w:cs="Arial" w:eastAsia="Arial" w:hint="default"/>
          <w:position w:val="0"/>
          <w:sz w:val="3"/>
          <w:szCs w:val="3"/>
        </w:rPr>
      </w:r>
    </w:p>
    <w:p>
      <w:pPr>
        <w:spacing w:line="240" w:lineRule="auto" w:before="4"/>
        <w:rPr>
          <w:rFonts w:ascii="Arial" w:hAnsi="Arial" w:cs="Arial" w:eastAsia="Arial" w:hint="default"/>
          <w:sz w:val="18"/>
          <w:szCs w:val="18"/>
        </w:rPr>
      </w:pPr>
    </w:p>
    <w:p>
      <w:pPr>
        <w:pStyle w:val="BodyText"/>
        <w:spacing w:line="312" w:lineRule="exact" w:before="56"/>
        <w:ind w:left="808" w:right="99"/>
        <w:jc w:val="left"/>
      </w:pPr>
      <w:r>
        <w:rPr>
          <w:spacing w:val="2"/>
        </w:rPr>
        <w:t>本集团采用估值技术来确定被收购业务的资产负债于购买日的公允价值。主要资产的</w:t>
      </w:r>
      <w:r>
        <w:rPr>
          <w:spacing w:val="-87"/>
        </w:rPr>
        <w:t> </w:t>
      </w:r>
      <w:r>
        <w:rPr>
          <w:spacing w:val="-87"/>
        </w:rPr>
      </w:r>
      <w:r>
        <w:rPr/>
        <w:t>评估方法及其关键假设列示如下：</w:t>
      </w:r>
    </w:p>
    <w:p>
      <w:pPr>
        <w:spacing w:line="240" w:lineRule="auto" w:before="10"/>
        <w:rPr>
          <w:rFonts w:ascii="宋体" w:hAnsi="宋体" w:cs="宋体" w:eastAsia="宋体" w:hint="default"/>
          <w:sz w:val="18"/>
          <w:szCs w:val="18"/>
        </w:rPr>
      </w:pPr>
    </w:p>
    <w:p>
      <w:pPr>
        <w:pStyle w:val="BodyText"/>
        <w:spacing w:line="323" w:lineRule="exact"/>
        <w:ind w:left="849" w:right="99"/>
        <w:jc w:val="left"/>
      </w:pPr>
      <w:r>
        <w:rPr>
          <w:rFonts w:ascii="Symbol" w:hAnsi="Symbol" w:cs="Symbol" w:eastAsia="Symbol" w:hint="default"/>
        </w:rPr>
        <w:t></w:t>
      </w:r>
      <w:r>
        <w:rPr>
          <w:rFonts w:ascii="Symbol" w:hAnsi="Symbol" w:cs="Symbol" w:eastAsia="Symbol" w:hint="default"/>
          <w:spacing w:val="36"/>
        </w:rPr>
        <w:t></w:t>
      </w:r>
      <w:r>
        <w:rPr>
          <w:rFonts w:ascii="Times New Roman" w:hAnsi="Times New Roman" w:cs="Times New Roman" w:eastAsia="Times New Roman" w:hint="default"/>
          <w:spacing w:val="36"/>
        </w:rPr>
      </w:r>
      <w:r>
        <w:rPr/>
        <w:t>存货、固定资产的评估方法为重置成本法，无形资产的评估方法为收益法；</w:t>
      </w:r>
    </w:p>
    <w:p>
      <w:pPr>
        <w:pStyle w:val="BodyText"/>
        <w:spacing w:line="312" w:lineRule="exact"/>
        <w:ind w:left="849" w:right="99"/>
        <w:jc w:val="left"/>
      </w:pPr>
      <w:r>
        <w:rPr>
          <w:rFonts w:ascii="Symbol" w:hAnsi="Symbol" w:cs="Symbol" w:eastAsia="Symbol" w:hint="default"/>
        </w:rPr>
        <w:t></w:t>
      </w:r>
      <w:r>
        <w:rPr>
          <w:rFonts w:ascii="Times New Roman" w:hAnsi="Times New Roman" w:cs="Times New Roman" w:eastAsia="Times New Roman" w:hint="default"/>
        </w:rPr>
      </w:r>
      <w:r>
        <w:rPr/>
        <w:t>按重置成本法评估固定资产时，各项固定资产的平均成新率约为</w:t>
      </w:r>
      <w:r>
        <w:rPr>
          <w:spacing w:val="-86"/>
        </w:rPr>
        <w:t> </w:t>
      </w:r>
      <w:r>
        <w:rPr>
          <w:rFonts w:ascii="Arial" w:hAnsi="Arial" w:cs="Arial" w:eastAsia="Arial" w:hint="default"/>
        </w:rPr>
        <w:t>56%</w:t>
      </w:r>
      <w:r>
        <w:rPr/>
        <w:t>；</w:t>
      </w:r>
    </w:p>
    <w:p>
      <w:pPr>
        <w:pStyle w:val="BodyText"/>
        <w:spacing w:line="312" w:lineRule="exact" w:before="20"/>
        <w:ind w:left="1115" w:right="103" w:hanging="267"/>
        <w:jc w:val="both"/>
      </w:pPr>
      <w:r>
        <w:rPr>
          <w:rFonts w:ascii="Symbol" w:hAnsi="Symbol" w:cs="Symbol" w:eastAsia="Symbol" w:hint="default"/>
        </w:rPr>
        <w:t></w:t>
      </w:r>
      <w:r>
        <w:rPr>
          <w:rFonts w:ascii="Times New Roman" w:hAnsi="Times New Roman" w:cs="Times New Roman" w:eastAsia="Times New Roman" w:hint="default"/>
        </w:rPr>
      </w:r>
      <w:r>
        <w:rPr/>
        <w:t>适合于评估整体企业价值的折现率为</w:t>
      </w:r>
      <w:r>
        <w:rPr>
          <w:spacing w:val="-42"/>
        </w:rPr>
        <w:t> </w:t>
      </w:r>
      <w:r>
        <w:rPr>
          <w:rFonts w:ascii="Arial" w:hAnsi="Arial" w:cs="Arial" w:eastAsia="Arial" w:hint="default"/>
        </w:rPr>
        <w:t>16%</w:t>
      </w:r>
      <w:r>
        <w:rPr/>
        <w:t>，考虑到被评估的无形资产无法用于向银 行抵押贷款，同时拥有无形资产的风险通常要高于拥有整体企业，因此评估无形资 产时选用的折现率为</w:t>
      </w:r>
      <w:r>
        <w:rPr>
          <w:spacing w:val="-65"/>
        </w:rPr>
        <w:t> </w:t>
      </w:r>
      <w:r>
        <w:rPr>
          <w:rFonts w:ascii="Arial" w:hAnsi="Arial" w:cs="Arial" w:eastAsia="Arial" w:hint="default"/>
        </w:rPr>
        <w:t>21.5%</w:t>
      </w:r>
      <w:r>
        <w:rPr/>
        <w:t>，并按各项无形资产性质分别设定剩余使用寿命；</w:t>
      </w:r>
    </w:p>
    <w:p>
      <w:pPr>
        <w:pStyle w:val="BodyText"/>
        <w:spacing w:line="312" w:lineRule="exact"/>
        <w:ind w:left="1115" w:right="146" w:hanging="267"/>
        <w:jc w:val="both"/>
      </w:pPr>
      <w:r>
        <w:rPr>
          <w:rFonts w:ascii="Symbol" w:hAnsi="Symbol" w:cs="Symbol" w:eastAsia="Symbol" w:hint="default"/>
        </w:rPr>
        <w:t></w:t>
      </w:r>
      <w:r>
        <w:rPr>
          <w:rFonts w:ascii="Symbol" w:hAnsi="Symbol" w:cs="Symbol" w:eastAsia="Symbol" w:hint="default"/>
          <w:spacing w:val="36"/>
        </w:rPr>
        <w:t></w:t>
      </w:r>
      <w:r>
        <w:rPr>
          <w:rFonts w:ascii="Times New Roman" w:hAnsi="Times New Roman" w:cs="Times New Roman" w:eastAsia="Times New Roman" w:hint="default"/>
          <w:spacing w:val="36"/>
        </w:rPr>
      </w:r>
      <w:r>
        <w:rPr/>
        <w:t>评估以评估结果将用于在中国会计准则下对企业收购资产的会计处理和报告为基本</w:t>
      </w:r>
      <w:r>
        <w:rPr>
          <w:w w:val="100"/>
        </w:rPr>
        <w:t> </w:t>
      </w:r>
      <w:r>
        <w:rPr/>
        <w:t>假设前提；</w:t>
      </w:r>
    </w:p>
    <w:p>
      <w:pPr>
        <w:pStyle w:val="BodyText"/>
        <w:spacing w:line="312" w:lineRule="exact"/>
        <w:ind w:left="1115" w:right="146" w:hanging="267"/>
        <w:jc w:val="both"/>
      </w:pPr>
      <w:r>
        <w:rPr>
          <w:rFonts w:ascii="Symbol" w:hAnsi="Symbol" w:cs="Symbol" w:eastAsia="Symbol" w:hint="default"/>
        </w:rPr>
        <w:t></w:t>
      </w:r>
      <w:r>
        <w:rPr>
          <w:rFonts w:ascii="Symbol" w:hAnsi="Symbol" w:cs="Symbol" w:eastAsia="Symbol" w:hint="default"/>
          <w:spacing w:val="36"/>
        </w:rPr>
        <w:t></w:t>
      </w:r>
      <w:r>
        <w:rPr>
          <w:rFonts w:ascii="Times New Roman" w:hAnsi="Times New Roman" w:cs="Times New Roman" w:eastAsia="Times New Roman" w:hint="default"/>
          <w:spacing w:val="36"/>
        </w:rPr>
      </w:r>
      <w:r>
        <w:rPr/>
        <w:t>评估的各项资产均以评估基准日的实际存量为前提，有关资产的现行市价以评估基</w:t>
      </w:r>
      <w:r>
        <w:rPr>
          <w:w w:val="100"/>
        </w:rPr>
        <w:t> </w:t>
      </w:r>
      <w:r>
        <w:rPr/>
        <w:t>准日的国内有效价格为依据；</w:t>
      </w:r>
    </w:p>
    <w:p>
      <w:pPr>
        <w:pStyle w:val="BodyText"/>
        <w:spacing w:line="292" w:lineRule="exact"/>
        <w:ind w:left="849" w:right="99"/>
        <w:jc w:val="left"/>
      </w:pPr>
      <w:r>
        <w:rPr>
          <w:rFonts w:ascii="Symbol" w:hAnsi="Symbol" w:cs="Symbol" w:eastAsia="Symbol" w:hint="default"/>
        </w:rPr>
        <w:t></w:t>
      </w:r>
      <w:r>
        <w:rPr>
          <w:rFonts w:ascii="Symbol" w:hAnsi="Symbol" w:cs="Symbol" w:eastAsia="Symbol" w:hint="default"/>
          <w:spacing w:val="36"/>
        </w:rPr>
        <w:t></w:t>
      </w:r>
      <w:r>
        <w:rPr>
          <w:rFonts w:ascii="Times New Roman" w:hAnsi="Times New Roman" w:cs="Times New Roman" w:eastAsia="Times New Roman" w:hint="default"/>
          <w:spacing w:val="36"/>
        </w:rPr>
      </w:r>
      <w:r>
        <w:rPr/>
        <w:t>评估基准日后外部经济环境不会发生不可预见的重大变化；</w:t>
      </w:r>
    </w:p>
    <w:p>
      <w:pPr>
        <w:pStyle w:val="BodyText"/>
        <w:spacing w:line="312" w:lineRule="exact" w:before="20"/>
        <w:ind w:left="1115" w:right="146" w:hanging="267"/>
        <w:jc w:val="both"/>
      </w:pPr>
      <w:r>
        <w:rPr>
          <w:rFonts w:ascii="Symbol" w:hAnsi="Symbol" w:cs="Symbol" w:eastAsia="Symbol" w:hint="default"/>
        </w:rPr>
        <w:t></w:t>
      </w:r>
      <w:r>
        <w:rPr>
          <w:rFonts w:ascii="Symbol" w:hAnsi="Symbol" w:cs="Symbol" w:eastAsia="Symbol" w:hint="default"/>
          <w:spacing w:val="36"/>
        </w:rPr>
        <w:t></w:t>
      </w:r>
      <w:r>
        <w:rPr>
          <w:rFonts w:ascii="Times New Roman" w:hAnsi="Times New Roman" w:cs="Times New Roman" w:eastAsia="Times New Roman" w:hint="default"/>
          <w:spacing w:val="36"/>
        </w:rPr>
      </w:r>
      <w:r>
        <w:rPr/>
        <w:t>不会出现不可预见的因素导致其无法持续经营，被评估资产现有用途不变并原地持</w:t>
      </w:r>
      <w:r>
        <w:rPr>
          <w:w w:val="100"/>
        </w:rPr>
        <w:t> </w:t>
      </w:r>
      <w:r>
        <w:rPr/>
        <w:t>续使用。</w:t>
      </w:r>
    </w:p>
    <w:p>
      <w:pPr>
        <w:spacing w:after="0" w:line="312" w:lineRule="exact"/>
        <w:jc w:val="both"/>
        <w:sectPr>
          <w:pgSz w:w="11910" w:h="16840"/>
          <w:pgMar w:header="1475" w:footer="947" w:top="3020" w:bottom="1140" w:left="1020" w:right="98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right="0"/>
        <w:jc w:val="left"/>
        <w:rPr>
          <w:rFonts w:ascii="Arial" w:hAnsi="Arial" w:cs="Arial" w:eastAsia="Arial" w:hint="default"/>
          <w:b w:val="0"/>
          <w:bCs w:val="0"/>
        </w:rPr>
      </w:pPr>
      <w:r>
        <w:rPr>
          <w:w w:val="95"/>
        </w:rPr>
        <w:t>四</w:t>
        <w:tab/>
      </w:r>
      <w:r>
        <w:rPr/>
        <w:t>企业合并及合并财务报表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08" w:right="0" w:firstLine="0"/>
        <w:jc w:val="left"/>
        <w:rPr>
          <w:rFonts w:ascii="Arial" w:hAnsi="Arial" w:cs="Arial" w:eastAsia="Arial" w:hint="default"/>
          <w:sz w:val="24"/>
          <w:szCs w:val="24"/>
        </w:rPr>
      </w:pPr>
      <w:r>
        <w:rPr>
          <w:rFonts w:ascii="Arial" w:hAnsi="Arial" w:cs="Arial" w:eastAsia="Arial" w:hint="default"/>
          <w:w w:val="95"/>
          <w:position w:val="2"/>
          <w:sz w:val="24"/>
          <w:szCs w:val="24"/>
        </w:rPr>
        <w:t>(3)</w:t>
        <w:tab/>
      </w:r>
      <w:r>
        <w:rPr>
          <w:rFonts w:ascii="宋体" w:hAnsi="宋体" w:cs="宋体" w:eastAsia="宋体" w:hint="default"/>
          <w:b/>
          <w:bCs/>
          <w:sz w:val="24"/>
          <w:szCs w:val="24"/>
        </w:rPr>
        <w:t>非同一控制下企业合并</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17" w:val="left" w:leader="none"/>
        </w:tabs>
        <w:spacing w:line="240" w:lineRule="auto"/>
        <w:ind w:left="108" w:right="0"/>
        <w:jc w:val="left"/>
        <w:rPr>
          <w:rFonts w:ascii="Arial" w:hAnsi="Arial" w:cs="Arial" w:eastAsia="Arial" w:hint="default"/>
        </w:rPr>
      </w:pPr>
      <w:r>
        <w:rPr>
          <w:rFonts w:ascii="Arial" w:hAnsi="Arial" w:cs="Arial" w:eastAsia="Arial" w:hint="default"/>
          <w:w w:val="95"/>
          <w:position w:val="2"/>
        </w:rPr>
        <w:t>(a)</w:t>
        <w:tab/>
      </w:r>
      <w:r>
        <w:rPr>
          <w:rFonts w:ascii="Arial" w:hAnsi="Arial" w:cs="Arial" w:eastAsia="Arial" w:hint="default"/>
        </w:rPr>
        <w:t>Citical Retain Management Limited</w:t>
      </w:r>
      <w:r>
        <w:rPr>
          <w:rFonts w:ascii="Arial" w:hAnsi="Arial" w:cs="Arial" w:eastAsia="Arial" w:hint="default"/>
          <w:spacing w:val="-37"/>
        </w:rPr>
        <w:t> </w:t>
      </w:r>
      <w:r>
        <w:rPr/>
        <w:t>之零售批发业务</w:t>
      </w:r>
      <w:r>
        <w:rPr>
          <w:rFonts w:ascii="Arial" w:hAnsi="Arial" w:cs="Arial" w:eastAsia="Arial" w:hint="default"/>
        </w:rPr>
        <w:t>(</w:t>
      </w:r>
      <w:r>
        <w:rPr/>
        <w:t>续</w:t>
      </w:r>
      <w:r>
        <w:rPr>
          <w:rFonts w:ascii="Arial" w:hAnsi="Arial" w:cs="Arial" w:eastAsia="Arial" w:hint="default"/>
        </w:rPr>
        <w:t>)</w:t>
      </w:r>
    </w:p>
    <w:p>
      <w:pPr>
        <w:spacing w:line="240" w:lineRule="auto" w:before="0"/>
        <w:rPr>
          <w:rFonts w:ascii="Arial" w:hAnsi="Arial" w:cs="Arial" w:eastAsia="Arial" w:hint="default"/>
          <w:sz w:val="25"/>
          <w:szCs w:val="25"/>
        </w:rPr>
      </w:pPr>
    </w:p>
    <w:p>
      <w:pPr>
        <w:pStyle w:val="BodyText"/>
        <w:tabs>
          <w:tab w:pos="817" w:val="left" w:leader="none"/>
        </w:tabs>
        <w:spacing w:line="312" w:lineRule="exact"/>
        <w:ind w:left="817" w:right="107" w:hanging="710"/>
        <w:jc w:val="left"/>
      </w:pPr>
      <w:r>
        <w:rPr>
          <w:rFonts w:ascii="Arial" w:hAnsi="Arial" w:cs="Arial" w:eastAsia="Arial" w:hint="default"/>
          <w:spacing w:val="-1"/>
          <w:position w:val="2"/>
        </w:rPr>
        <w:t>(iii)</w:t>
        <w:tab/>
      </w:r>
      <w:r>
        <w:rPr/>
        <w:t>香港苏宁镭射电器有限公司自收购该零售批发业务之日至</w:t>
      </w:r>
      <w:r>
        <w:rPr>
          <w:spacing w:val="-78"/>
        </w:rPr>
        <w:t> </w:t>
      </w:r>
      <w:r>
        <w:rPr>
          <w:rFonts w:ascii="Arial" w:hAnsi="Arial" w:cs="Arial" w:eastAsia="Arial" w:hint="default"/>
          <w:spacing w:val="-1"/>
        </w:rPr>
        <w:t>2010</w:t>
      </w:r>
      <w:r>
        <w:rPr>
          <w:rFonts w:ascii="Arial" w:hAnsi="Arial" w:cs="Arial" w:eastAsia="Arial" w:hint="default"/>
          <w:spacing w:val="-25"/>
        </w:rPr>
        <w:t> </w:t>
      </w:r>
      <w:r>
        <w:rPr/>
        <w:t>年</w:t>
      </w:r>
      <w:r>
        <w:rPr>
          <w:spacing w:val="-78"/>
        </w:rPr>
        <w:t> </w:t>
      </w:r>
      <w:r>
        <w:rPr>
          <w:rFonts w:ascii="Arial" w:hAnsi="Arial" w:cs="Arial" w:eastAsia="Arial" w:hint="default"/>
          <w:spacing w:val="-1"/>
        </w:rPr>
        <w:t>12</w:t>
      </w:r>
      <w:r>
        <w:rPr>
          <w:rFonts w:ascii="Arial" w:hAnsi="Arial" w:cs="Arial" w:eastAsia="Arial" w:hint="default"/>
          <w:spacing w:val="-25"/>
        </w:rPr>
        <w:t> </w:t>
      </w:r>
      <w:r>
        <w:rPr/>
        <w:t>月</w:t>
      </w:r>
      <w:r>
        <w:rPr>
          <w:spacing w:val="-78"/>
        </w:rPr>
        <w:t> </w:t>
      </w:r>
      <w:r>
        <w:rPr>
          <w:rFonts w:ascii="Arial" w:hAnsi="Arial" w:cs="Arial" w:eastAsia="Arial" w:hint="default"/>
          <w:spacing w:val="-1"/>
        </w:rPr>
        <w:t>31</w:t>
      </w:r>
      <w:r>
        <w:rPr>
          <w:rFonts w:ascii="Arial" w:hAnsi="Arial" w:cs="Arial" w:eastAsia="Arial" w:hint="default"/>
          <w:spacing w:val="-25"/>
        </w:rPr>
        <w:t> </w:t>
      </w:r>
      <w:r>
        <w:rPr/>
        <w:t>日止期间的 收入、净利润和现金流量列示如下</w:t>
      </w:r>
      <w:r>
        <w:rPr>
          <w:rFonts w:ascii="Arial" w:hAnsi="Arial" w:cs="Arial" w:eastAsia="Arial" w:hint="default"/>
        </w:rPr>
        <w:t>(</w:t>
      </w:r>
      <w:r>
        <w:rPr/>
        <w:t>单位：人民币</w:t>
      </w:r>
      <w:r>
        <w:rPr>
          <w:rFonts w:ascii="Arial" w:hAnsi="Arial" w:cs="Arial" w:eastAsia="Arial" w:hint="default"/>
        </w:rPr>
        <w:t>)</w:t>
      </w:r>
      <w:r>
        <w:rPr/>
        <w:t>：</w:t>
      </w:r>
    </w:p>
    <w:p>
      <w:pPr>
        <w:spacing w:line="240" w:lineRule="auto" w:before="10"/>
        <w:rPr>
          <w:rFonts w:ascii="宋体" w:hAnsi="宋体" w:cs="宋体" w:eastAsia="宋体" w:hint="default"/>
          <w:sz w:val="18"/>
          <w:szCs w:val="18"/>
        </w:rPr>
      </w:pPr>
    </w:p>
    <w:p>
      <w:pPr>
        <w:pStyle w:val="BodyText"/>
        <w:tabs>
          <w:tab w:pos="4922" w:val="left" w:leader="none"/>
        </w:tabs>
        <w:spacing w:line="313" w:lineRule="exact"/>
        <w:ind w:left="817" w:right="0"/>
        <w:jc w:val="left"/>
        <w:rPr>
          <w:rFonts w:ascii="Arial" w:hAnsi="Arial" w:cs="Arial" w:eastAsia="Arial" w:hint="default"/>
        </w:rPr>
      </w:pPr>
      <w:r>
        <w:rPr/>
        <w:t>营业收入</w:t>
        <w:tab/>
      </w:r>
      <w:r>
        <w:rPr>
          <w:rFonts w:ascii="Arial" w:hAnsi="Arial" w:cs="Arial" w:eastAsia="Arial" w:hint="default"/>
          <w:position w:val="2"/>
        </w:rPr>
        <w:t>769,946</w:t>
      </w:r>
      <w:r>
        <w:rPr>
          <w:rFonts w:ascii="Arial" w:hAnsi="Arial" w:cs="Arial" w:eastAsia="Arial" w:hint="default"/>
        </w:rPr>
      </w:r>
    </w:p>
    <w:p>
      <w:pPr>
        <w:pStyle w:val="BodyText"/>
        <w:tabs>
          <w:tab w:pos="4959" w:val="left" w:leader="none"/>
        </w:tabs>
        <w:spacing w:line="312" w:lineRule="exact"/>
        <w:ind w:left="817" w:right="0"/>
        <w:jc w:val="left"/>
        <w:rPr>
          <w:rFonts w:ascii="Arial" w:hAnsi="Arial" w:cs="Arial" w:eastAsia="Arial" w:hint="default"/>
        </w:rPr>
      </w:pPr>
      <w:r>
        <w:rPr/>
        <w:t>净亏损</w:t>
        <w:tab/>
      </w:r>
      <w:r>
        <w:rPr>
          <w:rFonts w:ascii="Arial" w:hAnsi="Arial" w:cs="Arial" w:eastAsia="Arial" w:hint="default"/>
          <w:position w:val="2"/>
        </w:rPr>
        <w:t>(52,622)</w:t>
      </w:r>
      <w:r>
        <w:rPr>
          <w:rFonts w:ascii="Arial" w:hAnsi="Arial" w:cs="Arial" w:eastAsia="Arial" w:hint="default"/>
        </w:rPr>
      </w:r>
    </w:p>
    <w:p>
      <w:pPr>
        <w:pStyle w:val="BodyText"/>
        <w:tabs>
          <w:tab w:pos="5055" w:val="left" w:leader="none"/>
        </w:tabs>
        <w:spacing w:line="312" w:lineRule="exact"/>
        <w:ind w:left="817" w:right="0"/>
        <w:jc w:val="left"/>
        <w:rPr>
          <w:rFonts w:ascii="Arial" w:hAnsi="Arial" w:cs="Arial" w:eastAsia="Arial" w:hint="default"/>
        </w:rPr>
      </w:pPr>
      <w:r>
        <w:rPr/>
        <w:t>经营活动现金净流量</w:t>
        <w:tab/>
      </w:r>
      <w:r>
        <w:rPr>
          <w:rFonts w:ascii="Arial" w:hAnsi="Arial" w:cs="Arial" w:eastAsia="Arial" w:hint="default"/>
          <w:position w:val="2"/>
        </w:rPr>
        <w:t>35,465</w:t>
      </w:r>
      <w:r>
        <w:rPr>
          <w:rFonts w:ascii="Arial" w:hAnsi="Arial" w:cs="Arial" w:eastAsia="Arial" w:hint="default"/>
        </w:rPr>
      </w:r>
    </w:p>
    <w:p>
      <w:pPr>
        <w:pStyle w:val="BodyText"/>
        <w:tabs>
          <w:tab w:pos="5055" w:val="left" w:leader="none"/>
        </w:tabs>
        <w:spacing w:line="313" w:lineRule="exact"/>
        <w:ind w:left="817" w:right="0"/>
        <w:jc w:val="left"/>
        <w:rPr>
          <w:rFonts w:ascii="Arial" w:hAnsi="Arial" w:cs="Arial" w:eastAsia="Arial" w:hint="default"/>
        </w:rPr>
      </w:pPr>
      <w:r>
        <w:rPr/>
        <w:t>现金流量净额</w:t>
        <w:tab/>
      </w:r>
      <w:r>
        <w:rPr>
          <w:rFonts w:ascii="Arial" w:hAnsi="Arial" w:cs="Arial" w:eastAsia="Arial" w:hint="default"/>
          <w:position w:val="2"/>
        </w:rPr>
        <w:t>16,937</w:t>
      </w:r>
      <w:r>
        <w:rPr>
          <w:rFonts w:ascii="Arial" w:hAnsi="Arial" w:cs="Arial" w:eastAsia="Arial" w:hint="default"/>
        </w:rPr>
      </w:r>
    </w:p>
    <w:p>
      <w:pPr>
        <w:spacing w:line="240" w:lineRule="auto" w:before="9"/>
        <w:rPr>
          <w:rFonts w:ascii="Arial" w:hAnsi="Arial" w:cs="Arial" w:eastAsia="Arial" w:hint="default"/>
          <w:sz w:val="23"/>
          <w:szCs w:val="23"/>
        </w:rPr>
      </w:pPr>
    </w:p>
    <w:p>
      <w:pPr>
        <w:pStyle w:val="Heading2"/>
        <w:tabs>
          <w:tab w:pos="796" w:val="left" w:leader="none"/>
        </w:tabs>
        <w:spacing w:line="240" w:lineRule="auto" w:before="0"/>
        <w:ind w:left="108" w:right="0"/>
        <w:jc w:val="left"/>
        <w:rPr>
          <w:b w:val="0"/>
          <w:bCs w:val="0"/>
        </w:rPr>
      </w:pPr>
      <w:r>
        <w:rPr>
          <w:rFonts w:ascii="Arial" w:hAnsi="Arial" w:cs="Arial" w:eastAsia="Arial" w:hint="default"/>
          <w:b w:val="0"/>
          <w:bCs w:val="0"/>
          <w:w w:val="95"/>
          <w:position w:val="2"/>
        </w:rPr>
        <w:t>(4)</w:t>
        <w:tab/>
      </w:r>
      <w:r>
        <w:rPr/>
        <w:t>境外经营实体主要报表项目的折算汇率</w:t>
      </w:r>
      <w:r>
        <w:rPr>
          <w:b w:val="0"/>
          <w:bCs w:val="0"/>
        </w:rPr>
      </w:r>
    </w:p>
    <w:p>
      <w:pPr>
        <w:spacing w:line="240" w:lineRule="auto" w:before="7"/>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1475" w:footer="947" w:top="3020" w:bottom="1140" w:left="1020" w:right="960"/>
        </w:sectPr>
      </w:pPr>
    </w:p>
    <w:p>
      <w:pPr>
        <w:spacing w:before="38"/>
        <w:ind w:left="4648" w:right="-3" w:firstLine="0"/>
        <w:jc w:val="left"/>
        <w:rPr>
          <w:rFonts w:ascii="宋体" w:hAnsi="宋体" w:cs="宋体" w:eastAsia="宋体" w:hint="default"/>
          <w:sz w:val="20"/>
          <w:szCs w:val="20"/>
        </w:rPr>
      </w:pPr>
      <w:r>
        <w:rPr>
          <w:rFonts w:ascii="宋体" w:hAnsi="宋体" w:cs="宋体" w:eastAsia="宋体" w:hint="default"/>
          <w:sz w:val="20"/>
          <w:szCs w:val="20"/>
        </w:rPr>
        <w:t>资产和负债项目</w:t>
      </w:r>
    </w:p>
    <w:p>
      <w:pPr>
        <w:spacing w:before="44"/>
        <w:ind w:left="3871" w:right="-3" w:firstLine="0"/>
        <w:jc w:val="left"/>
        <w:rPr>
          <w:rFonts w:ascii="宋体" w:hAnsi="宋体" w:cs="宋体" w:eastAsia="宋体" w:hint="default"/>
          <w:sz w:val="20"/>
          <w:szCs w:val="20"/>
        </w:rPr>
      </w:pPr>
      <w:r>
        <w:rPr/>
        <w:pict>
          <v:group style="position:absolute;margin-left:202.229996pt;margin-top:2.300317pt;width:231.8pt;height:1.5pt;mso-position-horizontal-relative:page;mso-position-vertical-relative:paragraph;z-index:-1004512" coordorigin="4045,46" coordsize="4636,30">
            <v:group style="position:absolute;left:4060;top:61;width:2649;height:2" coordorigin="4060,61" coordsize="2649,2">
              <v:shape style="position:absolute;left:4060;top:61;width:2649;height:2" coordorigin="4060,61" coordsize="2649,0" path="m4060,61l6708,61e" filled="false" stroked="true" strokeweight="1.5pt" strokecolor="#000000">
                <v:path arrowok="t"/>
              </v:shape>
            </v:group>
            <v:group style="position:absolute;left:6708;top:61;width:1958;height:2" coordorigin="6708,61" coordsize="1958,2">
              <v:shape style="position:absolute;left:6708;top:61;width:1958;height:2" coordorigin="6708,61" coordsize="1958,0" path="m6708,61l8665,61e" filled="false" stroked="true" strokeweight="1.5pt" strokecolor="#000000">
                <v:path arrowok="t"/>
              </v:shape>
            </v:group>
            <w10:wrap type="none"/>
          </v:group>
        </w:pict>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r>
        <w:rPr>
          <w:rFonts w:ascii="宋体" w:hAnsi="宋体" w:cs="宋体" w:eastAsia="宋体" w:hint="default"/>
          <w:spacing w:val="89"/>
          <w:sz w:val="20"/>
          <w:szCs w:val="20"/>
        </w:rPr>
        <w:t> </w:t>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line="260" w:lineRule="exact" w:before="64"/>
        <w:ind w:left="1031" w:right="89" w:firstLine="0"/>
        <w:jc w:val="left"/>
        <w:rPr>
          <w:rFonts w:ascii="宋体" w:hAnsi="宋体" w:cs="宋体" w:eastAsia="宋体" w:hint="default"/>
          <w:sz w:val="20"/>
          <w:szCs w:val="20"/>
        </w:rPr>
      </w:pPr>
      <w:r>
        <w:rPr/>
        <w:br w:type="column"/>
      </w:r>
      <w:r>
        <w:rPr>
          <w:rFonts w:ascii="宋体" w:hAnsi="宋体" w:cs="宋体" w:eastAsia="宋体" w:hint="default"/>
          <w:sz w:val="20"/>
          <w:szCs w:val="20"/>
        </w:rPr>
        <w:t>收入、费用及</w:t>
      </w:r>
      <w:r>
        <w:rPr>
          <w:rFonts w:ascii="宋体" w:hAnsi="宋体" w:cs="宋体" w:eastAsia="宋体" w:hint="default"/>
          <w:w w:val="100"/>
          <w:sz w:val="20"/>
          <w:szCs w:val="20"/>
        </w:rPr>
        <w:t> </w:t>
      </w:r>
      <w:r>
        <w:rPr>
          <w:rFonts w:ascii="宋体" w:hAnsi="宋体" w:cs="宋体" w:eastAsia="宋体" w:hint="default"/>
          <w:sz w:val="20"/>
          <w:szCs w:val="20"/>
        </w:rPr>
        <w:t>现金流量项目</w:t>
      </w:r>
    </w:p>
    <w:p>
      <w:pPr>
        <w:spacing w:after="0" w:line="260" w:lineRule="exact"/>
        <w:jc w:val="left"/>
        <w:rPr>
          <w:rFonts w:ascii="宋体" w:hAnsi="宋体" w:cs="宋体" w:eastAsia="宋体" w:hint="default"/>
          <w:sz w:val="20"/>
          <w:szCs w:val="20"/>
        </w:rPr>
        <w:sectPr>
          <w:type w:val="continuous"/>
          <w:pgSz w:w="11910" w:h="16840"/>
          <w:pgMar w:top="920" w:bottom="900" w:left="1020" w:right="960"/>
          <w:cols w:num="2" w:equalWidth="0">
            <w:col w:w="7545" w:space="40"/>
            <w:col w:w="2345"/>
          </w:cols>
        </w:sectPr>
      </w:pP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920" w:bottom="900" w:left="1020" w:right="960"/>
        </w:sectPr>
      </w:pPr>
    </w:p>
    <w:p>
      <w:pPr>
        <w:tabs>
          <w:tab w:pos="2507" w:val="left" w:leader="none"/>
          <w:tab w:pos="5350" w:val="left" w:leader="none"/>
        </w:tabs>
        <w:spacing w:line="268" w:lineRule="exact" w:before="38"/>
        <w:ind w:left="0" w:right="0" w:firstLine="0"/>
        <w:jc w:val="right"/>
        <w:rPr>
          <w:rFonts w:ascii="宋体" w:hAnsi="宋体" w:cs="宋体" w:eastAsia="宋体" w:hint="default"/>
          <w:sz w:val="20"/>
          <w:szCs w:val="20"/>
        </w:rPr>
      </w:pPr>
      <w:r>
        <w:rPr>
          <w:rFonts w:ascii="宋体" w:hAnsi="宋体" w:cs="宋体" w:eastAsia="宋体" w:hint="default"/>
          <w:spacing w:val="-1"/>
          <w:sz w:val="20"/>
          <w:szCs w:val="20"/>
        </w:rPr>
        <w:t>香港苏宁电器有限公司</w:t>
        <w:tab/>
      </w:r>
      <w:r>
        <w:rPr>
          <w:rFonts w:ascii="Arial" w:hAnsi="Arial" w:cs="Arial" w:eastAsia="Arial" w:hint="default"/>
          <w:sz w:val="20"/>
          <w:szCs w:val="20"/>
        </w:rPr>
        <w:t>1</w:t>
      </w:r>
      <w:r>
        <w:rPr>
          <w:rFonts w:ascii="Arial" w:hAnsi="Arial" w:cs="Arial" w:eastAsia="Arial" w:hint="default"/>
          <w:spacing w:val="-4"/>
          <w:sz w:val="20"/>
          <w:szCs w:val="20"/>
        </w:rPr>
        <w:t> </w:t>
      </w:r>
      <w:r>
        <w:rPr>
          <w:rFonts w:ascii="宋体" w:hAnsi="宋体" w:cs="宋体" w:eastAsia="宋体" w:hint="default"/>
          <w:sz w:val="20"/>
          <w:szCs w:val="20"/>
        </w:rPr>
        <w:t>港元</w:t>
      </w:r>
      <w:r>
        <w:rPr>
          <w:rFonts w:ascii="宋体" w:hAnsi="宋体" w:cs="宋体" w:eastAsia="宋体" w:hint="default"/>
          <w:spacing w:val="1"/>
          <w:sz w:val="20"/>
          <w:szCs w:val="20"/>
        </w:rPr>
        <w:t> </w:t>
      </w:r>
      <w:r>
        <w:rPr>
          <w:rFonts w:ascii="Arial" w:hAnsi="Arial" w:cs="Arial" w:eastAsia="Arial" w:hint="default"/>
          <w:spacing w:val="-1"/>
          <w:sz w:val="20"/>
          <w:szCs w:val="20"/>
        </w:rPr>
        <w:t>=</w:t>
      </w:r>
      <w:r>
        <w:rPr>
          <w:rFonts w:ascii="宋体" w:hAnsi="宋体" w:cs="宋体" w:eastAsia="宋体" w:hint="default"/>
          <w:spacing w:val="-1"/>
          <w:sz w:val="20"/>
          <w:szCs w:val="20"/>
        </w:rPr>
        <w:t>人民币</w:t>
      </w:r>
      <w:r>
        <w:rPr>
          <w:rFonts w:ascii="宋体" w:hAnsi="宋体" w:cs="宋体" w:eastAsia="宋体" w:hint="default"/>
          <w:spacing w:val="-48"/>
          <w:sz w:val="20"/>
          <w:szCs w:val="20"/>
        </w:rPr>
        <w:t> </w:t>
      </w:r>
      <w:r>
        <w:rPr>
          <w:rFonts w:ascii="Arial" w:hAnsi="Arial" w:cs="Arial" w:eastAsia="Arial" w:hint="default"/>
          <w:spacing w:val="-1"/>
          <w:sz w:val="20"/>
          <w:szCs w:val="20"/>
        </w:rPr>
        <w:t>0.8509</w:t>
      </w:r>
      <w:r>
        <w:rPr>
          <w:rFonts w:ascii="Arial" w:hAnsi="Arial" w:cs="Arial" w:eastAsia="Arial" w:hint="default"/>
          <w:spacing w:val="-6"/>
          <w:sz w:val="20"/>
          <w:szCs w:val="20"/>
        </w:rPr>
        <w:t> </w:t>
      </w:r>
      <w:r>
        <w:rPr>
          <w:rFonts w:ascii="宋体" w:hAnsi="宋体" w:cs="宋体" w:eastAsia="宋体" w:hint="default"/>
          <w:sz w:val="20"/>
          <w:szCs w:val="20"/>
        </w:rPr>
        <w:t>元</w:t>
        <w:tab/>
      </w:r>
      <w:r>
        <w:rPr>
          <w:rFonts w:ascii="Arial" w:hAnsi="Arial" w:cs="Arial" w:eastAsia="Arial" w:hint="default"/>
          <w:sz w:val="20"/>
          <w:szCs w:val="20"/>
        </w:rPr>
        <w:t>1 </w:t>
      </w:r>
      <w:r>
        <w:rPr>
          <w:rFonts w:ascii="宋体" w:hAnsi="宋体" w:cs="宋体" w:eastAsia="宋体" w:hint="default"/>
          <w:sz w:val="20"/>
          <w:szCs w:val="20"/>
        </w:rPr>
        <w:t>港元</w:t>
      </w:r>
      <w:r>
        <w:rPr>
          <w:rFonts w:ascii="宋体" w:hAnsi="宋体" w:cs="宋体" w:eastAsia="宋体" w:hint="default"/>
          <w:spacing w:val="-3"/>
          <w:sz w:val="20"/>
          <w:szCs w:val="20"/>
        </w:rPr>
        <w:t> </w:t>
      </w:r>
      <w:r>
        <w:rPr>
          <w:rFonts w:ascii="Arial" w:hAnsi="Arial" w:cs="Arial" w:eastAsia="Arial" w:hint="default"/>
          <w:spacing w:val="-1"/>
          <w:sz w:val="20"/>
          <w:szCs w:val="20"/>
        </w:rPr>
        <w:t>=</w:t>
      </w:r>
      <w:r>
        <w:rPr>
          <w:rFonts w:ascii="宋体" w:hAnsi="宋体" w:cs="宋体" w:eastAsia="宋体" w:hint="default"/>
          <w:spacing w:val="-1"/>
          <w:sz w:val="20"/>
          <w:szCs w:val="20"/>
        </w:rPr>
        <w:t>人民币</w:t>
      </w:r>
    </w:p>
    <w:p>
      <w:pPr>
        <w:spacing w:line="268" w:lineRule="exact" w:before="0"/>
        <w:ind w:left="0" w:right="0" w:firstLine="0"/>
        <w:jc w:val="right"/>
        <w:rPr>
          <w:rFonts w:ascii="宋体" w:hAnsi="宋体" w:cs="宋体" w:eastAsia="宋体" w:hint="default"/>
          <w:sz w:val="20"/>
          <w:szCs w:val="20"/>
        </w:rPr>
      </w:pPr>
      <w:r>
        <w:rPr>
          <w:rFonts w:ascii="Arial" w:hAnsi="Arial" w:cs="Arial" w:eastAsia="Arial" w:hint="default"/>
          <w:sz w:val="20"/>
          <w:szCs w:val="20"/>
        </w:rPr>
        <w:t>0.8805</w:t>
      </w:r>
      <w:r>
        <w:rPr>
          <w:rFonts w:ascii="Arial" w:hAnsi="Arial" w:cs="Arial" w:eastAsia="Arial" w:hint="default"/>
          <w:spacing w:val="-6"/>
          <w:sz w:val="20"/>
          <w:szCs w:val="20"/>
        </w:rPr>
        <w:t> </w:t>
      </w:r>
      <w:r>
        <w:rPr>
          <w:rFonts w:ascii="宋体" w:hAnsi="宋体" w:cs="宋体" w:eastAsia="宋体" w:hint="default"/>
          <w:sz w:val="20"/>
          <w:szCs w:val="20"/>
        </w:rPr>
        <w:t>元</w:t>
      </w:r>
    </w:p>
    <w:p>
      <w:pPr>
        <w:spacing w:before="38"/>
        <w:ind w:left="229"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交易发生日的即期汇率</w:t>
      </w:r>
    </w:p>
    <w:p>
      <w:pPr>
        <w:spacing w:after="0"/>
        <w:jc w:val="left"/>
        <w:rPr>
          <w:rFonts w:ascii="宋体" w:hAnsi="宋体" w:cs="宋体" w:eastAsia="宋体" w:hint="default"/>
          <w:sz w:val="20"/>
          <w:szCs w:val="20"/>
        </w:rPr>
        <w:sectPr>
          <w:type w:val="continuous"/>
          <w:pgSz w:w="11910" w:h="16840"/>
          <w:pgMar w:top="920" w:bottom="900" w:left="1020" w:right="960"/>
          <w:cols w:num="2" w:equalWidth="0">
            <w:col w:w="7545" w:space="40"/>
            <w:col w:w="2345"/>
          </w:cols>
        </w:sectPr>
      </w:pPr>
    </w:p>
    <w:p>
      <w:pPr>
        <w:spacing w:line="260" w:lineRule="exact" w:before="10"/>
        <w:ind w:left="1016" w:right="-4" w:hanging="182"/>
        <w:jc w:val="left"/>
        <w:rPr>
          <w:rFonts w:ascii="宋体" w:hAnsi="宋体" w:cs="宋体" w:eastAsia="宋体" w:hint="default"/>
          <w:sz w:val="20"/>
          <w:szCs w:val="20"/>
        </w:rPr>
      </w:pPr>
      <w:r>
        <w:rPr>
          <w:rFonts w:ascii="宋体" w:hAnsi="宋体" w:cs="宋体" w:eastAsia="宋体" w:hint="default"/>
          <w:spacing w:val="9"/>
          <w:sz w:val="20"/>
          <w:szCs w:val="20"/>
        </w:rPr>
        <w:t>香港苏宁采购中心有限</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公司</w:t>
      </w:r>
    </w:p>
    <w:p>
      <w:pPr>
        <w:tabs>
          <w:tab w:pos="4834" w:val="left" w:leader="none"/>
        </w:tabs>
        <w:spacing w:line="260" w:lineRule="exact" w:before="0"/>
        <w:ind w:left="342" w:right="0" w:firstLine="0"/>
        <w:jc w:val="left"/>
        <w:rPr>
          <w:rFonts w:ascii="宋体" w:hAnsi="宋体" w:cs="宋体" w:eastAsia="宋体" w:hint="default"/>
          <w:sz w:val="20"/>
          <w:szCs w:val="20"/>
        </w:rPr>
      </w:pPr>
      <w:r>
        <w:rPr/>
        <w:br w:type="column"/>
      </w:r>
      <w:r>
        <w:rPr>
          <w:rFonts w:ascii="Arial" w:hAnsi="Arial" w:cs="Arial" w:eastAsia="Arial" w:hint="default"/>
          <w:sz w:val="20"/>
          <w:szCs w:val="20"/>
        </w:rPr>
        <w:t>1</w:t>
      </w:r>
      <w:r>
        <w:rPr>
          <w:rFonts w:ascii="Arial" w:hAnsi="Arial" w:cs="Arial" w:eastAsia="Arial" w:hint="default"/>
          <w:spacing w:val="-5"/>
          <w:sz w:val="20"/>
          <w:szCs w:val="20"/>
        </w:rPr>
        <w:t> </w:t>
      </w:r>
      <w:r>
        <w:rPr>
          <w:rFonts w:ascii="宋体" w:hAnsi="宋体" w:cs="宋体" w:eastAsia="宋体" w:hint="default"/>
          <w:sz w:val="20"/>
          <w:szCs w:val="20"/>
        </w:rPr>
        <w:t>港元</w:t>
      </w:r>
      <w:r>
        <w:rPr>
          <w:rFonts w:ascii="宋体" w:hAnsi="宋体" w:cs="宋体" w:eastAsia="宋体" w:hint="default"/>
          <w:spacing w:val="-2"/>
          <w:sz w:val="20"/>
          <w:szCs w:val="20"/>
        </w:rPr>
        <w:t> </w:t>
      </w:r>
      <w:r>
        <w:rPr>
          <w:rFonts w:ascii="Arial" w:hAnsi="Arial" w:cs="Arial" w:eastAsia="Arial" w:hint="default"/>
          <w:sz w:val="20"/>
          <w:szCs w:val="20"/>
        </w:rPr>
        <w:t>=</w:t>
      </w:r>
      <w:r>
        <w:rPr>
          <w:rFonts w:ascii="宋体" w:hAnsi="宋体" w:cs="宋体" w:eastAsia="宋体" w:hint="default"/>
          <w:sz w:val="20"/>
          <w:szCs w:val="20"/>
        </w:rPr>
        <w:t>人民币</w:t>
      </w:r>
      <w:r>
        <w:rPr>
          <w:rFonts w:ascii="宋体" w:hAnsi="宋体" w:cs="宋体" w:eastAsia="宋体" w:hint="default"/>
          <w:spacing w:val="-50"/>
          <w:sz w:val="20"/>
          <w:szCs w:val="20"/>
        </w:rPr>
        <w:t> </w:t>
      </w:r>
      <w:r>
        <w:rPr>
          <w:rFonts w:ascii="Arial" w:hAnsi="Arial" w:cs="Arial" w:eastAsia="Arial" w:hint="default"/>
          <w:sz w:val="20"/>
          <w:szCs w:val="20"/>
        </w:rPr>
        <w:t>0.8509</w:t>
      </w:r>
      <w:r>
        <w:rPr>
          <w:rFonts w:ascii="Arial" w:hAnsi="Arial" w:cs="Arial" w:eastAsia="Arial" w:hint="default"/>
          <w:spacing w:val="-7"/>
          <w:sz w:val="20"/>
          <w:szCs w:val="20"/>
        </w:rPr>
        <w:t> </w:t>
      </w:r>
      <w:r>
        <w:rPr>
          <w:rFonts w:ascii="宋体" w:hAnsi="宋体" w:cs="宋体" w:eastAsia="宋体" w:hint="default"/>
          <w:sz w:val="20"/>
          <w:szCs w:val="20"/>
        </w:rPr>
        <w:t>元</w:t>
        <w:tab/>
        <w:t>交易发生日的即期汇率</w:t>
      </w:r>
    </w:p>
    <w:p>
      <w:pPr>
        <w:spacing w:after="0" w:line="260" w:lineRule="exact"/>
        <w:jc w:val="left"/>
        <w:rPr>
          <w:rFonts w:ascii="宋体" w:hAnsi="宋体" w:cs="宋体" w:eastAsia="宋体" w:hint="default"/>
          <w:sz w:val="20"/>
          <w:szCs w:val="20"/>
        </w:rPr>
        <w:sectPr>
          <w:type w:val="continuous"/>
          <w:pgSz w:w="11910" w:h="16840"/>
          <w:pgMar w:top="920" w:bottom="900" w:left="1020" w:right="960"/>
          <w:cols w:num="2" w:equalWidth="0">
            <w:col w:w="2941" w:space="40"/>
            <w:col w:w="6949"/>
          </w:cols>
        </w:sectPr>
      </w:pPr>
    </w:p>
    <w:p>
      <w:pPr>
        <w:tabs>
          <w:tab w:pos="3322" w:val="left" w:leader="none"/>
          <w:tab w:pos="7814" w:val="left" w:leader="none"/>
        </w:tabs>
        <w:spacing w:line="250" w:lineRule="exact" w:before="0"/>
        <w:ind w:left="814" w:right="0" w:firstLine="0"/>
        <w:jc w:val="left"/>
        <w:rPr>
          <w:rFonts w:ascii="宋体" w:hAnsi="宋体" w:cs="宋体" w:eastAsia="宋体" w:hint="default"/>
          <w:sz w:val="20"/>
          <w:szCs w:val="20"/>
        </w:rPr>
      </w:pPr>
      <w:r>
        <w:rPr>
          <w:rFonts w:ascii="宋体" w:hAnsi="宋体" w:cs="宋体" w:eastAsia="宋体" w:hint="default"/>
          <w:spacing w:val="-1"/>
          <w:sz w:val="20"/>
          <w:szCs w:val="20"/>
        </w:rPr>
        <w:t>香港苏宁超霸有限公司</w:t>
        <w:tab/>
      </w:r>
      <w:r>
        <w:rPr>
          <w:rFonts w:ascii="Arial" w:hAnsi="Arial" w:cs="Arial" w:eastAsia="Arial" w:hint="default"/>
          <w:sz w:val="20"/>
          <w:szCs w:val="20"/>
        </w:rPr>
        <w:t>1</w:t>
      </w:r>
      <w:r>
        <w:rPr>
          <w:rFonts w:ascii="Arial" w:hAnsi="Arial" w:cs="Arial" w:eastAsia="Arial" w:hint="default"/>
          <w:spacing w:val="-4"/>
          <w:sz w:val="20"/>
          <w:szCs w:val="20"/>
        </w:rPr>
        <w:t> </w:t>
      </w:r>
      <w:r>
        <w:rPr>
          <w:rFonts w:ascii="宋体" w:hAnsi="宋体" w:cs="宋体" w:eastAsia="宋体" w:hint="default"/>
          <w:sz w:val="20"/>
          <w:szCs w:val="20"/>
        </w:rPr>
        <w:t>港元</w:t>
      </w:r>
      <w:r>
        <w:rPr>
          <w:rFonts w:ascii="宋体" w:hAnsi="宋体" w:cs="宋体" w:eastAsia="宋体" w:hint="default"/>
          <w:spacing w:val="1"/>
          <w:sz w:val="20"/>
          <w:szCs w:val="20"/>
        </w:rPr>
        <w:t> </w:t>
      </w:r>
      <w:r>
        <w:rPr>
          <w:rFonts w:ascii="Arial" w:hAnsi="Arial" w:cs="Arial" w:eastAsia="Arial" w:hint="default"/>
          <w:spacing w:val="-1"/>
          <w:sz w:val="20"/>
          <w:szCs w:val="20"/>
        </w:rPr>
        <w:t>=</w:t>
      </w:r>
      <w:r>
        <w:rPr>
          <w:rFonts w:ascii="宋体" w:hAnsi="宋体" w:cs="宋体" w:eastAsia="宋体" w:hint="default"/>
          <w:spacing w:val="-1"/>
          <w:sz w:val="20"/>
          <w:szCs w:val="20"/>
        </w:rPr>
        <w:t>人民币</w:t>
      </w:r>
      <w:r>
        <w:rPr>
          <w:rFonts w:ascii="宋体" w:hAnsi="宋体" w:cs="宋体" w:eastAsia="宋体" w:hint="default"/>
          <w:spacing w:val="-48"/>
          <w:sz w:val="20"/>
          <w:szCs w:val="20"/>
        </w:rPr>
        <w:t> </w:t>
      </w:r>
      <w:r>
        <w:rPr>
          <w:rFonts w:ascii="Arial" w:hAnsi="Arial" w:cs="Arial" w:eastAsia="Arial" w:hint="default"/>
          <w:spacing w:val="-1"/>
          <w:sz w:val="20"/>
          <w:szCs w:val="20"/>
        </w:rPr>
        <w:t>0.8509</w:t>
      </w:r>
      <w:r>
        <w:rPr>
          <w:rFonts w:ascii="Arial" w:hAnsi="Arial" w:cs="Arial" w:eastAsia="Arial" w:hint="default"/>
          <w:spacing w:val="-6"/>
          <w:sz w:val="20"/>
          <w:szCs w:val="20"/>
        </w:rPr>
        <w:t> </w:t>
      </w:r>
      <w:r>
        <w:rPr>
          <w:rFonts w:ascii="宋体" w:hAnsi="宋体" w:cs="宋体" w:eastAsia="宋体" w:hint="default"/>
          <w:sz w:val="20"/>
          <w:szCs w:val="20"/>
        </w:rPr>
        <w:t>元</w:t>
        <w:tab/>
      </w:r>
      <w:r>
        <w:rPr>
          <w:rFonts w:ascii="宋体" w:hAnsi="宋体" w:cs="宋体" w:eastAsia="宋体" w:hint="default"/>
          <w:spacing w:val="-1"/>
          <w:sz w:val="20"/>
          <w:szCs w:val="20"/>
        </w:rPr>
        <w:t>交易发生日的即期汇率</w:t>
      </w:r>
    </w:p>
    <w:p>
      <w:pPr>
        <w:tabs>
          <w:tab w:pos="3322" w:val="left" w:leader="none"/>
          <w:tab w:pos="7814" w:val="left" w:leader="none"/>
        </w:tabs>
        <w:spacing w:before="0"/>
        <w:ind w:left="814" w:right="0" w:firstLine="0"/>
        <w:jc w:val="left"/>
        <w:rPr>
          <w:rFonts w:ascii="宋体" w:hAnsi="宋体" w:cs="宋体" w:eastAsia="宋体" w:hint="default"/>
          <w:sz w:val="20"/>
          <w:szCs w:val="20"/>
        </w:rPr>
      </w:pPr>
      <w:r>
        <w:rPr>
          <w:rFonts w:ascii="宋体" w:hAnsi="宋体" w:cs="宋体" w:eastAsia="宋体" w:hint="default"/>
          <w:spacing w:val="-1"/>
          <w:sz w:val="20"/>
          <w:szCs w:val="20"/>
        </w:rPr>
        <w:t>香港苏宁镭射有限公司</w:t>
        <w:tab/>
      </w:r>
      <w:r>
        <w:rPr>
          <w:rFonts w:ascii="Arial" w:hAnsi="Arial" w:cs="Arial" w:eastAsia="Arial" w:hint="default"/>
          <w:sz w:val="20"/>
          <w:szCs w:val="20"/>
        </w:rPr>
        <w:t>1</w:t>
      </w:r>
      <w:r>
        <w:rPr>
          <w:rFonts w:ascii="Arial" w:hAnsi="Arial" w:cs="Arial" w:eastAsia="Arial" w:hint="default"/>
          <w:spacing w:val="-4"/>
          <w:sz w:val="20"/>
          <w:szCs w:val="20"/>
        </w:rPr>
        <w:t> </w:t>
      </w:r>
      <w:r>
        <w:rPr>
          <w:rFonts w:ascii="宋体" w:hAnsi="宋体" w:cs="宋体" w:eastAsia="宋体" w:hint="default"/>
          <w:sz w:val="20"/>
          <w:szCs w:val="20"/>
        </w:rPr>
        <w:t>港元</w:t>
      </w:r>
      <w:r>
        <w:rPr>
          <w:rFonts w:ascii="宋体" w:hAnsi="宋体" w:cs="宋体" w:eastAsia="宋体" w:hint="default"/>
          <w:spacing w:val="1"/>
          <w:sz w:val="20"/>
          <w:szCs w:val="20"/>
        </w:rPr>
        <w:t> </w:t>
      </w:r>
      <w:r>
        <w:rPr>
          <w:rFonts w:ascii="Arial" w:hAnsi="Arial" w:cs="Arial" w:eastAsia="Arial" w:hint="default"/>
          <w:spacing w:val="-1"/>
          <w:sz w:val="20"/>
          <w:szCs w:val="20"/>
        </w:rPr>
        <w:t>=</w:t>
      </w:r>
      <w:r>
        <w:rPr>
          <w:rFonts w:ascii="宋体" w:hAnsi="宋体" w:cs="宋体" w:eastAsia="宋体" w:hint="default"/>
          <w:spacing w:val="-1"/>
          <w:sz w:val="20"/>
          <w:szCs w:val="20"/>
        </w:rPr>
        <w:t>人民币</w:t>
      </w:r>
      <w:r>
        <w:rPr>
          <w:rFonts w:ascii="宋体" w:hAnsi="宋体" w:cs="宋体" w:eastAsia="宋体" w:hint="default"/>
          <w:spacing w:val="-48"/>
          <w:sz w:val="20"/>
          <w:szCs w:val="20"/>
        </w:rPr>
        <w:t> </w:t>
      </w:r>
      <w:r>
        <w:rPr>
          <w:rFonts w:ascii="Arial" w:hAnsi="Arial" w:cs="Arial" w:eastAsia="Arial" w:hint="default"/>
          <w:spacing w:val="-1"/>
          <w:sz w:val="20"/>
          <w:szCs w:val="20"/>
        </w:rPr>
        <w:t>0.8509</w:t>
      </w:r>
      <w:r>
        <w:rPr>
          <w:rFonts w:ascii="Arial" w:hAnsi="Arial" w:cs="Arial" w:eastAsia="Arial" w:hint="default"/>
          <w:spacing w:val="-6"/>
          <w:sz w:val="20"/>
          <w:szCs w:val="20"/>
        </w:rPr>
        <w:t> </w:t>
      </w:r>
      <w:r>
        <w:rPr>
          <w:rFonts w:ascii="宋体" w:hAnsi="宋体" w:cs="宋体" w:eastAsia="宋体" w:hint="default"/>
          <w:sz w:val="20"/>
          <w:szCs w:val="20"/>
        </w:rPr>
        <w:t>元</w:t>
        <w:tab/>
      </w:r>
      <w:r>
        <w:rPr>
          <w:rFonts w:ascii="宋体" w:hAnsi="宋体" w:cs="宋体" w:eastAsia="宋体" w:hint="default"/>
          <w:spacing w:val="-1"/>
          <w:sz w:val="20"/>
          <w:szCs w:val="20"/>
        </w:rPr>
        <w:t>交易发生日的即期汇率</w:t>
      </w:r>
    </w:p>
    <w:p>
      <w:pPr>
        <w:tabs>
          <w:tab w:pos="3322" w:val="left" w:leader="none"/>
          <w:tab w:pos="7814" w:val="left" w:leader="none"/>
        </w:tabs>
        <w:spacing w:before="0"/>
        <w:ind w:left="814" w:right="0" w:firstLine="0"/>
        <w:jc w:val="left"/>
        <w:rPr>
          <w:rFonts w:ascii="宋体" w:hAnsi="宋体" w:cs="宋体" w:eastAsia="宋体" w:hint="default"/>
          <w:sz w:val="20"/>
          <w:szCs w:val="20"/>
        </w:rPr>
      </w:pPr>
      <w:r>
        <w:rPr>
          <w:rFonts w:ascii="宋体" w:hAnsi="宋体" w:cs="宋体" w:eastAsia="宋体" w:hint="default"/>
          <w:spacing w:val="-1"/>
          <w:sz w:val="20"/>
          <w:szCs w:val="20"/>
        </w:rPr>
        <w:t>香港港宁广告有限公司</w:t>
        <w:tab/>
      </w:r>
      <w:r>
        <w:rPr>
          <w:rFonts w:ascii="Arial" w:hAnsi="Arial" w:cs="Arial" w:eastAsia="Arial" w:hint="default"/>
          <w:sz w:val="20"/>
          <w:szCs w:val="20"/>
        </w:rPr>
        <w:t>1</w:t>
      </w:r>
      <w:r>
        <w:rPr>
          <w:rFonts w:ascii="Arial" w:hAnsi="Arial" w:cs="Arial" w:eastAsia="Arial" w:hint="default"/>
          <w:spacing w:val="-4"/>
          <w:sz w:val="20"/>
          <w:szCs w:val="20"/>
        </w:rPr>
        <w:t> </w:t>
      </w:r>
      <w:r>
        <w:rPr>
          <w:rFonts w:ascii="宋体" w:hAnsi="宋体" w:cs="宋体" w:eastAsia="宋体" w:hint="default"/>
          <w:sz w:val="20"/>
          <w:szCs w:val="20"/>
        </w:rPr>
        <w:t>港元</w:t>
      </w:r>
      <w:r>
        <w:rPr>
          <w:rFonts w:ascii="宋体" w:hAnsi="宋体" w:cs="宋体" w:eastAsia="宋体" w:hint="default"/>
          <w:spacing w:val="1"/>
          <w:sz w:val="20"/>
          <w:szCs w:val="20"/>
        </w:rPr>
        <w:t> </w:t>
      </w:r>
      <w:r>
        <w:rPr>
          <w:rFonts w:ascii="Arial" w:hAnsi="Arial" w:cs="Arial" w:eastAsia="Arial" w:hint="default"/>
          <w:spacing w:val="-1"/>
          <w:sz w:val="20"/>
          <w:szCs w:val="20"/>
        </w:rPr>
        <w:t>=</w:t>
      </w:r>
      <w:r>
        <w:rPr>
          <w:rFonts w:ascii="宋体" w:hAnsi="宋体" w:cs="宋体" w:eastAsia="宋体" w:hint="default"/>
          <w:spacing w:val="-1"/>
          <w:sz w:val="20"/>
          <w:szCs w:val="20"/>
        </w:rPr>
        <w:t>人民币</w:t>
      </w:r>
      <w:r>
        <w:rPr>
          <w:rFonts w:ascii="宋体" w:hAnsi="宋体" w:cs="宋体" w:eastAsia="宋体" w:hint="default"/>
          <w:spacing w:val="-48"/>
          <w:sz w:val="20"/>
          <w:szCs w:val="20"/>
        </w:rPr>
        <w:t> </w:t>
      </w:r>
      <w:r>
        <w:rPr>
          <w:rFonts w:ascii="Arial" w:hAnsi="Arial" w:cs="Arial" w:eastAsia="Arial" w:hint="default"/>
          <w:spacing w:val="-1"/>
          <w:sz w:val="20"/>
          <w:szCs w:val="20"/>
        </w:rPr>
        <w:t>0.8509</w:t>
      </w:r>
      <w:r>
        <w:rPr>
          <w:rFonts w:ascii="Arial" w:hAnsi="Arial" w:cs="Arial" w:eastAsia="Arial" w:hint="default"/>
          <w:spacing w:val="-6"/>
          <w:sz w:val="20"/>
          <w:szCs w:val="20"/>
        </w:rPr>
        <w:t> </w:t>
      </w:r>
      <w:r>
        <w:rPr>
          <w:rFonts w:ascii="宋体" w:hAnsi="宋体" w:cs="宋体" w:eastAsia="宋体" w:hint="default"/>
          <w:sz w:val="20"/>
          <w:szCs w:val="20"/>
        </w:rPr>
        <w:t>元</w:t>
        <w:tab/>
      </w:r>
      <w:r>
        <w:rPr>
          <w:rFonts w:ascii="宋体" w:hAnsi="宋体" w:cs="宋体" w:eastAsia="宋体" w:hint="default"/>
          <w:spacing w:val="-1"/>
          <w:sz w:val="20"/>
          <w:szCs w:val="20"/>
        </w:rPr>
        <w:t>交易发生日的即期汇率</w:t>
      </w:r>
    </w:p>
    <w:p>
      <w:pPr>
        <w:spacing w:after="0"/>
        <w:jc w:val="left"/>
        <w:rPr>
          <w:rFonts w:ascii="宋体" w:hAnsi="宋体" w:cs="宋体" w:eastAsia="宋体" w:hint="default"/>
          <w:sz w:val="20"/>
          <w:szCs w:val="20"/>
        </w:rPr>
        <w:sectPr>
          <w:type w:val="continuous"/>
          <w:pgSz w:w="11910" w:h="16840"/>
          <w:pgMar w:top="920" w:bottom="900" w:left="1020" w:right="960"/>
        </w:sectPr>
      </w:pPr>
    </w:p>
    <w:p>
      <w:pPr>
        <w:tabs>
          <w:tab w:pos="2507" w:val="left" w:leader="none"/>
          <w:tab w:pos="5350" w:val="left" w:leader="none"/>
        </w:tabs>
        <w:spacing w:line="268" w:lineRule="exact" w:before="0"/>
        <w:ind w:left="0" w:right="0" w:firstLine="0"/>
        <w:jc w:val="right"/>
        <w:rPr>
          <w:rFonts w:ascii="宋体" w:hAnsi="宋体" w:cs="宋体" w:eastAsia="宋体" w:hint="default"/>
          <w:sz w:val="20"/>
          <w:szCs w:val="20"/>
        </w:rPr>
      </w:pPr>
      <w:r>
        <w:rPr>
          <w:rFonts w:ascii="Arial" w:hAnsi="Arial" w:cs="Arial" w:eastAsia="Arial" w:hint="default"/>
          <w:position w:val="2"/>
          <w:sz w:val="20"/>
          <w:szCs w:val="20"/>
        </w:rPr>
        <w:t>Granda Magic</w:t>
      </w:r>
      <w:r>
        <w:rPr>
          <w:rFonts w:ascii="Arial" w:hAnsi="Arial" w:cs="Arial" w:eastAsia="Arial" w:hint="default"/>
          <w:spacing w:val="-5"/>
          <w:position w:val="2"/>
          <w:sz w:val="20"/>
          <w:szCs w:val="20"/>
        </w:rPr>
        <w:t> </w:t>
      </w:r>
      <w:r>
        <w:rPr>
          <w:rFonts w:ascii="Arial" w:hAnsi="Arial" w:cs="Arial" w:eastAsia="Arial" w:hint="default"/>
          <w:position w:val="2"/>
          <w:sz w:val="20"/>
          <w:szCs w:val="20"/>
        </w:rPr>
        <w:t>Limited</w:t>
        <w:tab/>
      </w:r>
      <w:r>
        <w:rPr>
          <w:rFonts w:ascii="Arial" w:hAnsi="Arial" w:cs="Arial" w:eastAsia="Arial" w:hint="default"/>
          <w:sz w:val="20"/>
          <w:szCs w:val="20"/>
        </w:rPr>
        <w:t>1</w:t>
      </w:r>
      <w:r>
        <w:rPr>
          <w:rFonts w:ascii="Arial" w:hAnsi="Arial" w:cs="Arial" w:eastAsia="Arial" w:hint="default"/>
          <w:spacing w:val="-5"/>
          <w:sz w:val="20"/>
          <w:szCs w:val="20"/>
        </w:rPr>
        <w:t> </w:t>
      </w:r>
      <w:r>
        <w:rPr>
          <w:rFonts w:ascii="宋体" w:hAnsi="宋体" w:cs="宋体" w:eastAsia="宋体" w:hint="default"/>
          <w:sz w:val="20"/>
          <w:szCs w:val="20"/>
        </w:rPr>
        <w:t>美元</w:t>
      </w:r>
      <w:r>
        <w:rPr>
          <w:rFonts w:ascii="宋体" w:hAnsi="宋体" w:cs="宋体" w:eastAsia="宋体" w:hint="default"/>
          <w:spacing w:val="-2"/>
          <w:sz w:val="20"/>
          <w:szCs w:val="20"/>
        </w:rPr>
        <w:t> </w:t>
      </w:r>
      <w:r>
        <w:rPr>
          <w:rFonts w:ascii="Arial" w:hAnsi="Arial" w:cs="Arial" w:eastAsia="Arial" w:hint="default"/>
          <w:sz w:val="20"/>
          <w:szCs w:val="20"/>
        </w:rPr>
        <w:t>=</w:t>
      </w:r>
      <w:r>
        <w:rPr>
          <w:rFonts w:ascii="宋体" w:hAnsi="宋体" w:cs="宋体" w:eastAsia="宋体" w:hint="default"/>
          <w:sz w:val="20"/>
          <w:szCs w:val="20"/>
        </w:rPr>
        <w:t>人民币</w:t>
      </w:r>
      <w:r>
        <w:rPr>
          <w:rFonts w:ascii="宋体" w:hAnsi="宋体" w:cs="宋体" w:eastAsia="宋体" w:hint="default"/>
          <w:spacing w:val="-50"/>
          <w:sz w:val="20"/>
          <w:szCs w:val="20"/>
        </w:rPr>
        <w:t> </w:t>
      </w:r>
      <w:r>
        <w:rPr>
          <w:rFonts w:ascii="Arial" w:hAnsi="Arial" w:cs="Arial" w:eastAsia="Arial" w:hint="default"/>
          <w:sz w:val="20"/>
          <w:szCs w:val="20"/>
        </w:rPr>
        <w:t>6.6227</w:t>
      </w:r>
      <w:r>
        <w:rPr>
          <w:rFonts w:ascii="Arial" w:hAnsi="Arial" w:cs="Arial" w:eastAsia="Arial" w:hint="default"/>
          <w:spacing w:val="-7"/>
          <w:sz w:val="20"/>
          <w:szCs w:val="20"/>
        </w:rPr>
        <w:t> </w:t>
      </w:r>
      <w:r>
        <w:rPr>
          <w:rFonts w:ascii="宋体" w:hAnsi="宋体" w:cs="宋体" w:eastAsia="宋体" w:hint="default"/>
          <w:sz w:val="20"/>
          <w:szCs w:val="20"/>
        </w:rPr>
        <w:t>元</w:t>
        <w:tab/>
      </w:r>
      <w:r>
        <w:rPr>
          <w:rFonts w:ascii="Arial" w:hAnsi="Arial" w:cs="Arial" w:eastAsia="Arial" w:hint="default"/>
          <w:sz w:val="20"/>
          <w:szCs w:val="20"/>
        </w:rPr>
        <w:t>1 </w:t>
      </w:r>
      <w:r>
        <w:rPr>
          <w:rFonts w:ascii="宋体" w:hAnsi="宋体" w:cs="宋体" w:eastAsia="宋体" w:hint="default"/>
          <w:sz w:val="20"/>
          <w:szCs w:val="20"/>
        </w:rPr>
        <w:t>美元</w:t>
      </w:r>
      <w:r>
        <w:rPr>
          <w:rFonts w:ascii="宋体" w:hAnsi="宋体" w:cs="宋体" w:eastAsia="宋体" w:hint="default"/>
          <w:spacing w:val="-7"/>
          <w:sz w:val="20"/>
          <w:szCs w:val="20"/>
        </w:rPr>
        <w:t> </w:t>
      </w:r>
      <w:r>
        <w:rPr>
          <w:rFonts w:ascii="Arial" w:hAnsi="Arial" w:cs="Arial" w:eastAsia="Arial" w:hint="default"/>
          <w:sz w:val="20"/>
          <w:szCs w:val="20"/>
        </w:rPr>
        <w:t>=</w:t>
      </w:r>
      <w:r>
        <w:rPr>
          <w:rFonts w:ascii="宋体" w:hAnsi="宋体" w:cs="宋体" w:eastAsia="宋体" w:hint="default"/>
          <w:sz w:val="20"/>
          <w:szCs w:val="20"/>
        </w:rPr>
        <w:t>人民币</w:t>
      </w:r>
    </w:p>
    <w:p>
      <w:pPr>
        <w:spacing w:line="268" w:lineRule="exact" w:before="0"/>
        <w:ind w:left="0" w:right="0" w:firstLine="0"/>
        <w:jc w:val="right"/>
        <w:rPr>
          <w:rFonts w:ascii="宋体" w:hAnsi="宋体" w:cs="宋体" w:eastAsia="宋体" w:hint="default"/>
          <w:sz w:val="20"/>
          <w:szCs w:val="20"/>
        </w:rPr>
      </w:pPr>
      <w:r>
        <w:rPr>
          <w:rFonts w:ascii="Arial" w:hAnsi="Arial" w:cs="Arial" w:eastAsia="Arial" w:hint="default"/>
          <w:sz w:val="20"/>
          <w:szCs w:val="20"/>
        </w:rPr>
        <w:t>6.8282</w:t>
      </w:r>
      <w:r>
        <w:rPr>
          <w:rFonts w:ascii="Arial" w:hAnsi="Arial" w:cs="Arial" w:eastAsia="Arial" w:hint="default"/>
          <w:spacing w:val="-6"/>
          <w:sz w:val="20"/>
          <w:szCs w:val="20"/>
        </w:rPr>
        <w:t> </w:t>
      </w:r>
      <w:r>
        <w:rPr>
          <w:rFonts w:ascii="宋体" w:hAnsi="宋体" w:cs="宋体" w:eastAsia="宋体" w:hint="default"/>
          <w:sz w:val="20"/>
          <w:szCs w:val="20"/>
        </w:rPr>
        <w:t>元</w:t>
      </w:r>
    </w:p>
    <w:p>
      <w:pPr>
        <w:spacing w:before="0"/>
        <w:ind w:left="229"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交易发生日的即期汇率</w:t>
      </w:r>
    </w:p>
    <w:p>
      <w:pPr>
        <w:spacing w:after="0"/>
        <w:jc w:val="left"/>
        <w:rPr>
          <w:rFonts w:ascii="宋体" w:hAnsi="宋体" w:cs="宋体" w:eastAsia="宋体" w:hint="default"/>
          <w:sz w:val="20"/>
          <w:szCs w:val="20"/>
        </w:rPr>
        <w:sectPr>
          <w:type w:val="continuous"/>
          <w:pgSz w:w="11910" w:h="16840"/>
          <w:pgMar w:top="920" w:bottom="900" w:left="1020" w:right="960"/>
          <w:cols w:num="2" w:equalWidth="0">
            <w:col w:w="7545" w:space="40"/>
            <w:col w:w="2345"/>
          </w:cols>
        </w:sectPr>
      </w:pPr>
    </w:p>
    <w:p>
      <w:pPr>
        <w:tabs>
          <w:tab w:pos="3322" w:val="left" w:leader="none"/>
          <w:tab w:pos="7814" w:val="left" w:leader="none"/>
        </w:tabs>
        <w:spacing w:line="260" w:lineRule="exact" w:before="0"/>
        <w:ind w:left="814" w:right="0" w:firstLine="0"/>
        <w:jc w:val="left"/>
        <w:rPr>
          <w:rFonts w:ascii="宋体" w:hAnsi="宋体" w:cs="宋体" w:eastAsia="宋体" w:hint="default"/>
          <w:sz w:val="20"/>
          <w:szCs w:val="20"/>
        </w:rPr>
      </w:pPr>
      <w:r>
        <w:rPr>
          <w:rFonts w:ascii="Arial" w:hAnsi="Arial" w:cs="Arial" w:eastAsia="Arial" w:hint="default"/>
          <w:position w:val="2"/>
          <w:sz w:val="20"/>
          <w:szCs w:val="20"/>
        </w:rPr>
        <w:t>Great Elite</w:t>
      </w:r>
      <w:r>
        <w:rPr>
          <w:rFonts w:ascii="Arial" w:hAnsi="Arial" w:cs="Arial" w:eastAsia="Arial" w:hint="default"/>
          <w:spacing w:val="-14"/>
          <w:position w:val="2"/>
          <w:sz w:val="20"/>
          <w:szCs w:val="20"/>
        </w:rPr>
        <w:t> </w:t>
      </w:r>
      <w:r>
        <w:rPr>
          <w:rFonts w:ascii="Arial" w:hAnsi="Arial" w:cs="Arial" w:eastAsia="Arial" w:hint="default"/>
          <w:position w:val="2"/>
          <w:sz w:val="20"/>
          <w:szCs w:val="20"/>
        </w:rPr>
        <w:t>Limited</w:t>
        <w:tab/>
      </w:r>
      <w:r>
        <w:rPr>
          <w:rFonts w:ascii="Arial" w:hAnsi="Arial" w:cs="Arial" w:eastAsia="Arial" w:hint="default"/>
          <w:sz w:val="20"/>
          <w:szCs w:val="20"/>
        </w:rPr>
        <w:t>1</w:t>
      </w:r>
      <w:r>
        <w:rPr>
          <w:rFonts w:ascii="Arial" w:hAnsi="Arial" w:cs="Arial" w:eastAsia="Arial" w:hint="default"/>
          <w:spacing w:val="-5"/>
          <w:sz w:val="20"/>
          <w:szCs w:val="20"/>
        </w:rPr>
        <w:t> </w:t>
      </w:r>
      <w:r>
        <w:rPr>
          <w:rFonts w:ascii="宋体" w:hAnsi="宋体" w:cs="宋体" w:eastAsia="宋体" w:hint="default"/>
          <w:sz w:val="20"/>
          <w:szCs w:val="20"/>
        </w:rPr>
        <w:t>美元</w:t>
      </w:r>
      <w:r>
        <w:rPr>
          <w:rFonts w:ascii="宋体" w:hAnsi="宋体" w:cs="宋体" w:eastAsia="宋体" w:hint="default"/>
          <w:spacing w:val="-2"/>
          <w:sz w:val="20"/>
          <w:szCs w:val="20"/>
        </w:rPr>
        <w:t> </w:t>
      </w:r>
      <w:r>
        <w:rPr>
          <w:rFonts w:ascii="Arial" w:hAnsi="Arial" w:cs="Arial" w:eastAsia="Arial" w:hint="default"/>
          <w:sz w:val="20"/>
          <w:szCs w:val="20"/>
        </w:rPr>
        <w:t>=</w:t>
      </w:r>
      <w:r>
        <w:rPr>
          <w:rFonts w:ascii="宋体" w:hAnsi="宋体" w:cs="宋体" w:eastAsia="宋体" w:hint="default"/>
          <w:sz w:val="20"/>
          <w:szCs w:val="20"/>
        </w:rPr>
        <w:t>人民币</w:t>
      </w:r>
      <w:r>
        <w:rPr>
          <w:rFonts w:ascii="宋体" w:hAnsi="宋体" w:cs="宋体" w:eastAsia="宋体" w:hint="default"/>
          <w:spacing w:val="-50"/>
          <w:sz w:val="20"/>
          <w:szCs w:val="20"/>
        </w:rPr>
        <w:t> </w:t>
      </w:r>
      <w:r>
        <w:rPr>
          <w:rFonts w:ascii="Arial" w:hAnsi="Arial" w:cs="Arial" w:eastAsia="Arial" w:hint="default"/>
          <w:sz w:val="20"/>
          <w:szCs w:val="20"/>
        </w:rPr>
        <w:t>6.6227</w:t>
      </w:r>
      <w:r>
        <w:rPr>
          <w:rFonts w:ascii="Arial" w:hAnsi="Arial" w:cs="Arial" w:eastAsia="Arial" w:hint="default"/>
          <w:spacing w:val="-7"/>
          <w:sz w:val="20"/>
          <w:szCs w:val="20"/>
        </w:rPr>
        <w:t> </w:t>
      </w:r>
      <w:r>
        <w:rPr>
          <w:rFonts w:ascii="宋体" w:hAnsi="宋体" w:cs="宋体" w:eastAsia="宋体" w:hint="default"/>
          <w:sz w:val="20"/>
          <w:szCs w:val="20"/>
        </w:rPr>
        <w:t>元</w:t>
        <w:tab/>
        <w:t>交易发生日的即期汇率</w:t>
      </w:r>
    </w:p>
    <w:p>
      <w:pPr>
        <w:spacing w:after="0" w:line="260" w:lineRule="exact"/>
        <w:jc w:val="left"/>
        <w:rPr>
          <w:rFonts w:ascii="宋体" w:hAnsi="宋体" w:cs="宋体" w:eastAsia="宋体" w:hint="default"/>
          <w:sz w:val="20"/>
          <w:szCs w:val="20"/>
        </w:rPr>
        <w:sectPr>
          <w:type w:val="continuous"/>
          <w:pgSz w:w="11910" w:h="16840"/>
          <w:pgMar w:top="920" w:bottom="900" w:left="1020" w:right="960"/>
        </w:sectPr>
      </w:pPr>
    </w:p>
    <w:p>
      <w:pPr>
        <w:spacing w:line="240" w:lineRule="auto" w:before="6"/>
        <w:rPr>
          <w:rFonts w:ascii="宋体" w:hAnsi="宋体" w:cs="宋体" w:eastAsia="宋体" w:hint="default"/>
          <w:sz w:val="13"/>
          <w:szCs w:val="13"/>
        </w:rPr>
      </w:pPr>
    </w:p>
    <w:p>
      <w:pPr>
        <w:pStyle w:val="Heading2"/>
        <w:tabs>
          <w:tab w:pos="796" w:val="left" w:leader="none"/>
        </w:tabs>
        <w:spacing w:line="240" w:lineRule="auto"/>
        <w:ind w:right="104"/>
        <w:jc w:val="left"/>
        <w:rPr>
          <w:b w:val="0"/>
          <w:bCs w:val="0"/>
        </w:rPr>
      </w:pPr>
      <w:r>
        <w:rPr>
          <w:w w:val="95"/>
        </w:rPr>
        <w:t>五</w:t>
        <w:tab/>
      </w:r>
      <w:r>
        <w:rPr/>
        <w:t>合并财务报表项目附注</w:t>
      </w:r>
      <w:r>
        <w:rPr>
          <w:b w:val="0"/>
          <w:bCs w:val="0"/>
        </w:rPr>
      </w:r>
    </w:p>
    <w:p>
      <w:pPr>
        <w:spacing w:line="240" w:lineRule="auto" w:before="12"/>
        <w:rPr>
          <w:rFonts w:ascii="宋体" w:hAnsi="宋体" w:cs="宋体" w:eastAsia="宋体" w:hint="default"/>
          <w:b/>
          <w:bCs/>
          <w:sz w:val="20"/>
          <w:szCs w:val="20"/>
        </w:rPr>
      </w:pPr>
    </w:p>
    <w:p>
      <w:pPr>
        <w:tabs>
          <w:tab w:pos="796" w:val="left" w:leader="none"/>
        </w:tabs>
        <w:spacing w:before="0"/>
        <w:ind w:left="107"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(1)</w:t>
        <w:tab/>
      </w:r>
      <w:r>
        <w:rPr>
          <w:rFonts w:ascii="宋体" w:hAnsi="宋体" w:cs="宋体" w:eastAsia="宋体" w:hint="default"/>
          <w:b/>
          <w:bCs/>
          <w:sz w:val="24"/>
          <w:szCs w:val="24"/>
        </w:rPr>
        <w:t>货币资金</w:t>
      </w:r>
      <w:r>
        <w:rPr>
          <w:rFonts w:ascii="宋体" w:hAnsi="宋体" w:cs="宋体" w:eastAsia="宋体" w:hint="default"/>
          <w:sz w:val="24"/>
          <w:szCs w:val="24"/>
        </w:rPr>
      </w:r>
    </w:p>
    <w:p>
      <w:pPr>
        <w:spacing w:line="240" w:lineRule="auto" w:before="7"/>
        <w:rPr>
          <w:rFonts w:ascii="宋体" w:hAnsi="宋体" w:cs="宋体" w:eastAsia="宋体" w:hint="default"/>
          <w:b/>
          <w:bCs/>
          <w:sz w:val="18"/>
          <w:szCs w:val="18"/>
        </w:rPr>
      </w:pPr>
    </w:p>
    <w:p>
      <w:pPr>
        <w:tabs>
          <w:tab w:pos="7333" w:val="left" w:leader="none"/>
        </w:tabs>
        <w:spacing w:before="38"/>
        <w:ind w:left="3385" w:right="104" w:firstLine="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line="240" w:lineRule="auto" w:before="5"/>
        <w:rPr>
          <w:rFonts w:ascii="宋体" w:hAnsi="宋体" w:cs="宋体" w:eastAsia="宋体" w:hint="default"/>
          <w:sz w:val="2"/>
          <w:szCs w:val="2"/>
        </w:rPr>
      </w:pPr>
    </w:p>
    <w:tbl>
      <w:tblPr>
        <w:tblW w:w="0" w:type="auto"/>
        <w:jc w:val="left"/>
        <w:tblInd w:w="779" w:type="dxa"/>
        <w:tblLayout w:type="fixed"/>
        <w:tblCellMar>
          <w:top w:w="0" w:type="dxa"/>
          <w:left w:w="0" w:type="dxa"/>
          <w:bottom w:w="0" w:type="dxa"/>
          <w:right w:w="0" w:type="dxa"/>
        </w:tblCellMar>
        <w:tblLook w:val="01E0"/>
      </w:tblPr>
      <w:tblGrid>
        <w:gridCol w:w="1623"/>
        <w:gridCol w:w="1316"/>
        <w:gridCol w:w="1181"/>
        <w:gridCol w:w="1193"/>
        <w:gridCol w:w="238"/>
        <w:gridCol w:w="3736"/>
      </w:tblGrid>
      <w:tr>
        <w:trPr>
          <w:trHeight w:val="794" w:hRule="exact"/>
        </w:trPr>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5" w:right="0"/>
              <w:jc w:val="left"/>
              <w:rPr>
                <w:rFonts w:ascii="Arial" w:hAnsi="Arial" w:cs="Arial" w:eastAsia="Arial" w:hint="default"/>
                <w:sz w:val="20"/>
                <w:szCs w:val="20"/>
              </w:rPr>
            </w:pPr>
            <w:r>
              <w:rPr>
                <w:rFonts w:ascii="宋体" w:hAnsi="宋体" w:cs="宋体" w:eastAsia="宋体" w:hint="default"/>
                <w:sz w:val="20"/>
                <w:szCs w:val="20"/>
              </w:rPr>
              <w:t>库存现金 </w:t>
            </w:r>
            <w:r>
              <w:rPr>
                <w:rFonts w:ascii="Arial" w:hAnsi="Arial" w:cs="Arial" w:eastAsia="Arial" w:hint="default"/>
                <w:sz w:val="20"/>
                <w:szCs w:val="20"/>
              </w:rPr>
              <w:t>–</w:t>
            </w:r>
          </w:p>
        </w:tc>
        <w:tc>
          <w:tcPr>
            <w:tcW w:w="1316" w:type="dxa"/>
            <w:tcBorders>
              <w:top w:val="single" w:sz="12" w:space="0" w:color="000000"/>
              <w:left w:val="nil" w:sz="6" w:space="0" w:color="auto"/>
              <w:bottom w:val="nil" w:sz="6" w:space="0" w:color="auto"/>
              <w:right w:val="nil" w:sz="6" w:space="0" w:color="auto"/>
            </w:tcBorders>
          </w:tcPr>
          <w:p>
            <w:pPr>
              <w:pStyle w:val="TableParagraph"/>
              <w:spacing w:line="230" w:lineRule="exact"/>
              <w:ind w:right="257"/>
              <w:jc w:val="right"/>
              <w:rPr>
                <w:rFonts w:ascii="宋体" w:hAnsi="宋体" w:cs="宋体" w:eastAsia="宋体" w:hint="default"/>
                <w:sz w:val="20"/>
                <w:szCs w:val="20"/>
              </w:rPr>
            </w:pPr>
            <w:r>
              <w:rPr>
                <w:rFonts w:ascii="宋体" w:hAnsi="宋体" w:cs="宋体" w:eastAsia="宋体" w:hint="default"/>
                <w:sz w:val="20"/>
                <w:szCs w:val="20"/>
              </w:rPr>
              <w:t>外币金额</w:t>
            </w:r>
          </w:p>
        </w:tc>
        <w:tc>
          <w:tcPr>
            <w:tcW w:w="1181" w:type="dxa"/>
            <w:tcBorders>
              <w:top w:val="single" w:sz="12" w:space="0" w:color="000000"/>
              <w:left w:val="nil" w:sz="6" w:space="0" w:color="auto"/>
              <w:bottom w:val="nil" w:sz="6" w:space="0" w:color="auto"/>
              <w:right w:val="nil" w:sz="6" w:space="0" w:color="auto"/>
            </w:tcBorders>
          </w:tcPr>
          <w:p>
            <w:pPr>
              <w:pStyle w:val="TableParagraph"/>
              <w:spacing w:line="230" w:lineRule="exact"/>
              <w:ind w:right="305"/>
              <w:jc w:val="right"/>
              <w:rPr>
                <w:rFonts w:ascii="宋体" w:hAnsi="宋体" w:cs="宋体" w:eastAsia="宋体" w:hint="default"/>
                <w:sz w:val="20"/>
                <w:szCs w:val="20"/>
              </w:rPr>
            </w:pPr>
            <w:r>
              <w:rPr>
                <w:rFonts w:ascii="宋体" w:hAnsi="宋体" w:cs="宋体" w:eastAsia="宋体" w:hint="default"/>
                <w:sz w:val="20"/>
                <w:szCs w:val="20"/>
              </w:rPr>
              <w:t>汇率</w:t>
            </w:r>
          </w:p>
        </w:tc>
        <w:tc>
          <w:tcPr>
            <w:tcW w:w="1193" w:type="dxa"/>
            <w:tcBorders>
              <w:top w:val="single" w:sz="12" w:space="0" w:color="000000"/>
              <w:left w:val="nil" w:sz="6" w:space="0" w:color="auto"/>
              <w:bottom w:val="nil" w:sz="6" w:space="0" w:color="auto"/>
              <w:right w:val="nil" w:sz="6" w:space="0" w:color="auto"/>
            </w:tcBorders>
          </w:tcPr>
          <w:p>
            <w:pPr>
              <w:pStyle w:val="TableParagraph"/>
              <w:spacing w:line="230" w:lineRule="exact"/>
              <w:ind w:right="79"/>
              <w:jc w:val="right"/>
              <w:rPr>
                <w:rFonts w:ascii="宋体" w:hAnsi="宋体" w:cs="宋体" w:eastAsia="宋体" w:hint="default"/>
                <w:sz w:val="20"/>
                <w:szCs w:val="20"/>
              </w:rPr>
            </w:pPr>
            <w:r>
              <w:rPr>
                <w:rFonts w:ascii="宋体" w:hAnsi="宋体" w:cs="宋体" w:eastAsia="宋体" w:hint="default"/>
                <w:spacing w:val="-1"/>
                <w:sz w:val="20"/>
                <w:szCs w:val="20"/>
              </w:rPr>
              <w:t>人民币金额</w:t>
            </w:r>
          </w:p>
        </w:tc>
        <w:tc>
          <w:tcPr>
            <w:tcW w:w="238" w:type="dxa"/>
            <w:tcBorders>
              <w:top w:val="nil" w:sz="6" w:space="0" w:color="auto"/>
              <w:left w:val="nil" w:sz="6" w:space="0" w:color="auto"/>
              <w:bottom w:val="nil" w:sz="6" w:space="0" w:color="auto"/>
              <w:right w:val="nil" w:sz="6" w:space="0" w:color="auto"/>
            </w:tcBorders>
          </w:tcPr>
          <w:p>
            <w:pPr/>
          </w:p>
        </w:tc>
        <w:tc>
          <w:tcPr>
            <w:tcW w:w="3736" w:type="dxa"/>
            <w:tcBorders>
              <w:top w:val="single" w:sz="12" w:space="0" w:color="000000"/>
              <w:left w:val="nil" w:sz="6" w:space="0" w:color="auto"/>
              <w:bottom w:val="nil" w:sz="6" w:space="0" w:color="auto"/>
              <w:right w:val="nil" w:sz="6" w:space="0" w:color="auto"/>
            </w:tcBorders>
          </w:tcPr>
          <w:p>
            <w:pPr>
              <w:pStyle w:val="TableParagraph"/>
              <w:tabs>
                <w:tab w:pos="1690" w:val="left" w:leader="none"/>
                <w:tab w:pos="2648" w:val="left" w:leader="none"/>
              </w:tabs>
              <w:spacing w:line="230" w:lineRule="exact"/>
              <w:ind w:left="198" w:right="0"/>
              <w:jc w:val="left"/>
              <w:rPr>
                <w:rFonts w:ascii="宋体" w:hAnsi="宋体" w:cs="宋体" w:eastAsia="宋体" w:hint="default"/>
                <w:sz w:val="20"/>
                <w:szCs w:val="20"/>
              </w:rPr>
            </w:pPr>
            <w:r>
              <w:rPr>
                <w:rFonts w:ascii="宋体" w:hAnsi="宋体" w:cs="宋体" w:eastAsia="宋体" w:hint="default"/>
                <w:sz w:val="20"/>
                <w:szCs w:val="20"/>
              </w:rPr>
              <w:t>外币金额</w:t>
              <w:tab/>
              <w:t>汇率</w:t>
              <w:tab/>
              <w:t>人民币金额</w:t>
            </w:r>
          </w:p>
        </w:tc>
      </w:tr>
      <w:tr>
        <w:trPr>
          <w:trHeight w:val="272" w:hRule="exact"/>
        </w:trPr>
        <w:tc>
          <w:tcPr>
            <w:tcW w:w="1623" w:type="dxa"/>
            <w:tcBorders>
              <w:top w:val="nil" w:sz="6" w:space="0" w:color="auto"/>
              <w:left w:val="nil" w:sz="6" w:space="0" w:color="auto"/>
              <w:bottom w:val="nil" w:sz="6" w:space="0" w:color="auto"/>
              <w:right w:val="nil" w:sz="6" w:space="0" w:color="auto"/>
            </w:tcBorders>
          </w:tcPr>
          <w:p>
            <w:pPr>
              <w:pStyle w:val="TableParagraph"/>
              <w:spacing w:line="230" w:lineRule="exact"/>
              <w:ind w:left="212"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8"/>
              <w:jc w:val="right"/>
              <w:rPr>
                <w:rFonts w:ascii="Arial" w:hAnsi="Arial" w:cs="Arial" w:eastAsia="Arial" w:hint="default"/>
                <w:sz w:val="20"/>
                <w:szCs w:val="20"/>
              </w:rPr>
            </w:pPr>
            <w:r>
              <w:rPr>
                <w:rFonts w:ascii="Arial"/>
                <w:w w:val="100"/>
                <w:sz w:val="20"/>
              </w:rPr>
              <w:t>-</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04"/>
              <w:jc w:val="right"/>
              <w:rPr>
                <w:rFonts w:ascii="Arial" w:hAnsi="Arial" w:cs="Arial" w:eastAsia="Arial" w:hint="default"/>
                <w:sz w:val="20"/>
                <w:szCs w:val="20"/>
              </w:rPr>
            </w:pPr>
            <w:r>
              <w:rPr>
                <w:rFonts w:ascii="Arial"/>
                <w:w w:val="100"/>
                <w:sz w:val="20"/>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9"/>
              <w:jc w:val="right"/>
              <w:rPr>
                <w:rFonts w:ascii="Arial" w:hAnsi="Arial" w:cs="Arial" w:eastAsia="Arial" w:hint="default"/>
                <w:sz w:val="20"/>
                <w:szCs w:val="20"/>
              </w:rPr>
            </w:pPr>
            <w:r>
              <w:rPr>
                <w:rFonts w:ascii="Arial"/>
                <w:sz w:val="20"/>
              </w:rPr>
              <w:t>10,213</w:t>
            </w:r>
          </w:p>
        </w:tc>
        <w:tc>
          <w:tcPr>
            <w:tcW w:w="238" w:type="dxa"/>
            <w:tcBorders>
              <w:top w:val="nil" w:sz="6" w:space="0" w:color="auto"/>
              <w:left w:val="nil" w:sz="6" w:space="0" w:color="auto"/>
              <w:bottom w:val="nil" w:sz="6" w:space="0" w:color="auto"/>
              <w:right w:val="nil" w:sz="6" w:space="0" w:color="auto"/>
            </w:tcBorders>
          </w:tcPr>
          <w:p>
            <w:pPr/>
          </w:p>
        </w:tc>
        <w:tc>
          <w:tcPr>
            <w:tcW w:w="3736" w:type="dxa"/>
            <w:tcBorders>
              <w:top w:val="nil" w:sz="6" w:space="0" w:color="auto"/>
              <w:left w:val="nil" w:sz="6" w:space="0" w:color="auto"/>
              <w:bottom w:val="nil" w:sz="6" w:space="0" w:color="auto"/>
              <w:right w:val="nil" w:sz="6" w:space="0" w:color="auto"/>
            </w:tcBorders>
          </w:tcPr>
          <w:p>
            <w:pPr>
              <w:pStyle w:val="TableParagraph"/>
              <w:tabs>
                <w:tab w:pos="1091" w:val="left" w:leader="none"/>
                <w:tab w:pos="2195" w:val="left" w:leader="none"/>
              </w:tabs>
              <w:spacing w:line="240" w:lineRule="auto" w:before="27"/>
              <w:ind w:right="125"/>
              <w:jc w:val="right"/>
              <w:rPr>
                <w:rFonts w:ascii="Arial" w:hAnsi="Arial" w:cs="Arial" w:eastAsia="Arial" w:hint="default"/>
                <w:sz w:val="20"/>
                <w:szCs w:val="20"/>
              </w:rPr>
            </w:pPr>
            <w:r>
              <w:rPr>
                <w:rFonts w:ascii="Arial"/>
                <w:sz w:val="20"/>
              </w:rPr>
              <w:t>-</w:t>
              <w:tab/>
              <w:t>-</w:t>
              <w:tab/>
              <w:t>8,657</w:t>
            </w:r>
          </w:p>
        </w:tc>
      </w:tr>
      <w:tr>
        <w:trPr>
          <w:trHeight w:val="261" w:hRule="exact"/>
        </w:trPr>
        <w:tc>
          <w:tcPr>
            <w:tcW w:w="1623" w:type="dxa"/>
            <w:tcBorders>
              <w:top w:val="nil" w:sz="6" w:space="0" w:color="auto"/>
              <w:left w:val="nil" w:sz="6" w:space="0" w:color="auto"/>
              <w:bottom w:val="nil" w:sz="6" w:space="0" w:color="auto"/>
              <w:right w:val="nil" w:sz="6" w:space="0" w:color="auto"/>
            </w:tcBorders>
          </w:tcPr>
          <w:p>
            <w:pPr>
              <w:pStyle w:val="TableParagraph"/>
              <w:spacing w:line="219" w:lineRule="exact"/>
              <w:ind w:left="212" w:right="0"/>
              <w:jc w:val="left"/>
              <w:rPr>
                <w:rFonts w:ascii="宋体" w:hAnsi="宋体" w:cs="宋体" w:eastAsia="宋体" w:hint="default"/>
                <w:sz w:val="20"/>
                <w:szCs w:val="20"/>
              </w:rPr>
            </w:pPr>
            <w:r>
              <w:rPr>
                <w:rFonts w:ascii="宋体" w:hAnsi="宋体" w:cs="宋体" w:eastAsia="宋体" w:hint="default"/>
                <w:sz w:val="20"/>
                <w:szCs w:val="20"/>
              </w:rPr>
              <w:t>港元</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8"/>
              <w:jc w:val="right"/>
              <w:rPr>
                <w:rFonts w:ascii="Arial" w:hAnsi="Arial" w:cs="Arial" w:eastAsia="Arial" w:hint="default"/>
                <w:sz w:val="20"/>
                <w:szCs w:val="20"/>
              </w:rPr>
            </w:pPr>
            <w:r>
              <w:rPr>
                <w:rFonts w:ascii="Arial"/>
                <w:sz w:val="20"/>
              </w:rPr>
              <w:t>142</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3"/>
              <w:jc w:val="right"/>
              <w:rPr>
                <w:rFonts w:ascii="Arial" w:hAnsi="Arial" w:cs="Arial" w:eastAsia="Arial" w:hint="default"/>
                <w:sz w:val="20"/>
                <w:szCs w:val="20"/>
              </w:rPr>
            </w:pPr>
            <w:r>
              <w:rPr>
                <w:rFonts w:ascii="Arial"/>
                <w:sz w:val="20"/>
              </w:rPr>
              <w:t>0.8509</w:t>
            </w:r>
          </w:p>
        </w:tc>
        <w:tc>
          <w:tcPr>
            <w:tcW w:w="1193" w:type="dxa"/>
            <w:tcBorders>
              <w:top w:val="nil" w:sz="6" w:space="0" w:color="auto"/>
              <w:left w:val="nil" w:sz="6" w:space="0" w:color="auto"/>
              <w:bottom w:val="nil" w:sz="6" w:space="0" w:color="auto"/>
              <w:right w:val="nil" w:sz="6" w:space="0" w:color="auto"/>
            </w:tcBorders>
          </w:tcPr>
          <w:p>
            <w:pPr>
              <w:pStyle w:val="TableParagraph"/>
              <w:tabs>
                <w:tab w:pos="779" w:val="left" w:leader="none"/>
                <w:tab w:pos="1181" w:val="left" w:leader="none"/>
              </w:tabs>
              <w:spacing w:line="240" w:lineRule="auto" w:before="16"/>
              <w:ind w:right="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121</w:t>
              <w:tab/>
            </w:r>
            <w:r>
              <w:rPr>
                <w:rFonts w:ascii="Arial"/>
                <w:sz w:val="20"/>
              </w:rPr>
            </w:r>
          </w:p>
        </w:tc>
        <w:tc>
          <w:tcPr>
            <w:tcW w:w="238" w:type="dxa"/>
            <w:tcBorders>
              <w:top w:val="nil" w:sz="6" w:space="0" w:color="auto"/>
              <w:left w:val="nil" w:sz="6" w:space="0" w:color="auto"/>
              <w:bottom w:val="nil" w:sz="6" w:space="0" w:color="auto"/>
              <w:right w:val="nil" w:sz="6" w:space="0" w:color="auto"/>
            </w:tcBorders>
          </w:tcPr>
          <w:p>
            <w:pPr/>
          </w:p>
        </w:tc>
        <w:tc>
          <w:tcPr>
            <w:tcW w:w="3736" w:type="dxa"/>
            <w:tcBorders>
              <w:top w:val="nil" w:sz="6" w:space="0" w:color="auto"/>
              <w:left w:val="nil" w:sz="6" w:space="0" w:color="auto"/>
              <w:bottom w:val="nil" w:sz="6" w:space="0" w:color="auto"/>
              <w:right w:val="nil" w:sz="6" w:space="0" w:color="auto"/>
            </w:tcBorders>
          </w:tcPr>
          <w:p>
            <w:pPr>
              <w:pStyle w:val="TableParagraph"/>
              <w:tabs>
                <w:tab w:pos="1091" w:val="left" w:leader="none"/>
                <w:tab w:pos="1541" w:val="left" w:leader="none"/>
                <w:tab w:pos="2630" w:val="left" w:leader="none"/>
                <w:tab w:pos="2818" w:val="left" w:leader="none"/>
              </w:tabs>
              <w:spacing w:line="240" w:lineRule="auto" w:before="16"/>
              <w:ind w:right="5"/>
              <w:jc w:val="right"/>
              <w:rPr>
                <w:rFonts w:ascii="Arial" w:hAnsi="Arial" w:cs="Arial" w:eastAsia="Arial" w:hint="default"/>
                <w:sz w:val="20"/>
                <w:szCs w:val="20"/>
              </w:rPr>
            </w:pPr>
            <w:r>
              <w:rPr>
                <w:rFonts w:ascii="Arial"/>
                <w:sz w:val="20"/>
              </w:rPr>
              <w:t>-</w:t>
              <w:tab/>
              <w:t>-</w:t>
              <w:tab/>
            </w:r>
            <w:r>
              <w:rPr>
                <w:rFonts w:ascii="Arial"/>
                <w:sz w:val="20"/>
                <w:u w:val="single" w:color="000000"/>
              </w:rPr>
              <w:t> </w:t>
              <w:tab/>
              <w:t>-</w:t>
              <w:tab/>
            </w:r>
            <w:r>
              <w:rPr>
                <w:rFonts w:ascii="Arial"/>
                <w:sz w:val="20"/>
              </w:rPr>
            </w:r>
          </w:p>
        </w:tc>
      </w:tr>
      <w:tr>
        <w:trPr>
          <w:trHeight w:val="243" w:hRule="exact"/>
        </w:trPr>
        <w:tc>
          <w:tcPr>
            <w:tcW w:w="1623"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tabs>
                <w:tab w:pos="500" w:val="left" w:leader="none"/>
                <w:tab w:pos="1181" w:val="left" w:leader="none"/>
              </w:tabs>
              <w:spacing w:line="224" w:lineRule="exact"/>
              <w:ind w:right="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10,334</w:t>
              <w:tab/>
            </w:r>
            <w:r>
              <w:rPr>
                <w:rFonts w:ascii="Arial"/>
                <w:sz w:val="20"/>
              </w:rPr>
            </w:r>
          </w:p>
        </w:tc>
        <w:tc>
          <w:tcPr>
            <w:tcW w:w="238" w:type="dxa"/>
            <w:tcBorders>
              <w:top w:val="nil" w:sz="6" w:space="0" w:color="auto"/>
              <w:left w:val="nil" w:sz="6" w:space="0" w:color="auto"/>
              <w:bottom w:val="nil" w:sz="6" w:space="0" w:color="auto"/>
              <w:right w:val="nil" w:sz="6" w:space="0" w:color="auto"/>
            </w:tcBorders>
          </w:tcPr>
          <w:p>
            <w:pPr/>
          </w:p>
        </w:tc>
        <w:tc>
          <w:tcPr>
            <w:tcW w:w="3736" w:type="dxa"/>
            <w:tcBorders>
              <w:top w:val="nil" w:sz="6" w:space="0" w:color="auto"/>
              <w:left w:val="nil" w:sz="6" w:space="0" w:color="auto"/>
              <w:bottom w:val="nil" w:sz="6" w:space="0" w:color="auto"/>
              <w:right w:val="nil" w:sz="6" w:space="0" w:color="auto"/>
            </w:tcBorders>
          </w:tcPr>
          <w:p>
            <w:pPr>
              <w:pStyle w:val="TableParagraph"/>
              <w:tabs>
                <w:tab w:pos="654" w:val="left" w:leader="none"/>
                <w:tab w:pos="1276" w:val="left" w:leader="none"/>
              </w:tabs>
              <w:spacing w:line="224" w:lineRule="exact"/>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8,657</w:t>
              <w:tab/>
            </w:r>
            <w:r>
              <w:rPr>
                <w:rFonts w:ascii="Arial"/>
                <w:sz w:val="20"/>
              </w:rPr>
            </w:r>
          </w:p>
        </w:tc>
      </w:tr>
      <w:tr>
        <w:trPr>
          <w:trHeight w:val="259" w:hRule="exact"/>
        </w:trPr>
        <w:tc>
          <w:tcPr>
            <w:tcW w:w="1623" w:type="dxa"/>
            <w:tcBorders>
              <w:top w:val="nil" w:sz="6" w:space="0" w:color="auto"/>
              <w:left w:val="nil" w:sz="6" w:space="0" w:color="auto"/>
              <w:bottom w:val="nil" w:sz="6" w:space="0" w:color="auto"/>
              <w:right w:val="nil" w:sz="6" w:space="0" w:color="auto"/>
            </w:tcBorders>
          </w:tcPr>
          <w:p>
            <w:pPr>
              <w:pStyle w:val="TableParagraph"/>
              <w:spacing w:line="238" w:lineRule="exact"/>
              <w:ind w:left="35" w:right="0"/>
              <w:jc w:val="left"/>
              <w:rPr>
                <w:rFonts w:ascii="Arial" w:hAnsi="Arial" w:cs="Arial" w:eastAsia="Arial" w:hint="default"/>
                <w:sz w:val="20"/>
                <w:szCs w:val="20"/>
              </w:rPr>
            </w:pPr>
            <w:r>
              <w:rPr>
                <w:rFonts w:ascii="宋体" w:hAnsi="宋体" w:cs="宋体" w:eastAsia="宋体" w:hint="default"/>
                <w:sz w:val="20"/>
                <w:szCs w:val="20"/>
              </w:rPr>
              <w:t>银行存款 </w:t>
            </w:r>
            <w:r>
              <w:rPr>
                <w:rFonts w:ascii="Arial" w:hAnsi="Arial" w:cs="Arial" w:eastAsia="Arial" w:hint="default"/>
                <w:sz w:val="20"/>
                <w:szCs w:val="20"/>
              </w:rPr>
              <w:t>–</w:t>
            </w:r>
          </w:p>
        </w:tc>
        <w:tc>
          <w:tcPr>
            <w:tcW w:w="13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3736" w:type="dxa"/>
            <w:tcBorders>
              <w:top w:val="nil" w:sz="6" w:space="0" w:color="auto"/>
              <w:left w:val="nil" w:sz="6" w:space="0" w:color="auto"/>
              <w:bottom w:val="nil" w:sz="6" w:space="0" w:color="auto"/>
              <w:right w:val="nil" w:sz="6" w:space="0" w:color="auto"/>
            </w:tcBorders>
          </w:tcPr>
          <w:p>
            <w:pPr/>
          </w:p>
        </w:tc>
      </w:tr>
      <w:tr>
        <w:trPr>
          <w:trHeight w:val="267" w:hRule="exact"/>
        </w:trPr>
        <w:tc>
          <w:tcPr>
            <w:tcW w:w="1623" w:type="dxa"/>
            <w:tcBorders>
              <w:top w:val="nil" w:sz="6" w:space="0" w:color="auto"/>
              <w:left w:val="nil" w:sz="6" w:space="0" w:color="auto"/>
              <w:bottom w:val="nil" w:sz="6" w:space="0" w:color="auto"/>
              <w:right w:val="nil" w:sz="6" w:space="0" w:color="auto"/>
            </w:tcBorders>
          </w:tcPr>
          <w:p>
            <w:pPr>
              <w:pStyle w:val="TableParagraph"/>
              <w:spacing w:line="225" w:lineRule="exact"/>
              <w:ind w:left="212"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3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9"/>
              <w:jc w:val="right"/>
              <w:rPr>
                <w:rFonts w:ascii="Arial" w:hAnsi="Arial" w:cs="Arial" w:eastAsia="Arial" w:hint="default"/>
                <w:sz w:val="20"/>
                <w:szCs w:val="20"/>
              </w:rPr>
            </w:pPr>
            <w:r>
              <w:rPr>
                <w:rFonts w:ascii="Arial"/>
                <w:spacing w:val="-2"/>
                <w:sz w:val="20"/>
              </w:rPr>
              <w:t>11,484,664</w:t>
            </w:r>
          </w:p>
        </w:tc>
        <w:tc>
          <w:tcPr>
            <w:tcW w:w="238" w:type="dxa"/>
            <w:tcBorders>
              <w:top w:val="nil" w:sz="6" w:space="0" w:color="auto"/>
              <w:left w:val="nil" w:sz="6" w:space="0" w:color="auto"/>
              <w:bottom w:val="nil" w:sz="6" w:space="0" w:color="auto"/>
              <w:right w:val="nil" w:sz="6" w:space="0" w:color="auto"/>
            </w:tcBorders>
          </w:tcPr>
          <w:p>
            <w:pPr/>
          </w:p>
        </w:tc>
        <w:tc>
          <w:tcPr>
            <w:tcW w:w="3736" w:type="dxa"/>
            <w:tcBorders>
              <w:top w:val="nil" w:sz="6" w:space="0" w:color="auto"/>
              <w:left w:val="nil" w:sz="6" w:space="0" w:color="auto"/>
              <w:bottom w:val="nil" w:sz="6" w:space="0" w:color="auto"/>
              <w:right w:val="nil" w:sz="6" w:space="0" w:color="auto"/>
            </w:tcBorders>
          </w:tcPr>
          <w:p>
            <w:pPr>
              <w:pStyle w:val="TableParagraph"/>
              <w:tabs>
                <w:tab w:pos="1045" w:val="left" w:leader="none"/>
                <w:tab w:pos="1625" w:val="left" w:leader="none"/>
              </w:tabs>
              <w:spacing w:line="240" w:lineRule="auto" w:before="23"/>
              <w:ind w:right="126"/>
              <w:jc w:val="right"/>
              <w:rPr>
                <w:rFonts w:ascii="Arial" w:hAnsi="Arial" w:cs="Arial" w:eastAsia="Arial" w:hint="default"/>
                <w:sz w:val="20"/>
                <w:szCs w:val="20"/>
              </w:rPr>
            </w:pPr>
            <w:r>
              <w:rPr>
                <w:rFonts w:ascii="Arial"/>
                <w:sz w:val="20"/>
              </w:rPr>
              <w:t>-</w:t>
              <w:tab/>
              <w:t>-</w:t>
              <w:tab/>
            </w:r>
            <w:r>
              <w:rPr>
                <w:rFonts w:ascii="Arial"/>
                <w:spacing w:val="-1"/>
                <w:sz w:val="20"/>
              </w:rPr>
              <w:t>13,181,273</w:t>
            </w:r>
          </w:p>
        </w:tc>
      </w:tr>
      <w:tr>
        <w:trPr>
          <w:trHeight w:val="260" w:hRule="exact"/>
        </w:trPr>
        <w:tc>
          <w:tcPr>
            <w:tcW w:w="1623" w:type="dxa"/>
            <w:tcBorders>
              <w:top w:val="nil" w:sz="6" w:space="0" w:color="auto"/>
              <w:left w:val="nil" w:sz="6" w:space="0" w:color="auto"/>
              <w:bottom w:val="nil" w:sz="6" w:space="0" w:color="auto"/>
              <w:right w:val="nil" w:sz="6" w:space="0" w:color="auto"/>
            </w:tcBorders>
          </w:tcPr>
          <w:p>
            <w:pPr>
              <w:pStyle w:val="TableParagraph"/>
              <w:spacing w:line="219" w:lineRule="exact"/>
              <w:ind w:left="21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2"/>
              <w:jc w:val="right"/>
              <w:rPr>
                <w:rFonts w:ascii="Arial" w:hAnsi="Arial" w:cs="Arial" w:eastAsia="Arial" w:hint="default"/>
                <w:sz w:val="20"/>
                <w:szCs w:val="20"/>
              </w:rPr>
            </w:pPr>
            <w:r>
              <w:rPr>
                <w:rFonts w:ascii="Arial"/>
                <w:sz w:val="20"/>
              </w:rPr>
              <w:t>178</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4"/>
              <w:jc w:val="right"/>
              <w:rPr>
                <w:rFonts w:ascii="Arial" w:hAnsi="Arial" w:cs="Arial" w:eastAsia="Arial" w:hint="default"/>
                <w:sz w:val="20"/>
                <w:szCs w:val="20"/>
              </w:rPr>
            </w:pPr>
            <w:r>
              <w:rPr>
                <w:rFonts w:ascii="Arial"/>
                <w:sz w:val="20"/>
              </w:rPr>
              <w:t>6.6227</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0"/>
              <w:jc w:val="right"/>
              <w:rPr>
                <w:rFonts w:ascii="Arial" w:hAnsi="Arial" w:cs="Arial" w:eastAsia="Arial" w:hint="default"/>
                <w:sz w:val="20"/>
                <w:szCs w:val="20"/>
              </w:rPr>
            </w:pPr>
            <w:r>
              <w:rPr>
                <w:rFonts w:ascii="Arial"/>
                <w:sz w:val="20"/>
              </w:rPr>
              <w:t>1,179</w:t>
            </w:r>
          </w:p>
        </w:tc>
        <w:tc>
          <w:tcPr>
            <w:tcW w:w="238" w:type="dxa"/>
            <w:tcBorders>
              <w:top w:val="nil" w:sz="6" w:space="0" w:color="auto"/>
              <w:left w:val="nil" w:sz="6" w:space="0" w:color="auto"/>
              <w:bottom w:val="nil" w:sz="6" w:space="0" w:color="auto"/>
              <w:right w:val="nil" w:sz="6" w:space="0" w:color="auto"/>
            </w:tcBorders>
          </w:tcPr>
          <w:p>
            <w:pPr/>
          </w:p>
        </w:tc>
        <w:tc>
          <w:tcPr>
            <w:tcW w:w="3736" w:type="dxa"/>
            <w:tcBorders>
              <w:top w:val="nil" w:sz="6" w:space="0" w:color="auto"/>
              <w:left w:val="nil" w:sz="6" w:space="0" w:color="auto"/>
              <w:bottom w:val="nil" w:sz="6" w:space="0" w:color="auto"/>
              <w:right w:val="nil" w:sz="6" w:space="0" w:color="auto"/>
            </w:tcBorders>
          </w:tcPr>
          <w:p>
            <w:pPr>
              <w:pStyle w:val="TableParagraph"/>
              <w:tabs>
                <w:tab w:pos="933" w:val="left" w:leader="none"/>
                <w:tab w:pos="2560" w:val="left" w:leader="none"/>
              </w:tabs>
              <w:spacing w:line="240" w:lineRule="auto" w:before="16"/>
              <w:ind w:right="126"/>
              <w:jc w:val="right"/>
              <w:rPr>
                <w:rFonts w:ascii="Arial" w:hAnsi="Arial" w:cs="Arial" w:eastAsia="Arial" w:hint="default"/>
                <w:sz w:val="20"/>
                <w:szCs w:val="20"/>
              </w:rPr>
            </w:pPr>
            <w:r>
              <w:rPr>
                <w:rFonts w:ascii="Arial"/>
                <w:sz w:val="20"/>
              </w:rPr>
              <w:t>1,430</w:t>
              <w:tab/>
              <w:t>6.8282</w:t>
              <w:tab/>
              <w:t>9,764</w:t>
            </w:r>
          </w:p>
        </w:tc>
      </w:tr>
      <w:tr>
        <w:trPr>
          <w:trHeight w:val="260" w:hRule="exact"/>
        </w:trPr>
        <w:tc>
          <w:tcPr>
            <w:tcW w:w="1623" w:type="dxa"/>
            <w:tcBorders>
              <w:top w:val="nil" w:sz="6" w:space="0" w:color="auto"/>
              <w:left w:val="nil" w:sz="6" w:space="0" w:color="auto"/>
              <w:bottom w:val="nil" w:sz="6" w:space="0" w:color="auto"/>
              <w:right w:val="nil" w:sz="6" w:space="0" w:color="auto"/>
            </w:tcBorders>
          </w:tcPr>
          <w:p>
            <w:pPr>
              <w:pStyle w:val="TableParagraph"/>
              <w:spacing w:line="219" w:lineRule="exact"/>
              <w:ind w:left="212" w:right="0"/>
              <w:jc w:val="left"/>
              <w:rPr>
                <w:rFonts w:ascii="宋体" w:hAnsi="宋体" w:cs="宋体" w:eastAsia="宋体" w:hint="default"/>
                <w:sz w:val="20"/>
                <w:szCs w:val="20"/>
              </w:rPr>
            </w:pPr>
            <w:r>
              <w:rPr>
                <w:rFonts w:ascii="宋体" w:hAnsi="宋体" w:cs="宋体" w:eastAsia="宋体" w:hint="default"/>
                <w:sz w:val="20"/>
                <w:szCs w:val="20"/>
              </w:rPr>
              <w:t>港元</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1"/>
              <w:jc w:val="right"/>
              <w:rPr>
                <w:rFonts w:ascii="Arial" w:hAnsi="Arial" w:cs="Arial" w:eastAsia="Arial" w:hint="default"/>
                <w:sz w:val="20"/>
                <w:szCs w:val="20"/>
              </w:rPr>
            </w:pPr>
            <w:r>
              <w:rPr>
                <w:rFonts w:ascii="Arial"/>
                <w:sz w:val="20"/>
              </w:rPr>
              <w:t>49,052</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3"/>
              <w:jc w:val="right"/>
              <w:rPr>
                <w:rFonts w:ascii="Arial" w:hAnsi="Arial" w:cs="Arial" w:eastAsia="Arial" w:hint="default"/>
                <w:sz w:val="20"/>
                <w:szCs w:val="20"/>
              </w:rPr>
            </w:pPr>
            <w:r>
              <w:rPr>
                <w:rFonts w:ascii="Arial"/>
                <w:sz w:val="20"/>
              </w:rPr>
              <w:t>0.8509</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9"/>
              <w:jc w:val="right"/>
              <w:rPr>
                <w:rFonts w:ascii="Arial" w:hAnsi="Arial" w:cs="Arial" w:eastAsia="Arial" w:hint="default"/>
                <w:sz w:val="20"/>
                <w:szCs w:val="20"/>
              </w:rPr>
            </w:pPr>
            <w:r>
              <w:rPr>
                <w:rFonts w:ascii="Arial"/>
                <w:sz w:val="20"/>
              </w:rPr>
              <w:t>41,738</w:t>
            </w:r>
          </w:p>
        </w:tc>
        <w:tc>
          <w:tcPr>
            <w:tcW w:w="238" w:type="dxa"/>
            <w:tcBorders>
              <w:top w:val="nil" w:sz="6" w:space="0" w:color="auto"/>
              <w:left w:val="nil" w:sz="6" w:space="0" w:color="auto"/>
              <w:bottom w:val="nil" w:sz="6" w:space="0" w:color="auto"/>
              <w:right w:val="nil" w:sz="6" w:space="0" w:color="auto"/>
            </w:tcBorders>
          </w:tcPr>
          <w:p>
            <w:pPr/>
          </w:p>
        </w:tc>
        <w:tc>
          <w:tcPr>
            <w:tcW w:w="3736" w:type="dxa"/>
            <w:tcBorders>
              <w:top w:val="nil" w:sz="6" w:space="0" w:color="auto"/>
              <w:left w:val="nil" w:sz="6" w:space="0" w:color="auto"/>
              <w:bottom w:val="nil" w:sz="6" w:space="0" w:color="auto"/>
              <w:right w:val="nil" w:sz="6" w:space="0" w:color="auto"/>
            </w:tcBorders>
          </w:tcPr>
          <w:p>
            <w:pPr>
              <w:pStyle w:val="TableParagraph"/>
              <w:tabs>
                <w:tab w:pos="1045" w:val="left" w:leader="none"/>
                <w:tab w:pos="2560" w:val="left" w:leader="none"/>
              </w:tabs>
              <w:spacing w:line="240" w:lineRule="auto" w:before="16"/>
              <w:ind w:right="126"/>
              <w:jc w:val="right"/>
              <w:rPr>
                <w:rFonts w:ascii="Arial" w:hAnsi="Arial" w:cs="Arial" w:eastAsia="Arial" w:hint="default"/>
                <w:sz w:val="20"/>
                <w:szCs w:val="20"/>
              </w:rPr>
            </w:pPr>
            <w:r>
              <w:rPr>
                <w:rFonts w:ascii="Arial"/>
                <w:sz w:val="20"/>
              </w:rPr>
              <w:t>-</w:t>
              <w:tab/>
              <w:t>-</w:t>
              <w:tab/>
              <w:t>-</w:t>
            </w:r>
          </w:p>
        </w:tc>
      </w:tr>
      <w:tr>
        <w:trPr>
          <w:trHeight w:val="261" w:hRule="exact"/>
        </w:trPr>
        <w:tc>
          <w:tcPr>
            <w:tcW w:w="1623" w:type="dxa"/>
            <w:tcBorders>
              <w:top w:val="nil" w:sz="6" w:space="0" w:color="auto"/>
              <w:left w:val="nil" w:sz="6" w:space="0" w:color="auto"/>
              <w:bottom w:val="nil" w:sz="6" w:space="0" w:color="auto"/>
              <w:right w:val="nil" w:sz="6" w:space="0" w:color="auto"/>
            </w:tcBorders>
          </w:tcPr>
          <w:p>
            <w:pPr>
              <w:pStyle w:val="TableParagraph"/>
              <w:spacing w:line="218" w:lineRule="exact"/>
              <w:ind w:left="212" w:right="0"/>
              <w:jc w:val="left"/>
              <w:rPr>
                <w:rFonts w:ascii="宋体" w:hAnsi="宋体" w:cs="宋体" w:eastAsia="宋体" w:hint="default"/>
                <w:sz w:val="20"/>
                <w:szCs w:val="20"/>
              </w:rPr>
            </w:pPr>
            <w:r>
              <w:rPr>
                <w:rFonts w:ascii="宋体" w:hAnsi="宋体" w:cs="宋体" w:eastAsia="宋体" w:hint="default"/>
                <w:sz w:val="20"/>
                <w:szCs w:val="20"/>
              </w:rPr>
              <w:t>日元</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1"/>
              <w:jc w:val="right"/>
              <w:rPr>
                <w:rFonts w:ascii="Arial" w:hAnsi="Arial" w:cs="Arial" w:eastAsia="Arial" w:hint="default"/>
                <w:sz w:val="20"/>
                <w:szCs w:val="20"/>
              </w:rPr>
            </w:pPr>
            <w:r>
              <w:rPr>
                <w:rFonts w:ascii="Arial"/>
                <w:sz w:val="20"/>
              </w:rPr>
              <w:t>40,888</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3"/>
              <w:jc w:val="right"/>
              <w:rPr>
                <w:rFonts w:ascii="Arial" w:hAnsi="Arial" w:cs="Arial" w:eastAsia="Arial" w:hint="default"/>
                <w:sz w:val="20"/>
                <w:szCs w:val="20"/>
              </w:rPr>
            </w:pPr>
            <w:r>
              <w:rPr>
                <w:rFonts w:ascii="Arial"/>
                <w:sz w:val="20"/>
              </w:rPr>
              <w:t>0.0813</w:t>
            </w:r>
          </w:p>
        </w:tc>
        <w:tc>
          <w:tcPr>
            <w:tcW w:w="1193" w:type="dxa"/>
            <w:tcBorders>
              <w:top w:val="nil" w:sz="6" w:space="0" w:color="auto"/>
              <w:left w:val="nil" w:sz="6" w:space="0" w:color="auto"/>
              <w:bottom w:val="nil" w:sz="6" w:space="0" w:color="auto"/>
              <w:right w:val="nil" w:sz="6" w:space="0" w:color="auto"/>
            </w:tcBorders>
          </w:tcPr>
          <w:p>
            <w:pPr>
              <w:pStyle w:val="TableParagraph"/>
              <w:tabs>
                <w:tab w:pos="612" w:val="left" w:leader="none"/>
                <w:tab w:pos="1181" w:val="left" w:leader="none"/>
              </w:tabs>
              <w:spacing w:line="240" w:lineRule="auto" w:before="15"/>
              <w:ind w:right="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3,323</w:t>
              <w:tab/>
            </w:r>
            <w:r>
              <w:rPr>
                <w:rFonts w:ascii="Arial"/>
                <w:sz w:val="20"/>
              </w:rPr>
            </w:r>
          </w:p>
        </w:tc>
        <w:tc>
          <w:tcPr>
            <w:tcW w:w="238" w:type="dxa"/>
            <w:tcBorders>
              <w:top w:val="nil" w:sz="6" w:space="0" w:color="auto"/>
              <w:left w:val="nil" w:sz="6" w:space="0" w:color="auto"/>
              <w:bottom w:val="nil" w:sz="6" w:space="0" w:color="auto"/>
              <w:right w:val="nil" w:sz="6" w:space="0" w:color="auto"/>
            </w:tcBorders>
          </w:tcPr>
          <w:p>
            <w:pPr/>
          </w:p>
        </w:tc>
        <w:tc>
          <w:tcPr>
            <w:tcW w:w="3736" w:type="dxa"/>
            <w:tcBorders>
              <w:top w:val="nil" w:sz="6" w:space="0" w:color="auto"/>
              <w:left w:val="nil" w:sz="6" w:space="0" w:color="auto"/>
              <w:bottom w:val="nil" w:sz="6" w:space="0" w:color="auto"/>
              <w:right w:val="nil" w:sz="6" w:space="0" w:color="auto"/>
            </w:tcBorders>
          </w:tcPr>
          <w:p>
            <w:pPr>
              <w:pStyle w:val="TableParagraph"/>
              <w:tabs>
                <w:tab w:pos="1045" w:val="left" w:leader="none"/>
                <w:tab w:pos="1471" w:val="left" w:leader="none"/>
                <w:tab w:pos="2560" w:val="left" w:leader="none"/>
                <w:tab w:pos="2748" w:val="left" w:leader="none"/>
              </w:tabs>
              <w:spacing w:line="240" w:lineRule="auto" w:before="15"/>
              <w:ind w:right="5"/>
              <w:jc w:val="right"/>
              <w:rPr>
                <w:rFonts w:ascii="Arial" w:hAnsi="Arial" w:cs="Arial" w:eastAsia="Arial" w:hint="default"/>
                <w:sz w:val="20"/>
                <w:szCs w:val="20"/>
              </w:rPr>
            </w:pPr>
            <w:r>
              <w:rPr>
                <w:rFonts w:ascii="Arial"/>
                <w:sz w:val="20"/>
              </w:rPr>
              <w:t>-</w:t>
              <w:tab/>
              <w:t>-</w:t>
              <w:tab/>
            </w:r>
            <w:r>
              <w:rPr>
                <w:rFonts w:ascii="Arial"/>
                <w:sz w:val="20"/>
                <w:u w:val="single" w:color="000000"/>
              </w:rPr>
              <w:t> </w:t>
              <w:tab/>
              <w:t>-</w:t>
              <w:tab/>
            </w:r>
            <w:r>
              <w:rPr>
                <w:rFonts w:ascii="Arial"/>
                <w:sz w:val="20"/>
              </w:rPr>
            </w:r>
          </w:p>
        </w:tc>
      </w:tr>
      <w:tr>
        <w:trPr>
          <w:trHeight w:val="243" w:hRule="exact"/>
        </w:trPr>
        <w:tc>
          <w:tcPr>
            <w:tcW w:w="1623"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tabs>
                <w:tab w:pos="1181" w:val="left" w:leader="none"/>
              </w:tabs>
              <w:spacing w:line="225" w:lineRule="exact"/>
              <w:ind w:right="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4"/>
                <w:sz w:val="20"/>
                <w:u w:val="single" w:color="000000"/>
              </w:rPr>
              <w:t> </w:t>
            </w:r>
            <w:r>
              <w:rPr>
                <w:rFonts w:ascii="Arial"/>
                <w:spacing w:val="-3"/>
                <w:sz w:val="20"/>
                <w:u w:val="single" w:color="000000"/>
              </w:rPr>
              <w:t>11,530,904</w:t>
              <w:tab/>
            </w:r>
            <w:r>
              <w:rPr>
                <w:rFonts w:ascii="Arial"/>
                <w:spacing w:val="-3"/>
                <w:sz w:val="20"/>
              </w:rPr>
            </w:r>
          </w:p>
        </w:tc>
        <w:tc>
          <w:tcPr>
            <w:tcW w:w="238" w:type="dxa"/>
            <w:tcBorders>
              <w:top w:val="nil" w:sz="6" w:space="0" w:color="auto"/>
              <w:left w:val="nil" w:sz="6" w:space="0" w:color="auto"/>
              <w:bottom w:val="nil" w:sz="6" w:space="0" w:color="auto"/>
              <w:right w:val="nil" w:sz="6" w:space="0" w:color="auto"/>
            </w:tcBorders>
          </w:tcPr>
          <w:p>
            <w:pPr/>
          </w:p>
        </w:tc>
        <w:tc>
          <w:tcPr>
            <w:tcW w:w="3736" w:type="dxa"/>
            <w:tcBorders>
              <w:top w:val="nil" w:sz="6" w:space="0" w:color="auto"/>
              <w:left w:val="nil" w:sz="6" w:space="0" w:color="auto"/>
              <w:bottom w:val="nil" w:sz="6" w:space="0" w:color="auto"/>
              <w:right w:val="nil" w:sz="6" w:space="0" w:color="auto"/>
            </w:tcBorders>
          </w:tcPr>
          <w:p>
            <w:pPr>
              <w:pStyle w:val="TableParagraph"/>
              <w:tabs>
                <w:tab w:pos="1276" w:val="left" w:leader="none"/>
              </w:tabs>
              <w:spacing w:line="225" w:lineRule="exact"/>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3"/>
                <w:sz w:val="20"/>
                <w:u w:val="single" w:color="000000"/>
              </w:rPr>
              <w:t> </w:t>
            </w:r>
            <w:r>
              <w:rPr>
                <w:rFonts w:ascii="Arial"/>
                <w:spacing w:val="-1"/>
                <w:sz w:val="20"/>
                <w:u w:val="single" w:color="000000"/>
              </w:rPr>
              <w:t>13,191,037</w:t>
              <w:tab/>
            </w:r>
            <w:r>
              <w:rPr>
                <w:rFonts w:ascii="Arial"/>
                <w:spacing w:val="-1"/>
                <w:sz w:val="20"/>
              </w:rPr>
            </w:r>
          </w:p>
        </w:tc>
      </w:tr>
      <w:tr>
        <w:trPr>
          <w:trHeight w:val="259" w:hRule="exact"/>
        </w:trPr>
        <w:tc>
          <w:tcPr>
            <w:tcW w:w="1623" w:type="dxa"/>
            <w:tcBorders>
              <w:top w:val="nil" w:sz="6" w:space="0" w:color="auto"/>
              <w:left w:val="nil" w:sz="6" w:space="0" w:color="auto"/>
              <w:bottom w:val="nil" w:sz="6" w:space="0" w:color="auto"/>
              <w:right w:val="nil" w:sz="6" w:space="0" w:color="auto"/>
            </w:tcBorders>
          </w:tcPr>
          <w:p>
            <w:pPr>
              <w:pStyle w:val="TableParagraph"/>
              <w:spacing w:line="238" w:lineRule="exact"/>
              <w:ind w:left="35" w:right="0"/>
              <w:jc w:val="left"/>
              <w:rPr>
                <w:rFonts w:ascii="Arial" w:hAnsi="Arial" w:cs="Arial" w:eastAsia="Arial" w:hint="default"/>
                <w:sz w:val="20"/>
                <w:szCs w:val="20"/>
              </w:rPr>
            </w:pPr>
            <w:r>
              <w:rPr>
                <w:rFonts w:ascii="宋体" w:hAnsi="宋体" w:cs="宋体" w:eastAsia="宋体" w:hint="default"/>
                <w:sz w:val="20"/>
                <w:szCs w:val="20"/>
              </w:rPr>
              <w:t>其他货币资金</w:t>
            </w:r>
            <w:r>
              <w:rPr>
                <w:rFonts w:ascii="宋体" w:hAnsi="宋体" w:cs="宋体" w:eastAsia="宋体" w:hint="default"/>
                <w:spacing w:val="-2"/>
                <w:sz w:val="20"/>
                <w:szCs w:val="20"/>
              </w:rPr>
              <w:t> </w:t>
            </w:r>
            <w:r>
              <w:rPr>
                <w:rFonts w:ascii="Arial" w:hAnsi="Arial" w:cs="Arial" w:eastAsia="Arial" w:hint="default"/>
                <w:sz w:val="20"/>
                <w:szCs w:val="20"/>
              </w:rPr>
              <w:t>–</w:t>
            </w:r>
          </w:p>
        </w:tc>
        <w:tc>
          <w:tcPr>
            <w:tcW w:w="13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3736" w:type="dxa"/>
            <w:tcBorders>
              <w:top w:val="nil" w:sz="6" w:space="0" w:color="auto"/>
              <w:left w:val="nil" w:sz="6" w:space="0" w:color="auto"/>
              <w:bottom w:val="nil" w:sz="6" w:space="0" w:color="auto"/>
              <w:right w:val="nil" w:sz="6" w:space="0" w:color="auto"/>
            </w:tcBorders>
          </w:tcPr>
          <w:p>
            <w:pPr/>
          </w:p>
        </w:tc>
      </w:tr>
      <w:tr>
        <w:trPr>
          <w:trHeight w:val="267" w:hRule="exact"/>
        </w:trPr>
        <w:tc>
          <w:tcPr>
            <w:tcW w:w="1623" w:type="dxa"/>
            <w:tcBorders>
              <w:top w:val="nil" w:sz="6" w:space="0" w:color="auto"/>
              <w:left w:val="nil" w:sz="6" w:space="0" w:color="auto"/>
              <w:bottom w:val="nil" w:sz="6" w:space="0" w:color="auto"/>
              <w:right w:val="nil" w:sz="6" w:space="0" w:color="auto"/>
            </w:tcBorders>
          </w:tcPr>
          <w:p>
            <w:pPr>
              <w:pStyle w:val="TableParagraph"/>
              <w:spacing w:line="225" w:lineRule="exact"/>
              <w:ind w:left="212"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3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9"/>
              <w:jc w:val="right"/>
              <w:rPr>
                <w:rFonts w:ascii="Arial" w:hAnsi="Arial" w:cs="Arial" w:eastAsia="Arial" w:hint="default"/>
                <w:sz w:val="20"/>
                <w:szCs w:val="20"/>
              </w:rPr>
            </w:pPr>
            <w:r>
              <w:rPr>
                <w:rFonts w:ascii="Arial"/>
                <w:spacing w:val="-1"/>
                <w:sz w:val="20"/>
              </w:rPr>
              <w:t>7,805,744</w:t>
            </w:r>
          </w:p>
        </w:tc>
        <w:tc>
          <w:tcPr>
            <w:tcW w:w="238" w:type="dxa"/>
            <w:tcBorders>
              <w:top w:val="nil" w:sz="6" w:space="0" w:color="auto"/>
              <w:left w:val="nil" w:sz="6" w:space="0" w:color="auto"/>
              <w:bottom w:val="nil" w:sz="6" w:space="0" w:color="auto"/>
              <w:right w:val="nil" w:sz="6" w:space="0" w:color="auto"/>
            </w:tcBorders>
          </w:tcPr>
          <w:p>
            <w:pPr/>
          </w:p>
        </w:tc>
        <w:tc>
          <w:tcPr>
            <w:tcW w:w="3736" w:type="dxa"/>
            <w:tcBorders>
              <w:top w:val="nil" w:sz="6" w:space="0" w:color="auto"/>
              <w:left w:val="nil" w:sz="6" w:space="0" w:color="auto"/>
              <w:bottom w:val="nil" w:sz="6" w:space="0" w:color="auto"/>
              <w:right w:val="nil" w:sz="6" w:space="0" w:color="auto"/>
            </w:tcBorders>
          </w:tcPr>
          <w:p>
            <w:pPr>
              <w:pStyle w:val="TableParagraph"/>
              <w:tabs>
                <w:tab w:pos="1045" w:val="left" w:leader="none"/>
                <w:tab w:pos="1737" w:val="left" w:leader="none"/>
              </w:tabs>
              <w:spacing w:line="240" w:lineRule="auto" w:before="23"/>
              <w:ind w:right="126"/>
              <w:jc w:val="right"/>
              <w:rPr>
                <w:rFonts w:ascii="Arial" w:hAnsi="Arial" w:cs="Arial" w:eastAsia="Arial" w:hint="default"/>
                <w:sz w:val="20"/>
                <w:szCs w:val="20"/>
              </w:rPr>
            </w:pPr>
            <w:r>
              <w:rPr>
                <w:rFonts w:ascii="Arial"/>
                <w:sz w:val="20"/>
              </w:rPr>
              <w:t>-</w:t>
              <w:tab/>
              <w:t>-</w:t>
              <w:tab/>
            </w:r>
            <w:r>
              <w:rPr>
                <w:rFonts w:ascii="Arial"/>
                <w:spacing w:val="-1"/>
                <w:sz w:val="20"/>
              </w:rPr>
              <w:t>8,761,284</w:t>
            </w:r>
          </w:p>
        </w:tc>
      </w:tr>
      <w:tr>
        <w:trPr>
          <w:trHeight w:val="261" w:hRule="exact"/>
        </w:trPr>
        <w:tc>
          <w:tcPr>
            <w:tcW w:w="1623" w:type="dxa"/>
            <w:tcBorders>
              <w:top w:val="nil" w:sz="6" w:space="0" w:color="auto"/>
              <w:left w:val="nil" w:sz="6" w:space="0" w:color="auto"/>
              <w:bottom w:val="nil" w:sz="6" w:space="0" w:color="auto"/>
              <w:right w:val="nil" w:sz="6" w:space="0" w:color="auto"/>
            </w:tcBorders>
          </w:tcPr>
          <w:p>
            <w:pPr>
              <w:pStyle w:val="TableParagraph"/>
              <w:spacing w:line="219" w:lineRule="exact"/>
              <w:ind w:left="212" w:right="0"/>
              <w:jc w:val="left"/>
              <w:rPr>
                <w:rFonts w:ascii="宋体" w:hAnsi="宋体" w:cs="宋体" w:eastAsia="宋体" w:hint="default"/>
                <w:sz w:val="20"/>
                <w:szCs w:val="20"/>
              </w:rPr>
            </w:pPr>
            <w:r>
              <w:rPr>
                <w:rFonts w:ascii="宋体" w:hAnsi="宋体" w:cs="宋体" w:eastAsia="宋体" w:hint="default"/>
                <w:sz w:val="20"/>
                <w:szCs w:val="20"/>
              </w:rPr>
              <w:t>港元</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1"/>
              <w:jc w:val="right"/>
              <w:rPr>
                <w:rFonts w:ascii="Arial" w:hAnsi="Arial" w:cs="Arial" w:eastAsia="Arial" w:hint="default"/>
                <w:sz w:val="20"/>
                <w:szCs w:val="20"/>
              </w:rPr>
            </w:pPr>
            <w:r>
              <w:rPr>
                <w:rFonts w:ascii="Arial"/>
                <w:sz w:val="20"/>
              </w:rPr>
              <w:t>5,707</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7"/>
              <w:jc w:val="right"/>
              <w:rPr>
                <w:rFonts w:ascii="Arial" w:hAnsi="Arial" w:cs="Arial" w:eastAsia="Arial" w:hint="default"/>
                <w:sz w:val="20"/>
                <w:szCs w:val="20"/>
              </w:rPr>
            </w:pPr>
            <w:r>
              <w:rPr>
                <w:rFonts w:ascii="Arial"/>
                <w:sz w:val="20"/>
              </w:rPr>
              <w:t>0.8509</w:t>
            </w:r>
          </w:p>
        </w:tc>
        <w:tc>
          <w:tcPr>
            <w:tcW w:w="1193" w:type="dxa"/>
            <w:tcBorders>
              <w:top w:val="nil" w:sz="6" w:space="0" w:color="auto"/>
              <w:left w:val="nil" w:sz="6" w:space="0" w:color="auto"/>
              <w:bottom w:val="nil" w:sz="6" w:space="0" w:color="auto"/>
              <w:right w:val="nil" w:sz="6" w:space="0" w:color="auto"/>
            </w:tcBorders>
          </w:tcPr>
          <w:p>
            <w:pPr>
              <w:pStyle w:val="TableParagraph"/>
              <w:tabs>
                <w:tab w:pos="612" w:val="left" w:leader="none"/>
                <w:tab w:pos="1181" w:val="left" w:leader="none"/>
              </w:tabs>
              <w:spacing w:line="240" w:lineRule="auto" w:before="16"/>
              <w:ind w:right="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4,856</w:t>
              <w:tab/>
            </w:r>
            <w:r>
              <w:rPr>
                <w:rFonts w:ascii="Arial"/>
                <w:sz w:val="20"/>
              </w:rPr>
            </w:r>
          </w:p>
        </w:tc>
        <w:tc>
          <w:tcPr>
            <w:tcW w:w="238" w:type="dxa"/>
            <w:tcBorders>
              <w:top w:val="nil" w:sz="6" w:space="0" w:color="auto"/>
              <w:left w:val="nil" w:sz="6" w:space="0" w:color="auto"/>
              <w:bottom w:val="nil" w:sz="6" w:space="0" w:color="auto"/>
              <w:right w:val="nil" w:sz="6" w:space="0" w:color="auto"/>
            </w:tcBorders>
          </w:tcPr>
          <w:p>
            <w:pPr/>
          </w:p>
        </w:tc>
        <w:tc>
          <w:tcPr>
            <w:tcW w:w="3736" w:type="dxa"/>
            <w:tcBorders>
              <w:top w:val="nil" w:sz="6" w:space="0" w:color="auto"/>
              <w:left w:val="nil" w:sz="6" w:space="0" w:color="auto"/>
              <w:bottom w:val="nil" w:sz="6" w:space="0" w:color="auto"/>
              <w:right w:val="nil" w:sz="6" w:space="0" w:color="auto"/>
            </w:tcBorders>
          </w:tcPr>
          <w:p>
            <w:pPr>
              <w:pStyle w:val="TableParagraph"/>
              <w:tabs>
                <w:tab w:pos="1031" w:val="left" w:leader="none"/>
                <w:tab w:pos="1471" w:val="left" w:leader="none"/>
                <w:tab w:pos="2560" w:val="left" w:leader="none"/>
                <w:tab w:pos="2748" w:val="left" w:leader="none"/>
              </w:tabs>
              <w:spacing w:line="240" w:lineRule="auto" w:before="16"/>
              <w:ind w:right="5"/>
              <w:jc w:val="right"/>
              <w:rPr>
                <w:rFonts w:ascii="Arial" w:hAnsi="Arial" w:cs="Arial" w:eastAsia="Arial" w:hint="default"/>
                <w:sz w:val="20"/>
                <w:szCs w:val="20"/>
              </w:rPr>
            </w:pPr>
            <w:r>
              <w:rPr>
                <w:rFonts w:ascii="Arial"/>
                <w:sz w:val="20"/>
              </w:rPr>
              <w:t>-</w:t>
              <w:tab/>
              <w:t>-</w:t>
              <w:tab/>
            </w:r>
            <w:r>
              <w:rPr>
                <w:rFonts w:ascii="Arial"/>
                <w:sz w:val="20"/>
                <w:u w:val="single" w:color="000000"/>
              </w:rPr>
              <w:t> </w:t>
              <w:tab/>
              <w:t>-</w:t>
              <w:tab/>
            </w:r>
            <w:r>
              <w:rPr>
                <w:rFonts w:ascii="Arial"/>
                <w:sz w:val="20"/>
              </w:rPr>
            </w:r>
          </w:p>
        </w:tc>
      </w:tr>
      <w:tr>
        <w:trPr>
          <w:trHeight w:val="472" w:hRule="exact"/>
        </w:trPr>
        <w:tc>
          <w:tcPr>
            <w:tcW w:w="1623"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single" w:sz="4" w:space="0" w:color="000000"/>
              <w:right w:val="nil" w:sz="6" w:space="0" w:color="auto"/>
            </w:tcBorders>
          </w:tcPr>
          <w:p>
            <w:pPr>
              <w:pStyle w:val="TableParagraph"/>
              <w:tabs>
                <w:tab w:pos="1181" w:val="left" w:leader="none"/>
              </w:tabs>
              <w:spacing w:line="224" w:lineRule="exact"/>
              <w:ind w:right="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
                <w:sz w:val="20"/>
                <w:u w:val="single" w:color="000000"/>
              </w:rPr>
              <w:t>7,810,600</w:t>
              <w:tab/>
            </w:r>
            <w:r>
              <w:rPr>
                <w:rFonts w:ascii="Arial"/>
                <w:spacing w:val="-1"/>
                <w:sz w:val="20"/>
              </w:rPr>
            </w:r>
          </w:p>
        </w:tc>
        <w:tc>
          <w:tcPr>
            <w:tcW w:w="238" w:type="dxa"/>
            <w:tcBorders>
              <w:top w:val="nil" w:sz="6" w:space="0" w:color="auto"/>
              <w:left w:val="nil" w:sz="6" w:space="0" w:color="auto"/>
              <w:bottom w:val="nil" w:sz="6" w:space="0" w:color="auto"/>
              <w:right w:val="nil" w:sz="6" w:space="0" w:color="auto"/>
            </w:tcBorders>
          </w:tcPr>
          <w:p>
            <w:pPr/>
          </w:p>
        </w:tc>
        <w:tc>
          <w:tcPr>
            <w:tcW w:w="3736" w:type="dxa"/>
            <w:tcBorders>
              <w:top w:val="nil" w:sz="6" w:space="0" w:color="auto"/>
              <w:left w:val="nil" w:sz="6" w:space="0" w:color="auto"/>
              <w:bottom w:val="single" w:sz="4" w:space="0" w:color="000000"/>
              <w:right w:val="nil" w:sz="6" w:space="0" w:color="auto"/>
            </w:tcBorders>
          </w:tcPr>
          <w:p>
            <w:pPr>
              <w:pStyle w:val="TableParagraph"/>
              <w:tabs>
                <w:tab w:pos="265" w:val="left" w:leader="none"/>
                <w:tab w:pos="1276" w:val="left" w:leader="none"/>
              </w:tabs>
              <w:spacing w:line="224" w:lineRule="exact"/>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8,761,284</w:t>
              <w:tab/>
            </w:r>
            <w:r>
              <w:rPr>
                <w:rFonts w:ascii="Arial"/>
                <w:spacing w:val="-1"/>
                <w:sz w:val="20"/>
              </w:rPr>
            </w:r>
          </w:p>
        </w:tc>
      </w:tr>
      <w:tr>
        <w:trPr>
          <w:trHeight w:val="250" w:hRule="exact"/>
        </w:trPr>
        <w:tc>
          <w:tcPr>
            <w:tcW w:w="1623"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193"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70"/>
              <w:jc w:val="right"/>
              <w:rPr>
                <w:rFonts w:ascii="Arial" w:hAnsi="Arial" w:cs="Arial" w:eastAsia="Arial" w:hint="default"/>
                <w:sz w:val="20"/>
                <w:szCs w:val="20"/>
              </w:rPr>
            </w:pPr>
            <w:r>
              <w:rPr>
                <w:rFonts w:ascii="Arial"/>
                <w:spacing w:val="-1"/>
                <w:sz w:val="20"/>
              </w:rPr>
              <w:t>19,351,838</w:t>
            </w:r>
          </w:p>
        </w:tc>
        <w:tc>
          <w:tcPr>
            <w:tcW w:w="238" w:type="dxa"/>
            <w:tcBorders>
              <w:top w:val="nil" w:sz="6" w:space="0" w:color="auto"/>
              <w:left w:val="nil" w:sz="6" w:space="0" w:color="auto"/>
              <w:bottom w:val="nil" w:sz="6" w:space="0" w:color="auto"/>
              <w:right w:val="nil" w:sz="6" w:space="0" w:color="auto"/>
            </w:tcBorders>
          </w:tcPr>
          <w:p>
            <w:pPr/>
          </w:p>
        </w:tc>
        <w:tc>
          <w:tcPr>
            <w:tcW w:w="373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26"/>
              <w:jc w:val="right"/>
              <w:rPr>
                <w:rFonts w:ascii="Arial" w:hAnsi="Arial" w:cs="Arial" w:eastAsia="Arial" w:hint="default"/>
                <w:sz w:val="20"/>
                <w:szCs w:val="20"/>
              </w:rPr>
            </w:pPr>
            <w:r>
              <w:rPr>
                <w:rFonts w:ascii="Arial"/>
                <w:spacing w:val="-1"/>
                <w:sz w:val="20"/>
              </w:rPr>
              <w:t>21,960,978</w:t>
            </w:r>
          </w:p>
        </w:tc>
      </w:tr>
    </w:tbl>
    <w:p>
      <w:pPr>
        <w:spacing w:line="240" w:lineRule="auto" w:before="6"/>
        <w:rPr>
          <w:rFonts w:ascii="宋体" w:hAnsi="宋体" w:cs="宋体" w:eastAsia="宋体" w:hint="default"/>
          <w:sz w:val="11"/>
          <w:szCs w:val="11"/>
        </w:rPr>
      </w:pPr>
    </w:p>
    <w:p>
      <w:pPr>
        <w:pStyle w:val="BodyText"/>
        <w:spacing w:line="322" w:lineRule="exact" w:before="26"/>
        <w:ind w:left="796" w:right="104"/>
        <w:jc w:val="left"/>
        <w:rPr>
          <w:rFonts w:ascii="Arial" w:hAnsi="Arial" w:cs="Arial" w:eastAsia="Arial" w:hint="default"/>
        </w:rPr>
      </w:pPr>
      <w:r>
        <w:rPr/>
        <w:t>于</w:t>
      </w:r>
      <w:r>
        <w:rPr>
          <w:spacing w:val="-66"/>
        </w:rPr>
        <w:t> </w:t>
      </w:r>
      <w:r>
        <w:rPr>
          <w:rFonts w:ascii="Arial" w:hAnsi="Arial" w:cs="Arial" w:eastAsia="Arial" w:hint="default"/>
          <w:spacing w:val="-1"/>
          <w:w w:val="99"/>
        </w:rPr>
        <w:t>201</w:t>
      </w:r>
      <w:r>
        <w:rPr>
          <w:rFonts w:ascii="Arial" w:hAnsi="Arial" w:cs="Arial" w:eastAsia="Arial" w:hint="default"/>
          <w:w w:val="99"/>
        </w:rPr>
        <w:t>0</w:t>
      </w:r>
      <w:r>
        <w:rPr>
          <w:rFonts w:ascii="Arial" w:hAnsi="Arial" w:cs="Arial" w:eastAsia="Arial" w:hint="default"/>
          <w:spacing w:val="-13"/>
        </w:rPr>
        <w:t> </w:t>
      </w:r>
      <w:r>
        <w:rPr/>
        <w:t>年</w:t>
      </w:r>
      <w:r>
        <w:rPr>
          <w:spacing w:val="-66"/>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13"/>
        </w:rPr>
        <w:t> </w:t>
      </w:r>
      <w:r>
        <w:rPr/>
        <w:t>月</w:t>
      </w:r>
      <w:r>
        <w:rPr>
          <w:spacing w:val="-66"/>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13"/>
        </w:rPr>
        <w:t> </w:t>
      </w:r>
      <w:r>
        <w:rPr/>
        <w:t>日</w:t>
      </w:r>
      <w:r>
        <w:rPr>
          <w:spacing w:val="-120"/>
        </w:rPr>
        <w:t>，</w:t>
      </w:r>
      <w:r>
        <w:rPr/>
        <w:t>本集团将约人民币</w:t>
      </w:r>
      <w:r>
        <w:rPr>
          <w:spacing w:val="-66"/>
        </w:rPr>
        <w:t> </w:t>
      </w:r>
      <w:r>
        <w:rPr>
          <w:rFonts w:ascii="Arial" w:hAnsi="Arial" w:cs="Arial" w:eastAsia="Arial" w:hint="default"/>
          <w:spacing w:val="-1"/>
          <w:w w:val="99"/>
        </w:rPr>
        <w:t>71.</w:t>
      </w:r>
      <w:r>
        <w:rPr>
          <w:rFonts w:ascii="Arial" w:hAnsi="Arial" w:cs="Arial" w:eastAsia="Arial" w:hint="default"/>
          <w:w w:val="99"/>
        </w:rPr>
        <w:t>4</w:t>
      </w:r>
      <w:r>
        <w:rPr>
          <w:rFonts w:ascii="Arial" w:hAnsi="Arial" w:cs="Arial" w:eastAsia="Arial" w:hint="default"/>
          <w:spacing w:val="-13"/>
        </w:rPr>
        <w:t> </w:t>
      </w:r>
      <w:r>
        <w:rPr/>
        <w:t>亿元</w:t>
      </w:r>
      <w:r>
        <w:rPr>
          <w:rFonts w:ascii="Arial" w:hAnsi="Arial" w:cs="Arial" w:eastAsia="Arial" w:hint="default"/>
          <w:spacing w:val="-1"/>
          <w:w w:val="99"/>
        </w:rPr>
        <w:t>(200</w:t>
      </w:r>
      <w:r>
        <w:rPr>
          <w:rFonts w:ascii="Arial" w:hAnsi="Arial" w:cs="Arial" w:eastAsia="Arial" w:hint="default"/>
          <w:w w:val="99"/>
        </w:rPr>
        <w:t>9</w:t>
      </w:r>
      <w:r>
        <w:rPr>
          <w:rFonts w:ascii="Arial" w:hAnsi="Arial" w:cs="Arial" w:eastAsia="Arial" w:hint="default"/>
          <w:spacing w:val="-13"/>
        </w:rPr>
        <w:t> </w:t>
      </w:r>
      <w:r>
        <w:rPr/>
        <w:t>年</w:t>
      </w:r>
      <w:r>
        <w:rPr>
          <w:spacing w:val="-66"/>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13"/>
        </w:rPr>
        <w:t> </w:t>
      </w:r>
      <w:r>
        <w:rPr/>
        <w:t>月</w:t>
      </w:r>
      <w:r>
        <w:rPr>
          <w:spacing w:val="-66"/>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13"/>
        </w:rPr>
        <w:t> </w:t>
      </w:r>
      <w:r>
        <w:rPr/>
        <w:t>日</w:t>
      </w:r>
      <w:r>
        <w:rPr>
          <w:spacing w:val="-120"/>
        </w:rPr>
        <w:t>：</w:t>
      </w:r>
      <w:r>
        <w:rPr/>
        <w:t>约人民币</w:t>
      </w:r>
      <w:r>
        <w:rPr>
          <w:spacing w:val="-66"/>
        </w:rPr>
        <w:t> </w:t>
      </w:r>
      <w:r>
        <w:rPr>
          <w:rFonts w:ascii="Arial" w:hAnsi="Arial" w:cs="Arial" w:eastAsia="Arial" w:hint="default"/>
          <w:spacing w:val="-1"/>
        </w:rPr>
        <w:t>86</w:t>
      </w:r>
      <w:r>
        <w:rPr>
          <w:rFonts w:ascii="Arial" w:hAnsi="Arial" w:cs="Arial" w:eastAsia="Arial" w:hint="default"/>
          <w:spacing w:val="1"/>
        </w:rPr>
        <w:t>.</w:t>
      </w:r>
      <w:r>
        <w:rPr>
          <w:rFonts w:ascii="Arial" w:hAnsi="Arial" w:cs="Arial" w:eastAsia="Arial" w:hint="default"/>
          <w:w w:val="99"/>
        </w:rPr>
        <w:t>2</w:t>
      </w:r>
      <w:r>
        <w:rPr>
          <w:rFonts w:ascii="Arial" w:hAnsi="Arial" w:cs="Arial" w:eastAsia="Arial" w:hint="default"/>
        </w:rPr>
      </w:r>
    </w:p>
    <w:p>
      <w:pPr>
        <w:pStyle w:val="BodyText"/>
        <w:spacing w:line="322" w:lineRule="exact"/>
        <w:ind w:left="814" w:right="104"/>
        <w:jc w:val="left"/>
      </w:pPr>
      <w:r>
        <w:rPr/>
        <w:t>亿元</w:t>
      </w:r>
      <w:r>
        <w:rPr>
          <w:rFonts w:ascii="Arial" w:hAnsi="Arial" w:cs="Arial" w:eastAsia="Arial" w:hint="default"/>
        </w:rPr>
        <w:t>)</w:t>
      </w:r>
      <w:r>
        <w:rPr/>
        <w:t>的其他货币资金质押给银行作为开立银行承兑汇票的保证</w:t>
      </w:r>
      <w:r>
        <w:rPr>
          <w:rFonts w:ascii="Arial" w:hAnsi="Arial" w:cs="Arial" w:eastAsia="Arial" w:hint="default"/>
        </w:rPr>
        <w:t>(</w:t>
      </w:r>
      <w:r>
        <w:rPr/>
        <w:t>附注五</w:t>
      </w:r>
      <w:r>
        <w:rPr>
          <w:rFonts w:ascii="Arial" w:hAnsi="Arial" w:cs="Arial" w:eastAsia="Arial" w:hint="default"/>
        </w:rPr>
        <w:t>(21))</w:t>
      </w:r>
      <w:r>
        <w:rPr/>
        <w:t>。</w:t>
      </w:r>
    </w:p>
    <w:p>
      <w:pPr>
        <w:spacing w:line="240" w:lineRule="auto" w:before="8"/>
        <w:rPr>
          <w:rFonts w:ascii="宋体" w:hAnsi="宋体" w:cs="宋体" w:eastAsia="宋体" w:hint="default"/>
          <w:sz w:val="19"/>
          <w:szCs w:val="19"/>
        </w:rPr>
      </w:pPr>
    </w:p>
    <w:p>
      <w:pPr>
        <w:pStyle w:val="BodyText"/>
        <w:spacing w:line="322" w:lineRule="exact"/>
        <w:ind w:left="796" w:right="104"/>
        <w:jc w:val="left"/>
        <w:rPr>
          <w:rFonts w:ascii="Arial" w:hAnsi="Arial" w:cs="Arial" w:eastAsia="Arial" w:hint="default"/>
        </w:rPr>
      </w:pPr>
      <w:r>
        <w:rPr/>
        <w:t>于</w:t>
      </w:r>
      <w:r>
        <w:rPr>
          <w:spacing w:val="-76"/>
        </w:rPr>
        <w:t> </w:t>
      </w:r>
      <w:r>
        <w:rPr>
          <w:rFonts w:ascii="Arial" w:hAnsi="Arial" w:cs="Arial" w:eastAsia="Arial" w:hint="default"/>
          <w:spacing w:val="-1"/>
          <w:w w:val="99"/>
        </w:rPr>
        <w:t>201</w:t>
      </w:r>
      <w:r>
        <w:rPr>
          <w:rFonts w:ascii="Arial" w:hAnsi="Arial" w:cs="Arial" w:eastAsia="Arial" w:hint="default"/>
          <w:w w:val="99"/>
        </w:rPr>
        <w:t>0</w:t>
      </w:r>
      <w:r>
        <w:rPr>
          <w:rFonts w:ascii="Arial" w:hAnsi="Arial" w:cs="Arial" w:eastAsia="Arial" w:hint="default"/>
          <w:spacing w:val="-23"/>
        </w:rPr>
        <w:t> </w:t>
      </w:r>
      <w:r>
        <w:rPr/>
        <w:t>年</w:t>
      </w:r>
      <w:r>
        <w:rPr>
          <w:spacing w:val="-75"/>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23"/>
        </w:rPr>
        <w:t> </w:t>
      </w:r>
      <w:r>
        <w:rPr/>
        <w:t>月</w:t>
      </w:r>
      <w:r>
        <w:rPr>
          <w:spacing w:val="-76"/>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23"/>
        </w:rPr>
        <w:t> </w:t>
      </w:r>
      <w:r>
        <w:rPr>
          <w:spacing w:val="1"/>
        </w:rPr>
        <w:t>日</w:t>
      </w:r>
      <w:r>
        <w:rPr>
          <w:spacing w:val="-120"/>
        </w:rPr>
        <w:t>，</w:t>
      </w:r>
      <w:r>
        <w:rPr/>
        <w:t>本集团将约人民币</w:t>
      </w:r>
      <w:r>
        <w:rPr>
          <w:spacing w:val="-76"/>
        </w:rPr>
        <w:t> </w:t>
      </w:r>
      <w:r>
        <w:rPr>
          <w:rFonts w:ascii="Arial" w:hAnsi="Arial" w:cs="Arial" w:eastAsia="Arial" w:hint="default"/>
          <w:spacing w:val="-1"/>
          <w:w w:val="99"/>
        </w:rPr>
        <w:t>5.3</w:t>
      </w:r>
      <w:r>
        <w:rPr>
          <w:rFonts w:ascii="Arial" w:hAnsi="Arial" w:cs="Arial" w:eastAsia="Arial" w:hint="default"/>
          <w:w w:val="99"/>
        </w:rPr>
        <w:t>7</w:t>
      </w:r>
      <w:r>
        <w:rPr>
          <w:rFonts w:ascii="Arial" w:hAnsi="Arial" w:cs="Arial" w:eastAsia="Arial" w:hint="default"/>
          <w:spacing w:val="-23"/>
        </w:rPr>
        <w:t> </w:t>
      </w:r>
      <w:r>
        <w:rPr/>
        <w:t>亿元</w:t>
      </w:r>
      <w:r>
        <w:rPr>
          <w:rFonts w:ascii="Arial" w:hAnsi="Arial" w:cs="Arial" w:eastAsia="Arial" w:hint="default"/>
          <w:spacing w:val="-1"/>
          <w:w w:val="99"/>
        </w:rPr>
        <w:t>(200</w:t>
      </w:r>
      <w:r>
        <w:rPr>
          <w:rFonts w:ascii="Arial" w:hAnsi="Arial" w:cs="Arial" w:eastAsia="Arial" w:hint="default"/>
          <w:w w:val="99"/>
        </w:rPr>
        <w:t>9</w:t>
      </w:r>
      <w:r>
        <w:rPr>
          <w:rFonts w:ascii="Arial" w:hAnsi="Arial" w:cs="Arial" w:eastAsia="Arial" w:hint="default"/>
          <w:spacing w:val="-23"/>
        </w:rPr>
        <w:t> </w:t>
      </w:r>
      <w:r>
        <w:rPr/>
        <w:t>年</w:t>
      </w:r>
      <w:r>
        <w:rPr>
          <w:spacing w:val="-76"/>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23"/>
        </w:rPr>
        <w:t> </w:t>
      </w:r>
      <w:r>
        <w:rPr/>
        <w:t>月</w:t>
      </w:r>
      <w:r>
        <w:rPr>
          <w:spacing w:val="-75"/>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23"/>
        </w:rPr>
        <w:t> </w:t>
      </w:r>
      <w:r>
        <w:rPr/>
        <w:t>日</w:t>
      </w:r>
      <w:r>
        <w:rPr>
          <w:spacing w:val="-120"/>
        </w:rPr>
        <w:t>：</w:t>
      </w:r>
      <w:r>
        <w:rPr/>
        <w:t>约人民币</w:t>
      </w:r>
      <w:r>
        <w:rPr>
          <w:spacing w:val="-76"/>
        </w:rPr>
        <w:t> </w:t>
      </w:r>
      <w:r>
        <w:rPr>
          <w:rFonts w:ascii="Arial" w:hAnsi="Arial" w:cs="Arial" w:eastAsia="Arial" w:hint="default"/>
          <w:spacing w:val="-1"/>
          <w:w w:val="99"/>
        </w:rPr>
        <w:t>1,443</w:t>
      </w:r>
      <w:r>
        <w:rPr>
          <w:rFonts w:ascii="Arial" w:hAnsi="Arial" w:cs="Arial" w:eastAsia="Arial" w:hint="default"/>
        </w:rPr>
      </w:r>
    </w:p>
    <w:p>
      <w:pPr>
        <w:pStyle w:val="BodyText"/>
        <w:spacing w:line="322" w:lineRule="exact"/>
        <w:ind w:left="814" w:right="104"/>
        <w:jc w:val="left"/>
      </w:pPr>
      <w:r>
        <w:rPr/>
        <w:t>万元</w:t>
      </w:r>
      <w:r>
        <w:rPr>
          <w:rFonts w:ascii="Arial" w:hAnsi="Arial" w:cs="Arial" w:eastAsia="Arial" w:hint="default"/>
        </w:rPr>
        <w:t>)</w:t>
      </w:r>
      <w:r>
        <w:rPr/>
        <w:t>的其他货币资金质押给银行作为银行保函的保证金。</w:t>
      </w:r>
    </w:p>
    <w:p>
      <w:pPr>
        <w:spacing w:line="240" w:lineRule="auto" w:before="8"/>
        <w:rPr>
          <w:rFonts w:ascii="宋体" w:hAnsi="宋体" w:cs="宋体" w:eastAsia="宋体" w:hint="default"/>
          <w:sz w:val="19"/>
          <w:szCs w:val="19"/>
        </w:rPr>
      </w:pPr>
    </w:p>
    <w:p>
      <w:pPr>
        <w:pStyle w:val="BodyText"/>
        <w:spacing w:line="322" w:lineRule="exact"/>
        <w:ind w:left="796" w:right="104"/>
        <w:jc w:val="left"/>
      </w:pPr>
      <w:r>
        <w:rPr/>
        <w:t>于</w:t>
      </w:r>
      <w:r>
        <w:rPr>
          <w:spacing w:val="-49"/>
        </w:rPr>
        <w:t> </w:t>
      </w:r>
      <w:r>
        <w:rPr>
          <w:rFonts w:ascii="Arial" w:hAnsi="Arial" w:cs="Arial" w:eastAsia="Arial" w:hint="default"/>
        </w:rPr>
        <w:t>2010</w:t>
      </w:r>
      <w:r>
        <w:rPr>
          <w:rFonts w:ascii="Arial" w:hAnsi="Arial" w:cs="Arial" w:eastAsia="Arial" w:hint="default"/>
          <w:spacing w:val="5"/>
        </w:rPr>
        <w:t> </w:t>
      </w:r>
      <w:r>
        <w:rPr/>
        <w:t>年</w:t>
      </w:r>
      <w:r>
        <w:rPr>
          <w:spacing w:val="-49"/>
        </w:rPr>
        <w:t> </w:t>
      </w:r>
      <w:r>
        <w:rPr>
          <w:rFonts w:ascii="Arial" w:hAnsi="Arial" w:cs="Arial" w:eastAsia="Arial" w:hint="default"/>
        </w:rPr>
        <w:t>12</w:t>
      </w:r>
      <w:r>
        <w:rPr>
          <w:rFonts w:ascii="Arial" w:hAnsi="Arial" w:cs="Arial" w:eastAsia="Arial" w:hint="default"/>
          <w:spacing w:val="5"/>
        </w:rPr>
        <w:t> </w:t>
      </w:r>
      <w:r>
        <w:rPr/>
        <w:t>月</w:t>
      </w:r>
      <w:r>
        <w:rPr>
          <w:spacing w:val="-49"/>
        </w:rPr>
        <w:t> </w:t>
      </w:r>
      <w:r>
        <w:rPr>
          <w:rFonts w:ascii="Arial" w:hAnsi="Arial" w:cs="Arial" w:eastAsia="Arial" w:hint="default"/>
        </w:rPr>
        <w:t>31</w:t>
      </w:r>
      <w:r>
        <w:rPr>
          <w:rFonts w:ascii="Arial" w:hAnsi="Arial" w:cs="Arial" w:eastAsia="Arial" w:hint="default"/>
          <w:spacing w:val="4"/>
        </w:rPr>
        <w:t> </w:t>
      </w:r>
      <w:r>
        <w:rPr/>
        <w:t>日，其他货币资金包含中国银联银行卡跨行交易的在途货款约人民</w:t>
      </w:r>
    </w:p>
    <w:p>
      <w:pPr>
        <w:pStyle w:val="BodyText"/>
        <w:spacing w:line="322" w:lineRule="exact"/>
        <w:ind w:left="814" w:right="104"/>
        <w:jc w:val="left"/>
      </w:pPr>
      <w:r>
        <w:rPr/>
        <w:t>币</w:t>
      </w:r>
      <w:r>
        <w:rPr>
          <w:spacing w:val="-62"/>
        </w:rPr>
        <w:t> </w:t>
      </w:r>
      <w:r>
        <w:rPr>
          <w:rFonts w:ascii="Arial" w:hAnsi="Arial" w:cs="Arial" w:eastAsia="Arial" w:hint="default"/>
        </w:rPr>
        <w:t>1.35</w:t>
      </w:r>
      <w:r>
        <w:rPr>
          <w:rFonts w:ascii="Arial" w:hAnsi="Arial" w:cs="Arial" w:eastAsia="Arial" w:hint="default"/>
          <w:spacing w:val="-9"/>
        </w:rPr>
        <w:t> </w:t>
      </w:r>
      <w:r>
        <w:rPr/>
        <w:t>亿元</w:t>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日：约人民币</w:t>
      </w:r>
      <w:r>
        <w:rPr>
          <w:spacing w:val="-62"/>
        </w:rPr>
        <w:t> </w:t>
      </w:r>
      <w:r>
        <w:rPr>
          <w:rFonts w:ascii="Arial" w:hAnsi="Arial" w:cs="Arial" w:eastAsia="Arial" w:hint="default"/>
        </w:rPr>
        <w:t>1.25</w:t>
      </w:r>
      <w:r>
        <w:rPr>
          <w:rFonts w:ascii="Arial" w:hAnsi="Arial" w:cs="Arial" w:eastAsia="Arial" w:hint="default"/>
          <w:spacing w:val="-9"/>
        </w:rPr>
        <w:t> </w:t>
      </w:r>
      <w:r>
        <w:rPr/>
        <w:t>亿元</w:t>
      </w:r>
      <w:r>
        <w:rPr>
          <w:rFonts w:ascii="Arial" w:hAnsi="Arial" w:cs="Arial" w:eastAsia="Arial" w:hint="default"/>
        </w:rPr>
        <w:t>)</w:t>
      </w:r>
      <w:r>
        <w:rPr/>
        <w:t>。</w:t>
      </w:r>
    </w:p>
    <w:p>
      <w:pPr>
        <w:spacing w:line="240" w:lineRule="auto" w:before="13"/>
        <w:rPr>
          <w:rFonts w:ascii="宋体" w:hAnsi="宋体" w:cs="宋体" w:eastAsia="宋体" w:hint="default"/>
          <w:sz w:val="19"/>
          <w:szCs w:val="19"/>
        </w:rPr>
      </w:pPr>
    </w:p>
    <w:p>
      <w:pPr>
        <w:tabs>
          <w:tab w:pos="796" w:val="left" w:leader="none"/>
        </w:tabs>
        <w:spacing w:before="0"/>
        <w:ind w:left="107"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(2)</w:t>
        <w:tab/>
      </w:r>
      <w:r>
        <w:rPr>
          <w:rFonts w:ascii="宋体" w:hAnsi="宋体" w:cs="宋体" w:eastAsia="宋体" w:hint="default"/>
          <w:b/>
          <w:bCs/>
          <w:sz w:val="24"/>
          <w:szCs w:val="24"/>
        </w:rPr>
        <w:t>交易性金融资产</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7886" w:val="left" w:leader="none"/>
        </w:tabs>
        <w:spacing w:line="240" w:lineRule="auto"/>
        <w:ind w:left="4799" w:right="104"/>
        <w:jc w:val="left"/>
      </w:pP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10"/>
        </w:rPr>
        <w:t> </w:t>
      </w:r>
      <w:r>
        <w:rPr/>
        <w:t>年</w:t>
      </w:r>
      <w:r>
        <w:rPr>
          <w:spacing w:val="-64"/>
        </w:rPr>
        <w:t> </w:t>
      </w:r>
      <w:r>
        <w:rPr>
          <w:rFonts w:ascii="Arial" w:hAnsi="Arial" w:cs="Arial" w:eastAsia="Arial" w:hint="default"/>
        </w:rPr>
        <w:t>12</w:t>
      </w:r>
      <w:r>
        <w:rPr>
          <w:rFonts w:ascii="Arial" w:hAnsi="Arial" w:cs="Arial" w:eastAsia="Arial" w:hint="default"/>
          <w:spacing w:val="-11"/>
        </w:rPr>
        <w:t> </w:t>
      </w:r>
      <w:r>
        <w:rPr/>
        <w:t>月</w:t>
      </w:r>
      <w:r>
        <w:rPr>
          <w:spacing w:val="-64"/>
        </w:rPr>
        <w:t> </w:t>
      </w:r>
      <w:r>
        <w:rPr>
          <w:rFonts w:ascii="Arial" w:hAnsi="Arial" w:cs="Arial" w:eastAsia="Arial" w:hint="default"/>
        </w:rPr>
        <w:t>31</w:t>
      </w:r>
      <w:r>
        <w:rPr>
          <w:rFonts w:ascii="Arial" w:hAnsi="Arial" w:cs="Arial" w:eastAsia="Arial" w:hint="default"/>
          <w:spacing w:val="-11"/>
        </w:rPr>
        <w:t> </w:t>
      </w:r>
      <w:r>
        <w:rPr/>
        <w:t>日</w:t>
      </w:r>
    </w:p>
    <w:p>
      <w:pPr>
        <w:spacing w:line="240" w:lineRule="auto" w:before="6"/>
        <w:rPr>
          <w:rFonts w:ascii="宋体" w:hAnsi="宋体" w:cs="宋体" w:eastAsia="宋体" w:hint="default"/>
          <w:sz w:val="19"/>
          <w:szCs w:val="19"/>
        </w:rPr>
      </w:pPr>
    </w:p>
    <w:p>
      <w:pPr>
        <w:pStyle w:val="BodyText"/>
        <w:tabs>
          <w:tab w:pos="4671" w:val="left" w:leader="none"/>
          <w:tab w:pos="6746" w:val="left" w:leader="none"/>
          <w:tab w:pos="7771" w:val="left" w:leader="none"/>
          <w:tab w:pos="9321" w:val="left" w:leader="none"/>
          <w:tab w:pos="10066" w:val="left" w:leader="none"/>
        </w:tabs>
        <w:spacing w:line="240" w:lineRule="auto"/>
        <w:ind w:left="814" w:right="104"/>
        <w:jc w:val="left"/>
        <w:rPr>
          <w:rFonts w:ascii="Arial" w:hAnsi="Arial" w:cs="Arial" w:eastAsia="Arial" w:hint="default"/>
        </w:rPr>
      </w:pPr>
      <w:r>
        <w:rPr>
          <w:position w:val="2"/>
        </w:rPr>
        <w:t>衍生工具——新股预约权</w:t>
        <w:tab/>
      </w:r>
      <w:r>
        <w:rPr>
          <w:rFonts w:ascii="Arial" w:hAnsi="Arial" w:cs="Arial" w:eastAsia="Arial" w:hint="default"/>
        </w:rPr>
      </w:r>
      <w:r>
        <w:rPr>
          <w:rFonts w:ascii="Arial" w:hAnsi="Arial" w:cs="Arial" w:eastAsia="Arial" w:hint="default"/>
          <w:u w:val="thick" w:color="000000"/>
        </w:rPr>
        <w:t> </w:t>
        <w:tab/>
        <w:t>-</w:t>
      </w:r>
      <w:r>
        <w:rPr>
          <w:rFonts w:ascii="Arial" w:hAnsi="Arial" w:cs="Arial" w:eastAsia="Arial" w:hint="default"/>
        </w:rPr>
        <w:tab/>
      </w:r>
      <w:r>
        <w:rPr>
          <w:rFonts w:ascii="Arial" w:hAnsi="Arial" w:cs="Arial" w:eastAsia="Arial" w:hint="default"/>
          <w:u w:val="thick" w:color="000000"/>
        </w:rPr>
        <w:t> </w:t>
        <w:tab/>
        <w:t>7,378</w:t>
        <w:tab/>
      </w:r>
      <w:r>
        <w:rPr>
          <w:rFonts w:ascii="Arial" w:hAnsi="Arial" w:cs="Arial" w:eastAsia="Arial" w:hint="default"/>
        </w:rPr>
      </w:r>
    </w:p>
    <w:p>
      <w:pPr>
        <w:spacing w:line="240" w:lineRule="auto" w:before="1"/>
        <w:rPr>
          <w:rFonts w:ascii="Arial" w:hAnsi="Arial" w:cs="Arial" w:eastAsia="Arial" w:hint="default"/>
          <w:sz w:val="21"/>
          <w:szCs w:val="21"/>
        </w:rPr>
      </w:pPr>
    </w:p>
    <w:p>
      <w:pPr>
        <w:pStyle w:val="BodyText"/>
        <w:spacing w:line="312" w:lineRule="exact" w:before="56"/>
        <w:ind w:left="814" w:right="193" w:hanging="18"/>
        <w:jc w:val="both"/>
      </w:pPr>
      <w:r>
        <w:rPr/>
        <w:t>衍生工具为本集团于</w:t>
      </w:r>
      <w:r>
        <w:rPr>
          <w:spacing w:val="-37"/>
        </w:rPr>
        <w:t> </w:t>
      </w:r>
      <w:r>
        <w:rPr>
          <w:rFonts w:ascii="Arial" w:hAnsi="Arial" w:cs="Arial" w:eastAsia="Arial" w:hint="default"/>
        </w:rPr>
        <w:t>2009</w:t>
      </w:r>
      <w:r>
        <w:rPr>
          <w:rFonts w:ascii="Arial" w:hAnsi="Arial" w:cs="Arial" w:eastAsia="Arial" w:hint="default"/>
          <w:spacing w:val="16"/>
        </w:rPr>
        <w:t> </w:t>
      </w:r>
      <w:r>
        <w:rPr/>
        <w:t>年度收购</w:t>
      </w:r>
      <w:r>
        <w:rPr>
          <w:spacing w:val="-38"/>
        </w:rPr>
        <w:t> </w:t>
      </w:r>
      <w:r>
        <w:rPr>
          <w:rFonts w:ascii="Arial" w:hAnsi="Arial" w:cs="Arial" w:eastAsia="Arial" w:hint="default"/>
        </w:rPr>
        <w:t>LAOX</w:t>
      </w:r>
      <w:r>
        <w:rPr>
          <w:rFonts w:ascii="Arial" w:hAnsi="Arial" w:cs="Arial" w:eastAsia="Arial" w:hint="default"/>
          <w:spacing w:val="16"/>
        </w:rPr>
        <w:t> </w:t>
      </w:r>
      <w:r>
        <w:rPr/>
        <w:t>株式会社同时获取之新股预约权，即以合同 约定之行权价格在合同约定之行权期间内认购</w:t>
      </w:r>
      <w:r>
        <w:rPr>
          <w:spacing w:val="-53"/>
        </w:rPr>
        <w:t> </w:t>
      </w:r>
      <w:r>
        <w:rPr>
          <w:rFonts w:ascii="Arial" w:hAnsi="Arial" w:cs="Arial" w:eastAsia="Arial" w:hint="default"/>
        </w:rPr>
        <w:t>LAOX</w:t>
      </w:r>
      <w:r>
        <w:rPr>
          <w:rFonts w:ascii="Arial" w:hAnsi="Arial" w:cs="Arial" w:eastAsia="Arial" w:hint="default"/>
          <w:spacing w:val="-1"/>
        </w:rPr>
        <w:t> </w:t>
      </w:r>
      <w:r>
        <w:rPr/>
        <w:t>株式会社发行普通股之权利。该新 股预约权的公允价值根据二项期权定价模型计算确定。本集团已于</w:t>
      </w:r>
      <w:r>
        <w:rPr>
          <w:spacing w:val="-46"/>
        </w:rPr>
        <w:t> </w:t>
      </w:r>
      <w:r>
        <w:rPr>
          <w:rFonts w:ascii="Arial" w:hAnsi="Arial" w:cs="Arial" w:eastAsia="Arial" w:hint="default"/>
        </w:rPr>
        <w:t>2010</w:t>
      </w:r>
      <w:r>
        <w:rPr>
          <w:rFonts w:ascii="Arial" w:hAnsi="Arial" w:cs="Arial" w:eastAsia="Arial" w:hint="default"/>
          <w:spacing w:val="7"/>
        </w:rPr>
        <w:t> </w:t>
      </w:r>
      <w:r>
        <w:rPr/>
        <w:t>年</w:t>
      </w:r>
      <w:r>
        <w:rPr>
          <w:spacing w:val="-46"/>
        </w:rPr>
        <w:t> </w:t>
      </w:r>
      <w:r>
        <w:rPr>
          <w:rFonts w:ascii="Arial" w:hAnsi="Arial" w:cs="Arial" w:eastAsia="Arial" w:hint="default"/>
        </w:rPr>
        <w:t>6</w:t>
      </w:r>
      <w:r>
        <w:rPr>
          <w:rFonts w:ascii="Arial" w:hAnsi="Arial" w:cs="Arial" w:eastAsia="Arial" w:hint="default"/>
          <w:spacing w:val="8"/>
        </w:rPr>
        <w:t> </w:t>
      </w:r>
      <w:r>
        <w:rPr/>
        <w:t>月</w:t>
      </w:r>
      <w:r>
        <w:rPr>
          <w:spacing w:val="-46"/>
        </w:rPr>
        <w:t> </w:t>
      </w:r>
      <w:r>
        <w:rPr>
          <w:rFonts w:ascii="Arial" w:hAnsi="Arial" w:cs="Arial" w:eastAsia="Arial" w:hint="default"/>
        </w:rPr>
        <w:t>4</w:t>
      </w:r>
      <w:r>
        <w:rPr>
          <w:rFonts w:ascii="Arial" w:hAnsi="Arial" w:cs="Arial" w:eastAsia="Arial" w:hint="default"/>
          <w:spacing w:val="7"/>
        </w:rPr>
        <w:t> </w:t>
      </w:r>
      <w:r>
        <w:rPr/>
        <w:t>日行 使了所有新股预约权。</w:t>
      </w:r>
    </w:p>
    <w:p>
      <w:pPr>
        <w:spacing w:after="0" w:line="312" w:lineRule="exact"/>
        <w:jc w:val="both"/>
        <w:sectPr>
          <w:pgSz w:w="11910" w:h="16840"/>
          <w:pgMar w:header="1475" w:footer="947" w:top="3020" w:bottom="1140" w:left="1020" w:right="700"/>
        </w:sectPr>
      </w:pPr>
    </w:p>
    <w:p>
      <w:pPr>
        <w:spacing w:line="240" w:lineRule="auto" w:before="6"/>
        <w:rPr>
          <w:rFonts w:ascii="宋体" w:hAnsi="宋体" w:cs="宋体" w:eastAsia="宋体" w:hint="default"/>
          <w:sz w:val="13"/>
          <w:szCs w:val="13"/>
        </w:rPr>
      </w:pPr>
    </w:p>
    <w:p>
      <w:pPr>
        <w:pStyle w:val="Heading2"/>
        <w:tabs>
          <w:tab w:pos="797" w:val="left" w:leader="none"/>
        </w:tabs>
        <w:spacing w:line="240" w:lineRule="auto"/>
        <w:ind w:right="104"/>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19"/>
          <w:szCs w:val="19"/>
        </w:rPr>
      </w:pPr>
    </w:p>
    <w:p>
      <w:pPr>
        <w:tabs>
          <w:tab w:pos="796" w:val="left" w:leader="none"/>
        </w:tabs>
        <w:spacing w:before="0"/>
        <w:ind w:left="107"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(3)</w:t>
        <w:tab/>
      </w:r>
      <w:r>
        <w:rPr>
          <w:rFonts w:ascii="宋体" w:hAnsi="宋体" w:cs="宋体" w:eastAsia="宋体" w:hint="default"/>
          <w:b/>
          <w:bCs/>
          <w:sz w:val="24"/>
          <w:szCs w:val="24"/>
        </w:rPr>
        <w:t>应收票据</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pStyle w:val="BodyText"/>
        <w:tabs>
          <w:tab w:pos="7869" w:val="left" w:leader="none"/>
        </w:tabs>
        <w:spacing w:line="240" w:lineRule="auto" w:before="26"/>
        <w:ind w:left="4777" w:right="104"/>
        <w:jc w:val="left"/>
      </w:pP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spacing w:line="240" w:lineRule="auto" w:before="6"/>
        <w:rPr>
          <w:rFonts w:ascii="宋体" w:hAnsi="宋体" w:cs="宋体" w:eastAsia="宋体" w:hint="default"/>
          <w:sz w:val="19"/>
          <w:szCs w:val="19"/>
        </w:rPr>
      </w:pPr>
    </w:p>
    <w:p>
      <w:pPr>
        <w:pStyle w:val="BodyText"/>
        <w:tabs>
          <w:tab w:pos="4491" w:val="left" w:leader="none"/>
          <w:tab w:pos="6263" w:val="left" w:leader="none"/>
          <w:tab w:pos="7509" w:val="left" w:leader="none"/>
          <w:tab w:pos="9356" w:val="left" w:leader="none"/>
          <w:tab w:pos="10058" w:val="left" w:leader="none"/>
        </w:tabs>
        <w:spacing w:line="240" w:lineRule="auto"/>
        <w:ind w:left="814" w:right="104"/>
        <w:jc w:val="left"/>
        <w:rPr>
          <w:rFonts w:ascii="Arial" w:hAnsi="Arial" w:cs="Arial" w:eastAsia="Arial" w:hint="default"/>
        </w:rPr>
      </w:pPr>
      <w:r>
        <w:rPr>
          <w:position w:val="2"/>
        </w:rPr>
        <w:t>银行承兑汇票</w:t>
        <w:tab/>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2,505</w:t>
      </w:r>
      <w:r>
        <w:rPr>
          <w:rFonts w:ascii="Arial" w:hAnsi="Arial" w:cs="Arial" w:eastAsia="Arial" w:hint="default"/>
          <w:spacing w:val="-1"/>
        </w:rPr>
        <w:tab/>
      </w:r>
      <w:r>
        <w:rPr>
          <w:rFonts w:ascii="Arial" w:hAnsi="Arial" w:cs="Arial" w:eastAsia="Arial" w:hint="default"/>
          <w:spacing w:val="-1"/>
          <w:u w:val="thick" w:color="000000"/>
        </w:rPr>
        <w:t> </w:t>
        <w:tab/>
        <w:t>6,874</w:t>
        <w:tab/>
      </w:r>
      <w:r>
        <w:rPr>
          <w:rFonts w:ascii="Arial" w:hAnsi="Arial" w:cs="Arial" w:eastAsia="Arial" w:hint="default"/>
          <w:spacing w:val="-1"/>
        </w:rPr>
      </w:r>
    </w:p>
    <w:p>
      <w:pPr>
        <w:spacing w:line="240" w:lineRule="auto" w:before="1"/>
        <w:rPr>
          <w:rFonts w:ascii="Arial" w:hAnsi="Arial" w:cs="Arial" w:eastAsia="Arial" w:hint="default"/>
          <w:sz w:val="21"/>
          <w:szCs w:val="21"/>
        </w:rPr>
      </w:pPr>
    </w:p>
    <w:p>
      <w:pPr>
        <w:pStyle w:val="BodyText"/>
        <w:spacing w:line="240" w:lineRule="auto" w:before="26"/>
        <w:ind w:left="796" w:right="104"/>
        <w:jc w:val="left"/>
      </w:pPr>
      <w:r>
        <w:rPr/>
        <w:t>于</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日和</w:t>
      </w:r>
      <w:r>
        <w:rPr>
          <w:spacing w:val="-61"/>
        </w:rPr>
        <w:t> </w:t>
      </w:r>
      <w:r>
        <w:rPr>
          <w:rFonts w:ascii="Arial" w:hAnsi="Arial" w:cs="Arial" w:eastAsia="Arial" w:hint="default"/>
        </w:rPr>
        <w:t>2009</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日，本集团无已用于质押的应收票据。</w:t>
      </w:r>
    </w:p>
    <w:p>
      <w:pPr>
        <w:spacing w:line="240" w:lineRule="auto" w:before="8"/>
        <w:rPr>
          <w:rFonts w:ascii="宋体" w:hAnsi="宋体" w:cs="宋体" w:eastAsia="宋体" w:hint="default"/>
          <w:sz w:val="19"/>
          <w:szCs w:val="19"/>
        </w:rPr>
      </w:pPr>
    </w:p>
    <w:p>
      <w:pPr>
        <w:pStyle w:val="BodyText"/>
        <w:spacing w:line="322" w:lineRule="exact"/>
        <w:ind w:left="796" w:right="104"/>
        <w:jc w:val="left"/>
        <w:rPr>
          <w:rFonts w:ascii="Arial" w:hAnsi="Arial" w:cs="Arial" w:eastAsia="Arial" w:hint="default"/>
        </w:rPr>
      </w:pPr>
      <w:r>
        <w:rPr/>
        <w:t>于</w:t>
      </w:r>
      <w:r>
        <w:rPr>
          <w:spacing w:val="-90"/>
        </w:rPr>
        <w:t> </w:t>
      </w:r>
      <w:r>
        <w:rPr>
          <w:rFonts w:ascii="Arial" w:hAnsi="Arial" w:cs="Arial" w:eastAsia="Arial" w:hint="default"/>
          <w:spacing w:val="-1"/>
          <w:w w:val="99"/>
        </w:rPr>
        <w:t>201</w:t>
      </w:r>
      <w:r>
        <w:rPr>
          <w:rFonts w:ascii="Arial" w:hAnsi="Arial" w:cs="Arial" w:eastAsia="Arial" w:hint="default"/>
          <w:w w:val="99"/>
        </w:rPr>
        <w:t>0</w:t>
      </w:r>
      <w:r>
        <w:rPr>
          <w:rFonts w:ascii="Arial" w:hAnsi="Arial" w:cs="Arial" w:eastAsia="Arial" w:hint="default"/>
          <w:spacing w:val="-36"/>
        </w:rPr>
        <w:t> </w:t>
      </w:r>
      <w:r>
        <w:rPr/>
        <w:t>年</w:t>
      </w:r>
      <w:r>
        <w:rPr>
          <w:spacing w:val="-89"/>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37"/>
        </w:rPr>
        <w:t> </w:t>
      </w:r>
      <w:r>
        <w:rPr/>
        <w:t>月</w:t>
      </w:r>
      <w:r>
        <w:rPr>
          <w:spacing w:val="-90"/>
        </w:rPr>
        <w:t> </w:t>
      </w:r>
      <w:r>
        <w:rPr>
          <w:rFonts w:ascii="Arial" w:hAnsi="Arial" w:cs="Arial" w:eastAsia="Arial" w:hint="default"/>
          <w:w w:val="99"/>
        </w:rPr>
        <w:t>31</w:t>
      </w:r>
      <w:r>
        <w:rPr>
          <w:rFonts w:ascii="Arial" w:hAnsi="Arial" w:cs="Arial" w:eastAsia="Arial" w:hint="default"/>
          <w:spacing w:val="-37"/>
        </w:rPr>
        <w:t> </w:t>
      </w:r>
      <w:r>
        <w:rPr/>
        <w:t>日</w:t>
      </w:r>
      <w:r>
        <w:rPr>
          <w:spacing w:val="-119"/>
        </w:rPr>
        <w:t>，</w:t>
      </w:r>
      <w:r>
        <w:rPr/>
        <w:t>本集团无已背书但尚未到期的由第三方开具的银行承兑汇票</w:t>
      </w:r>
      <w:r>
        <w:rPr>
          <w:rFonts w:ascii="Arial" w:hAnsi="Arial" w:cs="Arial" w:eastAsia="Arial" w:hint="default"/>
          <w:spacing w:val="-1"/>
          <w:w w:val="99"/>
        </w:rPr>
        <w:t>(2009</w:t>
      </w:r>
      <w:r>
        <w:rPr>
          <w:rFonts w:ascii="Arial" w:hAnsi="Arial" w:cs="Arial" w:eastAsia="Arial" w:hint="default"/>
        </w:rPr>
      </w:r>
    </w:p>
    <w:p>
      <w:pPr>
        <w:pStyle w:val="BodyText"/>
        <w:spacing w:line="322" w:lineRule="exact"/>
        <w:ind w:left="814" w:right="104"/>
        <w:jc w:val="left"/>
      </w:pP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日：约人民币</w:t>
      </w:r>
      <w:r>
        <w:rPr>
          <w:spacing w:val="-61"/>
        </w:rPr>
        <w:t> </w:t>
      </w:r>
      <w:r>
        <w:rPr>
          <w:rFonts w:ascii="Arial" w:hAnsi="Arial" w:cs="Arial" w:eastAsia="Arial" w:hint="default"/>
        </w:rPr>
        <w:t>0.33</w:t>
      </w:r>
      <w:r>
        <w:rPr>
          <w:rFonts w:ascii="Arial" w:hAnsi="Arial" w:cs="Arial" w:eastAsia="Arial" w:hint="default"/>
          <w:spacing w:val="-8"/>
        </w:rPr>
        <w:t> </w:t>
      </w:r>
      <w:r>
        <w:rPr/>
        <w:t>亿元</w:t>
      </w:r>
      <w:r>
        <w:rPr>
          <w:rFonts w:ascii="Arial" w:hAnsi="Arial" w:cs="Arial" w:eastAsia="Arial" w:hint="default"/>
        </w:rPr>
        <w:t>)</w:t>
      </w:r>
      <w:r>
        <w:rPr/>
        <w:t>。</w:t>
      </w: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1475" w:footer="947" w:top="3020" w:bottom="1140" w:left="1020" w:right="700"/>
        </w:sectPr>
      </w:pPr>
    </w:p>
    <w:p>
      <w:pPr>
        <w:tabs>
          <w:tab w:pos="799" w:val="left" w:leader="none"/>
        </w:tabs>
        <w:spacing w:before="32"/>
        <w:ind w:left="103"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(4)</w:t>
        <w:tab/>
      </w:r>
      <w:r>
        <w:rPr>
          <w:rFonts w:ascii="宋体" w:hAnsi="宋体" w:cs="宋体" w:eastAsia="宋体" w:hint="default"/>
          <w:b/>
          <w:bCs/>
          <w:w w:val="95"/>
          <w:sz w:val="24"/>
          <w:szCs w:val="24"/>
        </w:rPr>
        <w:t>应收利息</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r>
        <w:rPr/>
        <w:br w:type="column"/>
      </w:r>
      <w:r>
        <w:rPr>
          <w:rFonts w:ascii="宋体"/>
          <w:b/>
          <w:sz w:val="26"/>
        </w:rPr>
      </w:r>
    </w:p>
    <w:p>
      <w:pPr>
        <w:pStyle w:val="BodyText"/>
        <w:spacing w:line="322" w:lineRule="exact"/>
        <w:ind w:left="464" w:right="-20"/>
        <w:jc w:val="left"/>
      </w:pPr>
      <w:r>
        <w:rPr>
          <w:rFonts w:ascii="Arial" w:hAnsi="Arial" w:cs="Arial" w:eastAsia="Arial" w:hint="default"/>
        </w:rPr>
        <w:t>2009</w:t>
      </w:r>
      <w:r>
        <w:rPr>
          <w:rFonts w:ascii="Arial" w:hAnsi="Arial" w:cs="Arial" w:eastAsia="Arial" w:hint="default"/>
          <w:spacing w:val="-11"/>
        </w:rPr>
        <w:t> </w:t>
      </w:r>
      <w:r>
        <w:rPr/>
        <w:t>年</w:t>
      </w:r>
    </w:p>
    <w:p>
      <w:pPr>
        <w:pStyle w:val="BodyText"/>
        <w:tabs>
          <w:tab w:pos="1894" w:val="left" w:leader="none"/>
          <w:tab w:pos="3453" w:val="left" w:leader="none"/>
        </w:tabs>
        <w:spacing w:line="322" w:lineRule="exact"/>
        <w:ind w:left="103" w:right="-2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t>本年增加</w:t>
        <w:tab/>
        <w:t>本年减少</w:t>
      </w:r>
    </w:p>
    <w:p>
      <w:pPr>
        <w:spacing w:line="240" w:lineRule="auto" w:before="4"/>
        <w:rPr>
          <w:rFonts w:ascii="宋体" w:hAnsi="宋体" w:cs="宋体" w:eastAsia="宋体" w:hint="default"/>
          <w:sz w:val="26"/>
          <w:szCs w:val="26"/>
        </w:rPr>
      </w:pPr>
      <w:r>
        <w:rPr/>
        <w:br w:type="column"/>
      </w:r>
      <w:r>
        <w:rPr>
          <w:rFonts w:ascii="宋体"/>
          <w:sz w:val="26"/>
        </w:rPr>
      </w:r>
    </w:p>
    <w:p>
      <w:pPr>
        <w:pStyle w:val="BodyText"/>
        <w:spacing w:line="322" w:lineRule="exact"/>
        <w:ind w:left="464" w:right="0"/>
        <w:jc w:val="left"/>
      </w:pPr>
      <w:r>
        <w:rPr>
          <w:rFonts w:ascii="Arial" w:hAnsi="Arial" w:cs="Arial" w:eastAsia="Arial" w:hint="default"/>
        </w:rPr>
        <w:t>2010</w:t>
      </w:r>
      <w:r>
        <w:rPr>
          <w:rFonts w:ascii="Arial" w:hAnsi="Arial" w:cs="Arial" w:eastAsia="Arial" w:hint="default"/>
          <w:spacing w:val="-11"/>
        </w:rPr>
        <w:t> </w:t>
      </w:r>
      <w:r>
        <w:rPr/>
        <w:t>年</w:t>
      </w:r>
    </w:p>
    <w:p>
      <w:pPr>
        <w:pStyle w:val="BodyText"/>
        <w:spacing w:line="322" w:lineRule="exact"/>
        <w:ind w:left="103" w:right="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left"/>
        <w:sectPr>
          <w:type w:val="continuous"/>
          <w:pgSz w:w="11910" w:h="16840"/>
          <w:pgMar w:top="920" w:bottom="900" w:left="1020" w:right="700"/>
          <w:cols w:num="3" w:equalWidth="0">
            <w:col w:w="1761" w:space="1797"/>
            <w:col w:w="4414" w:space="688"/>
            <w:col w:w="1530"/>
          </w:cols>
        </w:sectPr>
      </w:pPr>
    </w:p>
    <w:p>
      <w:pPr>
        <w:spacing w:line="240" w:lineRule="auto" w:before="8"/>
        <w:rPr>
          <w:rFonts w:ascii="宋体" w:hAnsi="宋体" w:cs="宋体" w:eastAsia="宋体" w:hint="default"/>
          <w:sz w:val="17"/>
          <w:szCs w:val="17"/>
        </w:rPr>
      </w:pPr>
    </w:p>
    <w:p>
      <w:pPr>
        <w:pStyle w:val="BodyText"/>
        <w:spacing w:line="312" w:lineRule="exact" w:before="26"/>
        <w:ind w:left="817" w:right="104"/>
        <w:jc w:val="left"/>
      </w:pPr>
      <w:r>
        <w:rPr/>
        <w:t>应收银行承兑汇票</w:t>
      </w:r>
    </w:p>
    <w:p>
      <w:pPr>
        <w:pStyle w:val="BodyText"/>
        <w:tabs>
          <w:tab w:pos="3255" w:val="left" w:leader="none"/>
          <w:tab w:pos="4078" w:val="left" w:leader="none"/>
          <w:tab w:pos="5237" w:val="left" w:leader="none"/>
          <w:tab w:pos="5539" w:val="left" w:leader="none"/>
          <w:tab w:pos="6797" w:val="left" w:leader="none"/>
          <w:tab w:pos="8356" w:val="left" w:leader="none"/>
          <w:tab w:pos="9186" w:val="left" w:leader="none"/>
          <w:tab w:pos="10058" w:val="left" w:leader="none"/>
        </w:tabs>
        <w:spacing w:line="349" w:lineRule="exact"/>
        <w:ind w:left="1042" w:right="104"/>
        <w:jc w:val="left"/>
        <w:rPr>
          <w:rFonts w:ascii="Arial" w:hAnsi="Arial" w:cs="Arial" w:eastAsia="Arial" w:hint="default"/>
        </w:rPr>
      </w:pPr>
      <w:r>
        <w:rPr>
          <w:position w:val="2"/>
        </w:rPr>
        <w:t>保证金利息</w:t>
        <w:tab/>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32,376</w:t>
      </w:r>
      <w:r>
        <w:rPr>
          <w:rFonts w:ascii="Arial" w:hAnsi="Arial" w:cs="Arial" w:eastAsia="Arial" w:hint="default"/>
          <w:spacing w:val="-1"/>
        </w:rPr>
        <w:tab/>
      </w:r>
      <w:r>
        <w:rPr>
          <w:rFonts w:ascii="Arial" w:hAnsi="Arial" w:cs="Arial" w:eastAsia="Arial" w:hint="default"/>
          <w:spacing w:val="-1"/>
          <w:u w:val="thick" w:color="000000"/>
        </w:rPr>
        <w:t> </w:t>
        <w:tab/>
        <w:t>192,467</w:t>
      </w:r>
      <w:r>
        <w:rPr>
          <w:rFonts w:ascii="Arial" w:hAnsi="Arial" w:cs="Arial" w:eastAsia="Arial" w:hint="default"/>
          <w:spacing w:val="-1"/>
        </w:rPr>
        <w:tab/>
      </w:r>
      <w:r>
        <w:rPr>
          <w:rFonts w:ascii="Arial" w:hAnsi="Arial" w:cs="Arial" w:eastAsia="Arial" w:hint="default"/>
          <w:spacing w:val="-1"/>
          <w:u w:val="thick" w:color="000000"/>
        </w:rPr>
        <w:t> (193,458)</w:t>
      </w:r>
      <w:r>
        <w:rPr>
          <w:rFonts w:ascii="Arial" w:hAnsi="Arial" w:cs="Arial" w:eastAsia="Arial" w:hint="default"/>
          <w:spacing w:val="-1"/>
        </w:rPr>
        <w:tab/>
      </w:r>
      <w:r>
        <w:rPr>
          <w:rFonts w:ascii="Arial" w:hAnsi="Arial" w:cs="Arial" w:eastAsia="Arial" w:hint="default"/>
          <w:spacing w:val="-1"/>
          <w:u w:val="thick" w:color="000000"/>
        </w:rPr>
        <w:t> </w:t>
        <w:tab/>
        <w:t>31,385</w:t>
        <w:tab/>
      </w:r>
      <w:r>
        <w:rPr>
          <w:rFonts w:ascii="Arial" w:hAnsi="Arial" w:cs="Arial" w:eastAsia="Arial" w:hint="default"/>
          <w:spacing w:val="-1"/>
        </w:rPr>
      </w:r>
    </w:p>
    <w:p>
      <w:pPr>
        <w:spacing w:line="240" w:lineRule="auto" w:before="7"/>
        <w:rPr>
          <w:rFonts w:ascii="Arial" w:hAnsi="Arial" w:cs="Arial" w:eastAsia="Arial" w:hint="default"/>
          <w:sz w:val="20"/>
          <w:szCs w:val="20"/>
        </w:rPr>
      </w:pPr>
    </w:p>
    <w:p>
      <w:pPr>
        <w:tabs>
          <w:tab w:pos="817" w:val="left" w:leader="none"/>
        </w:tabs>
        <w:spacing w:before="32"/>
        <w:ind w:left="103"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(5)</w:t>
        <w:tab/>
      </w:r>
      <w:r>
        <w:rPr>
          <w:rFonts w:ascii="宋体" w:hAnsi="宋体" w:cs="宋体" w:eastAsia="宋体" w:hint="default"/>
          <w:b/>
          <w:bCs/>
          <w:sz w:val="24"/>
          <w:szCs w:val="24"/>
        </w:rPr>
        <w:t>应收账款</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pStyle w:val="BodyText"/>
        <w:tabs>
          <w:tab w:pos="7829" w:val="left" w:leader="none"/>
        </w:tabs>
        <w:spacing w:line="240" w:lineRule="auto" w:before="26"/>
        <w:ind w:left="4654" w:right="104"/>
        <w:jc w:val="left"/>
      </w:pP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spacing w:line="240" w:lineRule="auto" w:before="6"/>
        <w:rPr>
          <w:rFonts w:ascii="宋体" w:hAnsi="宋体" w:cs="宋体" w:eastAsia="宋体" w:hint="default"/>
          <w:sz w:val="21"/>
          <w:szCs w:val="21"/>
        </w:rPr>
      </w:pPr>
    </w:p>
    <w:p>
      <w:pPr>
        <w:pStyle w:val="BodyText"/>
        <w:tabs>
          <w:tab w:pos="5631" w:val="left" w:leader="none"/>
          <w:tab w:pos="9036" w:val="left" w:leader="none"/>
        </w:tabs>
        <w:spacing w:line="332" w:lineRule="exact"/>
        <w:ind w:left="817" w:right="104"/>
        <w:jc w:val="left"/>
        <w:rPr>
          <w:rFonts w:ascii="Arial" w:hAnsi="Arial" w:cs="Arial" w:eastAsia="Arial" w:hint="default"/>
        </w:rPr>
      </w:pPr>
      <w:r>
        <w:rPr>
          <w:position w:val="2"/>
        </w:rPr>
        <w:t>应收账款</w:t>
        <w:tab/>
      </w:r>
      <w:r>
        <w:rPr>
          <w:rFonts w:ascii="Arial" w:hAnsi="Arial" w:cs="Arial" w:eastAsia="Arial" w:hint="default"/>
          <w:spacing w:val="-1"/>
        </w:rPr>
        <w:t>1,132,744</w:t>
        <w:tab/>
        <w:t>356,053</w:t>
      </w:r>
      <w:r>
        <w:rPr>
          <w:rFonts w:ascii="Arial" w:hAnsi="Arial" w:cs="Arial" w:eastAsia="Arial" w:hint="default"/>
        </w:rPr>
      </w:r>
    </w:p>
    <w:p>
      <w:pPr>
        <w:pStyle w:val="BodyText"/>
        <w:tabs>
          <w:tab w:pos="4240" w:val="left" w:leader="none"/>
          <w:tab w:pos="5885" w:val="left" w:leader="none"/>
          <w:tab w:pos="7570" w:val="left" w:leader="none"/>
          <w:tab w:pos="9219" w:val="left" w:leader="none"/>
          <w:tab w:pos="10081" w:val="left" w:leader="none"/>
        </w:tabs>
        <w:spacing w:line="332" w:lineRule="exact"/>
        <w:ind w:left="817" w:right="104"/>
        <w:jc w:val="left"/>
        <w:rPr>
          <w:rFonts w:ascii="Arial" w:hAnsi="Arial" w:cs="Arial" w:eastAsia="Arial" w:hint="default"/>
        </w:rPr>
      </w:pPr>
      <w:r>
        <w:rPr>
          <w:position w:val="2"/>
        </w:rPr>
        <w:t>减：坏账准备</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(28,133)</w:t>
      </w:r>
      <w:r>
        <w:rPr>
          <w:rFonts w:ascii="Arial" w:hAnsi="Arial" w:cs="Arial" w:eastAsia="Arial" w:hint="default"/>
          <w:spacing w:val="-1"/>
        </w:rPr>
        <w:tab/>
      </w:r>
      <w:r>
        <w:rPr>
          <w:rFonts w:ascii="Arial" w:hAnsi="Arial" w:cs="Arial" w:eastAsia="Arial" w:hint="default"/>
          <w:spacing w:val="-1"/>
          <w:u w:val="single" w:color="000000"/>
        </w:rPr>
        <w:t> </w:t>
        <w:tab/>
        <w:t>(9,029)</w:t>
        <w:tab/>
      </w:r>
      <w:r>
        <w:rPr>
          <w:rFonts w:ascii="Arial" w:hAnsi="Arial" w:cs="Arial" w:eastAsia="Arial" w:hint="default"/>
          <w:spacing w:val="-1"/>
        </w:rPr>
      </w:r>
    </w:p>
    <w:p>
      <w:pPr>
        <w:pStyle w:val="BodyText"/>
        <w:tabs>
          <w:tab w:pos="5649" w:val="left" w:leader="none"/>
          <w:tab w:pos="7570" w:val="left" w:leader="none"/>
          <w:tab w:pos="9036" w:val="left" w:leader="none"/>
          <w:tab w:pos="10081" w:val="left" w:leader="none"/>
        </w:tabs>
        <w:spacing w:line="240" w:lineRule="auto" w:before="9"/>
        <w:ind w:left="4240" w:right="104"/>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3"/>
          <w:u w:val="thick" w:color="000000"/>
        </w:rPr>
        <w:t>1,104,611</w:t>
      </w:r>
      <w:r>
        <w:rPr>
          <w:rFonts w:ascii="Arial"/>
          <w:spacing w:val="-3"/>
        </w:rPr>
        <w:tab/>
      </w:r>
      <w:r>
        <w:rPr>
          <w:rFonts w:ascii="Arial"/>
          <w:spacing w:val="-3"/>
          <w:u w:val="thick" w:color="000000"/>
        </w:rPr>
        <w:t> </w:t>
        <w:tab/>
      </w:r>
      <w:r>
        <w:rPr>
          <w:rFonts w:ascii="Arial"/>
          <w:u w:val="thick" w:color="000000"/>
        </w:rPr>
        <w:t>347,024</w:t>
        <w:tab/>
      </w:r>
      <w:r>
        <w:rPr>
          <w:rFonts w:ascii="Arial"/>
        </w:rPr>
      </w:r>
    </w:p>
    <w:p>
      <w:pPr>
        <w:spacing w:after="0" w:line="240" w:lineRule="auto"/>
        <w:jc w:val="left"/>
        <w:rPr>
          <w:rFonts w:ascii="Arial" w:hAnsi="Arial" w:cs="Arial" w:eastAsia="Arial" w:hint="default"/>
        </w:rPr>
        <w:sectPr>
          <w:type w:val="continuous"/>
          <w:pgSz w:w="11910" w:h="16840"/>
          <w:pgMar w:top="920" w:bottom="900" w:left="1020" w:right="700"/>
        </w:sectPr>
      </w:pPr>
    </w:p>
    <w:p>
      <w:pPr>
        <w:spacing w:line="240" w:lineRule="auto" w:before="4"/>
        <w:rPr>
          <w:rFonts w:ascii="Arial" w:hAnsi="Arial" w:cs="Arial" w:eastAsia="Arial" w:hint="default"/>
          <w:sz w:val="15"/>
          <w:szCs w:val="15"/>
        </w:rPr>
      </w:pPr>
    </w:p>
    <w:tbl>
      <w:tblPr>
        <w:tblW w:w="0" w:type="auto"/>
        <w:jc w:val="left"/>
        <w:tblInd w:w="108" w:type="dxa"/>
        <w:tblLayout w:type="fixed"/>
        <w:tblCellMar>
          <w:top w:w="0" w:type="dxa"/>
          <w:left w:w="0" w:type="dxa"/>
          <w:bottom w:w="0" w:type="dxa"/>
          <w:right w:w="0" w:type="dxa"/>
        </w:tblCellMar>
        <w:tblLook w:val="01E0"/>
      </w:tblPr>
      <w:tblGrid>
        <w:gridCol w:w="529"/>
        <w:gridCol w:w="3509"/>
        <w:gridCol w:w="3480"/>
        <w:gridCol w:w="2784"/>
      </w:tblGrid>
      <w:tr>
        <w:trPr>
          <w:trHeight w:val="1070" w:hRule="exact"/>
        </w:trPr>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p>
            <w:pPr>
              <w:pStyle w:val="TableParagraph"/>
              <w:spacing w:line="240" w:lineRule="auto" w:before="0"/>
              <w:ind w:right="0"/>
              <w:jc w:val="left"/>
              <w:rPr>
                <w:rFonts w:ascii="Arial" w:hAnsi="Arial" w:cs="Arial" w:eastAsia="Arial" w:hint="default"/>
                <w:sz w:val="24"/>
                <w:szCs w:val="24"/>
              </w:rPr>
            </w:pPr>
          </w:p>
          <w:p>
            <w:pPr>
              <w:pStyle w:val="TableParagraph"/>
              <w:spacing w:line="240" w:lineRule="auto"/>
              <w:ind w:left="35" w:right="0"/>
              <w:jc w:val="left"/>
              <w:rPr>
                <w:rFonts w:ascii="Arial" w:hAnsi="Arial" w:cs="Arial" w:eastAsia="Arial" w:hint="default"/>
                <w:sz w:val="24"/>
                <w:szCs w:val="24"/>
              </w:rPr>
            </w:pPr>
            <w:r>
              <w:rPr>
                <w:rFonts w:ascii="Arial"/>
                <w:sz w:val="24"/>
              </w:rPr>
              <w:t>(5)</w:t>
            </w:r>
          </w:p>
        </w:tc>
        <w:tc>
          <w:tcPr>
            <w:tcW w:w="3509" w:type="dxa"/>
            <w:tcBorders>
              <w:top w:val="nil" w:sz="6" w:space="0" w:color="auto"/>
              <w:left w:val="nil" w:sz="6" w:space="0" w:color="auto"/>
              <w:bottom w:val="nil" w:sz="6" w:space="0" w:color="auto"/>
              <w:right w:val="nil" w:sz="6" w:space="0" w:color="auto"/>
            </w:tcBorders>
          </w:tcPr>
          <w:p>
            <w:pPr>
              <w:pStyle w:val="TableParagraph"/>
              <w:spacing w:line="400" w:lineRule="auto" w:before="26"/>
              <w:ind w:left="220" w:right="504" w:hanging="21"/>
              <w:jc w:val="left"/>
              <w:rPr>
                <w:rFonts w:ascii="Arial" w:hAnsi="Arial" w:cs="Arial" w:eastAsia="Arial"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3"/>
                <w:w w:val="95"/>
                <w:sz w:val="24"/>
                <w:szCs w:val="24"/>
              </w:rPr>
              <w:t> </w:t>
            </w:r>
            <w:r>
              <w:rPr>
                <w:rFonts w:ascii="宋体" w:hAnsi="宋体" w:cs="宋体" w:eastAsia="宋体" w:hint="default"/>
                <w:b/>
                <w:bCs/>
                <w:sz w:val="24"/>
                <w:szCs w:val="24"/>
              </w:rPr>
              <w:t>应收账款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6263" w:type="dxa"/>
            <w:gridSpan w:val="2"/>
            <w:vMerge w:val="restart"/>
            <w:tcBorders>
              <w:top w:val="nil" w:sz="6" w:space="0" w:color="auto"/>
              <w:left w:val="nil" w:sz="6" w:space="0" w:color="auto"/>
              <w:right w:val="nil" w:sz="6" w:space="0" w:color="auto"/>
            </w:tcBorders>
          </w:tcPr>
          <w:p>
            <w:pPr/>
          </w:p>
        </w:tc>
      </w:tr>
      <w:tr>
        <w:trPr>
          <w:trHeight w:val="585" w:hRule="exact"/>
        </w:trPr>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5" w:right="0"/>
              <w:jc w:val="left"/>
              <w:rPr>
                <w:rFonts w:ascii="Arial" w:hAnsi="Arial" w:cs="Arial" w:eastAsia="Arial" w:hint="default"/>
                <w:sz w:val="24"/>
                <w:szCs w:val="24"/>
              </w:rPr>
            </w:pPr>
            <w:r>
              <w:rPr>
                <w:rFonts w:ascii="Arial"/>
                <w:sz w:val="24"/>
              </w:rPr>
              <w:t>(a)</w:t>
            </w:r>
          </w:p>
        </w:tc>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20" w:right="0"/>
              <w:jc w:val="left"/>
              <w:rPr>
                <w:rFonts w:ascii="宋体" w:hAnsi="宋体" w:cs="宋体" w:eastAsia="宋体" w:hint="default"/>
                <w:sz w:val="24"/>
                <w:szCs w:val="24"/>
              </w:rPr>
            </w:pPr>
            <w:r>
              <w:rPr>
                <w:rFonts w:ascii="宋体" w:hAnsi="宋体" w:cs="宋体" w:eastAsia="宋体" w:hint="default"/>
                <w:sz w:val="24"/>
                <w:szCs w:val="24"/>
              </w:rPr>
              <w:t>应收账款账龄分析如下：</w:t>
            </w:r>
          </w:p>
        </w:tc>
        <w:tc>
          <w:tcPr>
            <w:tcW w:w="6263" w:type="dxa"/>
            <w:gridSpan w:val="2"/>
            <w:vMerge/>
            <w:tcBorders>
              <w:left w:val="nil" w:sz="6" w:space="0" w:color="auto"/>
              <w:bottom w:val="nil" w:sz="6" w:space="0" w:color="auto"/>
              <w:right w:val="nil" w:sz="6" w:space="0" w:color="auto"/>
            </w:tcBorders>
          </w:tcPr>
          <w:p>
            <w:pPr/>
          </w:p>
        </w:tc>
      </w:tr>
      <w:tr>
        <w:trPr>
          <w:trHeight w:val="594" w:hRule="exact"/>
        </w:trPr>
        <w:tc>
          <w:tcPr>
            <w:tcW w:w="529"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464"/>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8"/>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9" w:hRule="exact"/>
        </w:trPr>
        <w:tc>
          <w:tcPr>
            <w:tcW w:w="529"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20"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363"/>
              <w:jc w:val="right"/>
              <w:rPr>
                <w:rFonts w:ascii="Arial" w:hAnsi="Arial" w:cs="Arial" w:eastAsia="Arial" w:hint="default"/>
                <w:sz w:val="24"/>
                <w:szCs w:val="24"/>
              </w:rPr>
            </w:pPr>
            <w:r>
              <w:rPr>
                <w:rFonts w:ascii="Arial"/>
                <w:spacing w:val="-3"/>
                <w:w w:val="95"/>
                <w:sz w:val="24"/>
              </w:rPr>
              <w:t>1,117,265</w:t>
            </w:r>
            <w:r>
              <w:rPr>
                <w:rFonts w:ascii="Arial"/>
                <w:sz w:val="24"/>
              </w:rPr>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33"/>
              <w:jc w:val="right"/>
              <w:rPr>
                <w:rFonts w:ascii="Arial" w:hAnsi="Arial" w:cs="Arial" w:eastAsia="Arial" w:hint="default"/>
                <w:sz w:val="24"/>
                <w:szCs w:val="24"/>
              </w:rPr>
            </w:pPr>
            <w:r>
              <w:rPr>
                <w:rFonts w:ascii="Arial"/>
                <w:spacing w:val="-1"/>
                <w:w w:val="95"/>
                <w:sz w:val="24"/>
              </w:rPr>
              <w:t>339,666</w:t>
            </w:r>
            <w:r>
              <w:rPr>
                <w:rFonts w:ascii="Arial"/>
                <w:sz w:val="24"/>
              </w:rPr>
            </w:r>
          </w:p>
        </w:tc>
      </w:tr>
      <w:tr>
        <w:trPr>
          <w:trHeight w:val="312" w:hRule="exact"/>
        </w:trPr>
        <w:tc>
          <w:tcPr>
            <w:tcW w:w="529"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Style w:val="TableParagraph"/>
              <w:spacing w:line="261" w:lineRule="exact"/>
              <w:ind w:left="220"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61"/>
              <w:jc w:val="right"/>
              <w:rPr>
                <w:rFonts w:ascii="Arial" w:hAnsi="Arial" w:cs="Arial" w:eastAsia="Arial" w:hint="default"/>
                <w:sz w:val="24"/>
                <w:szCs w:val="24"/>
              </w:rPr>
            </w:pPr>
            <w:r>
              <w:rPr>
                <w:rFonts w:ascii="Arial"/>
                <w:spacing w:val="-4"/>
                <w:w w:val="95"/>
                <w:sz w:val="24"/>
              </w:rPr>
              <w:t>11,391</w:t>
            </w:r>
            <w:r>
              <w:rPr>
                <w:rFonts w:ascii="Arial"/>
                <w:sz w:val="24"/>
              </w:rPr>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4"/>
                <w:szCs w:val="24"/>
              </w:rPr>
            </w:pPr>
            <w:r>
              <w:rPr>
                <w:rFonts w:ascii="Arial"/>
                <w:spacing w:val="-1"/>
                <w:w w:val="95"/>
                <w:sz w:val="24"/>
              </w:rPr>
              <w:t>7,670</w:t>
            </w:r>
            <w:r>
              <w:rPr>
                <w:rFonts w:ascii="Arial"/>
                <w:sz w:val="24"/>
              </w:rPr>
            </w:r>
          </w:p>
        </w:tc>
      </w:tr>
      <w:tr>
        <w:trPr>
          <w:trHeight w:val="312" w:hRule="exact"/>
        </w:trPr>
        <w:tc>
          <w:tcPr>
            <w:tcW w:w="529"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Style w:val="TableParagraph"/>
              <w:spacing w:line="261" w:lineRule="exact"/>
              <w:ind w:left="220"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61"/>
              <w:jc w:val="right"/>
              <w:rPr>
                <w:rFonts w:ascii="Arial" w:hAnsi="Arial" w:cs="Arial" w:eastAsia="Arial" w:hint="default"/>
                <w:sz w:val="24"/>
                <w:szCs w:val="24"/>
              </w:rPr>
            </w:pPr>
            <w:r>
              <w:rPr>
                <w:rFonts w:ascii="Arial"/>
                <w:spacing w:val="-1"/>
                <w:w w:val="95"/>
                <w:sz w:val="24"/>
              </w:rPr>
              <w:t>2,206</w:t>
            </w:r>
            <w:r>
              <w:rPr>
                <w:rFonts w:ascii="Arial"/>
                <w:sz w:val="24"/>
              </w:rPr>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4"/>
                <w:szCs w:val="24"/>
              </w:rPr>
            </w:pPr>
            <w:r>
              <w:rPr>
                <w:rFonts w:ascii="Arial"/>
                <w:spacing w:val="-1"/>
                <w:w w:val="95"/>
                <w:sz w:val="24"/>
              </w:rPr>
              <w:t>7,096</w:t>
            </w:r>
            <w:r>
              <w:rPr>
                <w:rFonts w:ascii="Arial"/>
                <w:sz w:val="24"/>
              </w:rPr>
            </w:r>
          </w:p>
        </w:tc>
      </w:tr>
      <w:tr>
        <w:trPr>
          <w:trHeight w:val="312" w:hRule="exact"/>
        </w:trPr>
        <w:tc>
          <w:tcPr>
            <w:tcW w:w="529"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Style w:val="TableParagraph"/>
              <w:spacing w:line="261" w:lineRule="exact"/>
              <w:ind w:left="220"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61"/>
              <w:jc w:val="right"/>
              <w:rPr>
                <w:rFonts w:ascii="Arial" w:hAnsi="Arial" w:cs="Arial" w:eastAsia="Arial" w:hint="default"/>
                <w:sz w:val="24"/>
                <w:szCs w:val="24"/>
              </w:rPr>
            </w:pPr>
            <w:r>
              <w:rPr>
                <w:rFonts w:ascii="Arial"/>
                <w:spacing w:val="-1"/>
                <w:w w:val="95"/>
                <w:sz w:val="24"/>
              </w:rPr>
              <w:t>451</w:t>
            </w:r>
            <w:r>
              <w:rPr>
                <w:rFonts w:ascii="Arial"/>
                <w:sz w:val="24"/>
              </w:rPr>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4"/>
                <w:szCs w:val="24"/>
              </w:rPr>
            </w:pPr>
            <w:r>
              <w:rPr>
                <w:rFonts w:ascii="Arial"/>
                <w:spacing w:val="-1"/>
                <w:w w:val="95"/>
                <w:sz w:val="24"/>
              </w:rPr>
              <w:t>1,604</w:t>
            </w:r>
            <w:r>
              <w:rPr>
                <w:rFonts w:ascii="Arial"/>
                <w:sz w:val="24"/>
              </w:rPr>
            </w:r>
          </w:p>
        </w:tc>
      </w:tr>
      <w:tr>
        <w:trPr>
          <w:trHeight w:val="312" w:hRule="exact"/>
        </w:trPr>
        <w:tc>
          <w:tcPr>
            <w:tcW w:w="529"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Style w:val="TableParagraph"/>
              <w:spacing w:line="261" w:lineRule="exact"/>
              <w:ind w:left="220"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62"/>
              <w:jc w:val="right"/>
              <w:rPr>
                <w:rFonts w:ascii="Arial" w:hAnsi="Arial" w:cs="Arial" w:eastAsia="Arial" w:hint="default"/>
                <w:sz w:val="24"/>
                <w:szCs w:val="24"/>
              </w:rPr>
            </w:pPr>
            <w:r>
              <w:rPr>
                <w:rFonts w:ascii="Arial"/>
                <w:spacing w:val="-1"/>
                <w:w w:val="95"/>
                <w:sz w:val="24"/>
              </w:rPr>
              <w:t>1,423</w:t>
            </w:r>
            <w:r>
              <w:rPr>
                <w:rFonts w:ascii="Arial"/>
                <w:sz w:val="24"/>
              </w:rPr>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4"/>
                <w:szCs w:val="24"/>
              </w:rPr>
            </w:pPr>
            <w:r>
              <w:rPr>
                <w:rFonts w:ascii="Arial"/>
                <w:spacing w:val="-1"/>
                <w:w w:val="95"/>
                <w:sz w:val="24"/>
              </w:rPr>
              <w:t>17</w:t>
            </w:r>
            <w:r>
              <w:rPr>
                <w:rFonts w:ascii="Arial"/>
                <w:sz w:val="24"/>
              </w:rPr>
            </w:r>
          </w:p>
        </w:tc>
      </w:tr>
      <w:tr>
        <w:trPr>
          <w:trHeight w:val="314" w:hRule="exact"/>
        </w:trPr>
        <w:tc>
          <w:tcPr>
            <w:tcW w:w="529"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Style w:val="TableParagraph"/>
              <w:spacing w:line="261" w:lineRule="exact"/>
              <w:ind w:left="220"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3480" w:type="dxa"/>
            <w:tcBorders>
              <w:top w:val="nil" w:sz="6" w:space="0" w:color="auto"/>
              <w:left w:val="nil" w:sz="6" w:space="0" w:color="auto"/>
              <w:bottom w:val="nil" w:sz="6" w:space="0" w:color="auto"/>
              <w:right w:val="nil" w:sz="6" w:space="0" w:color="auto"/>
            </w:tcBorders>
          </w:tcPr>
          <w:p>
            <w:pPr>
              <w:pStyle w:val="TableParagraph"/>
              <w:tabs>
                <w:tab w:pos="2573" w:val="left" w:leader="none"/>
              </w:tabs>
              <w:spacing w:line="240" w:lineRule="auto" w:before="20"/>
              <w:ind w:right="36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8</w:t>
            </w:r>
            <w:r>
              <w:rPr>
                <w:rFonts w:ascii="Arial"/>
                <w:w w:val="95"/>
                <w:sz w:val="24"/>
              </w:rPr>
            </w:r>
            <w:r>
              <w:rPr>
                <w:rFonts w:ascii="Arial"/>
                <w:sz w:val="24"/>
              </w:rPr>
            </w:r>
          </w:p>
        </w:tc>
        <w:tc>
          <w:tcPr>
            <w:tcW w:w="2784" w:type="dxa"/>
            <w:tcBorders>
              <w:top w:val="nil" w:sz="6" w:space="0" w:color="auto"/>
              <w:left w:val="nil" w:sz="6" w:space="0" w:color="auto"/>
              <w:bottom w:val="nil" w:sz="6" w:space="0" w:color="auto"/>
              <w:right w:val="nil" w:sz="6" w:space="0" w:color="auto"/>
            </w:tcBorders>
          </w:tcPr>
          <w:p>
            <w:pPr>
              <w:pStyle w:val="TableParagraph"/>
              <w:tabs>
                <w:tab w:pos="2305" w:val="left" w:leader="none"/>
              </w:tabs>
              <w:spacing w:line="240" w:lineRule="auto" w:before="2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r>
      <w:tr>
        <w:trPr>
          <w:trHeight w:val="434" w:hRule="exact"/>
        </w:trPr>
        <w:tc>
          <w:tcPr>
            <w:tcW w:w="529"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tabs>
                <w:tab w:pos="1639" w:val="left" w:leader="none"/>
              </w:tabs>
              <w:spacing w:line="268" w:lineRule="exact"/>
              <w:ind w:right="36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w w:val="95"/>
                <w:sz w:val="24"/>
                <w:u w:val="thick" w:color="000000"/>
              </w:rPr>
              <w:t>1,132,744</w:t>
            </w:r>
            <w:r>
              <w:rPr>
                <w:rFonts w:ascii="Arial"/>
                <w:spacing w:val="-1"/>
                <w:w w:val="95"/>
                <w:sz w:val="24"/>
              </w:rPr>
            </w:r>
            <w:r>
              <w:rPr>
                <w:rFonts w:ascii="Arial"/>
                <w:sz w:val="24"/>
              </w:rPr>
            </w:r>
          </w:p>
        </w:tc>
        <w:tc>
          <w:tcPr>
            <w:tcW w:w="2784" w:type="dxa"/>
            <w:tcBorders>
              <w:top w:val="nil" w:sz="6" w:space="0" w:color="auto"/>
              <w:left w:val="nil" w:sz="6" w:space="0" w:color="auto"/>
              <w:bottom w:val="nil" w:sz="6" w:space="0" w:color="auto"/>
              <w:right w:val="nil" w:sz="6" w:space="0" w:color="auto"/>
            </w:tcBorders>
          </w:tcPr>
          <w:p>
            <w:pPr>
              <w:pStyle w:val="TableParagraph"/>
              <w:tabs>
                <w:tab w:pos="1518"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w w:val="95"/>
                <w:sz w:val="24"/>
                <w:u w:val="thick" w:color="000000"/>
              </w:rPr>
              <w:t>356,053</w:t>
            </w:r>
            <w:r>
              <w:rPr>
                <w:rFonts w:ascii="Arial"/>
                <w:spacing w:val="-1"/>
                <w:w w:val="95"/>
                <w:sz w:val="24"/>
              </w:rPr>
            </w:r>
            <w:r>
              <w:rPr>
                <w:rFonts w:ascii="Arial"/>
                <w:sz w:val="24"/>
              </w:rPr>
            </w:r>
          </w:p>
        </w:tc>
      </w:tr>
      <w:tr>
        <w:trPr>
          <w:trHeight w:val="518" w:hRule="exact"/>
        </w:trPr>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4"/>
                <w:szCs w:val="24"/>
              </w:rPr>
            </w:pPr>
            <w:r>
              <w:rPr>
                <w:rFonts w:ascii="Arial"/>
                <w:sz w:val="24"/>
              </w:rPr>
              <w:t>(b)</w:t>
            </w:r>
          </w:p>
        </w:tc>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20" w:right="0"/>
              <w:jc w:val="left"/>
              <w:rPr>
                <w:rFonts w:ascii="宋体" w:hAnsi="宋体" w:cs="宋体" w:eastAsia="宋体" w:hint="default"/>
                <w:sz w:val="24"/>
                <w:szCs w:val="24"/>
              </w:rPr>
            </w:pPr>
            <w:r>
              <w:rPr>
                <w:rFonts w:ascii="宋体" w:hAnsi="宋体" w:cs="宋体" w:eastAsia="宋体" w:hint="default"/>
                <w:sz w:val="24"/>
                <w:szCs w:val="24"/>
              </w:rPr>
              <w:t>应收账款按类别分析如下：</w:t>
            </w:r>
          </w:p>
        </w:tc>
        <w:tc>
          <w:tcPr>
            <w:tcW w:w="3480" w:type="dxa"/>
            <w:tcBorders>
              <w:top w:val="nil" w:sz="6" w:space="0" w:color="auto"/>
              <w:left w:val="nil" w:sz="6" w:space="0" w:color="auto"/>
              <w:bottom w:val="nil" w:sz="6" w:space="0" w:color="auto"/>
              <w:right w:val="nil" w:sz="6" w:space="0" w:color="auto"/>
            </w:tcBorders>
          </w:tcPr>
          <w:p>
            <w:pPr/>
          </w:p>
        </w:tc>
        <w:tc>
          <w:tcPr>
            <w:tcW w:w="2784"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Arial" w:hAnsi="Arial" w:cs="Arial" w:eastAsia="Arial" w:hint="default"/>
          <w:sz w:val="9"/>
          <w:szCs w:val="9"/>
        </w:rPr>
      </w:pPr>
    </w:p>
    <w:p>
      <w:pPr>
        <w:tabs>
          <w:tab w:pos="7737" w:val="left" w:leader="none"/>
        </w:tabs>
        <w:spacing w:before="38"/>
        <w:ind w:left="3756" w:right="523" w:firstLine="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line="240" w:lineRule="auto" w:before="5"/>
        <w:rPr>
          <w:rFonts w:ascii="宋体" w:hAnsi="宋体" w:cs="宋体" w:eastAsia="宋体" w:hint="default"/>
          <w:sz w:val="2"/>
          <w:szCs w:val="2"/>
        </w:rPr>
      </w:pPr>
    </w:p>
    <w:tbl>
      <w:tblPr>
        <w:tblW w:w="0" w:type="auto"/>
        <w:jc w:val="left"/>
        <w:tblInd w:w="823" w:type="dxa"/>
        <w:tblLayout w:type="fixed"/>
        <w:tblCellMar>
          <w:top w:w="0" w:type="dxa"/>
          <w:left w:w="0" w:type="dxa"/>
          <w:bottom w:w="0" w:type="dxa"/>
          <w:right w:w="0" w:type="dxa"/>
        </w:tblCellMar>
        <w:tblLook w:val="01E0"/>
      </w:tblPr>
      <w:tblGrid>
        <w:gridCol w:w="1851"/>
        <w:gridCol w:w="1882"/>
        <w:gridCol w:w="238"/>
        <w:gridCol w:w="1772"/>
        <w:gridCol w:w="233"/>
        <w:gridCol w:w="1783"/>
        <w:gridCol w:w="233"/>
        <w:gridCol w:w="1586"/>
      </w:tblGrid>
      <w:tr>
        <w:trPr>
          <w:trHeight w:val="289" w:hRule="exact"/>
        </w:trPr>
        <w:tc>
          <w:tcPr>
            <w:tcW w:w="1851" w:type="dxa"/>
            <w:vMerge w:val="restart"/>
            <w:tcBorders>
              <w:top w:val="nil" w:sz="6" w:space="0" w:color="auto"/>
              <w:left w:val="nil" w:sz="6" w:space="0" w:color="auto"/>
              <w:right w:val="nil" w:sz="6" w:space="0" w:color="auto"/>
            </w:tcBorders>
          </w:tcPr>
          <w:p>
            <w:pPr/>
          </w:p>
        </w:tc>
        <w:tc>
          <w:tcPr>
            <w:tcW w:w="1882" w:type="dxa"/>
            <w:tcBorders>
              <w:top w:val="single" w:sz="12" w:space="0" w:color="000000"/>
              <w:left w:val="nil" w:sz="6" w:space="0" w:color="auto"/>
              <w:bottom w:val="single" w:sz="12" w:space="0" w:color="000000"/>
              <w:right w:val="nil" w:sz="6" w:space="0" w:color="auto"/>
            </w:tcBorders>
          </w:tcPr>
          <w:p>
            <w:pPr>
              <w:pStyle w:val="TableParagraph"/>
              <w:spacing w:line="230" w:lineRule="exact"/>
              <w:ind w:left="572"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238" w:type="dxa"/>
            <w:tcBorders>
              <w:top w:val="single" w:sz="12" w:space="0" w:color="000000"/>
              <w:left w:val="nil" w:sz="6" w:space="0" w:color="auto"/>
              <w:bottom w:val="nil" w:sz="6" w:space="0" w:color="auto"/>
              <w:right w:val="nil" w:sz="6" w:space="0" w:color="auto"/>
            </w:tcBorders>
          </w:tcPr>
          <w:p>
            <w:pPr/>
          </w:p>
        </w:tc>
        <w:tc>
          <w:tcPr>
            <w:tcW w:w="1772" w:type="dxa"/>
            <w:tcBorders>
              <w:top w:val="single" w:sz="12" w:space="0" w:color="000000"/>
              <w:left w:val="nil" w:sz="6" w:space="0" w:color="auto"/>
              <w:bottom w:val="single" w:sz="12" w:space="0" w:color="000000"/>
              <w:right w:val="nil" w:sz="6" w:space="0" w:color="auto"/>
            </w:tcBorders>
          </w:tcPr>
          <w:p>
            <w:pPr>
              <w:pStyle w:val="TableParagraph"/>
              <w:spacing w:line="230" w:lineRule="exact"/>
              <w:ind w:left="518"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233" w:type="dxa"/>
            <w:tcBorders>
              <w:top w:val="nil" w:sz="6" w:space="0" w:color="auto"/>
              <w:left w:val="nil" w:sz="6" w:space="0" w:color="auto"/>
              <w:bottom w:val="nil" w:sz="6" w:space="0" w:color="auto"/>
              <w:right w:val="nil" w:sz="6" w:space="0" w:color="auto"/>
            </w:tcBorders>
          </w:tcPr>
          <w:p>
            <w:pPr/>
          </w:p>
        </w:tc>
        <w:tc>
          <w:tcPr>
            <w:tcW w:w="1783" w:type="dxa"/>
            <w:tcBorders>
              <w:top w:val="single" w:sz="12" w:space="0" w:color="000000"/>
              <w:left w:val="nil" w:sz="6" w:space="0" w:color="auto"/>
              <w:bottom w:val="single" w:sz="12" w:space="0" w:color="000000"/>
              <w:right w:val="nil" w:sz="6" w:space="0" w:color="auto"/>
            </w:tcBorders>
          </w:tcPr>
          <w:p>
            <w:pPr>
              <w:pStyle w:val="TableParagraph"/>
              <w:spacing w:line="230" w:lineRule="exact"/>
              <w:ind w:left="524"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233" w:type="dxa"/>
            <w:tcBorders>
              <w:top w:val="single" w:sz="12" w:space="0" w:color="000000"/>
              <w:left w:val="nil" w:sz="6" w:space="0" w:color="auto"/>
              <w:bottom w:val="nil" w:sz="6" w:space="0" w:color="auto"/>
              <w:right w:val="nil" w:sz="6" w:space="0" w:color="auto"/>
            </w:tcBorders>
          </w:tcPr>
          <w:p>
            <w:pPr/>
          </w:p>
        </w:tc>
        <w:tc>
          <w:tcPr>
            <w:tcW w:w="1586" w:type="dxa"/>
            <w:tcBorders>
              <w:top w:val="single" w:sz="12" w:space="0" w:color="000000"/>
              <w:left w:val="nil" w:sz="6" w:space="0" w:color="auto"/>
              <w:bottom w:val="single" w:sz="12" w:space="0" w:color="000000"/>
              <w:right w:val="nil" w:sz="6" w:space="0" w:color="auto"/>
            </w:tcBorders>
          </w:tcPr>
          <w:p>
            <w:pPr>
              <w:pStyle w:val="TableParagraph"/>
              <w:spacing w:line="230" w:lineRule="exact"/>
              <w:ind w:left="400"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275" w:hRule="exact"/>
        </w:trPr>
        <w:tc>
          <w:tcPr>
            <w:tcW w:w="1851" w:type="dxa"/>
            <w:vMerge/>
            <w:tcBorders>
              <w:left w:val="nil" w:sz="6" w:space="0" w:color="auto"/>
              <w:right w:val="nil" w:sz="6" w:space="0" w:color="auto"/>
            </w:tcBorders>
          </w:tcPr>
          <w:p>
            <w:pPr/>
          </w:p>
        </w:tc>
        <w:tc>
          <w:tcPr>
            <w:tcW w:w="1882" w:type="dxa"/>
            <w:tcBorders>
              <w:top w:val="single" w:sz="12" w:space="0" w:color="000000"/>
              <w:left w:val="nil" w:sz="6" w:space="0" w:color="auto"/>
              <w:bottom w:val="nil" w:sz="6" w:space="0" w:color="auto"/>
              <w:right w:val="nil" w:sz="6" w:space="0" w:color="auto"/>
            </w:tcBorders>
          </w:tcPr>
          <w:p>
            <w:pPr>
              <w:pStyle w:val="TableParagraph"/>
              <w:tabs>
                <w:tab w:pos="899" w:val="left" w:leader="none"/>
              </w:tabs>
              <w:spacing w:line="230" w:lineRule="exact"/>
              <w:ind w:right="47"/>
              <w:jc w:val="right"/>
              <w:rPr>
                <w:rFonts w:ascii="宋体" w:hAnsi="宋体" w:cs="宋体" w:eastAsia="宋体" w:hint="default"/>
                <w:sz w:val="20"/>
                <w:szCs w:val="20"/>
              </w:rPr>
            </w:pPr>
            <w:r>
              <w:rPr>
                <w:rFonts w:ascii="宋体" w:hAnsi="宋体" w:cs="宋体" w:eastAsia="宋体" w:hint="default"/>
                <w:sz w:val="20"/>
                <w:szCs w:val="20"/>
              </w:rPr>
              <w:t>金额</w:t>
              <w:tab/>
              <w:t>占总额</w:t>
            </w:r>
          </w:p>
        </w:tc>
        <w:tc>
          <w:tcPr>
            <w:tcW w:w="238" w:type="dxa"/>
            <w:tcBorders>
              <w:top w:val="nil" w:sz="6" w:space="0" w:color="auto"/>
              <w:left w:val="nil" w:sz="6" w:space="0" w:color="auto"/>
              <w:bottom w:val="nil" w:sz="6" w:space="0" w:color="auto"/>
              <w:right w:val="nil" w:sz="6" w:space="0" w:color="auto"/>
            </w:tcBorders>
          </w:tcPr>
          <w:p>
            <w:pPr/>
          </w:p>
        </w:tc>
        <w:tc>
          <w:tcPr>
            <w:tcW w:w="1772" w:type="dxa"/>
            <w:tcBorders>
              <w:top w:val="single" w:sz="12" w:space="0" w:color="000000"/>
              <w:left w:val="nil" w:sz="6" w:space="0" w:color="auto"/>
              <w:bottom w:val="nil" w:sz="6" w:space="0" w:color="auto"/>
              <w:right w:val="nil" w:sz="6" w:space="0" w:color="auto"/>
            </w:tcBorders>
          </w:tcPr>
          <w:p>
            <w:pPr>
              <w:pStyle w:val="TableParagraph"/>
              <w:tabs>
                <w:tab w:pos="885" w:val="left" w:leader="none"/>
              </w:tabs>
              <w:spacing w:line="230" w:lineRule="exact"/>
              <w:ind w:right="122"/>
              <w:jc w:val="right"/>
              <w:rPr>
                <w:rFonts w:ascii="宋体" w:hAnsi="宋体" w:cs="宋体" w:eastAsia="宋体" w:hint="default"/>
                <w:sz w:val="20"/>
                <w:szCs w:val="20"/>
              </w:rPr>
            </w:pPr>
            <w:r>
              <w:rPr>
                <w:rFonts w:ascii="宋体" w:hAnsi="宋体" w:cs="宋体" w:eastAsia="宋体" w:hint="default"/>
                <w:sz w:val="20"/>
                <w:szCs w:val="20"/>
              </w:rPr>
              <w:t>金额</w:t>
              <w:tab/>
              <w:t>计提</w:t>
            </w:r>
          </w:p>
        </w:tc>
        <w:tc>
          <w:tcPr>
            <w:tcW w:w="233" w:type="dxa"/>
            <w:tcBorders>
              <w:top w:val="nil" w:sz="6" w:space="0" w:color="auto"/>
              <w:left w:val="nil" w:sz="6" w:space="0" w:color="auto"/>
              <w:bottom w:val="nil" w:sz="6" w:space="0" w:color="auto"/>
              <w:right w:val="nil" w:sz="6" w:space="0" w:color="auto"/>
            </w:tcBorders>
          </w:tcPr>
          <w:p>
            <w:pPr/>
          </w:p>
        </w:tc>
        <w:tc>
          <w:tcPr>
            <w:tcW w:w="1783" w:type="dxa"/>
            <w:tcBorders>
              <w:top w:val="single" w:sz="12" w:space="0" w:color="000000"/>
              <w:left w:val="nil" w:sz="6" w:space="0" w:color="auto"/>
              <w:bottom w:val="nil" w:sz="6" w:space="0" w:color="auto"/>
              <w:right w:val="nil" w:sz="6" w:space="0" w:color="auto"/>
            </w:tcBorders>
          </w:tcPr>
          <w:p>
            <w:pPr>
              <w:pStyle w:val="TableParagraph"/>
              <w:tabs>
                <w:tab w:pos="871" w:val="left" w:leader="none"/>
              </w:tabs>
              <w:spacing w:line="230" w:lineRule="exact"/>
              <w:ind w:right="47"/>
              <w:jc w:val="right"/>
              <w:rPr>
                <w:rFonts w:ascii="宋体" w:hAnsi="宋体" w:cs="宋体" w:eastAsia="宋体" w:hint="default"/>
                <w:sz w:val="20"/>
                <w:szCs w:val="20"/>
              </w:rPr>
            </w:pPr>
            <w:r>
              <w:rPr>
                <w:rFonts w:ascii="宋体" w:hAnsi="宋体" w:cs="宋体" w:eastAsia="宋体" w:hint="default"/>
                <w:sz w:val="20"/>
                <w:szCs w:val="20"/>
              </w:rPr>
              <w:t>金额</w:t>
              <w:tab/>
              <w:t>占总额</w:t>
            </w:r>
          </w:p>
        </w:tc>
        <w:tc>
          <w:tcPr>
            <w:tcW w:w="233" w:type="dxa"/>
            <w:tcBorders>
              <w:top w:val="nil" w:sz="6" w:space="0" w:color="auto"/>
              <w:left w:val="nil" w:sz="6" w:space="0" w:color="auto"/>
              <w:bottom w:val="nil" w:sz="6" w:space="0" w:color="auto"/>
              <w:right w:val="nil" w:sz="6" w:space="0" w:color="auto"/>
            </w:tcBorders>
          </w:tcPr>
          <w:p>
            <w:pPr/>
          </w:p>
        </w:tc>
        <w:tc>
          <w:tcPr>
            <w:tcW w:w="1586" w:type="dxa"/>
            <w:tcBorders>
              <w:top w:val="single" w:sz="12" w:space="0" w:color="000000"/>
              <w:left w:val="nil" w:sz="6" w:space="0" w:color="auto"/>
              <w:bottom w:val="nil" w:sz="6" w:space="0" w:color="auto"/>
              <w:right w:val="nil" w:sz="6" w:space="0" w:color="auto"/>
            </w:tcBorders>
          </w:tcPr>
          <w:p>
            <w:pPr>
              <w:pStyle w:val="TableParagraph"/>
              <w:tabs>
                <w:tab w:pos="1071" w:val="left" w:leader="none"/>
              </w:tabs>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金额</w:t>
              <w:tab/>
              <w:t>计提</w:t>
            </w:r>
          </w:p>
        </w:tc>
      </w:tr>
      <w:tr>
        <w:trPr>
          <w:trHeight w:val="375" w:hRule="exact"/>
        </w:trPr>
        <w:tc>
          <w:tcPr>
            <w:tcW w:w="1851" w:type="dxa"/>
            <w:vMerge/>
            <w:tcBorders>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30" w:lineRule="exact"/>
              <w:ind w:right="48"/>
              <w:jc w:val="right"/>
              <w:rPr>
                <w:rFonts w:ascii="宋体" w:hAnsi="宋体" w:cs="宋体" w:eastAsia="宋体" w:hint="default"/>
                <w:sz w:val="20"/>
                <w:szCs w:val="20"/>
              </w:rPr>
            </w:pPr>
            <w:r>
              <w:rPr>
                <w:rFonts w:ascii="宋体" w:hAnsi="宋体" w:cs="宋体" w:eastAsia="宋体" w:hint="default"/>
                <w:sz w:val="20"/>
                <w:szCs w:val="20"/>
              </w:rPr>
              <w:t>比例</w:t>
            </w:r>
          </w:p>
        </w:tc>
        <w:tc>
          <w:tcPr>
            <w:tcW w:w="238"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30" w:lineRule="exact"/>
              <w:ind w:right="125"/>
              <w:jc w:val="right"/>
              <w:rPr>
                <w:rFonts w:ascii="宋体" w:hAnsi="宋体" w:cs="宋体" w:eastAsia="宋体" w:hint="default"/>
                <w:sz w:val="20"/>
                <w:szCs w:val="20"/>
              </w:rPr>
            </w:pPr>
            <w:r>
              <w:rPr>
                <w:rFonts w:ascii="宋体" w:hAnsi="宋体" w:cs="宋体" w:eastAsia="宋体" w:hint="default"/>
                <w:sz w:val="20"/>
                <w:szCs w:val="20"/>
              </w:rPr>
              <w:t>比例</w:t>
            </w:r>
          </w:p>
        </w:tc>
        <w:tc>
          <w:tcPr>
            <w:tcW w:w="233"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30" w:lineRule="exact"/>
              <w:ind w:right="48"/>
              <w:jc w:val="right"/>
              <w:rPr>
                <w:rFonts w:ascii="宋体" w:hAnsi="宋体" w:cs="宋体" w:eastAsia="宋体" w:hint="default"/>
                <w:sz w:val="20"/>
                <w:szCs w:val="20"/>
              </w:rPr>
            </w:pPr>
            <w:r>
              <w:rPr>
                <w:rFonts w:ascii="宋体" w:hAnsi="宋体" w:cs="宋体" w:eastAsia="宋体" w:hint="default"/>
                <w:sz w:val="20"/>
                <w:szCs w:val="20"/>
              </w:rPr>
              <w:t>比例</w:t>
            </w:r>
          </w:p>
        </w:tc>
        <w:tc>
          <w:tcPr>
            <w:tcW w:w="23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30" w:lineRule="exact"/>
              <w:ind w:right="113"/>
              <w:jc w:val="right"/>
              <w:rPr>
                <w:rFonts w:ascii="宋体" w:hAnsi="宋体" w:cs="宋体" w:eastAsia="宋体" w:hint="default"/>
                <w:sz w:val="20"/>
                <w:szCs w:val="20"/>
              </w:rPr>
            </w:pPr>
            <w:r>
              <w:rPr>
                <w:rFonts w:ascii="宋体" w:hAnsi="宋体" w:cs="宋体" w:eastAsia="宋体" w:hint="default"/>
                <w:sz w:val="20"/>
                <w:szCs w:val="20"/>
              </w:rPr>
              <w:t>比例</w:t>
            </w:r>
          </w:p>
        </w:tc>
      </w:tr>
      <w:tr>
        <w:trPr>
          <w:trHeight w:val="375" w:hRule="exact"/>
        </w:trPr>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0" w:right="0"/>
              <w:jc w:val="center"/>
              <w:rPr>
                <w:rFonts w:ascii="宋体" w:hAnsi="宋体" w:cs="宋体" w:eastAsia="宋体" w:hint="default"/>
                <w:sz w:val="20"/>
                <w:szCs w:val="20"/>
              </w:rPr>
            </w:pPr>
            <w:r>
              <w:rPr>
                <w:rFonts w:ascii="宋体" w:hAnsi="宋体" w:cs="宋体" w:eastAsia="宋体" w:hint="default"/>
                <w:sz w:val="20"/>
                <w:szCs w:val="20"/>
              </w:rPr>
              <w:t>按组合计提坏账准备</w:t>
            </w:r>
          </w:p>
        </w:tc>
        <w:tc>
          <w:tcPr>
            <w:tcW w:w="188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r>
      <w:tr>
        <w:trPr>
          <w:trHeight w:val="268" w:hRule="exact"/>
        </w:trPr>
        <w:tc>
          <w:tcPr>
            <w:tcW w:w="1851" w:type="dxa"/>
            <w:tcBorders>
              <w:top w:val="nil" w:sz="6" w:space="0" w:color="auto"/>
              <w:left w:val="nil" w:sz="6" w:space="0" w:color="auto"/>
              <w:bottom w:val="nil" w:sz="6" w:space="0" w:color="auto"/>
              <w:right w:val="nil" w:sz="6" w:space="0" w:color="auto"/>
            </w:tcBorders>
          </w:tcPr>
          <w:p>
            <w:pPr>
              <w:pStyle w:val="TableParagraph"/>
              <w:spacing w:line="230" w:lineRule="exact"/>
              <w:ind w:left="20" w:right="0"/>
              <w:jc w:val="center"/>
              <w:rPr>
                <w:rFonts w:ascii="宋体" w:hAnsi="宋体" w:cs="宋体" w:eastAsia="宋体" w:hint="default"/>
                <w:sz w:val="20"/>
                <w:szCs w:val="20"/>
              </w:rPr>
            </w:pPr>
            <w:r>
              <w:rPr>
                <w:rFonts w:ascii="宋体" w:hAnsi="宋体" w:cs="宋体" w:eastAsia="宋体" w:hint="default"/>
                <w:sz w:val="20"/>
                <w:szCs w:val="20"/>
              </w:rPr>
              <w:t>应收政府补贴组合</w:t>
            </w:r>
          </w:p>
        </w:tc>
        <w:tc>
          <w:tcPr>
            <w:tcW w:w="1882" w:type="dxa"/>
            <w:tcBorders>
              <w:top w:val="nil" w:sz="6" w:space="0" w:color="auto"/>
              <w:left w:val="nil" w:sz="6" w:space="0" w:color="auto"/>
              <w:bottom w:val="nil" w:sz="6" w:space="0" w:color="auto"/>
              <w:right w:val="nil" w:sz="6" w:space="0" w:color="auto"/>
            </w:tcBorders>
          </w:tcPr>
          <w:p>
            <w:pPr>
              <w:pStyle w:val="TableParagraph"/>
              <w:tabs>
                <w:tab w:pos="1380" w:val="left" w:leader="none"/>
              </w:tabs>
              <w:spacing w:line="240" w:lineRule="auto" w:before="28"/>
              <w:ind w:left="225" w:right="0"/>
              <w:jc w:val="left"/>
              <w:rPr>
                <w:rFonts w:ascii="Arial" w:hAnsi="Arial" w:cs="Arial" w:eastAsia="Arial" w:hint="default"/>
                <w:sz w:val="20"/>
                <w:szCs w:val="20"/>
              </w:rPr>
            </w:pPr>
            <w:r>
              <w:rPr>
                <w:rFonts w:ascii="Arial"/>
                <w:spacing w:val="-1"/>
                <w:sz w:val="20"/>
              </w:rPr>
              <w:t>605,944</w:t>
              <w:tab/>
            </w:r>
            <w:r>
              <w:rPr>
                <w:rFonts w:ascii="Arial"/>
                <w:sz w:val="20"/>
              </w:rPr>
              <w:t>53%</w:t>
            </w:r>
          </w:p>
        </w:tc>
        <w:tc>
          <w:tcPr>
            <w:tcW w:w="238"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tabs>
                <w:tab w:pos="873" w:val="left" w:leader="none"/>
              </w:tabs>
              <w:spacing w:line="240" w:lineRule="auto" w:before="28"/>
              <w:ind w:right="144"/>
              <w:jc w:val="right"/>
              <w:rPr>
                <w:rFonts w:ascii="Arial" w:hAnsi="Arial" w:cs="Arial" w:eastAsia="Arial" w:hint="default"/>
                <w:sz w:val="20"/>
                <w:szCs w:val="20"/>
              </w:rPr>
            </w:pPr>
            <w:r>
              <w:rPr>
                <w:rFonts w:ascii="Arial"/>
                <w:sz w:val="20"/>
              </w:rPr>
              <w:t>-</w:t>
              <w:tab/>
              <w:t>-</w:t>
            </w:r>
          </w:p>
        </w:tc>
        <w:tc>
          <w:tcPr>
            <w:tcW w:w="233"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tabs>
                <w:tab w:pos="1154" w:val="left" w:leader="none"/>
              </w:tabs>
              <w:spacing w:line="240" w:lineRule="auto" w:before="28"/>
              <w:ind w:right="96"/>
              <w:jc w:val="right"/>
              <w:rPr>
                <w:rFonts w:ascii="Arial" w:hAnsi="Arial" w:cs="Arial" w:eastAsia="Arial" w:hint="default"/>
                <w:sz w:val="20"/>
                <w:szCs w:val="20"/>
              </w:rPr>
            </w:pPr>
            <w:r>
              <w:rPr>
                <w:rFonts w:ascii="Arial"/>
                <w:spacing w:val="-1"/>
                <w:sz w:val="20"/>
              </w:rPr>
              <w:t>212,641</w:t>
              <w:tab/>
            </w:r>
            <w:r>
              <w:rPr>
                <w:rFonts w:ascii="Arial"/>
                <w:sz w:val="20"/>
              </w:rPr>
              <w:t>60%</w:t>
            </w:r>
          </w:p>
        </w:tc>
        <w:tc>
          <w:tcPr>
            <w:tcW w:w="23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tabs>
                <w:tab w:pos="1344" w:val="left" w:leader="none"/>
              </w:tabs>
              <w:spacing w:line="240" w:lineRule="auto" w:before="28"/>
              <w:ind w:left="603" w:right="0"/>
              <w:jc w:val="left"/>
              <w:rPr>
                <w:rFonts w:ascii="Arial" w:hAnsi="Arial" w:cs="Arial" w:eastAsia="Arial" w:hint="default"/>
                <w:sz w:val="20"/>
                <w:szCs w:val="20"/>
              </w:rPr>
            </w:pPr>
            <w:r>
              <w:rPr>
                <w:rFonts w:ascii="Arial"/>
                <w:sz w:val="20"/>
              </w:rPr>
              <w:t>-</w:t>
              <w:tab/>
              <w:t>-</w:t>
            </w:r>
          </w:p>
        </w:tc>
      </w:tr>
      <w:tr>
        <w:trPr>
          <w:trHeight w:val="257" w:hRule="exact"/>
        </w:trPr>
        <w:tc>
          <w:tcPr>
            <w:tcW w:w="1851" w:type="dxa"/>
            <w:tcBorders>
              <w:top w:val="nil" w:sz="6" w:space="0" w:color="auto"/>
              <w:left w:val="nil" w:sz="6" w:space="0" w:color="auto"/>
              <w:bottom w:val="nil" w:sz="6" w:space="0" w:color="auto"/>
              <w:right w:val="nil" w:sz="6" w:space="0" w:color="auto"/>
            </w:tcBorders>
          </w:tcPr>
          <w:p>
            <w:pPr>
              <w:pStyle w:val="TableParagraph"/>
              <w:spacing w:line="222" w:lineRule="exact"/>
              <w:ind w:left="20" w:right="0"/>
              <w:jc w:val="center"/>
              <w:rPr>
                <w:rFonts w:ascii="宋体" w:hAnsi="宋体" w:cs="宋体" w:eastAsia="宋体" w:hint="default"/>
                <w:sz w:val="20"/>
                <w:szCs w:val="20"/>
              </w:rPr>
            </w:pPr>
            <w:r>
              <w:rPr>
                <w:rFonts w:ascii="宋体" w:hAnsi="宋体" w:cs="宋体" w:eastAsia="宋体" w:hint="default"/>
                <w:sz w:val="20"/>
                <w:szCs w:val="20"/>
              </w:rPr>
              <w:t>应收其他款项组合</w:t>
            </w:r>
          </w:p>
        </w:tc>
        <w:tc>
          <w:tcPr>
            <w:tcW w:w="1882" w:type="dxa"/>
            <w:tcBorders>
              <w:top w:val="nil" w:sz="6" w:space="0" w:color="auto"/>
              <w:left w:val="nil" w:sz="6" w:space="0" w:color="auto"/>
              <w:bottom w:val="single" w:sz="4" w:space="0" w:color="000000"/>
              <w:right w:val="nil" w:sz="6" w:space="0" w:color="auto"/>
            </w:tcBorders>
          </w:tcPr>
          <w:p>
            <w:pPr>
              <w:pStyle w:val="TableParagraph"/>
              <w:tabs>
                <w:tab w:pos="1379" w:val="left" w:leader="none"/>
              </w:tabs>
              <w:spacing w:line="220" w:lineRule="exact"/>
              <w:ind w:left="225" w:right="0"/>
              <w:jc w:val="left"/>
              <w:rPr>
                <w:rFonts w:ascii="Arial" w:hAnsi="Arial" w:cs="Arial" w:eastAsia="Arial" w:hint="default"/>
                <w:sz w:val="20"/>
                <w:szCs w:val="20"/>
              </w:rPr>
            </w:pPr>
            <w:r>
              <w:rPr>
                <w:rFonts w:ascii="Arial"/>
                <w:spacing w:val="-1"/>
                <w:sz w:val="20"/>
              </w:rPr>
              <w:t>526,800</w:t>
              <w:tab/>
            </w:r>
            <w:r>
              <w:rPr>
                <w:rFonts w:ascii="Arial"/>
                <w:sz w:val="20"/>
              </w:rPr>
              <w:t>47%</w:t>
            </w:r>
          </w:p>
        </w:tc>
        <w:tc>
          <w:tcPr>
            <w:tcW w:w="238"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single" w:sz="4" w:space="0" w:color="000000"/>
              <w:right w:val="nil" w:sz="6" w:space="0" w:color="auto"/>
            </w:tcBorders>
          </w:tcPr>
          <w:p>
            <w:pPr>
              <w:pStyle w:val="TableParagraph"/>
              <w:tabs>
                <w:tab w:pos="1005" w:val="left" w:leader="none"/>
              </w:tabs>
              <w:spacing w:line="220" w:lineRule="exact"/>
              <w:ind w:right="98"/>
              <w:jc w:val="right"/>
              <w:rPr>
                <w:rFonts w:ascii="Arial" w:hAnsi="Arial" w:cs="Arial" w:eastAsia="Arial" w:hint="default"/>
                <w:sz w:val="20"/>
                <w:szCs w:val="20"/>
              </w:rPr>
            </w:pPr>
            <w:r>
              <w:rPr>
                <w:rFonts w:ascii="Arial"/>
                <w:spacing w:val="-1"/>
                <w:sz w:val="20"/>
              </w:rPr>
              <w:t>(28,133)</w:t>
              <w:tab/>
            </w:r>
            <w:r>
              <w:rPr>
                <w:rFonts w:ascii="Arial"/>
                <w:sz w:val="20"/>
              </w:rPr>
              <w:t>5.3%</w:t>
            </w:r>
          </w:p>
        </w:tc>
        <w:tc>
          <w:tcPr>
            <w:tcW w:w="233"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single" w:sz="4" w:space="0" w:color="000000"/>
              <w:right w:val="nil" w:sz="6" w:space="0" w:color="auto"/>
            </w:tcBorders>
          </w:tcPr>
          <w:p>
            <w:pPr>
              <w:pStyle w:val="TableParagraph"/>
              <w:tabs>
                <w:tab w:pos="1154" w:val="left" w:leader="none"/>
              </w:tabs>
              <w:spacing w:line="220" w:lineRule="exact"/>
              <w:ind w:right="97"/>
              <w:jc w:val="right"/>
              <w:rPr>
                <w:rFonts w:ascii="Arial" w:hAnsi="Arial" w:cs="Arial" w:eastAsia="Arial" w:hint="default"/>
                <w:sz w:val="20"/>
                <w:szCs w:val="20"/>
              </w:rPr>
            </w:pPr>
            <w:r>
              <w:rPr>
                <w:rFonts w:ascii="Arial"/>
                <w:spacing w:val="-1"/>
                <w:sz w:val="20"/>
              </w:rPr>
              <w:t>143,412</w:t>
              <w:tab/>
            </w:r>
            <w:r>
              <w:rPr>
                <w:rFonts w:ascii="Arial"/>
                <w:sz w:val="20"/>
              </w:rPr>
              <w:t>40%</w:t>
            </w:r>
          </w:p>
        </w:tc>
        <w:tc>
          <w:tcPr>
            <w:tcW w:w="23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Style w:val="TableParagraph"/>
              <w:tabs>
                <w:tab w:pos="1399" w:val="left" w:leader="none"/>
              </w:tabs>
              <w:spacing w:line="220" w:lineRule="exact"/>
              <w:ind w:left="201" w:right="0"/>
              <w:jc w:val="left"/>
              <w:rPr>
                <w:rFonts w:ascii="Arial" w:hAnsi="Arial" w:cs="Arial" w:eastAsia="Arial" w:hint="default"/>
                <w:sz w:val="20"/>
                <w:szCs w:val="20"/>
              </w:rPr>
            </w:pPr>
            <w:r>
              <w:rPr>
                <w:rFonts w:ascii="Arial"/>
                <w:spacing w:val="-1"/>
                <w:sz w:val="20"/>
              </w:rPr>
              <w:t>(9,029)</w:t>
              <w:tab/>
            </w:r>
            <w:r>
              <w:rPr>
                <w:rFonts w:ascii="Arial"/>
                <w:sz w:val="20"/>
              </w:rPr>
              <w:t>6.</w:t>
            </w:r>
          </w:p>
        </w:tc>
      </w:tr>
      <w:tr>
        <w:trPr>
          <w:trHeight w:val="262" w:hRule="exact"/>
        </w:trPr>
        <w:tc>
          <w:tcPr>
            <w:tcW w:w="1851" w:type="dxa"/>
            <w:tcBorders>
              <w:top w:val="nil" w:sz="6" w:space="0" w:color="auto"/>
              <w:left w:val="nil" w:sz="6" w:space="0" w:color="auto"/>
              <w:bottom w:val="nil" w:sz="6" w:space="0" w:color="auto"/>
              <w:right w:val="nil" w:sz="6" w:space="0" w:color="auto"/>
            </w:tcBorders>
          </w:tcPr>
          <w:p>
            <w:pPr/>
          </w:p>
        </w:tc>
        <w:tc>
          <w:tcPr>
            <w:tcW w:w="1882" w:type="dxa"/>
            <w:tcBorders>
              <w:top w:val="single" w:sz="4" w:space="0" w:color="000000"/>
              <w:left w:val="nil" w:sz="6" w:space="0" w:color="auto"/>
              <w:bottom w:val="single" w:sz="12" w:space="0" w:color="000000"/>
              <w:right w:val="nil" w:sz="6" w:space="0" w:color="auto"/>
            </w:tcBorders>
          </w:tcPr>
          <w:p>
            <w:pPr>
              <w:pStyle w:val="TableParagraph"/>
              <w:tabs>
                <w:tab w:pos="1268" w:val="left" w:leader="none"/>
              </w:tabs>
              <w:spacing w:line="240" w:lineRule="auto" w:before="9"/>
              <w:ind w:left="58" w:right="0"/>
              <w:jc w:val="left"/>
              <w:rPr>
                <w:rFonts w:ascii="Arial" w:hAnsi="Arial" w:cs="Arial" w:eastAsia="Arial" w:hint="default"/>
                <w:sz w:val="20"/>
                <w:szCs w:val="20"/>
              </w:rPr>
            </w:pPr>
            <w:r>
              <w:rPr>
                <w:rFonts w:ascii="Arial"/>
                <w:spacing w:val="-1"/>
                <w:sz w:val="20"/>
              </w:rPr>
              <w:t>1,132,744</w:t>
              <w:tab/>
            </w:r>
            <w:r>
              <w:rPr>
                <w:rFonts w:ascii="Arial"/>
                <w:sz w:val="20"/>
              </w:rPr>
              <w:t>100%</w:t>
            </w:r>
          </w:p>
        </w:tc>
        <w:tc>
          <w:tcPr>
            <w:tcW w:w="238" w:type="dxa"/>
            <w:tcBorders>
              <w:top w:val="nil" w:sz="6" w:space="0" w:color="auto"/>
              <w:left w:val="nil" w:sz="6" w:space="0" w:color="auto"/>
              <w:bottom w:val="nil" w:sz="6" w:space="0" w:color="auto"/>
              <w:right w:val="nil" w:sz="6" w:space="0" w:color="auto"/>
            </w:tcBorders>
          </w:tcPr>
          <w:p>
            <w:pPr/>
          </w:p>
        </w:tc>
        <w:tc>
          <w:tcPr>
            <w:tcW w:w="1772"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210" w:right="0"/>
              <w:jc w:val="left"/>
              <w:rPr>
                <w:rFonts w:ascii="Arial" w:hAnsi="Arial" w:cs="Arial" w:eastAsia="Arial" w:hint="default"/>
                <w:sz w:val="20"/>
                <w:szCs w:val="20"/>
              </w:rPr>
            </w:pPr>
            <w:r>
              <w:rPr>
                <w:rFonts w:ascii="Arial"/>
                <w:sz w:val="20"/>
              </w:rPr>
              <w:t>(28,133)</w:t>
            </w:r>
          </w:p>
        </w:tc>
        <w:tc>
          <w:tcPr>
            <w:tcW w:w="233" w:type="dxa"/>
            <w:tcBorders>
              <w:top w:val="nil" w:sz="6" w:space="0" w:color="auto"/>
              <w:left w:val="nil" w:sz="6" w:space="0" w:color="auto"/>
              <w:bottom w:val="nil" w:sz="6" w:space="0" w:color="auto"/>
              <w:right w:val="nil" w:sz="6" w:space="0" w:color="auto"/>
            </w:tcBorders>
          </w:tcPr>
          <w:p>
            <w:pPr/>
          </w:p>
        </w:tc>
        <w:tc>
          <w:tcPr>
            <w:tcW w:w="1783" w:type="dxa"/>
            <w:tcBorders>
              <w:top w:val="single" w:sz="4" w:space="0" w:color="000000"/>
              <w:left w:val="nil" w:sz="6" w:space="0" w:color="auto"/>
              <w:bottom w:val="single" w:sz="12" w:space="0" w:color="000000"/>
              <w:right w:val="nil" w:sz="6" w:space="0" w:color="auto"/>
            </w:tcBorders>
          </w:tcPr>
          <w:p>
            <w:pPr>
              <w:pStyle w:val="TableParagraph"/>
              <w:tabs>
                <w:tab w:pos="1042" w:val="left" w:leader="none"/>
              </w:tabs>
              <w:spacing w:line="227" w:lineRule="exact"/>
              <w:ind w:right="97"/>
              <w:jc w:val="right"/>
              <w:rPr>
                <w:rFonts w:ascii="Arial" w:hAnsi="Arial" w:cs="Arial" w:eastAsia="Arial" w:hint="default"/>
                <w:sz w:val="20"/>
                <w:szCs w:val="20"/>
              </w:rPr>
            </w:pPr>
            <w:r>
              <w:rPr>
                <w:rFonts w:ascii="Arial"/>
                <w:spacing w:val="-1"/>
                <w:sz w:val="20"/>
              </w:rPr>
              <w:t>356,053</w:t>
              <w:tab/>
            </w:r>
            <w:r>
              <w:rPr>
                <w:rFonts w:ascii="Arial"/>
                <w:sz w:val="20"/>
              </w:rPr>
              <w:t>100%</w:t>
            </w:r>
          </w:p>
        </w:tc>
        <w:tc>
          <w:tcPr>
            <w:tcW w:w="233"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201" w:right="0"/>
              <w:jc w:val="left"/>
              <w:rPr>
                <w:rFonts w:ascii="Arial" w:hAnsi="Arial" w:cs="Arial" w:eastAsia="Arial" w:hint="default"/>
                <w:sz w:val="20"/>
                <w:szCs w:val="20"/>
              </w:rPr>
            </w:pPr>
            <w:r>
              <w:rPr>
                <w:rFonts w:ascii="Arial"/>
                <w:sz w:val="20"/>
              </w:rPr>
              <w:t>(9,029)</w:t>
            </w:r>
          </w:p>
        </w:tc>
      </w:tr>
    </w:tbl>
    <w:p>
      <w:pPr>
        <w:spacing w:line="240" w:lineRule="auto" w:before="11"/>
        <w:rPr>
          <w:rFonts w:ascii="宋体" w:hAnsi="宋体" w:cs="宋体" w:eastAsia="宋体" w:hint="default"/>
          <w:sz w:val="11"/>
          <w:szCs w:val="11"/>
        </w:rPr>
      </w:pPr>
    </w:p>
    <w:p>
      <w:pPr>
        <w:pStyle w:val="BodyText"/>
        <w:tabs>
          <w:tab w:pos="858" w:val="left" w:leader="none"/>
        </w:tabs>
        <w:spacing w:line="240" w:lineRule="auto" w:before="32"/>
        <w:ind w:left="147" w:right="523"/>
        <w:jc w:val="left"/>
      </w:pPr>
      <w:r>
        <w:rPr>
          <w:rFonts w:ascii="Arial" w:hAnsi="Arial" w:cs="Arial" w:eastAsia="Arial" w:hint="default"/>
          <w:position w:val="2"/>
        </w:rPr>
        <w:t>(c)</w:t>
        <w:tab/>
      </w:r>
      <w:r>
        <w:rPr/>
        <w:t>按组合计提坏账准备的应收账款中，采用账龄分析法的组合分析如下：</w:t>
      </w:r>
    </w:p>
    <w:p>
      <w:pPr>
        <w:spacing w:line="240" w:lineRule="auto" w:before="11"/>
        <w:rPr>
          <w:rFonts w:ascii="宋体" w:hAnsi="宋体" w:cs="宋体" w:eastAsia="宋体" w:hint="default"/>
          <w:sz w:val="18"/>
          <w:szCs w:val="18"/>
        </w:rPr>
      </w:pPr>
    </w:p>
    <w:p>
      <w:pPr>
        <w:tabs>
          <w:tab w:pos="6195" w:val="left" w:leader="none"/>
        </w:tabs>
        <w:spacing w:before="0"/>
        <w:ind w:left="1909" w:right="0" w:firstLine="0"/>
        <w:jc w:val="center"/>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tabs>
          <w:tab w:pos="4087" w:val="left" w:leader="none"/>
          <w:tab w:pos="6216" w:val="left" w:leader="none"/>
          <w:tab w:pos="8318" w:val="left" w:leader="none"/>
        </w:tabs>
        <w:spacing w:before="14"/>
        <w:ind w:left="1908" w:right="0" w:firstLine="0"/>
        <w:jc w:val="center"/>
        <w:rPr>
          <w:rFonts w:ascii="宋体" w:hAnsi="宋体" w:cs="宋体" w:eastAsia="宋体" w:hint="default"/>
          <w:sz w:val="20"/>
          <w:szCs w:val="20"/>
        </w:rPr>
      </w:pPr>
      <w:r>
        <w:rPr/>
        <w:pict>
          <v:group style="position:absolute;margin-left:149.220001pt;margin-top:1.550337pt;width:206.25pt;height:.1pt;mso-position-horizontal-relative:page;mso-position-vertical-relative:paragraph;z-index:-1004488" coordorigin="2984,31" coordsize="4125,2">
            <v:shape style="position:absolute;left:2984;top:31;width:4125;height:2" coordorigin="2984,31" coordsize="4125,0" path="m2984,31l7109,31e" filled="false" stroked="true" strokeweight="1.5pt" strokecolor="#000000">
              <v:path arrowok="t"/>
            </v:shape>
            <w10:wrap type="none"/>
          </v:group>
        </w:pict>
      </w:r>
      <w:r>
        <w:rPr/>
        <w:pict>
          <v:group style="position:absolute;margin-left:366.75pt;margin-top:.800337pt;width:199.9pt;height:1.5pt;mso-position-horizontal-relative:page;mso-position-vertical-relative:paragraph;z-index:-1004464" coordorigin="7335,16" coordsize="3998,30">
            <v:group style="position:absolute;left:7350;top:31;width:1886;height:2" coordorigin="7350,31" coordsize="1886,2">
              <v:shape style="position:absolute;left:7350;top:31;width:1886;height:2" coordorigin="7350,31" coordsize="1886,0" path="m7350,31l9235,31e" filled="false" stroked="true" strokeweight="1.5pt" strokecolor="#000000">
                <v:path arrowok="t"/>
              </v:shape>
            </v:group>
            <v:group style="position:absolute;left:9235;top:31;width:2082;height:2" coordorigin="9235,31" coordsize="2082,2">
              <v:shape style="position:absolute;left:9235;top:31;width:2082;height:2" coordorigin="9235,31" coordsize="2082,0" path="m9235,31l11317,31e" filled="false" stroked="true" strokeweight="1.5pt" strokecolor="#000000">
                <v:path arrowok="t"/>
              </v:shape>
            </v:group>
            <w10:wrap type="none"/>
          </v:group>
        </w:pict>
      </w:r>
      <w:r>
        <w:rPr>
          <w:rFonts w:ascii="宋体" w:hAnsi="宋体" w:cs="宋体" w:eastAsia="宋体" w:hint="default"/>
          <w:sz w:val="20"/>
          <w:szCs w:val="20"/>
        </w:rPr>
        <w:t>账面余额</w:t>
        <w:tab/>
        <w:t>坏账准备</w:t>
        <w:tab/>
        <w:t>账面余额</w:t>
        <w:tab/>
        <w:t>坏账准备</w:t>
      </w:r>
    </w:p>
    <w:p>
      <w:pPr>
        <w:spacing w:line="240" w:lineRule="auto" w:before="6"/>
        <w:rPr>
          <w:rFonts w:ascii="宋体" w:hAnsi="宋体" w:cs="宋体" w:eastAsia="宋体" w:hint="default"/>
          <w:sz w:val="3"/>
          <w:szCs w:val="3"/>
        </w:rPr>
      </w:pPr>
    </w:p>
    <w:tbl>
      <w:tblPr>
        <w:tblW w:w="0" w:type="auto"/>
        <w:jc w:val="left"/>
        <w:tblInd w:w="823" w:type="dxa"/>
        <w:tblLayout w:type="fixed"/>
        <w:tblCellMar>
          <w:top w:w="0" w:type="dxa"/>
          <w:left w:w="0" w:type="dxa"/>
          <w:bottom w:w="0" w:type="dxa"/>
          <w:right w:w="0" w:type="dxa"/>
        </w:tblCellMar>
        <w:tblLook w:val="01E0"/>
      </w:tblPr>
      <w:tblGrid>
        <w:gridCol w:w="1181"/>
        <w:gridCol w:w="1189"/>
        <w:gridCol w:w="811"/>
        <w:gridCol w:w="235"/>
        <w:gridCol w:w="1141"/>
        <w:gridCol w:w="749"/>
        <w:gridCol w:w="241"/>
        <w:gridCol w:w="1088"/>
        <w:gridCol w:w="797"/>
        <w:gridCol w:w="238"/>
        <w:gridCol w:w="1106"/>
        <w:gridCol w:w="774"/>
      </w:tblGrid>
      <w:tr>
        <w:trPr>
          <w:trHeight w:val="649" w:hRule="exact"/>
        </w:trPr>
        <w:tc>
          <w:tcPr>
            <w:tcW w:w="2370"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156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811" w:type="dxa"/>
            <w:tcBorders>
              <w:top w:val="single" w:sz="12" w:space="0" w:color="000000"/>
              <w:left w:val="nil" w:sz="6" w:space="0" w:color="auto"/>
              <w:bottom w:val="nil" w:sz="6" w:space="0" w:color="auto"/>
              <w:right w:val="nil" w:sz="6" w:space="0" w:color="auto"/>
            </w:tcBorders>
          </w:tcPr>
          <w:p>
            <w:pPr>
              <w:pStyle w:val="TableParagraph"/>
              <w:spacing w:line="230" w:lineRule="exact"/>
              <w:ind w:left="190"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235" w:type="dxa"/>
            <w:tcBorders>
              <w:top w:val="nil" w:sz="6" w:space="0" w:color="auto"/>
              <w:left w:val="nil" w:sz="6" w:space="0" w:color="auto"/>
              <w:bottom w:val="nil" w:sz="6" w:space="0" w:color="auto"/>
              <w:right w:val="nil" w:sz="6" w:space="0" w:color="auto"/>
            </w:tcBorders>
          </w:tcPr>
          <w:p>
            <w:pPr/>
          </w:p>
        </w:tc>
        <w:tc>
          <w:tcPr>
            <w:tcW w:w="1141" w:type="dxa"/>
            <w:tcBorders>
              <w:top w:val="single" w:sz="12" w:space="0" w:color="000000"/>
              <w:left w:val="nil" w:sz="6" w:space="0" w:color="auto"/>
              <w:bottom w:val="nil" w:sz="6" w:space="0" w:color="auto"/>
              <w:right w:val="nil" w:sz="6" w:space="0" w:color="auto"/>
            </w:tcBorders>
          </w:tcPr>
          <w:p>
            <w:pPr>
              <w:pStyle w:val="TableParagraph"/>
              <w:spacing w:line="230" w:lineRule="exact"/>
              <w:ind w:left="350"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49" w:type="dxa"/>
            <w:tcBorders>
              <w:top w:val="single" w:sz="12" w:space="0" w:color="000000"/>
              <w:left w:val="nil" w:sz="6" w:space="0" w:color="auto"/>
              <w:bottom w:val="nil" w:sz="6" w:space="0" w:color="auto"/>
              <w:right w:val="nil" w:sz="6" w:space="0" w:color="auto"/>
            </w:tcBorders>
          </w:tcPr>
          <w:p>
            <w:pPr>
              <w:pStyle w:val="TableParagraph"/>
              <w:spacing w:line="228" w:lineRule="exact"/>
              <w:ind w:left="154" w:right="0" w:firstLine="1"/>
              <w:jc w:val="left"/>
              <w:rPr>
                <w:rFonts w:ascii="宋体" w:hAnsi="宋体" w:cs="宋体" w:eastAsia="宋体" w:hint="default"/>
                <w:sz w:val="20"/>
                <w:szCs w:val="20"/>
              </w:rPr>
            </w:pPr>
            <w:r>
              <w:rPr>
                <w:rFonts w:ascii="宋体" w:hAnsi="宋体" w:cs="宋体" w:eastAsia="宋体" w:hint="default"/>
                <w:sz w:val="20"/>
                <w:szCs w:val="20"/>
              </w:rPr>
              <w:t>计提</w:t>
            </w:r>
          </w:p>
          <w:p>
            <w:pPr>
              <w:pStyle w:val="TableParagraph"/>
              <w:spacing w:line="260" w:lineRule="exact"/>
              <w:ind w:left="154"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241" w:type="dxa"/>
            <w:tcBorders>
              <w:top w:val="nil" w:sz="6" w:space="0" w:color="auto"/>
              <w:left w:val="nil" w:sz="6" w:space="0" w:color="auto"/>
              <w:bottom w:val="nil" w:sz="6" w:space="0" w:color="auto"/>
              <w:right w:val="nil" w:sz="6" w:space="0" w:color="auto"/>
            </w:tcBorders>
          </w:tcPr>
          <w:p>
            <w:pPr/>
          </w:p>
        </w:tc>
        <w:tc>
          <w:tcPr>
            <w:tcW w:w="1088" w:type="dxa"/>
            <w:tcBorders>
              <w:top w:val="single" w:sz="12" w:space="0" w:color="000000"/>
              <w:left w:val="nil" w:sz="6" w:space="0" w:color="auto"/>
              <w:bottom w:val="nil" w:sz="6" w:space="0" w:color="auto"/>
              <w:right w:val="nil" w:sz="6" w:space="0" w:color="auto"/>
            </w:tcBorders>
          </w:tcPr>
          <w:p>
            <w:pPr>
              <w:pStyle w:val="TableParagraph"/>
              <w:spacing w:line="230" w:lineRule="exact"/>
              <w:ind w:left="32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97" w:type="dxa"/>
            <w:tcBorders>
              <w:top w:val="single" w:sz="12" w:space="0" w:color="000000"/>
              <w:left w:val="nil" w:sz="6" w:space="0" w:color="auto"/>
              <w:bottom w:val="nil" w:sz="6" w:space="0" w:color="auto"/>
              <w:right w:val="nil" w:sz="6" w:space="0" w:color="auto"/>
            </w:tcBorders>
          </w:tcPr>
          <w:p>
            <w:pPr>
              <w:pStyle w:val="TableParagraph"/>
              <w:spacing w:line="230" w:lineRule="exact"/>
              <w:ind w:left="176"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238" w:type="dxa"/>
            <w:tcBorders>
              <w:top w:val="nil" w:sz="6" w:space="0" w:color="auto"/>
              <w:left w:val="nil" w:sz="6" w:space="0" w:color="auto"/>
              <w:bottom w:val="nil" w:sz="6" w:space="0" w:color="auto"/>
              <w:right w:val="nil" w:sz="6" w:space="0" w:color="auto"/>
            </w:tcBorders>
          </w:tcPr>
          <w:p>
            <w:pPr/>
          </w:p>
        </w:tc>
        <w:tc>
          <w:tcPr>
            <w:tcW w:w="1106" w:type="dxa"/>
            <w:tcBorders>
              <w:top w:val="single" w:sz="12" w:space="0" w:color="000000"/>
              <w:left w:val="nil" w:sz="6" w:space="0" w:color="auto"/>
              <w:bottom w:val="nil" w:sz="6" w:space="0" w:color="auto"/>
              <w:right w:val="nil" w:sz="6" w:space="0" w:color="auto"/>
            </w:tcBorders>
          </w:tcPr>
          <w:p>
            <w:pPr>
              <w:pStyle w:val="TableParagraph"/>
              <w:spacing w:line="230" w:lineRule="exact"/>
              <w:ind w:left="334"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74" w:type="dxa"/>
            <w:tcBorders>
              <w:top w:val="single" w:sz="12" w:space="0" w:color="000000"/>
              <w:left w:val="nil" w:sz="6" w:space="0" w:color="auto"/>
              <w:bottom w:val="nil" w:sz="6" w:space="0" w:color="auto"/>
              <w:right w:val="nil" w:sz="6" w:space="0" w:color="auto"/>
            </w:tcBorders>
          </w:tcPr>
          <w:p>
            <w:pPr>
              <w:pStyle w:val="TableParagraph"/>
              <w:spacing w:line="228" w:lineRule="exact"/>
              <w:ind w:left="150" w:right="0" w:firstLine="1"/>
              <w:jc w:val="left"/>
              <w:rPr>
                <w:rFonts w:ascii="宋体" w:hAnsi="宋体" w:cs="宋体" w:eastAsia="宋体" w:hint="default"/>
                <w:sz w:val="20"/>
                <w:szCs w:val="20"/>
              </w:rPr>
            </w:pPr>
            <w:r>
              <w:rPr>
                <w:rFonts w:ascii="宋体" w:hAnsi="宋体" w:cs="宋体" w:eastAsia="宋体" w:hint="default"/>
                <w:sz w:val="20"/>
                <w:szCs w:val="20"/>
              </w:rPr>
              <w:t>计提</w:t>
            </w:r>
          </w:p>
          <w:p>
            <w:pPr>
              <w:pStyle w:val="TableParagraph"/>
              <w:spacing w:line="260" w:lineRule="exact"/>
              <w:ind w:left="150"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387" w:hRule="exact"/>
        </w:trPr>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20"/>
                <w:szCs w:val="20"/>
              </w:rPr>
            </w:pPr>
            <w:r>
              <w:rPr>
                <w:rFonts w:ascii="宋体" w:hAnsi="宋体" w:cs="宋体" w:eastAsia="宋体" w:hint="default"/>
                <w:sz w:val="20"/>
                <w:szCs w:val="20"/>
              </w:rPr>
              <w:t>一年以内</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39"/>
              <w:jc w:val="right"/>
              <w:rPr>
                <w:rFonts w:ascii="Arial" w:hAnsi="Arial" w:cs="Arial" w:eastAsia="Arial" w:hint="default"/>
                <w:sz w:val="20"/>
                <w:szCs w:val="20"/>
              </w:rPr>
            </w:pPr>
            <w:r>
              <w:rPr>
                <w:rFonts w:ascii="Arial"/>
                <w:spacing w:val="-3"/>
                <w:sz w:val="20"/>
              </w:rPr>
              <w:t>511,321</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99"/>
              <w:jc w:val="right"/>
              <w:rPr>
                <w:rFonts w:ascii="Arial" w:hAnsi="Arial" w:cs="Arial" w:eastAsia="Arial" w:hint="default"/>
                <w:sz w:val="20"/>
                <w:szCs w:val="20"/>
              </w:rPr>
            </w:pPr>
            <w:r>
              <w:rPr>
                <w:rFonts w:ascii="Arial"/>
                <w:sz w:val="20"/>
              </w:rPr>
              <w:t>97.1%</w:t>
            </w:r>
          </w:p>
        </w:tc>
        <w:tc>
          <w:tcPr>
            <w:tcW w:w="13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3"/>
              <w:ind w:left="475" w:right="0"/>
              <w:jc w:val="left"/>
              <w:rPr>
                <w:rFonts w:ascii="Arial" w:hAnsi="Arial" w:cs="Arial" w:eastAsia="Arial" w:hint="default"/>
                <w:sz w:val="20"/>
                <w:szCs w:val="20"/>
              </w:rPr>
            </w:pPr>
            <w:r>
              <w:rPr>
                <w:rFonts w:ascii="Arial"/>
                <w:sz w:val="20"/>
              </w:rPr>
              <w:t>(25,556)</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98"/>
              <w:jc w:val="right"/>
              <w:rPr>
                <w:rFonts w:ascii="Arial" w:hAnsi="Arial" w:cs="Arial" w:eastAsia="Arial" w:hint="default"/>
                <w:sz w:val="20"/>
                <w:szCs w:val="20"/>
              </w:rPr>
            </w:pPr>
            <w:r>
              <w:rPr>
                <w:rFonts w:ascii="Arial"/>
                <w:sz w:val="20"/>
              </w:rPr>
              <w:t>5%</w:t>
            </w:r>
          </w:p>
        </w:tc>
        <w:tc>
          <w:tcPr>
            <w:tcW w:w="13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3"/>
              <w:ind w:left="447" w:right="0"/>
              <w:jc w:val="left"/>
              <w:rPr>
                <w:rFonts w:ascii="Arial" w:hAnsi="Arial" w:cs="Arial" w:eastAsia="Arial" w:hint="default"/>
                <w:sz w:val="20"/>
                <w:szCs w:val="20"/>
              </w:rPr>
            </w:pPr>
            <w:r>
              <w:rPr>
                <w:rFonts w:ascii="Arial"/>
                <w:sz w:val="20"/>
              </w:rPr>
              <w:t>127,025</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68"/>
              <w:jc w:val="right"/>
              <w:rPr>
                <w:rFonts w:ascii="Arial" w:hAnsi="Arial" w:cs="Arial" w:eastAsia="Arial" w:hint="default"/>
                <w:sz w:val="20"/>
                <w:szCs w:val="20"/>
              </w:rPr>
            </w:pPr>
            <w:r>
              <w:rPr>
                <w:rFonts w:ascii="Arial"/>
                <w:sz w:val="20"/>
              </w:rPr>
              <w:t>88.6%</w:t>
            </w:r>
          </w:p>
        </w:tc>
        <w:tc>
          <w:tcPr>
            <w:tcW w:w="13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3"/>
              <w:ind w:left="558" w:right="0"/>
              <w:jc w:val="left"/>
              <w:rPr>
                <w:rFonts w:ascii="Arial" w:hAnsi="Arial" w:cs="Arial" w:eastAsia="Arial" w:hint="default"/>
                <w:sz w:val="20"/>
                <w:szCs w:val="20"/>
              </w:rPr>
            </w:pPr>
            <w:r>
              <w:rPr>
                <w:rFonts w:ascii="Arial"/>
                <w:sz w:val="20"/>
              </w:rPr>
              <w:t>(6,352)</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33"/>
              <w:jc w:val="right"/>
              <w:rPr>
                <w:rFonts w:ascii="Arial" w:hAnsi="Arial" w:cs="Arial" w:eastAsia="Arial" w:hint="default"/>
                <w:sz w:val="20"/>
                <w:szCs w:val="20"/>
              </w:rPr>
            </w:pPr>
            <w:r>
              <w:rPr>
                <w:rFonts w:ascii="Arial"/>
                <w:sz w:val="20"/>
              </w:rPr>
              <w:t>5%</w:t>
            </w:r>
          </w:p>
        </w:tc>
      </w:tr>
      <w:tr>
        <w:trPr>
          <w:trHeight w:val="260" w:hRule="exact"/>
        </w:trPr>
        <w:tc>
          <w:tcPr>
            <w:tcW w:w="1181"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20"/>
                <w:szCs w:val="20"/>
              </w:rPr>
            </w:pPr>
            <w:r>
              <w:rPr>
                <w:rFonts w:ascii="宋体" w:hAnsi="宋体" w:cs="宋体" w:eastAsia="宋体" w:hint="default"/>
                <w:sz w:val="20"/>
                <w:szCs w:val="20"/>
              </w:rPr>
              <w:t>一到二年</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8"/>
              <w:jc w:val="right"/>
              <w:rPr>
                <w:rFonts w:ascii="Arial" w:hAnsi="Arial" w:cs="Arial" w:eastAsia="Arial" w:hint="default"/>
                <w:sz w:val="20"/>
                <w:szCs w:val="20"/>
              </w:rPr>
            </w:pPr>
            <w:r>
              <w:rPr>
                <w:rFonts w:ascii="Arial"/>
                <w:spacing w:val="-3"/>
                <w:sz w:val="20"/>
              </w:rPr>
              <w:t>11,391</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right"/>
              <w:rPr>
                <w:rFonts w:ascii="Arial" w:hAnsi="Arial" w:cs="Arial" w:eastAsia="Arial" w:hint="default"/>
                <w:sz w:val="20"/>
                <w:szCs w:val="20"/>
              </w:rPr>
            </w:pPr>
            <w:r>
              <w:rPr>
                <w:rFonts w:ascii="Arial"/>
                <w:sz w:val="20"/>
              </w:rPr>
              <w:t>2.2%</w:t>
            </w:r>
          </w:p>
        </w:tc>
        <w:tc>
          <w:tcPr>
            <w:tcW w:w="13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587" w:right="0"/>
              <w:jc w:val="left"/>
              <w:rPr>
                <w:rFonts w:ascii="Arial" w:hAnsi="Arial" w:cs="Arial" w:eastAsia="Arial" w:hint="default"/>
                <w:sz w:val="20"/>
                <w:szCs w:val="20"/>
              </w:rPr>
            </w:pPr>
            <w:r>
              <w:rPr>
                <w:rFonts w:ascii="Arial"/>
                <w:sz w:val="20"/>
              </w:rPr>
              <w:t>(1,139)</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8"/>
              <w:jc w:val="right"/>
              <w:rPr>
                <w:rFonts w:ascii="Arial" w:hAnsi="Arial" w:cs="Arial" w:eastAsia="Arial" w:hint="default"/>
                <w:sz w:val="20"/>
                <w:szCs w:val="20"/>
              </w:rPr>
            </w:pPr>
            <w:r>
              <w:rPr>
                <w:rFonts w:ascii="Arial"/>
                <w:sz w:val="20"/>
              </w:rPr>
              <w:t>10%</w:t>
            </w:r>
          </w:p>
        </w:tc>
        <w:tc>
          <w:tcPr>
            <w:tcW w:w="13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69" w:right="0"/>
              <w:jc w:val="left"/>
              <w:rPr>
                <w:rFonts w:ascii="Arial" w:hAnsi="Arial" w:cs="Arial" w:eastAsia="Arial" w:hint="default"/>
                <w:sz w:val="20"/>
                <w:szCs w:val="20"/>
              </w:rPr>
            </w:pPr>
            <w:r>
              <w:rPr>
                <w:rFonts w:ascii="Arial"/>
                <w:sz w:val="20"/>
              </w:rPr>
              <w:t>7,670</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20"/>
                <w:szCs w:val="20"/>
              </w:rPr>
            </w:pPr>
            <w:r>
              <w:rPr>
                <w:rFonts w:ascii="Arial"/>
                <w:sz w:val="20"/>
              </w:rPr>
              <w:t>5.3%</w:t>
            </w:r>
          </w:p>
        </w:tc>
        <w:tc>
          <w:tcPr>
            <w:tcW w:w="13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25" w:right="0"/>
              <w:jc w:val="left"/>
              <w:rPr>
                <w:rFonts w:ascii="Arial" w:hAnsi="Arial" w:cs="Arial" w:eastAsia="Arial" w:hint="default"/>
                <w:sz w:val="20"/>
                <w:szCs w:val="20"/>
              </w:rPr>
            </w:pPr>
            <w:r>
              <w:rPr>
                <w:rFonts w:ascii="Arial"/>
                <w:sz w:val="20"/>
              </w:rPr>
              <w:t>(767)</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3"/>
              <w:jc w:val="right"/>
              <w:rPr>
                <w:rFonts w:ascii="Arial" w:hAnsi="Arial" w:cs="Arial" w:eastAsia="Arial" w:hint="default"/>
                <w:sz w:val="20"/>
                <w:szCs w:val="20"/>
              </w:rPr>
            </w:pPr>
            <w:r>
              <w:rPr>
                <w:rFonts w:ascii="Arial"/>
                <w:sz w:val="20"/>
              </w:rPr>
              <w:t>10%</w:t>
            </w:r>
          </w:p>
        </w:tc>
      </w:tr>
      <w:tr>
        <w:trPr>
          <w:trHeight w:val="260" w:hRule="exact"/>
        </w:trPr>
        <w:tc>
          <w:tcPr>
            <w:tcW w:w="1181"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二到三年</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9"/>
              <w:jc w:val="right"/>
              <w:rPr>
                <w:rFonts w:ascii="Arial" w:hAnsi="Arial" w:cs="Arial" w:eastAsia="Arial" w:hint="default"/>
                <w:sz w:val="20"/>
                <w:szCs w:val="20"/>
              </w:rPr>
            </w:pPr>
            <w:r>
              <w:rPr>
                <w:rFonts w:ascii="Arial"/>
                <w:sz w:val="20"/>
              </w:rPr>
              <w:t>2,206</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Arial" w:hAnsi="Arial" w:cs="Arial" w:eastAsia="Arial" w:hint="default"/>
                <w:sz w:val="20"/>
                <w:szCs w:val="20"/>
              </w:rPr>
            </w:pPr>
            <w:r>
              <w:rPr>
                <w:rFonts w:ascii="Arial"/>
                <w:sz w:val="20"/>
              </w:rPr>
              <w:t>0.4%</w:t>
            </w:r>
          </w:p>
        </w:tc>
        <w:tc>
          <w:tcPr>
            <w:tcW w:w="13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754" w:right="0"/>
              <w:jc w:val="left"/>
              <w:rPr>
                <w:rFonts w:ascii="Arial" w:hAnsi="Arial" w:cs="Arial" w:eastAsia="Arial" w:hint="default"/>
                <w:sz w:val="20"/>
                <w:szCs w:val="20"/>
              </w:rPr>
            </w:pPr>
            <w:r>
              <w:rPr>
                <w:rFonts w:ascii="Arial"/>
                <w:sz w:val="20"/>
              </w:rPr>
              <w:t>(441)</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z w:val="20"/>
              </w:rPr>
              <w:t>20%</w:t>
            </w:r>
          </w:p>
        </w:tc>
        <w:tc>
          <w:tcPr>
            <w:tcW w:w="13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669" w:right="0"/>
              <w:jc w:val="left"/>
              <w:rPr>
                <w:rFonts w:ascii="Arial" w:hAnsi="Arial" w:cs="Arial" w:eastAsia="Arial" w:hint="default"/>
                <w:sz w:val="20"/>
                <w:szCs w:val="20"/>
              </w:rPr>
            </w:pPr>
            <w:r>
              <w:rPr>
                <w:rFonts w:ascii="Arial"/>
                <w:sz w:val="20"/>
              </w:rPr>
              <w:t>7,096</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7"/>
              <w:jc w:val="right"/>
              <w:rPr>
                <w:rFonts w:ascii="Arial" w:hAnsi="Arial" w:cs="Arial" w:eastAsia="Arial" w:hint="default"/>
                <w:sz w:val="20"/>
                <w:szCs w:val="20"/>
              </w:rPr>
            </w:pPr>
            <w:r>
              <w:rPr>
                <w:rFonts w:ascii="Arial"/>
                <w:sz w:val="20"/>
              </w:rPr>
              <w:t>4.9%</w:t>
            </w:r>
          </w:p>
        </w:tc>
        <w:tc>
          <w:tcPr>
            <w:tcW w:w="13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558" w:right="0"/>
              <w:jc w:val="left"/>
              <w:rPr>
                <w:rFonts w:ascii="Arial" w:hAnsi="Arial" w:cs="Arial" w:eastAsia="Arial" w:hint="default"/>
                <w:sz w:val="20"/>
                <w:szCs w:val="20"/>
              </w:rPr>
            </w:pPr>
            <w:r>
              <w:rPr>
                <w:rFonts w:ascii="Arial"/>
                <w:sz w:val="20"/>
              </w:rPr>
              <w:t>(1,419)</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Arial" w:hAnsi="Arial" w:cs="Arial" w:eastAsia="Arial" w:hint="default"/>
                <w:sz w:val="20"/>
                <w:szCs w:val="20"/>
              </w:rPr>
            </w:pPr>
            <w:r>
              <w:rPr>
                <w:rFonts w:ascii="Arial"/>
                <w:sz w:val="20"/>
              </w:rPr>
              <w:t>20%</w:t>
            </w:r>
          </w:p>
        </w:tc>
      </w:tr>
      <w:tr>
        <w:trPr>
          <w:trHeight w:val="260" w:hRule="exact"/>
        </w:trPr>
        <w:tc>
          <w:tcPr>
            <w:tcW w:w="1181"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三到四年</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9"/>
              <w:jc w:val="right"/>
              <w:rPr>
                <w:rFonts w:ascii="Arial" w:hAnsi="Arial" w:cs="Arial" w:eastAsia="Arial" w:hint="default"/>
                <w:sz w:val="20"/>
                <w:szCs w:val="20"/>
              </w:rPr>
            </w:pPr>
            <w:r>
              <w:rPr>
                <w:rFonts w:ascii="Arial"/>
                <w:sz w:val="20"/>
              </w:rPr>
              <w:t>451</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Arial" w:hAnsi="Arial" w:cs="Arial" w:eastAsia="Arial" w:hint="default"/>
                <w:sz w:val="20"/>
                <w:szCs w:val="20"/>
              </w:rPr>
            </w:pPr>
            <w:r>
              <w:rPr>
                <w:rFonts w:ascii="Arial"/>
                <w:sz w:val="20"/>
              </w:rPr>
              <w:t>0.0%</w:t>
            </w:r>
          </w:p>
        </w:tc>
        <w:tc>
          <w:tcPr>
            <w:tcW w:w="13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754" w:right="0"/>
              <w:jc w:val="left"/>
              <w:rPr>
                <w:rFonts w:ascii="Arial" w:hAnsi="Arial" w:cs="Arial" w:eastAsia="Arial" w:hint="default"/>
                <w:sz w:val="20"/>
                <w:szCs w:val="20"/>
              </w:rPr>
            </w:pPr>
            <w:r>
              <w:rPr>
                <w:rFonts w:ascii="Arial"/>
                <w:sz w:val="20"/>
              </w:rPr>
              <w:t>(135)</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z w:val="20"/>
              </w:rPr>
              <w:t>30%</w:t>
            </w:r>
          </w:p>
        </w:tc>
        <w:tc>
          <w:tcPr>
            <w:tcW w:w="13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669" w:right="0"/>
              <w:jc w:val="left"/>
              <w:rPr>
                <w:rFonts w:ascii="Arial" w:hAnsi="Arial" w:cs="Arial" w:eastAsia="Arial" w:hint="default"/>
                <w:sz w:val="20"/>
                <w:szCs w:val="20"/>
              </w:rPr>
            </w:pPr>
            <w:r>
              <w:rPr>
                <w:rFonts w:ascii="Arial"/>
                <w:sz w:val="20"/>
              </w:rPr>
              <w:t>1,604</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7"/>
              <w:jc w:val="right"/>
              <w:rPr>
                <w:rFonts w:ascii="Arial" w:hAnsi="Arial" w:cs="Arial" w:eastAsia="Arial" w:hint="default"/>
                <w:sz w:val="20"/>
                <w:szCs w:val="20"/>
              </w:rPr>
            </w:pPr>
            <w:r>
              <w:rPr>
                <w:rFonts w:ascii="Arial"/>
                <w:sz w:val="20"/>
              </w:rPr>
              <w:t>1.1%</w:t>
            </w:r>
          </w:p>
        </w:tc>
        <w:tc>
          <w:tcPr>
            <w:tcW w:w="13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725" w:right="0"/>
              <w:jc w:val="left"/>
              <w:rPr>
                <w:rFonts w:ascii="Arial" w:hAnsi="Arial" w:cs="Arial" w:eastAsia="Arial" w:hint="default"/>
                <w:sz w:val="20"/>
                <w:szCs w:val="20"/>
              </w:rPr>
            </w:pPr>
            <w:r>
              <w:rPr>
                <w:rFonts w:ascii="Arial"/>
                <w:sz w:val="20"/>
              </w:rPr>
              <w:t>(481)</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Arial" w:hAnsi="Arial" w:cs="Arial" w:eastAsia="Arial" w:hint="default"/>
                <w:sz w:val="20"/>
                <w:szCs w:val="20"/>
              </w:rPr>
            </w:pPr>
            <w:r>
              <w:rPr>
                <w:rFonts w:ascii="Arial"/>
                <w:sz w:val="20"/>
              </w:rPr>
              <w:t>30%</w:t>
            </w:r>
          </w:p>
        </w:tc>
      </w:tr>
      <w:tr>
        <w:trPr>
          <w:trHeight w:val="260" w:hRule="exact"/>
        </w:trPr>
        <w:tc>
          <w:tcPr>
            <w:tcW w:w="1181"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20"/>
                <w:szCs w:val="20"/>
              </w:rPr>
            </w:pPr>
            <w:r>
              <w:rPr>
                <w:rFonts w:ascii="宋体" w:hAnsi="宋体" w:cs="宋体" w:eastAsia="宋体" w:hint="default"/>
                <w:sz w:val="20"/>
                <w:szCs w:val="20"/>
              </w:rPr>
              <w:t>四到五年</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8"/>
              <w:jc w:val="right"/>
              <w:rPr>
                <w:rFonts w:ascii="Arial" w:hAnsi="Arial" w:cs="Arial" w:eastAsia="Arial" w:hint="default"/>
                <w:sz w:val="20"/>
                <w:szCs w:val="20"/>
              </w:rPr>
            </w:pPr>
            <w:r>
              <w:rPr>
                <w:rFonts w:ascii="Arial"/>
                <w:sz w:val="20"/>
              </w:rPr>
              <w:t>1,423</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right"/>
              <w:rPr>
                <w:rFonts w:ascii="Arial" w:hAnsi="Arial" w:cs="Arial" w:eastAsia="Arial" w:hint="default"/>
                <w:sz w:val="20"/>
                <w:szCs w:val="20"/>
              </w:rPr>
            </w:pPr>
            <w:r>
              <w:rPr>
                <w:rFonts w:ascii="Arial"/>
                <w:sz w:val="20"/>
              </w:rPr>
              <w:t>0.3%</w:t>
            </w:r>
          </w:p>
        </w:tc>
        <w:tc>
          <w:tcPr>
            <w:tcW w:w="13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4" w:right="0"/>
              <w:jc w:val="left"/>
              <w:rPr>
                <w:rFonts w:ascii="Arial" w:hAnsi="Arial" w:cs="Arial" w:eastAsia="Arial" w:hint="default"/>
                <w:sz w:val="20"/>
                <w:szCs w:val="20"/>
              </w:rPr>
            </w:pPr>
            <w:r>
              <w:rPr>
                <w:rFonts w:ascii="Arial"/>
                <w:sz w:val="20"/>
              </w:rPr>
              <w:t>(854)</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8"/>
              <w:jc w:val="right"/>
              <w:rPr>
                <w:rFonts w:ascii="Arial" w:hAnsi="Arial" w:cs="Arial" w:eastAsia="Arial" w:hint="default"/>
                <w:sz w:val="20"/>
                <w:szCs w:val="20"/>
              </w:rPr>
            </w:pPr>
            <w:r>
              <w:rPr>
                <w:rFonts w:ascii="Arial"/>
                <w:sz w:val="20"/>
              </w:rPr>
              <w:t>60%</w:t>
            </w:r>
          </w:p>
        </w:tc>
        <w:tc>
          <w:tcPr>
            <w:tcW w:w="13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right="156"/>
              <w:jc w:val="right"/>
              <w:rPr>
                <w:rFonts w:ascii="Arial" w:hAnsi="Arial" w:cs="Arial" w:eastAsia="Arial" w:hint="default"/>
                <w:sz w:val="20"/>
                <w:szCs w:val="20"/>
              </w:rPr>
            </w:pPr>
            <w:r>
              <w:rPr>
                <w:rFonts w:ascii="Arial"/>
                <w:sz w:val="20"/>
              </w:rPr>
              <w:t>17</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20"/>
                <w:szCs w:val="20"/>
              </w:rPr>
            </w:pPr>
            <w:r>
              <w:rPr>
                <w:rFonts w:ascii="Arial"/>
                <w:sz w:val="20"/>
              </w:rPr>
              <w:t>0.1%</w:t>
            </w:r>
          </w:p>
        </w:tc>
        <w:tc>
          <w:tcPr>
            <w:tcW w:w="13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837" w:right="0"/>
              <w:jc w:val="left"/>
              <w:rPr>
                <w:rFonts w:ascii="Arial" w:hAnsi="Arial" w:cs="Arial" w:eastAsia="Arial" w:hint="default"/>
                <w:sz w:val="20"/>
                <w:szCs w:val="20"/>
              </w:rPr>
            </w:pPr>
            <w:r>
              <w:rPr>
                <w:rFonts w:ascii="Arial"/>
                <w:sz w:val="20"/>
              </w:rPr>
              <w:t>(10)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3"/>
              <w:jc w:val="right"/>
              <w:rPr>
                <w:rFonts w:ascii="Arial" w:hAnsi="Arial" w:cs="Arial" w:eastAsia="Arial" w:hint="default"/>
                <w:sz w:val="20"/>
                <w:szCs w:val="20"/>
              </w:rPr>
            </w:pPr>
            <w:r>
              <w:rPr>
                <w:rFonts w:ascii="Arial"/>
                <w:sz w:val="20"/>
              </w:rPr>
              <w:t>60%</w:t>
            </w:r>
          </w:p>
        </w:tc>
      </w:tr>
      <w:tr>
        <w:trPr>
          <w:trHeight w:val="262" w:hRule="exact"/>
        </w:trPr>
        <w:tc>
          <w:tcPr>
            <w:tcW w:w="1181"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五年以上</w:t>
            </w:r>
          </w:p>
        </w:tc>
        <w:tc>
          <w:tcPr>
            <w:tcW w:w="1999" w:type="dxa"/>
            <w:gridSpan w:val="2"/>
            <w:tcBorders>
              <w:top w:val="nil" w:sz="6" w:space="0" w:color="auto"/>
              <w:left w:val="nil" w:sz="6" w:space="0" w:color="auto"/>
              <w:bottom w:val="nil" w:sz="6" w:space="0" w:color="auto"/>
              <w:right w:val="nil" w:sz="6" w:space="0" w:color="auto"/>
            </w:tcBorders>
          </w:tcPr>
          <w:p>
            <w:pPr>
              <w:pStyle w:val="TableParagraph"/>
              <w:tabs>
                <w:tab w:pos="935" w:val="left" w:leader="none"/>
                <w:tab w:pos="1440" w:val="left" w:leader="none"/>
                <w:tab w:pos="1999" w:val="left" w:leader="none"/>
              </w:tabs>
              <w:spacing w:line="228" w:lineRule="exact"/>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8</w:t>
              <w:tab/>
              <w:t>0.0%</w:t>
              <w:tab/>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890" w:type="dxa"/>
            <w:gridSpan w:val="2"/>
            <w:tcBorders>
              <w:top w:val="nil" w:sz="6" w:space="0" w:color="auto"/>
              <w:left w:val="nil" w:sz="6" w:space="0" w:color="auto"/>
              <w:bottom w:val="nil" w:sz="6" w:space="0" w:color="auto"/>
              <w:right w:val="nil" w:sz="6" w:space="0" w:color="auto"/>
            </w:tcBorders>
          </w:tcPr>
          <w:p>
            <w:pPr>
              <w:pStyle w:val="TableParagraph"/>
              <w:tabs>
                <w:tab w:pos="741" w:val="left" w:leader="none"/>
                <w:tab w:pos="1276" w:val="left" w:leader="none"/>
                <w:tab w:pos="1889" w:val="left" w:leader="none"/>
              </w:tabs>
              <w:spacing w:line="228" w:lineRule="exact"/>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(8)</w:t>
              <w:tab/>
              <w:t>100%</w:t>
              <w:tab/>
            </w:r>
            <w:r>
              <w:rPr>
                <w:rFonts w:ascii="Arial"/>
                <w:sz w:val="20"/>
              </w:rPr>
            </w:r>
          </w:p>
        </w:tc>
        <w:tc>
          <w:tcPr>
            <w:tcW w:w="241" w:type="dxa"/>
            <w:tcBorders>
              <w:top w:val="nil" w:sz="6" w:space="0" w:color="auto"/>
              <w:left w:val="nil" w:sz="6" w:space="0" w:color="auto"/>
              <w:bottom w:val="nil" w:sz="6" w:space="0" w:color="auto"/>
              <w:right w:val="nil" w:sz="6" w:space="0" w:color="auto"/>
            </w:tcBorders>
          </w:tcPr>
          <w:p>
            <w:pPr/>
          </w:p>
        </w:tc>
        <w:tc>
          <w:tcPr>
            <w:tcW w:w="1885" w:type="dxa"/>
            <w:gridSpan w:val="2"/>
            <w:tcBorders>
              <w:top w:val="nil" w:sz="6" w:space="0" w:color="auto"/>
              <w:left w:val="nil" w:sz="6" w:space="0" w:color="auto"/>
              <w:bottom w:val="nil" w:sz="6" w:space="0" w:color="auto"/>
              <w:right w:val="nil" w:sz="6" w:space="0" w:color="auto"/>
            </w:tcBorders>
          </w:tcPr>
          <w:p>
            <w:pPr>
              <w:pStyle w:val="TableParagraph"/>
              <w:tabs>
                <w:tab w:pos="862" w:val="left" w:leader="none"/>
                <w:tab w:pos="1368" w:val="left" w:leader="none"/>
                <w:tab w:pos="1885" w:val="left" w:leader="none"/>
              </w:tabs>
              <w:spacing w:line="228" w:lineRule="exact"/>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t>0.0%</w:t>
              <w:tab/>
            </w:r>
            <w:r>
              <w:rPr>
                <w:rFonts w:ascii="Arial"/>
                <w:sz w:val="20"/>
              </w:rPr>
            </w:r>
          </w:p>
        </w:tc>
        <w:tc>
          <w:tcPr>
            <w:tcW w:w="238" w:type="dxa"/>
            <w:tcBorders>
              <w:top w:val="nil" w:sz="6" w:space="0" w:color="auto"/>
              <w:left w:val="nil" w:sz="6" w:space="0" w:color="auto"/>
              <w:bottom w:val="nil" w:sz="6" w:space="0" w:color="auto"/>
              <w:right w:val="nil" w:sz="6" w:space="0" w:color="auto"/>
            </w:tcBorders>
          </w:tcPr>
          <w:p>
            <w:pPr/>
          </w:p>
        </w:tc>
        <w:tc>
          <w:tcPr>
            <w:tcW w:w="1879" w:type="dxa"/>
            <w:gridSpan w:val="2"/>
            <w:tcBorders>
              <w:top w:val="nil" w:sz="6" w:space="0" w:color="auto"/>
              <w:left w:val="nil" w:sz="6" w:space="0" w:color="auto"/>
              <w:bottom w:val="nil" w:sz="6" w:space="0" w:color="auto"/>
              <w:right w:val="nil" w:sz="6" w:space="0" w:color="auto"/>
            </w:tcBorders>
          </w:tcPr>
          <w:p>
            <w:pPr>
              <w:pStyle w:val="TableParagraph"/>
              <w:tabs>
                <w:tab w:pos="888" w:val="left" w:leader="none"/>
                <w:tab w:pos="1231" w:val="left" w:leader="none"/>
                <w:tab w:pos="1844" w:val="left" w:leader="none"/>
              </w:tabs>
              <w:spacing w:line="228" w:lineRule="exact"/>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t>100%</w:t>
              <w:tab/>
            </w:r>
            <w:r>
              <w:rPr>
                <w:rFonts w:ascii="Arial"/>
                <w:sz w:val="20"/>
              </w:rPr>
            </w:r>
          </w:p>
        </w:tc>
      </w:tr>
      <w:tr>
        <w:trPr>
          <w:trHeight w:val="243" w:hRule="exact"/>
        </w:trPr>
        <w:tc>
          <w:tcPr>
            <w:tcW w:w="1181" w:type="dxa"/>
            <w:tcBorders>
              <w:top w:val="nil" w:sz="6" w:space="0" w:color="auto"/>
              <w:left w:val="nil" w:sz="6" w:space="0" w:color="auto"/>
              <w:bottom w:val="nil" w:sz="6" w:space="0" w:color="auto"/>
              <w:right w:val="nil" w:sz="6" w:space="0" w:color="auto"/>
            </w:tcBorders>
          </w:tcPr>
          <w:p>
            <w:pPr/>
          </w:p>
        </w:tc>
        <w:tc>
          <w:tcPr>
            <w:tcW w:w="1999" w:type="dxa"/>
            <w:gridSpan w:val="2"/>
            <w:tcBorders>
              <w:top w:val="nil" w:sz="6" w:space="0" w:color="auto"/>
              <w:left w:val="nil" w:sz="6" w:space="0" w:color="auto"/>
              <w:bottom w:val="single" w:sz="12" w:space="0" w:color="000000"/>
              <w:right w:val="nil" w:sz="6" w:space="0" w:color="auto"/>
            </w:tcBorders>
          </w:tcPr>
          <w:p>
            <w:pPr>
              <w:pStyle w:val="TableParagraph"/>
              <w:spacing w:line="225" w:lineRule="exact"/>
              <w:ind w:left="324" w:right="0"/>
              <w:jc w:val="left"/>
              <w:rPr>
                <w:rFonts w:ascii="Arial" w:hAnsi="Arial" w:cs="Arial" w:eastAsia="Arial" w:hint="default"/>
                <w:sz w:val="20"/>
                <w:szCs w:val="20"/>
              </w:rPr>
            </w:pPr>
            <w:r>
              <w:rPr>
                <w:rFonts w:ascii="Arial"/>
                <w:sz w:val="20"/>
              </w:rPr>
              <w:t>526,800  </w:t>
            </w:r>
            <w:r>
              <w:rPr>
                <w:rFonts w:ascii="Arial"/>
                <w:spacing w:val="3"/>
                <w:sz w:val="20"/>
              </w:rPr>
              <w:t> </w:t>
            </w:r>
            <w:r>
              <w:rPr>
                <w:rFonts w:ascii="Arial"/>
                <w:sz w:val="20"/>
              </w:rPr>
              <w:t>100.0%</w:t>
            </w:r>
          </w:p>
        </w:tc>
        <w:tc>
          <w:tcPr>
            <w:tcW w:w="235" w:type="dxa"/>
            <w:tcBorders>
              <w:top w:val="nil" w:sz="6" w:space="0" w:color="auto"/>
              <w:left w:val="nil" w:sz="6" w:space="0" w:color="auto"/>
              <w:bottom w:val="nil" w:sz="6" w:space="0" w:color="auto"/>
              <w:right w:val="nil" w:sz="6" w:space="0" w:color="auto"/>
            </w:tcBorders>
          </w:tcPr>
          <w:p>
            <w:pPr/>
          </w:p>
        </w:tc>
        <w:tc>
          <w:tcPr>
            <w:tcW w:w="1890" w:type="dxa"/>
            <w:gridSpan w:val="2"/>
            <w:tcBorders>
              <w:top w:val="nil" w:sz="6" w:space="0" w:color="auto"/>
              <w:left w:val="nil" w:sz="6" w:space="0" w:color="auto"/>
              <w:bottom w:val="single" w:sz="12" w:space="0" w:color="000000"/>
              <w:right w:val="nil" w:sz="6" w:space="0" w:color="auto"/>
            </w:tcBorders>
          </w:tcPr>
          <w:p>
            <w:pPr>
              <w:pStyle w:val="TableParagraph"/>
              <w:spacing w:line="225" w:lineRule="exact"/>
              <w:ind w:left="240" w:right="0"/>
              <w:jc w:val="left"/>
              <w:rPr>
                <w:rFonts w:ascii="Arial" w:hAnsi="Arial" w:cs="Arial" w:eastAsia="Arial" w:hint="default"/>
                <w:sz w:val="20"/>
                <w:szCs w:val="20"/>
              </w:rPr>
            </w:pPr>
            <w:r>
              <w:rPr>
                <w:rFonts w:ascii="Arial"/>
                <w:sz w:val="20"/>
              </w:rPr>
              <w:t>(28,133)</w:t>
            </w:r>
          </w:p>
        </w:tc>
        <w:tc>
          <w:tcPr>
            <w:tcW w:w="241" w:type="dxa"/>
            <w:tcBorders>
              <w:top w:val="nil" w:sz="6" w:space="0" w:color="auto"/>
              <w:left w:val="nil" w:sz="6" w:space="0" w:color="auto"/>
              <w:bottom w:val="nil" w:sz="6" w:space="0" w:color="auto"/>
              <w:right w:val="nil" w:sz="6" w:space="0" w:color="auto"/>
            </w:tcBorders>
          </w:tcPr>
          <w:p>
            <w:pPr/>
          </w:p>
        </w:tc>
        <w:tc>
          <w:tcPr>
            <w:tcW w:w="1885" w:type="dxa"/>
            <w:gridSpan w:val="2"/>
            <w:tcBorders>
              <w:top w:val="nil" w:sz="6" w:space="0" w:color="auto"/>
              <w:left w:val="nil" w:sz="6" w:space="0" w:color="auto"/>
              <w:bottom w:val="single" w:sz="12" w:space="0" w:color="000000"/>
              <w:right w:val="nil" w:sz="6" w:space="0" w:color="auto"/>
            </w:tcBorders>
          </w:tcPr>
          <w:p>
            <w:pPr>
              <w:pStyle w:val="TableParagraph"/>
              <w:tabs>
                <w:tab w:pos="1159" w:val="left" w:leader="none"/>
              </w:tabs>
              <w:spacing w:line="225" w:lineRule="exact"/>
              <w:ind w:left="206" w:right="0"/>
              <w:jc w:val="left"/>
              <w:rPr>
                <w:rFonts w:ascii="Arial" w:hAnsi="Arial" w:cs="Arial" w:eastAsia="Arial" w:hint="default"/>
                <w:sz w:val="20"/>
                <w:szCs w:val="20"/>
              </w:rPr>
            </w:pPr>
            <w:r>
              <w:rPr>
                <w:rFonts w:ascii="Arial"/>
                <w:spacing w:val="-1"/>
                <w:sz w:val="20"/>
              </w:rPr>
              <w:t>143,412</w:t>
              <w:tab/>
            </w:r>
            <w:r>
              <w:rPr>
                <w:rFonts w:ascii="Arial"/>
                <w:sz w:val="20"/>
              </w:rPr>
              <w:t>100.0%</w:t>
            </w:r>
          </w:p>
        </w:tc>
        <w:tc>
          <w:tcPr>
            <w:tcW w:w="238" w:type="dxa"/>
            <w:tcBorders>
              <w:top w:val="nil" w:sz="6" w:space="0" w:color="auto"/>
              <w:left w:val="nil" w:sz="6" w:space="0" w:color="auto"/>
              <w:bottom w:val="nil" w:sz="6" w:space="0" w:color="auto"/>
              <w:right w:val="nil" w:sz="6" w:space="0" w:color="auto"/>
            </w:tcBorders>
          </w:tcPr>
          <w:p>
            <w:pPr/>
          </w:p>
        </w:tc>
        <w:tc>
          <w:tcPr>
            <w:tcW w:w="1879" w:type="dxa"/>
            <w:gridSpan w:val="2"/>
            <w:tcBorders>
              <w:top w:val="nil" w:sz="6" w:space="0" w:color="auto"/>
              <w:left w:val="nil" w:sz="6" w:space="0" w:color="auto"/>
              <w:bottom w:val="single" w:sz="12" w:space="0" w:color="000000"/>
              <w:right w:val="nil" w:sz="6" w:space="0" w:color="auto"/>
            </w:tcBorders>
          </w:tcPr>
          <w:p>
            <w:pPr>
              <w:pStyle w:val="TableParagraph"/>
              <w:spacing w:line="225" w:lineRule="exact"/>
              <w:ind w:left="320" w:right="0"/>
              <w:jc w:val="left"/>
              <w:rPr>
                <w:rFonts w:ascii="Arial" w:hAnsi="Arial" w:cs="Arial" w:eastAsia="Arial" w:hint="default"/>
                <w:sz w:val="20"/>
                <w:szCs w:val="20"/>
              </w:rPr>
            </w:pPr>
            <w:r>
              <w:rPr>
                <w:rFonts w:ascii="Arial"/>
                <w:sz w:val="20"/>
              </w:rPr>
              <w:t>(9,029)</w:t>
            </w:r>
          </w:p>
        </w:tc>
      </w:tr>
    </w:tbl>
    <w:p>
      <w:pPr>
        <w:spacing w:after="0" w:line="225" w:lineRule="exact"/>
        <w:jc w:val="left"/>
        <w:rPr>
          <w:rFonts w:ascii="Arial" w:hAnsi="Arial" w:cs="Arial" w:eastAsia="Arial" w:hint="default"/>
          <w:sz w:val="20"/>
          <w:szCs w:val="20"/>
        </w:rPr>
        <w:sectPr>
          <w:pgSz w:w="11910" w:h="16840"/>
          <w:pgMar w:header="1475" w:footer="947" w:top="3020" w:bottom="1140" w:left="980" w:right="400"/>
        </w:sectPr>
      </w:pPr>
    </w:p>
    <w:p>
      <w:pPr>
        <w:spacing w:line="240" w:lineRule="auto" w:before="6"/>
        <w:rPr>
          <w:rFonts w:ascii="宋体" w:hAnsi="宋体" w:cs="宋体" w:eastAsia="宋体" w:hint="default"/>
          <w:sz w:val="13"/>
          <w:szCs w:val="13"/>
        </w:rPr>
      </w:pPr>
    </w:p>
    <w:p>
      <w:pPr>
        <w:pStyle w:val="Heading2"/>
        <w:tabs>
          <w:tab w:pos="797" w:val="left" w:leader="none"/>
        </w:tabs>
        <w:spacing w:line="240" w:lineRule="auto"/>
        <w:ind w:right="654"/>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19"/>
          <w:szCs w:val="19"/>
        </w:rPr>
      </w:pPr>
    </w:p>
    <w:p>
      <w:pPr>
        <w:tabs>
          <w:tab w:pos="818" w:val="left" w:leader="none"/>
        </w:tabs>
        <w:spacing w:before="0"/>
        <w:ind w:left="103" w:right="654" w:firstLine="0"/>
        <w:jc w:val="left"/>
        <w:rPr>
          <w:rFonts w:ascii="Arial" w:hAnsi="Arial" w:cs="Arial" w:eastAsia="Arial" w:hint="default"/>
          <w:sz w:val="24"/>
          <w:szCs w:val="24"/>
        </w:rPr>
      </w:pPr>
      <w:r>
        <w:rPr>
          <w:rFonts w:ascii="Arial" w:hAnsi="Arial" w:cs="Arial" w:eastAsia="Arial" w:hint="default"/>
          <w:w w:val="95"/>
          <w:position w:val="2"/>
          <w:sz w:val="24"/>
          <w:szCs w:val="24"/>
        </w:rPr>
        <w:t>(5)</w:t>
        <w:tab/>
      </w:r>
      <w:r>
        <w:rPr>
          <w:rFonts w:ascii="宋体" w:hAnsi="宋体" w:cs="宋体" w:eastAsia="宋体" w:hint="default"/>
          <w:b/>
          <w:bCs/>
          <w:sz w:val="24"/>
          <w:szCs w:val="24"/>
        </w:rPr>
        <w:t>应收账款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BodyText"/>
        <w:tabs>
          <w:tab w:pos="829" w:val="left" w:leader="none"/>
        </w:tabs>
        <w:spacing w:line="240" w:lineRule="auto" w:before="223"/>
        <w:ind w:left="107" w:right="654"/>
        <w:jc w:val="left"/>
      </w:pPr>
      <w:r>
        <w:rPr>
          <w:rFonts w:ascii="Arial" w:hAnsi="Arial" w:cs="Arial" w:eastAsia="Arial" w:hint="default"/>
          <w:w w:val="95"/>
          <w:position w:val="2"/>
        </w:rPr>
        <w:t>(d)</w:t>
        <w:tab/>
      </w:r>
      <w:r>
        <w:rPr/>
        <w:t>本年度实际核销的应收账款分析如下：</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475" w:footer="947" w:top="3020" w:bottom="1140" w:left="1020" w:right="280"/>
        </w:sectPr>
      </w:pPr>
    </w:p>
    <w:p>
      <w:pPr>
        <w:spacing w:line="240" w:lineRule="auto" w:before="11"/>
        <w:rPr>
          <w:rFonts w:ascii="宋体" w:hAnsi="宋体" w:cs="宋体" w:eastAsia="宋体" w:hint="default"/>
          <w:sz w:val="25"/>
          <w:szCs w:val="25"/>
        </w:rPr>
      </w:pPr>
    </w:p>
    <w:p>
      <w:pPr>
        <w:pStyle w:val="BodyText"/>
        <w:tabs>
          <w:tab w:pos="5281" w:val="left" w:leader="none"/>
          <w:tab w:pos="7811" w:val="left" w:leader="none"/>
        </w:tabs>
        <w:spacing w:line="240" w:lineRule="auto"/>
        <w:ind w:left="3388" w:right="-19"/>
        <w:jc w:val="left"/>
      </w:pPr>
      <w:r>
        <w:rPr/>
        <w:t>应收账款性质</w:t>
        <w:tab/>
        <w:t>核销金额</w:t>
        <w:tab/>
        <w:t>核销原因</w:t>
      </w:r>
    </w:p>
    <w:p>
      <w:pPr>
        <w:pStyle w:val="BodyText"/>
        <w:spacing w:line="312" w:lineRule="exact" w:before="56"/>
        <w:ind w:left="725" w:right="87" w:hanging="240"/>
        <w:jc w:val="left"/>
      </w:pPr>
      <w:r>
        <w:rPr/>
        <w:br w:type="column"/>
      </w:r>
      <w:r>
        <w:rPr/>
        <w:t>是否因关联 交易产生</w:t>
      </w:r>
    </w:p>
    <w:p>
      <w:pPr>
        <w:spacing w:after="0" w:line="312" w:lineRule="exact"/>
        <w:jc w:val="left"/>
        <w:sectPr>
          <w:type w:val="continuous"/>
          <w:pgSz w:w="11910" w:h="16840"/>
          <w:pgMar w:top="920" w:bottom="900" w:left="1020" w:right="280"/>
          <w:cols w:num="2" w:equalWidth="0">
            <w:col w:w="8773" w:space="40"/>
            <w:col w:w="1797"/>
          </w:cols>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tabs>
          <w:tab w:pos="3868" w:val="left" w:leader="none"/>
          <w:tab w:pos="5974" w:val="left" w:leader="none"/>
          <w:tab w:pos="6851" w:val="left" w:leader="none"/>
          <w:tab w:pos="9071" w:val="left" w:leader="none"/>
        </w:tabs>
        <w:spacing w:line="240" w:lineRule="auto" w:before="24"/>
        <w:ind w:left="829" w:right="654"/>
        <w:jc w:val="left"/>
      </w:pPr>
      <w:r>
        <w:rPr>
          <w:position w:val="2"/>
        </w:rPr>
        <w:t>其他</w:t>
      </w:r>
      <w:r>
        <w:rPr>
          <w:rFonts w:ascii="Arial" w:hAnsi="Arial" w:cs="Arial" w:eastAsia="Arial" w:hint="default"/>
          <w:position w:val="2"/>
        </w:rPr>
        <w:t>(</w:t>
      </w:r>
      <w:r>
        <w:rPr>
          <w:position w:val="2"/>
        </w:rPr>
        <w:t>单笔金额较小</w:t>
      </w:r>
      <w:r>
        <w:rPr>
          <w:rFonts w:ascii="Arial" w:hAnsi="Arial" w:cs="Arial" w:eastAsia="Arial" w:hint="default"/>
          <w:position w:val="2"/>
        </w:rPr>
        <w:t>)</w:t>
        <w:tab/>
      </w:r>
      <w:r>
        <w:rPr>
          <w:position w:val="2"/>
        </w:rPr>
        <w:t>应收货款</w:t>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10</w:t>
      </w:r>
      <w:r>
        <w:rPr>
          <w:rFonts w:ascii="Arial" w:hAnsi="Arial" w:cs="Arial" w:eastAsia="Arial" w:hint="default"/>
          <w:spacing w:val="-1"/>
        </w:rPr>
        <w:tab/>
      </w:r>
      <w:r>
        <w:rPr>
          <w:position w:val="2"/>
        </w:rPr>
        <w:t>长时间催讨无结果</w:t>
        <w:tab/>
        <w:t>否</w:t>
      </w:r>
      <w:r>
        <w:rPr/>
      </w:r>
    </w:p>
    <w:p>
      <w:pPr>
        <w:spacing w:line="240" w:lineRule="auto" w:before="6"/>
        <w:rPr>
          <w:rFonts w:ascii="宋体" w:hAnsi="宋体" w:cs="宋体" w:eastAsia="宋体" w:hint="default"/>
          <w:sz w:val="15"/>
          <w:szCs w:val="15"/>
        </w:rPr>
      </w:pPr>
    </w:p>
    <w:p>
      <w:pPr>
        <w:pStyle w:val="BodyText"/>
        <w:tabs>
          <w:tab w:pos="815" w:val="left" w:leader="none"/>
        </w:tabs>
        <w:spacing w:line="312" w:lineRule="exact" w:before="63"/>
        <w:ind w:left="816" w:right="654" w:hanging="708"/>
        <w:jc w:val="left"/>
      </w:pPr>
      <w:r>
        <w:rPr>
          <w:rFonts w:ascii="Arial" w:hAnsi="Arial" w:cs="Arial" w:eastAsia="Arial" w:hint="default"/>
          <w:w w:val="95"/>
          <w:position w:val="2"/>
        </w:rPr>
        <w:t>(e)</w:t>
        <w:tab/>
      </w:r>
      <w:r>
        <w:rPr/>
        <w:t>于</w:t>
      </w:r>
      <w:r>
        <w:rPr>
          <w:spacing w:val="-60"/>
        </w:rPr>
        <w:t> </w:t>
      </w:r>
      <w:r>
        <w:rPr>
          <w:rFonts w:ascii="Arial" w:hAnsi="Arial" w:cs="Arial" w:eastAsia="Arial" w:hint="default"/>
        </w:rPr>
        <w:t>2010</w:t>
      </w:r>
      <w:r>
        <w:rPr>
          <w:rFonts w:ascii="Arial" w:hAnsi="Arial" w:cs="Arial" w:eastAsia="Arial" w:hint="default"/>
          <w:spacing w:val="-7"/>
        </w:rPr>
        <w:t> </w:t>
      </w:r>
      <w:r>
        <w:rPr/>
        <w:t>年</w:t>
      </w:r>
      <w:r>
        <w:rPr>
          <w:spacing w:val="-59"/>
        </w:rPr>
        <w:t> </w:t>
      </w:r>
      <w:r>
        <w:rPr>
          <w:rFonts w:ascii="Arial" w:hAnsi="Arial" w:cs="Arial" w:eastAsia="Arial" w:hint="default"/>
        </w:rPr>
        <w:t>12</w:t>
      </w:r>
      <w:r>
        <w:rPr>
          <w:rFonts w:ascii="Arial" w:hAnsi="Arial" w:cs="Arial" w:eastAsia="Arial" w:hint="default"/>
          <w:spacing w:val="-7"/>
        </w:rPr>
        <w:t> </w:t>
      </w:r>
      <w:r>
        <w:rPr/>
        <w:t>月</w:t>
      </w:r>
      <w:r>
        <w:rPr>
          <w:spacing w:val="-60"/>
        </w:rPr>
        <w:t> </w:t>
      </w:r>
      <w:r>
        <w:rPr>
          <w:rFonts w:ascii="Arial" w:hAnsi="Arial" w:cs="Arial" w:eastAsia="Arial" w:hint="default"/>
        </w:rPr>
        <w:t>31</w:t>
      </w:r>
      <w:r>
        <w:rPr>
          <w:rFonts w:ascii="Arial" w:hAnsi="Arial" w:cs="Arial" w:eastAsia="Arial" w:hint="default"/>
          <w:spacing w:val="-7"/>
        </w:rPr>
        <w:t> </w:t>
      </w:r>
      <w:r>
        <w:rPr/>
        <w:t>日及</w:t>
      </w:r>
      <w:r>
        <w:rPr>
          <w:spacing w:val="-60"/>
        </w:rPr>
        <w:t> </w:t>
      </w:r>
      <w:r>
        <w:rPr>
          <w:rFonts w:ascii="Arial" w:hAnsi="Arial" w:cs="Arial" w:eastAsia="Arial" w:hint="default"/>
        </w:rPr>
        <w:t>2009</w:t>
      </w:r>
      <w:r>
        <w:rPr>
          <w:rFonts w:ascii="Arial" w:hAnsi="Arial" w:cs="Arial" w:eastAsia="Arial" w:hint="default"/>
          <w:spacing w:val="-7"/>
        </w:rPr>
        <w:t> </w:t>
      </w:r>
      <w:r>
        <w:rPr/>
        <w:t>年</w:t>
      </w:r>
      <w:r>
        <w:rPr>
          <w:spacing w:val="-59"/>
        </w:rPr>
        <w:t> </w:t>
      </w:r>
      <w:r>
        <w:rPr>
          <w:rFonts w:ascii="Arial" w:hAnsi="Arial" w:cs="Arial" w:eastAsia="Arial" w:hint="default"/>
        </w:rPr>
        <w:t>12</w:t>
      </w:r>
      <w:r>
        <w:rPr>
          <w:rFonts w:ascii="Arial" w:hAnsi="Arial" w:cs="Arial" w:eastAsia="Arial" w:hint="default"/>
          <w:spacing w:val="-7"/>
        </w:rPr>
        <w:t> </w:t>
      </w:r>
      <w:r>
        <w:rPr/>
        <w:t>月</w:t>
      </w:r>
      <w:r>
        <w:rPr>
          <w:spacing w:val="-60"/>
        </w:rPr>
        <w:t> </w:t>
      </w:r>
      <w:r>
        <w:rPr>
          <w:rFonts w:ascii="Arial" w:hAnsi="Arial" w:cs="Arial" w:eastAsia="Arial" w:hint="default"/>
        </w:rPr>
        <w:t>31</w:t>
      </w:r>
      <w:r>
        <w:rPr>
          <w:rFonts w:ascii="Arial" w:hAnsi="Arial" w:cs="Arial" w:eastAsia="Arial" w:hint="default"/>
          <w:spacing w:val="-7"/>
        </w:rPr>
        <w:t> </w:t>
      </w:r>
      <w:r>
        <w:rPr/>
        <w:t>日，应收账款中无持有本公司</w:t>
      </w:r>
      <w:r>
        <w:rPr>
          <w:spacing w:val="-60"/>
        </w:rPr>
        <w:t> </w:t>
      </w:r>
      <w:r>
        <w:rPr>
          <w:rFonts w:ascii="Arial" w:hAnsi="Arial" w:cs="Arial" w:eastAsia="Arial" w:hint="default"/>
        </w:rPr>
        <w:t>5%(</w:t>
      </w:r>
      <w:r>
        <w:rPr/>
        <w:t>含</w:t>
      </w:r>
      <w:r>
        <w:rPr>
          <w:spacing w:val="-60"/>
        </w:rPr>
        <w:t> </w:t>
      </w:r>
      <w:r>
        <w:rPr>
          <w:rFonts w:ascii="Arial" w:hAnsi="Arial" w:cs="Arial" w:eastAsia="Arial" w:hint="default"/>
        </w:rPr>
        <w:t>5%)</w:t>
      </w:r>
      <w:r>
        <w:rPr/>
        <w:t>以 上表决权股份的股东的欠款。</w:t>
      </w:r>
    </w:p>
    <w:p>
      <w:pPr>
        <w:spacing w:line="240" w:lineRule="auto" w:before="10"/>
        <w:rPr>
          <w:rFonts w:ascii="宋体" w:hAnsi="宋体" w:cs="宋体" w:eastAsia="宋体" w:hint="default"/>
          <w:sz w:val="18"/>
          <w:szCs w:val="18"/>
        </w:rPr>
      </w:pPr>
    </w:p>
    <w:p>
      <w:pPr>
        <w:pStyle w:val="BodyText"/>
        <w:tabs>
          <w:tab w:pos="815" w:val="left" w:leader="none"/>
        </w:tabs>
        <w:spacing w:line="240" w:lineRule="auto"/>
        <w:ind w:left="108" w:right="654"/>
        <w:jc w:val="left"/>
      </w:pPr>
      <w:r>
        <w:rPr>
          <w:rFonts w:ascii="Arial" w:hAnsi="Arial" w:cs="Arial" w:eastAsia="Arial" w:hint="default"/>
          <w:position w:val="2"/>
        </w:rPr>
        <w:t>(f)</w:t>
        <w:tab/>
      </w:r>
      <w:r>
        <w:rPr/>
        <w:t>于</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日，余额前五名的应收账款分析如下：</w:t>
      </w:r>
    </w:p>
    <w:p>
      <w:pPr>
        <w:spacing w:line="240" w:lineRule="auto" w:before="8"/>
        <w:rPr>
          <w:rFonts w:ascii="宋体" w:hAnsi="宋体" w:cs="宋体" w:eastAsia="宋体" w:hint="default"/>
          <w:sz w:val="2"/>
          <w:szCs w:val="2"/>
        </w:rPr>
      </w:pPr>
    </w:p>
    <w:tbl>
      <w:tblPr>
        <w:tblW w:w="0" w:type="auto"/>
        <w:jc w:val="left"/>
        <w:tblInd w:w="780" w:type="dxa"/>
        <w:tblLayout w:type="fixed"/>
        <w:tblCellMar>
          <w:top w:w="0" w:type="dxa"/>
          <w:left w:w="0" w:type="dxa"/>
          <w:bottom w:w="0" w:type="dxa"/>
          <w:right w:w="0" w:type="dxa"/>
        </w:tblCellMar>
        <w:tblLook w:val="01E0"/>
      </w:tblPr>
      <w:tblGrid>
        <w:gridCol w:w="2934"/>
        <w:gridCol w:w="1789"/>
        <w:gridCol w:w="1416"/>
        <w:gridCol w:w="1417"/>
        <w:gridCol w:w="1711"/>
      </w:tblGrid>
      <w:tr>
        <w:trPr>
          <w:trHeight w:val="746" w:hRule="exact"/>
        </w:trPr>
        <w:tc>
          <w:tcPr>
            <w:tcW w:w="2934"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4"/>
                <w:szCs w:val="24"/>
              </w:rPr>
            </w:pPr>
            <w:r>
              <w:rPr>
                <w:rFonts w:ascii="宋体" w:hAnsi="宋体" w:cs="宋体" w:eastAsia="宋体" w:hint="default"/>
                <w:sz w:val="24"/>
                <w:szCs w:val="24"/>
              </w:rPr>
              <w:t>与本集团关系</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4"/>
                <w:szCs w:val="24"/>
              </w:rPr>
            </w:pPr>
            <w:r>
              <w:rPr>
                <w:rFonts w:ascii="宋体" w:hAnsi="宋体" w:cs="宋体" w:eastAsia="宋体" w:hint="default"/>
                <w:sz w:val="24"/>
                <w:szCs w:val="24"/>
              </w:rPr>
              <w:t>金额</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4"/>
                <w:szCs w:val="24"/>
              </w:rPr>
            </w:pPr>
            <w:r>
              <w:rPr>
                <w:rFonts w:ascii="宋体" w:hAnsi="宋体" w:cs="宋体" w:eastAsia="宋体" w:hint="default"/>
                <w:sz w:val="24"/>
                <w:szCs w:val="24"/>
              </w:rPr>
              <w:t>年限</w:t>
            </w:r>
          </w:p>
        </w:tc>
        <w:tc>
          <w:tcPr>
            <w:tcW w:w="1711" w:type="dxa"/>
            <w:tcBorders>
              <w:top w:val="nil" w:sz="6" w:space="0" w:color="auto"/>
              <w:left w:val="nil" w:sz="6" w:space="0" w:color="auto"/>
              <w:bottom w:val="nil" w:sz="6" w:space="0" w:color="auto"/>
              <w:right w:val="nil" w:sz="6" w:space="0" w:color="auto"/>
            </w:tcBorders>
          </w:tcPr>
          <w:p>
            <w:pPr>
              <w:pStyle w:val="TableParagraph"/>
              <w:spacing w:line="259" w:lineRule="exact"/>
              <w:ind w:left="651" w:right="0" w:hanging="240"/>
              <w:jc w:val="left"/>
              <w:rPr>
                <w:rFonts w:ascii="宋体" w:hAnsi="宋体" w:cs="宋体" w:eastAsia="宋体" w:hint="default"/>
                <w:sz w:val="24"/>
                <w:szCs w:val="24"/>
              </w:rPr>
            </w:pPr>
            <w:r>
              <w:rPr>
                <w:rFonts w:ascii="宋体" w:hAnsi="宋体" w:cs="宋体" w:eastAsia="宋体" w:hint="default"/>
                <w:sz w:val="24"/>
                <w:szCs w:val="24"/>
              </w:rPr>
              <w:t>占应收账款</w:t>
            </w:r>
          </w:p>
          <w:p>
            <w:pPr>
              <w:pStyle w:val="TableParagraph"/>
              <w:spacing w:line="313" w:lineRule="exact"/>
              <w:ind w:left="651" w:right="0"/>
              <w:jc w:val="left"/>
              <w:rPr>
                <w:rFonts w:ascii="宋体" w:hAnsi="宋体" w:cs="宋体" w:eastAsia="宋体" w:hint="default"/>
                <w:sz w:val="24"/>
                <w:szCs w:val="24"/>
              </w:rPr>
            </w:pPr>
            <w:r>
              <w:rPr>
                <w:rFonts w:ascii="宋体" w:hAnsi="宋体" w:cs="宋体" w:eastAsia="宋体" w:hint="default"/>
                <w:sz w:val="24"/>
                <w:szCs w:val="24"/>
              </w:rPr>
              <w:t>总额比例</w:t>
            </w:r>
          </w:p>
        </w:tc>
      </w:tr>
      <w:tr>
        <w:trPr>
          <w:trHeight w:val="465" w:hRule="exact"/>
        </w:trPr>
        <w:tc>
          <w:tcPr>
            <w:tcW w:w="293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24"/>
                <w:szCs w:val="24"/>
              </w:rPr>
            </w:pPr>
            <w:r>
              <w:rPr>
                <w:rFonts w:ascii="宋体" w:hAnsi="宋体" w:cs="宋体" w:eastAsia="宋体" w:hint="default"/>
                <w:sz w:val="24"/>
                <w:szCs w:val="24"/>
              </w:rPr>
              <w:t>天津市财政局</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1"/>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98"/>
              <w:jc w:val="right"/>
              <w:rPr>
                <w:rFonts w:ascii="Arial" w:hAnsi="Arial" w:cs="Arial" w:eastAsia="Arial" w:hint="default"/>
                <w:sz w:val="24"/>
                <w:szCs w:val="24"/>
              </w:rPr>
            </w:pPr>
            <w:r>
              <w:rPr>
                <w:rFonts w:ascii="Arial"/>
                <w:spacing w:val="-1"/>
                <w:w w:val="95"/>
                <w:sz w:val="24"/>
              </w:rPr>
              <w:t>59,217</w:t>
            </w:r>
            <w:r>
              <w:rPr>
                <w:rFonts w:ascii="Arial"/>
                <w:sz w:val="24"/>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98"/>
              <w:jc w:val="right"/>
              <w:rPr>
                <w:rFonts w:ascii="Arial" w:hAnsi="Arial" w:cs="Arial" w:eastAsia="Arial" w:hint="default"/>
                <w:sz w:val="24"/>
                <w:szCs w:val="24"/>
              </w:rPr>
            </w:pPr>
            <w:r>
              <w:rPr>
                <w:rFonts w:ascii="Arial"/>
                <w:spacing w:val="-1"/>
                <w:w w:val="95"/>
                <w:sz w:val="24"/>
              </w:rPr>
              <w:t>5.2%</w:t>
            </w:r>
            <w:r>
              <w:rPr>
                <w:rFonts w:ascii="Arial"/>
                <w:sz w:val="24"/>
              </w:rPr>
            </w:r>
          </w:p>
        </w:tc>
      </w:tr>
      <w:tr>
        <w:trPr>
          <w:trHeight w:val="609" w:hRule="exact"/>
        </w:trPr>
        <w:tc>
          <w:tcPr>
            <w:tcW w:w="2934"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4"/>
                <w:szCs w:val="24"/>
              </w:rPr>
            </w:pPr>
            <w:r>
              <w:rPr>
                <w:rFonts w:ascii="宋体" w:hAnsi="宋体" w:cs="宋体" w:eastAsia="宋体" w:hint="default"/>
                <w:sz w:val="24"/>
                <w:szCs w:val="24"/>
              </w:rPr>
              <w:t>上海市财政局</w:t>
            </w:r>
          </w:p>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pacing w:val="22"/>
                <w:sz w:val="24"/>
                <w:szCs w:val="24"/>
              </w:rPr>
              <w:t>中国联通网络有限公司</w:t>
            </w:r>
            <w:r>
              <w:rPr>
                <w:rFonts w:ascii="宋体" w:hAnsi="宋体" w:cs="宋体" w:eastAsia="宋体" w:hint="default"/>
                <w:spacing w:val="-95"/>
                <w:sz w:val="24"/>
                <w:szCs w:val="24"/>
              </w:rPr>
              <w:t> </w:t>
            </w:r>
            <w:r>
              <w:rPr>
                <w:rFonts w:ascii="宋体" w:hAnsi="宋体" w:cs="宋体" w:eastAsia="宋体" w:hint="default"/>
                <w:sz w:val="24"/>
                <w:szCs w:val="24"/>
              </w:rPr>
            </w:r>
          </w:p>
        </w:tc>
        <w:tc>
          <w:tcPr>
            <w:tcW w:w="1789" w:type="dxa"/>
            <w:tcBorders>
              <w:top w:val="nil" w:sz="6" w:space="0" w:color="auto"/>
              <w:left w:val="nil" w:sz="6" w:space="0" w:color="auto"/>
              <w:bottom w:val="nil" w:sz="6" w:space="0" w:color="auto"/>
              <w:right w:val="nil" w:sz="6" w:space="0" w:color="auto"/>
            </w:tcBorders>
          </w:tcPr>
          <w:p>
            <w:pPr>
              <w:pStyle w:val="TableParagraph"/>
              <w:spacing w:line="261" w:lineRule="exact"/>
              <w:ind w:right="101"/>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Arial" w:hAnsi="Arial" w:cs="Arial" w:eastAsia="Arial" w:hint="default"/>
                <w:sz w:val="24"/>
                <w:szCs w:val="24"/>
              </w:rPr>
            </w:pPr>
            <w:r>
              <w:rPr>
                <w:rFonts w:ascii="Arial"/>
                <w:spacing w:val="-1"/>
                <w:w w:val="95"/>
                <w:sz w:val="24"/>
              </w:rPr>
              <w:t>57,473</w:t>
            </w:r>
            <w:r>
              <w:rPr>
                <w:rFonts w:ascii="Arial"/>
                <w:sz w:val="24"/>
              </w:rPr>
            </w:r>
          </w:p>
        </w:tc>
        <w:tc>
          <w:tcPr>
            <w:tcW w:w="1417" w:type="dxa"/>
            <w:tcBorders>
              <w:top w:val="nil" w:sz="6" w:space="0" w:color="auto"/>
              <w:left w:val="nil" w:sz="6" w:space="0" w:color="auto"/>
              <w:bottom w:val="nil" w:sz="6" w:space="0" w:color="auto"/>
              <w:right w:val="nil" w:sz="6" w:space="0" w:color="auto"/>
            </w:tcBorders>
          </w:tcPr>
          <w:p>
            <w:pPr>
              <w:pStyle w:val="TableParagraph"/>
              <w:spacing w:line="261" w:lineRule="exact"/>
              <w:ind w:right="98"/>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Arial" w:hAnsi="Arial" w:cs="Arial" w:eastAsia="Arial" w:hint="default"/>
                <w:sz w:val="24"/>
                <w:szCs w:val="24"/>
              </w:rPr>
            </w:pPr>
            <w:r>
              <w:rPr>
                <w:rFonts w:ascii="Arial"/>
                <w:spacing w:val="-1"/>
                <w:w w:val="95"/>
                <w:sz w:val="24"/>
              </w:rPr>
              <w:t>5.1%</w:t>
            </w:r>
            <w:r>
              <w:rPr>
                <w:rFonts w:ascii="Arial"/>
                <w:sz w:val="24"/>
              </w:rPr>
            </w:r>
          </w:p>
        </w:tc>
      </w:tr>
      <w:tr>
        <w:trPr>
          <w:trHeight w:val="306" w:hRule="exact"/>
        </w:trPr>
        <w:tc>
          <w:tcPr>
            <w:tcW w:w="2934" w:type="dxa"/>
            <w:tcBorders>
              <w:top w:val="nil" w:sz="6" w:space="0" w:color="auto"/>
              <w:left w:val="nil" w:sz="6" w:space="0" w:color="auto"/>
              <w:bottom w:val="nil" w:sz="6" w:space="0" w:color="auto"/>
              <w:right w:val="nil" w:sz="6" w:space="0" w:color="auto"/>
            </w:tcBorders>
          </w:tcPr>
          <w:p>
            <w:pPr>
              <w:pStyle w:val="TableParagraph"/>
              <w:spacing w:line="276" w:lineRule="exact"/>
              <w:ind w:left="291" w:right="0"/>
              <w:jc w:val="left"/>
              <w:rPr>
                <w:rFonts w:ascii="宋体" w:hAnsi="宋体" w:cs="宋体" w:eastAsia="宋体" w:hint="default"/>
                <w:sz w:val="24"/>
                <w:szCs w:val="24"/>
              </w:rPr>
            </w:pPr>
            <w:r>
              <w:rPr>
                <w:rFonts w:ascii="宋体" w:hAnsi="宋体" w:cs="宋体" w:eastAsia="宋体" w:hint="default"/>
                <w:sz w:val="24"/>
                <w:szCs w:val="24"/>
              </w:rPr>
              <w:t>南京分公司</w:t>
            </w:r>
          </w:p>
        </w:tc>
        <w:tc>
          <w:tcPr>
            <w:tcW w:w="1789" w:type="dxa"/>
            <w:tcBorders>
              <w:top w:val="nil" w:sz="6" w:space="0" w:color="auto"/>
              <w:left w:val="nil" w:sz="6" w:space="0" w:color="auto"/>
              <w:bottom w:val="nil" w:sz="6" w:space="0" w:color="auto"/>
              <w:right w:val="nil" w:sz="6" w:space="0" w:color="auto"/>
            </w:tcBorders>
          </w:tcPr>
          <w:p>
            <w:pPr>
              <w:pStyle w:val="TableParagraph"/>
              <w:spacing w:line="276" w:lineRule="exact"/>
              <w:ind w:right="101"/>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Arial" w:hAnsi="Arial" w:cs="Arial" w:eastAsia="Arial" w:hint="default"/>
                <w:sz w:val="24"/>
                <w:szCs w:val="24"/>
              </w:rPr>
            </w:pPr>
            <w:r>
              <w:rPr>
                <w:rFonts w:ascii="Arial"/>
                <w:spacing w:val="-1"/>
                <w:w w:val="95"/>
                <w:sz w:val="24"/>
              </w:rPr>
              <w:t>30,071</w:t>
            </w:r>
            <w:r>
              <w:rPr>
                <w:rFonts w:ascii="Arial"/>
                <w:sz w:val="24"/>
              </w:rPr>
            </w:r>
          </w:p>
        </w:tc>
        <w:tc>
          <w:tcPr>
            <w:tcW w:w="1417" w:type="dxa"/>
            <w:tcBorders>
              <w:top w:val="nil" w:sz="6" w:space="0" w:color="auto"/>
              <w:left w:val="nil" w:sz="6" w:space="0" w:color="auto"/>
              <w:bottom w:val="nil" w:sz="6" w:space="0" w:color="auto"/>
              <w:right w:val="nil" w:sz="6" w:space="0" w:color="auto"/>
            </w:tcBorders>
          </w:tcPr>
          <w:p>
            <w:pPr>
              <w:pStyle w:val="TableParagraph"/>
              <w:spacing w:line="276" w:lineRule="exact"/>
              <w:ind w:right="98"/>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Arial" w:hAnsi="Arial" w:cs="Arial" w:eastAsia="Arial" w:hint="default"/>
                <w:sz w:val="24"/>
                <w:szCs w:val="24"/>
              </w:rPr>
            </w:pPr>
            <w:r>
              <w:rPr>
                <w:rFonts w:ascii="Arial"/>
                <w:spacing w:val="-1"/>
                <w:w w:val="95"/>
                <w:sz w:val="24"/>
              </w:rPr>
              <w:t>2.7%</w:t>
            </w:r>
            <w:r>
              <w:rPr>
                <w:rFonts w:ascii="Arial"/>
                <w:sz w:val="24"/>
              </w:rPr>
            </w:r>
          </w:p>
        </w:tc>
      </w:tr>
      <w:tr>
        <w:trPr>
          <w:trHeight w:val="318" w:hRule="exact"/>
        </w:trPr>
        <w:tc>
          <w:tcPr>
            <w:tcW w:w="2934" w:type="dxa"/>
            <w:tcBorders>
              <w:top w:val="nil" w:sz="6" w:space="0" w:color="auto"/>
              <w:left w:val="nil" w:sz="6" w:space="0" w:color="auto"/>
              <w:bottom w:val="nil" w:sz="6" w:space="0" w:color="auto"/>
              <w:right w:val="nil" w:sz="6" w:space="0" w:color="auto"/>
            </w:tcBorders>
          </w:tcPr>
          <w:p>
            <w:pPr>
              <w:pStyle w:val="TableParagraph"/>
              <w:spacing w:line="282" w:lineRule="exact"/>
              <w:ind w:left="35" w:right="0"/>
              <w:jc w:val="left"/>
              <w:rPr>
                <w:rFonts w:ascii="宋体" w:hAnsi="宋体" w:cs="宋体" w:eastAsia="宋体" w:hint="default"/>
                <w:sz w:val="24"/>
                <w:szCs w:val="24"/>
              </w:rPr>
            </w:pPr>
            <w:r>
              <w:rPr>
                <w:rFonts w:ascii="宋体" w:hAnsi="宋体" w:cs="宋体" w:eastAsia="宋体" w:hint="default"/>
                <w:spacing w:val="22"/>
                <w:sz w:val="24"/>
                <w:szCs w:val="24"/>
              </w:rPr>
              <w:t>华星集团环保产业发展</w:t>
            </w:r>
            <w:r>
              <w:rPr>
                <w:rFonts w:ascii="宋体" w:hAnsi="宋体" w:cs="宋体" w:eastAsia="宋体" w:hint="default"/>
                <w:spacing w:val="-95"/>
                <w:sz w:val="24"/>
                <w:szCs w:val="24"/>
              </w:rPr>
              <w:t> </w:t>
            </w:r>
            <w:r>
              <w:rPr>
                <w:rFonts w:ascii="宋体" w:hAnsi="宋体" w:cs="宋体" w:eastAsia="宋体" w:hint="default"/>
                <w:sz w:val="24"/>
                <w:szCs w:val="24"/>
              </w:rPr>
            </w:r>
          </w:p>
        </w:tc>
        <w:tc>
          <w:tcPr>
            <w:tcW w:w="178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
        </w:tc>
      </w:tr>
      <w:tr>
        <w:trPr>
          <w:trHeight w:val="327" w:hRule="exact"/>
        </w:trPr>
        <w:tc>
          <w:tcPr>
            <w:tcW w:w="2934" w:type="dxa"/>
            <w:tcBorders>
              <w:top w:val="nil" w:sz="6" w:space="0" w:color="auto"/>
              <w:left w:val="nil" w:sz="6" w:space="0" w:color="auto"/>
              <w:bottom w:val="nil" w:sz="6" w:space="0" w:color="auto"/>
              <w:right w:val="nil" w:sz="6" w:space="0" w:color="auto"/>
            </w:tcBorders>
          </w:tcPr>
          <w:p>
            <w:pPr>
              <w:pStyle w:val="TableParagraph"/>
              <w:spacing w:line="276" w:lineRule="exact"/>
              <w:ind w:left="291"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789" w:type="dxa"/>
            <w:tcBorders>
              <w:top w:val="nil" w:sz="6" w:space="0" w:color="auto"/>
              <w:left w:val="nil" w:sz="6" w:space="0" w:color="auto"/>
              <w:bottom w:val="nil" w:sz="6" w:space="0" w:color="auto"/>
              <w:right w:val="nil" w:sz="6" w:space="0" w:color="auto"/>
            </w:tcBorders>
          </w:tcPr>
          <w:p>
            <w:pPr>
              <w:pStyle w:val="TableParagraph"/>
              <w:spacing w:line="276" w:lineRule="exact"/>
              <w:ind w:right="101"/>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Arial" w:hAnsi="Arial" w:cs="Arial" w:eastAsia="Arial" w:hint="default"/>
                <w:sz w:val="24"/>
                <w:szCs w:val="24"/>
              </w:rPr>
            </w:pPr>
            <w:r>
              <w:rPr>
                <w:rFonts w:ascii="Arial"/>
                <w:spacing w:val="-1"/>
                <w:w w:val="95"/>
                <w:sz w:val="24"/>
              </w:rPr>
              <w:t>26,192</w:t>
            </w:r>
            <w:r>
              <w:rPr>
                <w:rFonts w:ascii="Arial"/>
                <w:sz w:val="24"/>
              </w:rPr>
            </w:r>
          </w:p>
        </w:tc>
        <w:tc>
          <w:tcPr>
            <w:tcW w:w="1417" w:type="dxa"/>
            <w:tcBorders>
              <w:top w:val="nil" w:sz="6" w:space="0" w:color="auto"/>
              <w:left w:val="nil" w:sz="6" w:space="0" w:color="auto"/>
              <w:bottom w:val="nil" w:sz="6" w:space="0" w:color="auto"/>
              <w:right w:val="nil" w:sz="6" w:space="0" w:color="auto"/>
            </w:tcBorders>
          </w:tcPr>
          <w:p>
            <w:pPr>
              <w:pStyle w:val="TableParagraph"/>
              <w:spacing w:line="276" w:lineRule="exact"/>
              <w:ind w:right="98"/>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Arial" w:hAnsi="Arial" w:cs="Arial" w:eastAsia="Arial" w:hint="default"/>
                <w:sz w:val="24"/>
                <w:szCs w:val="24"/>
              </w:rPr>
            </w:pPr>
            <w:r>
              <w:rPr>
                <w:rFonts w:ascii="Arial"/>
                <w:spacing w:val="-1"/>
                <w:w w:val="95"/>
                <w:sz w:val="24"/>
              </w:rPr>
              <w:t>2.3%</w:t>
            </w:r>
            <w:r>
              <w:rPr>
                <w:rFonts w:ascii="Arial"/>
                <w:sz w:val="24"/>
              </w:rPr>
            </w:r>
          </w:p>
        </w:tc>
      </w:tr>
      <w:tr>
        <w:trPr>
          <w:trHeight w:val="579" w:hRule="exact"/>
        </w:trPr>
        <w:tc>
          <w:tcPr>
            <w:tcW w:w="293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深圳市财政局</w:t>
            </w:r>
          </w:p>
        </w:tc>
        <w:tc>
          <w:tcPr>
            <w:tcW w:w="1789" w:type="dxa"/>
            <w:tcBorders>
              <w:top w:val="nil" w:sz="6" w:space="0" w:color="auto"/>
              <w:left w:val="nil" w:sz="6" w:space="0" w:color="auto"/>
              <w:bottom w:val="nil" w:sz="6" w:space="0" w:color="auto"/>
              <w:right w:val="nil" w:sz="6" w:space="0" w:color="auto"/>
            </w:tcBorders>
          </w:tcPr>
          <w:p>
            <w:pPr>
              <w:pStyle w:val="TableParagraph"/>
              <w:spacing w:line="261" w:lineRule="exact"/>
              <w:ind w:right="101"/>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98"/>
              <w:jc w:val="right"/>
              <w:rPr>
                <w:rFonts w:ascii="Arial" w:hAnsi="Arial" w:cs="Arial" w:eastAsia="Arial" w:hint="default"/>
                <w:sz w:val="24"/>
                <w:szCs w:val="24"/>
              </w:rPr>
            </w:pPr>
            <w:r>
              <w:rPr>
                <w:rFonts w:ascii="Arial"/>
                <w:spacing w:val="-1"/>
                <w:w w:val="95"/>
                <w:sz w:val="24"/>
              </w:rPr>
              <w:t>25,123</w:t>
            </w:r>
            <w:r>
              <w:rPr>
                <w:rFonts w:ascii="Arial"/>
                <w:sz w:val="24"/>
              </w:rPr>
            </w:r>
          </w:p>
        </w:tc>
        <w:tc>
          <w:tcPr>
            <w:tcW w:w="1417" w:type="dxa"/>
            <w:tcBorders>
              <w:top w:val="nil" w:sz="6" w:space="0" w:color="auto"/>
              <w:left w:val="nil" w:sz="6" w:space="0" w:color="auto"/>
              <w:bottom w:val="nil" w:sz="6" w:space="0" w:color="auto"/>
              <w:right w:val="nil" w:sz="6" w:space="0" w:color="auto"/>
            </w:tcBorders>
          </w:tcPr>
          <w:p>
            <w:pPr>
              <w:pStyle w:val="TableParagraph"/>
              <w:spacing w:line="261" w:lineRule="exact"/>
              <w:ind w:right="98"/>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711"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98"/>
              <w:jc w:val="right"/>
              <w:rPr>
                <w:rFonts w:ascii="Arial" w:hAnsi="Arial" w:cs="Arial" w:eastAsia="Arial" w:hint="default"/>
                <w:sz w:val="24"/>
                <w:szCs w:val="24"/>
              </w:rPr>
            </w:pPr>
            <w:r>
              <w:rPr>
                <w:rFonts w:ascii="Arial"/>
                <w:spacing w:val="-1"/>
                <w:w w:val="95"/>
                <w:sz w:val="24"/>
              </w:rPr>
              <w:t>2.2%</w:t>
            </w:r>
            <w:r>
              <w:rPr>
                <w:rFonts w:ascii="Arial"/>
                <w:sz w:val="24"/>
              </w:rPr>
            </w:r>
          </w:p>
        </w:tc>
      </w:tr>
      <w:tr>
        <w:trPr>
          <w:trHeight w:val="296" w:hRule="exact"/>
        </w:trPr>
        <w:tc>
          <w:tcPr>
            <w:tcW w:w="2934"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8"/>
              <w:jc w:val="right"/>
              <w:rPr>
                <w:rFonts w:ascii="Arial" w:hAnsi="Arial" w:cs="Arial" w:eastAsia="Arial" w:hint="default"/>
                <w:sz w:val="24"/>
                <w:szCs w:val="24"/>
              </w:rPr>
            </w:pPr>
            <w:r>
              <w:rPr>
                <w:rFonts w:ascii="Arial"/>
                <w:spacing w:val="-1"/>
                <w:w w:val="95"/>
                <w:sz w:val="24"/>
              </w:rPr>
              <w:t>198,076</w:t>
            </w:r>
            <w:r>
              <w:rPr>
                <w:rFonts w:ascii="Arial"/>
                <w:sz w:val="24"/>
              </w:rPr>
            </w:r>
          </w:p>
        </w:tc>
        <w:tc>
          <w:tcPr>
            <w:tcW w:w="1417" w:type="dxa"/>
            <w:tcBorders>
              <w:top w:val="nil" w:sz="6" w:space="0" w:color="auto"/>
              <w:left w:val="nil" w:sz="6" w:space="0" w:color="auto"/>
              <w:bottom w:val="nil" w:sz="6" w:space="0" w:color="auto"/>
              <w:right w:val="nil" w:sz="6" w:space="0" w:color="auto"/>
            </w:tcBorders>
          </w:tcPr>
          <w:p>
            <w:pPr/>
          </w:p>
        </w:tc>
        <w:tc>
          <w:tcPr>
            <w:tcW w:w="1711"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8"/>
              <w:jc w:val="right"/>
              <w:rPr>
                <w:rFonts w:ascii="Arial" w:hAnsi="Arial" w:cs="Arial" w:eastAsia="Arial" w:hint="default"/>
                <w:sz w:val="24"/>
                <w:szCs w:val="24"/>
              </w:rPr>
            </w:pPr>
            <w:r>
              <w:rPr>
                <w:rFonts w:ascii="Arial"/>
                <w:spacing w:val="-1"/>
                <w:w w:val="95"/>
                <w:sz w:val="24"/>
              </w:rPr>
              <w:t>17.5%</w:t>
            </w:r>
            <w:r>
              <w:rPr>
                <w:rFonts w:ascii="Arial"/>
                <w:sz w:val="24"/>
              </w:rPr>
            </w:r>
          </w:p>
        </w:tc>
      </w:tr>
    </w:tbl>
    <w:p>
      <w:pPr>
        <w:spacing w:line="240" w:lineRule="auto" w:before="11"/>
        <w:rPr>
          <w:rFonts w:ascii="宋体" w:hAnsi="宋体" w:cs="宋体" w:eastAsia="宋体" w:hint="default"/>
          <w:sz w:val="11"/>
          <w:szCs w:val="11"/>
        </w:rPr>
      </w:pPr>
    </w:p>
    <w:p>
      <w:pPr>
        <w:pStyle w:val="BodyText"/>
        <w:tabs>
          <w:tab w:pos="817" w:val="left" w:leader="none"/>
        </w:tabs>
        <w:spacing w:line="240" w:lineRule="auto" w:before="32"/>
        <w:ind w:left="103" w:right="654"/>
        <w:jc w:val="left"/>
      </w:pPr>
      <w:r>
        <w:rPr>
          <w:rFonts w:ascii="Arial" w:hAnsi="Arial" w:cs="Arial" w:eastAsia="Arial" w:hint="default"/>
          <w:w w:val="95"/>
          <w:position w:val="2"/>
        </w:rPr>
        <w:t>(g)</w:t>
        <w:tab/>
      </w:r>
      <w:r>
        <w:rPr/>
        <w:t>于</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日及</w:t>
      </w:r>
      <w:r>
        <w:rPr>
          <w:spacing w:val="-61"/>
        </w:rPr>
        <w:t> </w:t>
      </w:r>
      <w:r>
        <w:rPr>
          <w:rFonts w:ascii="Arial" w:hAnsi="Arial" w:cs="Arial" w:eastAsia="Arial" w:hint="default"/>
        </w:rPr>
        <w:t>2009</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日，应收账款中无应收关联方的款项。</w:t>
      </w:r>
    </w:p>
    <w:p>
      <w:pPr>
        <w:spacing w:line="240" w:lineRule="auto" w:before="8"/>
        <w:rPr>
          <w:rFonts w:ascii="宋体" w:hAnsi="宋体" w:cs="宋体" w:eastAsia="宋体" w:hint="default"/>
          <w:sz w:val="19"/>
          <w:szCs w:val="19"/>
        </w:rPr>
      </w:pPr>
    </w:p>
    <w:p>
      <w:pPr>
        <w:pStyle w:val="BodyText"/>
        <w:tabs>
          <w:tab w:pos="817" w:val="left" w:leader="none"/>
        </w:tabs>
        <w:spacing w:line="240" w:lineRule="auto"/>
        <w:ind w:left="103" w:right="654"/>
        <w:jc w:val="left"/>
      </w:pPr>
      <w:r>
        <w:rPr>
          <w:rFonts w:ascii="Arial" w:hAnsi="Arial" w:cs="Arial" w:eastAsia="Arial" w:hint="default"/>
          <w:w w:val="95"/>
          <w:position w:val="2"/>
        </w:rPr>
        <w:t>(h)</w:t>
        <w:tab/>
      </w:r>
      <w:r>
        <w:rPr/>
        <w:t>应收账款中包括以下外币余额：</w:t>
      </w:r>
    </w:p>
    <w:p>
      <w:pPr>
        <w:spacing w:line="240" w:lineRule="auto" w:before="6"/>
        <w:rPr>
          <w:rFonts w:ascii="宋体" w:hAnsi="宋体" w:cs="宋体" w:eastAsia="宋体" w:hint="default"/>
          <w:sz w:val="21"/>
          <w:szCs w:val="21"/>
        </w:rPr>
      </w:pPr>
    </w:p>
    <w:p>
      <w:pPr>
        <w:tabs>
          <w:tab w:pos="7106" w:val="left" w:leader="none"/>
        </w:tabs>
        <w:spacing w:before="0"/>
        <w:ind w:left="3030" w:right="654" w:firstLine="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line="240" w:lineRule="auto" w:before="5"/>
        <w:rPr>
          <w:rFonts w:ascii="宋体" w:hAnsi="宋体" w:cs="宋体" w:eastAsia="宋体" w:hint="default"/>
          <w:sz w:val="2"/>
          <w:szCs w:val="2"/>
        </w:rPr>
      </w:pPr>
    </w:p>
    <w:tbl>
      <w:tblPr>
        <w:tblW w:w="0" w:type="auto"/>
        <w:jc w:val="left"/>
        <w:tblInd w:w="890" w:type="dxa"/>
        <w:tblLayout w:type="fixed"/>
        <w:tblCellMar>
          <w:top w:w="0" w:type="dxa"/>
          <w:left w:w="0" w:type="dxa"/>
          <w:bottom w:w="0" w:type="dxa"/>
          <w:right w:w="0" w:type="dxa"/>
        </w:tblCellMar>
        <w:tblLook w:val="01E0"/>
      </w:tblPr>
      <w:tblGrid>
        <w:gridCol w:w="1087"/>
        <w:gridCol w:w="1384"/>
        <w:gridCol w:w="1162"/>
        <w:gridCol w:w="1283"/>
        <w:gridCol w:w="293"/>
        <w:gridCol w:w="1394"/>
        <w:gridCol w:w="1096"/>
        <w:gridCol w:w="1249"/>
      </w:tblGrid>
      <w:tr>
        <w:trPr>
          <w:trHeight w:val="389" w:hRule="exact"/>
        </w:trPr>
        <w:tc>
          <w:tcPr>
            <w:tcW w:w="1087" w:type="dxa"/>
            <w:tcBorders>
              <w:top w:val="nil" w:sz="6" w:space="0" w:color="auto"/>
              <w:left w:val="nil" w:sz="6" w:space="0" w:color="auto"/>
              <w:bottom w:val="nil" w:sz="6" w:space="0" w:color="auto"/>
              <w:right w:val="nil" w:sz="6" w:space="0" w:color="auto"/>
            </w:tcBorders>
          </w:tcPr>
          <w:p>
            <w:pPr/>
          </w:p>
        </w:tc>
        <w:tc>
          <w:tcPr>
            <w:tcW w:w="1384" w:type="dxa"/>
            <w:tcBorders>
              <w:top w:val="single" w:sz="12" w:space="0" w:color="000000"/>
              <w:left w:val="nil" w:sz="6" w:space="0" w:color="auto"/>
              <w:bottom w:val="nil" w:sz="6" w:space="0" w:color="auto"/>
              <w:right w:val="nil" w:sz="6" w:space="0" w:color="auto"/>
            </w:tcBorders>
          </w:tcPr>
          <w:p>
            <w:pPr>
              <w:pStyle w:val="TableParagraph"/>
              <w:spacing w:line="230" w:lineRule="exact"/>
              <w:ind w:right="298"/>
              <w:jc w:val="right"/>
              <w:rPr>
                <w:rFonts w:ascii="宋体" w:hAnsi="宋体" w:cs="宋体" w:eastAsia="宋体" w:hint="default"/>
                <w:sz w:val="20"/>
                <w:szCs w:val="20"/>
              </w:rPr>
            </w:pPr>
            <w:r>
              <w:rPr>
                <w:rFonts w:ascii="宋体" w:hAnsi="宋体" w:cs="宋体" w:eastAsia="宋体" w:hint="default"/>
                <w:sz w:val="20"/>
                <w:szCs w:val="20"/>
              </w:rPr>
              <w:t>外币金额</w:t>
            </w:r>
          </w:p>
        </w:tc>
        <w:tc>
          <w:tcPr>
            <w:tcW w:w="1162" w:type="dxa"/>
            <w:tcBorders>
              <w:top w:val="single" w:sz="12" w:space="0" w:color="000000"/>
              <w:left w:val="nil" w:sz="6" w:space="0" w:color="auto"/>
              <w:bottom w:val="nil" w:sz="6" w:space="0" w:color="auto"/>
              <w:right w:val="nil" w:sz="6" w:space="0" w:color="auto"/>
            </w:tcBorders>
          </w:tcPr>
          <w:p>
            <w:pPr>
              <w:pStyle w:val="TableParagraph"/>
              <w:spacing w:line="230" w:lineRule="exact"/>
              <w:ind w:left="59" w:right="0"/>
              <w:jc w:val="center"/>
              <w:rPr>
                <w:rFonts w:ascii="宋体" w:hAnsi="宋体" w:cs="宋体" w:eastAsia="宋体" w:hint="default"/>
                <w:sz w:val="20"/>
                <w:szCs w:val="20"/>
              </w:rPr>
            </w:pPr>
            <w:r>
              <w:rPr>
                <w:rFonts w:ascii="宋体" w:hAnsi="宋体" w:cs="宋体" w:eastAsia="宋体" w:hint="default"/>
                <w:sz w:val="20"/>
                <w:szCs w:val="20"/>
              </w:rPr>
              <w:t>汇率</w:t>
            </w:r>
          </w:p>
        </w:tc>
        <w:tc>
          <w:tcPr>
            <w:tcW w:w="1283" w:type="dxa"/>
            <w:tcBorders>
              <w:top w:val="single" w:sz="12" w:space="0" w:color="000000"/>
              <w:left w:val="nil" w:sz="6" w:space="0" w:color="auto"/>
              <w:bottom w:val="nil" w:sz="6" w:space="0" w:color="auto"/>
              <w:right w:val="nil" w:sz="6" w:space="0" w:color="auto"/>
            </w:tcBorders>
          </w:tcPr>
          <w:p>
            <w:pPr>
              <w:pStyle w:val="TableParagraph"/>
              <w:spacing w:line="230" w:lineRule="exact"/>
              <w:ind w:right="77"/>
              <w:jc w:val="right"/>
              <w:rPr>
                <w:rFonts w:ascii="宋体" w:hAnsi="宋体" w:cs="宋体" w:eastAsia="宋体" w:hint="default"/>
                <w:sz w:val="20"/>
                <w:szCs w:val="20"/>
              </w:rPr>
            </w:pPr>
            <w:r>
              <w:rPr>
                <w:rFonts w:ascii="宋体" w:hAnsi="宋体" w:cs="宋体" w:eastAsia="宋体" w:hint="default"/>
                <w:spacing w:val="-1"/>
                <w:sz w:val="20"/>
                <w:szCs w:val="20"/>
              </w:rPr>
              <w:t>折合人民币</w:t>
            </w:r>
          </w:p>
        </w:tc>
        <w:tc>
          <w:tcPr>
            <w:tcW w:w="293" w:type="dxa"/>
            <w:tcBorders>
              <w:top w:val="nil" w:sz="6" w:space="0" w:color="auto"/>
              <w:left w:val="nil" w:sz="6" w:space="0" w:color="auto"/>
              <w:bottom w:val="nil" w:sz="6" w:space="0" w:color="auto"/>
              <w:right w:val="nil" w:sz="6" w:space="0" w:color="auto"/>
            </w:tcBorders>
          </w:tcPr>
          <w:p>
            <w:pPr/>
          </w:p>
        </w:tc>
        <w:tc>
          <w:tcPr>
            <w:tcW w:w="1394" w:type="dxa"/>
            <w:tcBorders>
              <w:top w:val="single" w:sz="12" w:space="0" w:color="000000"/>
              <w:left w:val="nil" w:sz="6" w:space="0" w:color="auto"/>
              <w:bottom w:val="nil" w:sz="6" w:space="0" w:color="auto"/>
              <w:right w:val="nil" w:sz="6" w:space="0" w:color="auto"/>
            </w:tcBorders>
          </w:tcPr>
          <w:p>
            <w:pPr>
              <w:pStyle w:val="TableParagraph"/>
              <w:spacing w:line="230" w:lineRule="exact"/>
              <w:ind w:right="383"/>
              <w:jc w:val="right"/>
              <w:rPr>
                <w:rFonts w:ascii="宋体" w:hAnsi="宋体" w:cs="宋体" w:eastAsia="宋体" w:hint="default"/>
                <w:sz w:val="20"/>
                <w:szCs w:val="20"/>
              </w:rPr>
            </w:pPr>
            <w:r>
              <w:rPr>
                <w:rFonts w:ascii="宋体" w:hAnsi="宋体" w:cs="宋体" w:eastAsia="宋体" w:hint="default"/>
                <w:sz w:val="20"/>
                <w:szCs w:val="20"/>
              </w:rPr>
              <w:t>外币金额</w:t>
            </w:r>
          </w:p>
        </w:tc>
        <w:tc>
          <w:tcPr>
            <w:tcW w:w="1096" w:type="dxa"/>
            <w:tcBorders>
              <w:top w:val="single" w:sz="12" w:space="0" w:color="000000"/>
              <w:left w:val="nil" w:sz="6" w:space="0" w:color="auto"/>
              <w:bottom w:val="nil" w:sz="6" w:space="0" w:color="auto"/>
              <w:right w:val="nil" w:sz="6" w:space="0" w:color="auto"/>
            </w:tcBorders>
          </w:tcPr>
          <w:p>
            <w:pPr>
              <w:pStyle w:val="TableParagraph"/>
              <w:spacing w:line="230" w:lineRule="exact"/>
              <w:ind w:right="307"/>
              <w:jc w:val="right"/>
              <w:rPr>
                <w:rFonts w:ascii="宋体" w:hAnsi="宋体" w:cs="宋体" w:eastAsia="宋体" w:hint="default"/>
                <w:sz w:val="20"/>
                <w:szCs w:val="20"/>
              </w:rPr>
            </w:pPr>
            <w:r>
              <w:rPr>
                <w:rFonts w:ascii="宋体" w:hAnsi="宋体" w:cs="宋体" w:eastAsia="宋体" w:hint="default"/>
                <w:sz w:val="20"/>
                <w:szCs w:val="20"/>
              </w:rPr>
              <w:t>汇率</w:t>
            </w:r>
          </w:p>
        </w:tc>
        <w:tc>
          <w:tcPr>
            <w:tcW w:w="1249" w:type="dxa"/>
            <w:tcBorders>
              <w:top w:val="single" w:sz="12" w:space="0" w:color="000000"/>
              <w:left w:val="nil" w:sz="6" w:space="0" w:color="auto"/>
              <w:bottom w:val="nil" w:sz="6" w:space="0" w:color="auto"/>
              <w:right w:val="nil" w:sz="6" w:space="0" w:color="auto"/>
            </w:tcBorders>
          </w:tcPr>
          <w:p>
            <w:pPr>
              <w:pStyle w:val="TableParagraph"/>
              <w:spacing w:line="230" w:lineRule="exact"/>
              <w:ind w:left="170" w:right="0"/>
              <w:jc w:val="left"/>
              <w:rPr>
                <w:rFonts w:ascii="宋体" w:hAnsi="宋体" w:cs="宋体" w:eastAsia="宋体" w:hint="default"/>
                <w:sz w:val="20"/>
                <w:szCs w:val="20"/>
              </w:rPr>
            </w:pPr>
            <w:r>
              <w:rPr>
                <w:rFonts w:ascii="宋体" w:hAnsi="宋体" w:cs="宋体" w:eastAsia="宋体" w:hint="default"/>
                <w:sz w:val="20"/>
                <w:szCs w:val="20"/>
              </w:rPr>
              <w:t>折合人民币</w:t>
            </w:r>
          </w:p>
        </w:tc>
      </w:tr>
      <w:tr>
        <w:trPr>
          <w:trHeight w:val="391"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20"/>
                <w:szCs w:val="20"/>
              </w:rPr>
            </w:pPr>
            <w:r>
              <w:rPr>
                <w:rFonts w:ascii="宋体" w:hAnsi="宋体" w:cs="宋体" w:eastAsia="宋体" w:hint="default"/>
                <w:sz w:val="20"/>
                <w:szCs w:val="20"/>
              </w:rPr>
              <w:t>港元</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62"/>
              <w:jc w:val="right"/>
              <w:rPr>
                <w:rFonts w:ascii="Arial" w:hAnsi="Arial" w:cs="Arial" w:eastAsia="Arial" w:hint="default"/>
                <w:sz w:val="20"/>
                <w:szCs w:val="20"/>
              </w:rPr>
            </w:pPr>
            <w:r>
              <w:rPr>
                <w:rFonts w:ascii="Arial"/>
                <w:sz w:val="20"/>
              </w:rPr>
              <w:t>7,127</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8"/>
              <w:jc w:val="center"/>
              <w:rPr>
                <w:rFonts w:ascii="Arial" w:hAnsi="Arial" w:cs="Arial" w:eastAsia="Arial" w:hint="default"/>
                <w:sz w:val="20"/>
                <w:szCs w:val="20"/>
              </w:rPr>
            </w:pPr>
            <w:r>
              <w:rPr>
                <w:rFonts w:ascii="Arial"/>
                <w:sz w:val="20"/>
              </w:rPr>
              <w:t>0.8509</w:t>
            </w:r>
          </w:p>
        </w:tc>
        <w:tc>
          <w:tcPr>
            <w:tcW w:w="1283" w:type="dxa"/>
            <w:tcBorders>
              <w:top w:val="nil" w:sz="6" w:space="0" w:color="auto"/>
              <w:left w:val="nil" w:sz="6" w:space="0" w:color="auto"/>
              <w:bottom w:val="single" w:sz="12" w:space="0" w:color="000000"/>
              <w:right w:val="nil" w:sz="6" w:space="0" w:color="auto"/>
            </w:tcBorders>
          </w:tcPr>
          <w:p>
            <w:pPr>
              <w:pStyle w:val="TableParagraph"/>
              <w:spacing w:line="240" w:lineRule="auto" w:before="142"/>
              <w:ind w:right="81"/>
              <w:jc w:val="right"/>
              <w:rPr>
                <w:rFonts w:ascii="Arial" w:hAnsi="Arial" w:cs="Arial" w:eastAsia="Arial" w:hint="default"/>
                <w:sz w:val="20"/>
                <w:szCs w:val="20"/>
              </w:rPr>
            </w:pPr>
            <w:r>
              <w:rPr>
                <w:rFonts w:ascii="Arial"/>
                <w:sz w:val="20"/>
              </w:rPr>
              <w:t>6,064</w:t>
            </w:r>
          </w:p>
        </w:tc>
        <w:tc>
          <w:tcPr>
            <w:tcW w:w="29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457"/>
              <w:jc w:val="right"/>
              <w:rPr>
                <w:rFonts w:ascii="Arial" w:hAnsi="Arial" w:cs="Arial" w:eastAsia="Arial" w:hint="default"/>
                <w:sz w:val="20"/>
                <w:szCs w:val="20"/>
              </w:rPr>
            </w:pPr>
            <w:r>
              <w:rPr>
                <w:rFonts w:ascii="Arial"/>
                <w:w w:val="100"/>
                <w:sz w:val="20"/>
              </w:rPr>
              <w:t>-</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07"/>
              <w:jc w:val="right"/>
              <w:rPr>
                <w:rFonts w:ascii="Arial" w:hAnsi="Arial" w:cs="Arial" w:eastAsia="Arial" w:hint="default"/>
                <w:sz w:val="20"/>
                <w:szCs w:val="20"/>
              </w:rPr>
            </w:pPr>
            <w:r>
              <w:rPr>
                <w:rFonts w:ascii="Arial"/>
                <w:w w:val="100"/>
                <w:sz w:val="20"/>
              </w:rPr>
              <w:t>-</w:t>
            </w:r>
          </w:p>
        </w:tc>
        <w:tc>
          <w:tcPr>
            <w:tcW w:w="1249" w:type="dxa"/>
            <w:tcBorders>
              <w:top w:val="nil" w:sz="6" w:space="0" w:color="auto"/>
              <w:left w:val="nil" w:sz="6" w:space="0" w:color="auto"/>
              <w:bottom w:val="single" w:sz="12" w:space="0" w:color="000000"/>
              <w:right w:val="nil" w:sz="6" w:space="0" w:color="auto"/>
            </w:tcBorders>
          </w:tcPr>
          <w:p>
            <w:pPr/>
          </w:p>
        </w:tc>
      </w:tr>
    </w:tbl>
    <w:p>
      <w:pPr>
        <w:spacing w:after="0"/>
        <w:sectPr>
          <w:type w:val="continuous"/>
          <w:pgSz w:w="11910" w:h="16840"/>
          <w:pgMar w:top="920" w:bottom="900" w:left="1020" w:right="280"/>
        </w:sectPr>
      </w:pPr>
    </w:p>
    <w:p>
      <w:pPr>
        <w:spacing w:line="240" w:lineRule="auto" w:before="6"/>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529"/>
        <w:gridCol w:w="3574"/>
        <w:gridCol w:w="3121"/>
        <w:gridCol w:w="2801"/>
      </w:tblGrid>
      <w:tr>
        <w:trPr>
          <w:trHeight w:val="1102" w:hRule="exact"/>
        </w:trPr>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5" w:right="0"/>
              <w:jc w:val="left"/>
              <w:rPr>
                <w:rFonts w:ascii="Arial" w:hAnsi="Arial" w:cs="Arial" w:eastAsia="Arial" w:hint="default"/>
                <w:sz w:val="24"/>
                <w:szCs w:val="24"/>
              </w:rPr>
            </w:pPr>
            <w:r>
              <w:rPr>
                <w:rFonts w:ascii="Arial"/>
                <w:sz w:val="24"/>
              </w:rPr>
              <w:t>(6)</w:t>
            </w:r>
          </w:p>
        </w:tc>
        <w:tc>
          <w:tcPr>
            <w:tcW w:w="3574" w:type="dxa"/>
            <w:tcBorders>
              <w:top w:val="nil" w:sz="6" w:space="0" w:color="auto"/>
              <w:left w:val="nil" w:sz="6" w:space="0" w:color="auto"/>
              <w:bottom w:val="nil" w:sz="6" w:space="0" w:color="auto"/>
              <w:right w:val="nil" w:sz="6" w:space="0" w:color="auto"/>
            </w:tcBorders>
          </w:tcPr>
          <w:p>
            <w:pPr>
              <w:pStyle w:val="TableParagraph"/>
              <w:spacing w:line="427" w:lineRule="auto" w:before="26"/>
              <w:ind w:left="200" w:right="551" w:firstLine="18"/>
              <w:jc w:val="left"/>
              <w:rPr>
                <w:rFonts w:ascii="宋体" w:hAnsi="宋体" w:cs="宋体" w:eastAsia="宋体"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48"/>
                <w:w w:val="95"/>
                <w:sz w:val="24"/>
                <w:szCs w:val="24"/>
              </w:rPr>
              <w:t> </w:t>
            </w:r>
            <w:r>
              <w:rPr>
                <w:rFonts w:ascii="宋体" w:hAnsi="宋体" w:cs="宋体" w:eastAsia="宋体" w:hint="default"/>
                <w:b/>
                <w:bCs/>
                <w:sz w:val="24"/>
                <w:szCs w:val="24"/>
              </w:rPr>
              <w:t>其他应收款和长期应收款</w:t>
            </w:r>
            <w:r>
              <w:rPr>
                <w:rFonts w:ascii="宋体" w:hAnsi="宋体" w:cs="宋体" w:eastAsia="宋体" w:hint="default"/>
                <w:sz w:val="24"/>
                <w:szCs w:val="24"/>
              </w:rPr>
            </w:r>
          </w:p>
        </w:tc>
        <w:tc>
          <w:tcPr>
            <w:tcW w:w="5922" w:type="dxa"/>
            <w:gridSpan w:val="2"/>
            <w:tcBorders>
              <w:top w:val="nil" w:sz="6" w:space="0" w:color="auto"/>
              <w:left w:val="nil" w:sz="6" w:space="0" w:color="auto"/>
              <w:bottom w:val="nil" w:sz="6" w:space="0" w:color="auto"/>
              <w:right w:val="nil" w:sz="6" w:space="0" w:color="auto"/>
            </w:tcBorders>
          </w:tcPr>
          <w:p>
            <w:pPr/>
          </w:p>
        </w:tc>
      </w:tr>
      <w:tr>
        <w:trPr>
          <w:trHeight w:val="594" w:hRule="exact"/>
        </w:trPr>
        <w:tc>
          <w:tcPr>
            <w:tcW w:w="529"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
        </w:tc>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76"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14" w:right="0"/>
              <w:jc w:val="lef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9" w:hRule="exact"/>
        </w:trPr>
        <w:tc>
          <w:tcPr>
            <w:tcW w:w="529"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8" w:right="0"/>
              <w:jc w:val="left"/>
              <w:rPr>
                <w:rFonts w:ascii="宋体" w:hAnsi="宋体" w:cs="宋体" w:eastAsia="宋体" w:hint="default"/>
                <w:sz w:val="24"/>
                <w:szCs w:val="24"/>
              </w:rPr>
            </w:pPr>
            <w:r>
              <w:rPr>
                <w:rFonts w:ascii="宋体" w:hAnsi="宋体" w:cs="宋体" w:eastAsia="宋体" w:hint="default"/>
                <w:sz w:val="24"/>
                <w:szCs w:val="24"/>
              </w:rPr>
              <w:t>押金及保证金</w:t>
            </w:r>
          </w:p>
        </w:tc>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508"/>
              <w:jc w:val="right"/>
              <w:rPr>
                <w:rFonts w:ascii="Arial" w:hAnsi="Arial" w:cs="Arial" w:eastAsia="Arial" w:hint="default"/>
                <w:sz w:val="24"/>
                <w:szCs w:val="24"/>
              </w:rPr>
            </w:pPr>
            <w:r>
              <w:rPr>
                <w:rFonts w:ascii="Arial"/>
                <w:spacing w:val="-1"/>
                <w:w w:val="95"/>
                <w:sz w:val="24"/>
              </w:rPr>
              <w:t>289,274</w:t>
            </w:r>
            <w:r>
              <w:rPr>
                <w:rFonts w:ascii="Arial"/>
                <w:sz w:val="24"/>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704" w:right="0"/>
              <w:jc w:val="left"/>
              <w:rPr>
                <w:rFonts w:ascii="Arial" w:hAnsi="Arial" w:cs="Arial" w:eastAsia="Arial" w:hint="default"/>
                <w:sz w:val="24"/>
                <w:szCs w:val="24"/>
              </w:rPr>
            </w:pPr>
            <w:r>
              <w:rPr>
                <w:rFonts w:ascii="Arial"/>
                <w:sz w:val="24"/>
              </w:rPr>
              <w:t>169,966</w:t>
            </w:r>
          </w:p>
        </w:tc>
      </w:tr>
      <w:tr>
        <w:trPr>
          <w:trHeight w:val="312" w:hRule="exact"/>
        </w:trPr>
        <w:tc>
          <w:tcPr>
            <w:tcW w:w="529"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Style w:val="TableParagraph"/>
              <w:spacing w:line="261" w:lineRule="exact"/>
              <w:ind w:left="218" w:right="0"/>
              <w:jc w:val="left"/>
              <w:rPr>
                <w:rFonts w:ascii="宋体" w:hAnsi="宋体" w:cs="宋体" w:eastAsia="宋体" w:hint="default"/>
                <w:sz w:val="24"/>
                <w:szCs w:val="24"/>
              </w:rPr>
            </w:pPr>
            <w:r>
              <w:rPr>
                <w:rFonts w:ascii="宋体" w:hAnsi="宋体" w:cs="宋体" w:eastAsia="宋体" w:hint="default"/>
                <w:sz w:val="24"/>
                <w:szCs w:val="24"/>
              </w:rPr>
              <w:t>员工借款</w:t>
            </w:r>
          </w:p>
        </w:tc>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08"/>
              <w:jc w:val="right"/>
              <w:rPr>
                <w:rFonts w:ascii="Arial" w:hAnsi="Arial" w:cs="Arial" w:eastAsia="Arial" w:hint="default"/>
                <w:sz w:val="24"/>
                <w:szCs w:val="24"/>
              </w:rPr>
            </w:pPr>
            <w:r>
              <w:rPr>
                <w:rFonts w:ascii="Arial"/>
                <w:spacing w:val="-1"/>
                <w:w w:val="95"/>
                <w:sz w:val="24"/>
              </w:rPr>
              <w:t>18,441</w:t>
            </w:r>
            <w:r>
              <w:rPr>
                <w:rFonts w:ascii="Arial"/>
                <w:sz w:val="24"/>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27"/>
              <w:jc w:val="right"/>
              <w:rPr>
                <w:rFonts w:ascii="Arial" w:hAnsi="Arial" w:cs="Arial" w:eastAsia="Arial" w:hint="default"/>
                <w:sz w:val="24"/>
                <w:szCs w:val="24"/>
              </w:rPr>
            </w:pPr>
            <w:r>
              <w:rPr>
                <w:rFonts w:ascii="Arial"/>
                <w:spacing w:val="-1"/>
                <w:w w:val="95"/>
                <w:sz w:val="24"/>
              </w:rPr>
              <w:t>6,999</w:t>
            </w:r>
            <w:r>
              <w:rPr>
                <w:rFonts w:ascii="Arial"/>
                <w:sz w:val="24"/>
              </w:rPr>
            </w:r>
          </w:p>
        </w:tc>
      </w:tr>
      <w:tr>
        <w:trPr>
          <w:trHeight w:val="312" w:hRule="exact"/>
        </w:trPr>
        <w:tc>
          <w:tcPr>
            <w:tcW w:w="529"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Style w:val="TableParagraph"/>
              <w:spacing w:line="261" w:lineRule="exact"/>
              <w:ind w:left="218" w:right="0"/>
              <w:jc w:val="left"/>
              <w:rPr>
                <w:rFonts w:ascii="宋体" w:hAnsi="宋体" w:cs="宋体" w:eastAsia="宋体" w:hint="default"/>
                <w:sz w:val="24"/>
                <w:szCs w:val="24"/>
              </w:rPr>
            </w:pPr>
            <w:r>
              <w:rPr>
                <w:rFonts w:ascii="宋体" w:hAnsi="宋体" w:cs="宋体" w:eastAsia="宋体" w:hint="default"/>
                <w:sz w:val="24"/>
                <w:szCs w:val="24"/>
              </w:rPr>
              <w:t>代垫水电费</w:t>
            </w:r>
          </w:p>
        </w:tc>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08"/>
              <w:jc w:val="right"/>
              <w:rPr>
                <w:rFonts w:ascii="Arial" w:hAnsi="Arial" w:cs="Arial" w:eastAsia="Arial" w:hint="default"/>
                <w:sz w:val="24"/>
                <w:szCs w:val="24"/>
              </w:rPr>
            </w:pPr>
            <w:r>
              <w:rPr>
                <w:rFonts w:ascii="Arial"/>
                <w:spacing w:val="-1"/>
                <w:w w:val="95"/>
                <w:sz w:val="24"/>
              </w:rPr>
              <w:t>35,684</w:t>
            </w:r>
            <w:r>
              <w:rPr>
                <w:rFonts w:ascii="Arial"/>
                <w:sz w:val="24"/>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27"/>
              <w:jc w:val="right"/>
              <w:rPr>
                <w:rFonts w:ascii="Arial" w:hAnsi="Arial" w:cs="Arial" w:eastAsia="Arial" w:hint="default"/>
                <w:sz w:val="24"/>
                <w:szCs w:val="24"/>
              </w:rPr>
            </w:pPr>
            <w:r>
              <w:rPr>
                <w:rFonts w:ascii="Arial"/>
                <w:spacing w:val="-1"/>
                <w:w w:val="95"/>
                <w:sz w:val="24"/>
              </w:rPr>
              <w:t>5,925</w:t>
            </w:r>
            <w:r>
              <w:rPr>
                <w:rFonts w:ascii="Arial"/>
                <w:sz w:val="24"/>
              </w:rPr>
            </w:r>
          </w:p>
        </w:tc>
      </w:tr>
      <w:tr>
        <w:trPr>
          <w:trHeight w:val="314" w:hRule="exact"/>
        </w:trPr>
        <w:tc>
          <w:tcPr>
            <w:tcW w:w="529"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Style w:val="TableParagraph"/>
              <w:spacing w:line="261" w:lineRule="exact"/>
              <w:ind w:left="21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121" w:type="dxa"/>
            <w:tcBorders>
              <w:top w:val="nil" w:sz="6" w:space="0" w:color="auto"/>
              <w:left w:val="nil" w:sz="6" w:space="0" w:color="auto"/>
              <w:bottom w:val="nil" w:sz="6" w:space="0" w:color="auto"/>
              <w:right w:val="nil" w:sz="6" w:space="0" w:color="auto"/>
            </w:tcBorders>
          </w:tcPr>
          <w:p>
            <w:pPr>
              <w:pStyle w:val="TableParagraph"/>
              <w:tabs>
                <w:tab w:pos="1388" w:val="left" w:leader="none"/>
                <w:tab w:pos="2409" w:val="left" w:leader="none"/>
              </w:tabs>
              <w:spacing w:line="240" w:lineRule="auto" w:before="20"/>
              <w:ind w:right="35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783,412</w:t>
              <w:tab/>
            </w:r>
            <w:r>
              <w:rPr>
                <w:rFonts w:ascii="Arial"/>
                <w:spacing w:val="-1"/>
                <w:sz w:val="24"/>
              </w:rPr>
            </w:r>
          </w:p>
        </w:tc>
        <w:tc>
          <w:tcPr>
            <w:tcW w:w="2801" w:type="dxa"/>
            <w:tcBorders>
              <w:top w:val="nil" w:sz="6" w:space="0" w:color="auto"/>
              <w:left w:val="nil" w:sz="6" w:space="0" w:color="auto"/>
              <w:bottom w:val="nil" w:sz="6" w:space="0" w:color="auto"/>
              <w:right w:val="nil" w:sz="6" w:space="0" w:color="auto"/>
            </w:tcBorders>
          </w:tcPr>
          <w:p>
            <w:pPr>
              <w:pStyle w:val="TableParagraph"/>
              <w:tabs>
                <w:tab w:pos="1482" w:val="left" w:leader="none"/>
                <w:tab w:pos="2410" w:val="left" w:leader="none"/>
              </w:tabs>
              <w:spacing w:line="240" w:lineRule="auto" w:before="2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36,408</w:t>
              <w:tab/>
            </w:r>
            <w:r>
              <w:rPr>
                <w:rFonts w:ascii="Arial"/>
                <w:spacing w:val="-1"/>
                <w:sz w:val="24"/>
              </w:rPr>
            </w:r>
          </w:p>
        </w:tc>
      </w:tr>
      <w:tr>
        <w:trPr>
          <w:trHeight w:val="423" w:hRule="exact"/>
        </w:trPr>
        <w:tc>
          <w:tcPr>
            <w:tcW w:w="529"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
        </w:tc>
        <w:tc>
          <w:tcPr>
            <w:tcW w:w="3121" w:type="dxa"/>
            <w:tcBorders>
              <w:top w:val="nil" w:sz="6" w:space="0" w:color="auto"/>
              <w:left w:val="nil" w:sz="6" w:space="0" w:color="auto"/>
              <w:bottom w:val="nil" w:sz="6" w:space="0" w:color="auto"/>
              <w:right w:val="nil" w:sz="6" w:space="0" w:color="auto"/>
            </w:tcBorders>
          </w:tcPr>
          <w:p>
            <w:pPr>
              <w:pStyle w:val="TableParagraph"/>
              <w:spacing w:line="268" w:lineRule="exact"/>
              <w:ind w:right="509"/>
              <w:jc w:val="right"/>
              <w:rPr>
                <w:rFonts w:ascii="Arial" w:hAnsi="Arial" w:cs="Arial" w:eastAsia="Arial" w:hint="default"/>
                <w:sz w:val="24"/>
                <w:szCs w:val="24"/>
              </w:rPr>
            </w:pPr>
            <w:r>
              <w:rPr>
                <w:rFonts w:ascii="Arial"/>
                <w:spacing w:val="-3"/>
                <w:sz w:val="24"/>
              </w:rPr>
              <w:t>1,126,811</w:t>
            </w:r>
          </w:p>
        </w:tc>
        <w:tc>
          <w:tcPr>
            <w:tcW w:w="2801" w:type="dxa"/>
            <w:tcBorders>
              <w:top w:val="nil" w:sz="6" w:space="0" w:color="auto"/>
              <w:left w:val="nil" w:sz="6" w:space="0" w:color="auto"/>
              <w:bottom w:val="nil" w:sz="6" w:space="0" w:color="auto"/>
              <w:right w:val="nil" w:sz="6" w:space="0" w:color="auto"/>
            </w:tcBorders>
          </w:tcPr>
          <w:p>
            <w:pPr>
              <w:pStyle w:val="TableParagraph"/>
              <w:spacing w:line="268" w:lineRule="exact"/>
              <w:ind w:left="1704" w:right="0"/>
              <w:jc w:val="left"/>
              <w:rPr>
                <w:rFonts w:ascii="Arial" w:hAnsi="Arial" w:cs="Arial" w:eastAsia="Arial" w:hint="default"/>
                <w:sz w:val="24"/>
                <w:szCs w:val="24"/>
              </w:rPr>
            </w:pPr>
            <w:r>
              <w:rPr>
                <w:rFonts w:ascii="Arial"/>
                <w:sz w:val="24"/>
              </w:rPr>
              <w:t>219,298</w:t>
            </w:r>
          </w:p>
        </w:tc>
      </w:tr>
      <w:tr>
        <w:trPr>
          <w:trHeight w:val="452" w:hRule="exact"/>
        </w:trPr>
        <w:tc>
          <w:tcPr>
            <w:tcW w:w="529"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18"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3121" w:type="dxa"/>
            <w:tcBorders>
              <w:top w:val="nil" w:sz="6" w:space="0" w:color="auto"/>
              <w:left w:val="nil" w:sz="6" w:space="0" w:color="auto"/>
              <w:bottom w:val="nil" w:sz="6" w:space="0" w:color="auto"/>
              <w:right w:val="nil" w:sz="6" w:space="0" w:color="auto"/>
            </w:tcBorders>
          </w:tcPr>
          <w:p>
            <w:pPr>
              <w:pStyle w:val="TableParagraph"/>
              <w:tabs>
                <w:tab w:pos="1441" w:val="left" w:leader="none"/>
                <w:tab w:pos="2409" w:val="left" w:leader="none"/>
              </w:tabs>
              <w:spacing w:line="240" w:lineRule="auto" w:before="159"/>
              <w:ind w:right="35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(20,306)</w:t>
              <w:tab/>
            </w:r>
            <w:r>
              <w:rPr>
                <w:rFonts w:ascii="Arial"/>
                <w:spacing w:val="-1"/>
                <w:sz w:val="24"/>
              </w:rPr>
            </w:r>
          </w:p>
        </w:tc>
        <w:tc>
          <w:tcPr>
            <w:tcW w:w="2801" w:type="dxa"/>
            <w:tcBorders>
              <w:top w:val="nil" w:sz="6" w:space="0" w:color="auto"/>
              <w:left w:val="nil" w:sz="6" w:space="0" w:color="auto"/>
              <w:bottom w:val="nil" w:sz="6" w:space="0" w:color="auto"/>
              <w:right w:val="nil" w:sz="6" w:space="0" w:color="auto"/>
            </w:tcBorders>
          </w:tcPr>
          <w:p>
            <w:pPr>
              <w:pStyle w:val="TableParagraph"/>
              <w:tabs>
                <w:tab w:pos="1402" w:val="left" w:leader="none"/>
                <w:tab w:pos="2410" w:val="left" w:leader="none"/>
              </w:tabs>
              <w:spacing w:line="240" w:lineRule="auto" w:before="159"/>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(19,873)</w:t>
              <w:tab/>
            </w:r>
            <w:r>
              <w:rPr>
                <w:rFonts w:ascii="Arial"/>
                <w:spacing w:val="-1"/>
                <w:sz w:val="24"/>
              </w:rPr>
            </w:r>
          </w:p>
        </w:tc>
      </w:tr>
      <w:tr>
        <w:trPr>
          <w:trHeight w:val="427" w:hRule="exact"/>
        </w:trPr>
        <w:tc>
          <w:tcPr>
            <w:tcW w:w="529"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
        </w:tc>
        <w:tc>
          <w:tcPr>
            <w:tcW w:w="3121" w:type="dxa"/>
            <w:tcBorders>
              <w:top w:val="nil" w:sz="6" w:space="0" w:color="auto"/>
              <w:left w:val="nil" w:sz="6" w:space="0" w:color="auto"/>
              <w:bottom w:val="nil" w:sz="6" w:space="0" w:color="auto"/>
              <w:right w:val="nil" w:sz="6" w:space="0" w:color="auto"/>
            </w:tcBorders>
          </w:tcPr>
          <w:p>
            <w:pPr>
              <w:pStyle w:val="TableParagraph"/>
              <w:tabs>
                <w:tab w:pos="1186" w:val="left" w:leader="none"/>
                <w:tab w:pos="2409" w:val="left" w:leader="none"/>
              </w:tabs>
              <w:spacing w:line="268" w:lineRule="exact"/>
              <w:ind w:right="35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1,106,505</w:t>
              <w:tab/>
            </w:r>
            <w:r>
              <w:rPr>
                <w:rFonts w:ascii="Arial"/>
                <w:spacing w:val="-1"/>
                <w:sz w:val="24"/>
              </w:rPr>
            </w:r>
          </w:p>
        </w:tc>
        <w:tc>
          <w:tcPr>
            <w:tcW w:w="2801" w:type="dxa"/>
            <w:tcBorders>
              <w:top w:val="nil" w:sz="6" w:space="0" w:color="auto"/>
              <w:left w:val="nil" w:sz="6" w:space="0" w:color="auto"/>
              <w:bottom w:val="nil" w:sz="6" w:space="0" w:color="auto"/>
              <w:right w:val="nil" w:sz="6" w:space="0" w:color="auto"/>
            </w:tcBorders>
          </w:tcPr>
          <w:p>
            <w:pPr>
              <w:pStyle w:val="TableParagraph"/>
              <w:tabs>
                <w:tab w:pos="1349" w:val="left" w:leader="none"/>
                <w:tab w:pos="2410"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199,425</w:t>
              <w:tab/>
            </w:r>
            <w:r>
              <w:rPr>
                <w:rFonts w:ascii="Arial"/>
                <w:spacing w:val="-1"/>
                <w:sz w:val="24"/>
              </w:rPr>
            </w:r>
          </w:p>
        </w:tc>
      </w:tr>
      <w:tr>
        <w:trPr>
          <w:trHeight w:val="440" w:hRule="exact"/>
        </w:trPr>
        <w:tc>
          <w:tcPr>
            <w:tcW w:w="529"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18" w:right="0"/>
              <w:jc w:val="left"/>
              <w:rPr>
                <w:rFonts w:ascii="宋体" w:hAnsi="宋体" w:cs="宋体" w:eastAsia="宋体" w:hint="default"/>
                <w:sz w:val="24"/>
                <w:szCs w:val="24"/>
              </w:rPr>
            </w:pPr>
            <w:r>
              <w:rPr>
                <w:rFonts w:ascii="宋体" w:hAnsi="宋体" w:cs="宋体" w:eastAsia="宋体" w:hint="default"/>
                <w:sz w:val="24"/>
                <w:szCs w:val="24"/>
              </w:rPr>
              <w:t>减：长期应收款</w:t>
            </w:r>
          </w:p>
        </w:tc>
        <w:tc>
          <w:tcPr>
            <w:tcW w:w="3121"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nil" w:sz="6" w:space="0" w:color="auto"/>
              <w:right w:val="nil" w:sz="6" w:space="0" w:color="auto"/>
            </w:tcBorders>
          </w:tcPr>
          <w:p>
            <w:pPr/>
          </w:p>
        </w:tc>
      </w:tr>
      <w:tr>
        <w:trPr>
          <w:trHeight w:val="329" w:hRule="exact"/>
        </w:trPr>
        <w:tc>
          <w:tcPr>
            <w:tcW w:w="529"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Style w:val="TableParagraph"/>
              <w:spacing w:line="276" w:lineRule="exact"/>
              <w:ind w:left="1058" w:right="0"/>
              <w:jc w:val="left"/>
              <w:rPr>
                <w:rFonts w:ascii="宋体" w:hAnsi="宋体" w:cs="宋体" w:eastAsia="宋体" w:hint="default"/>
                <w:sz w:val="24"/>
                <w:szCs w:val="24"/>
              </w:rPr>
            </w:pPr>
            <w:r>
              <w:rPr>
                <w:rFonts w:ascii="宋体" w:hAnsi="宋体" w:cs="宋体" w:eastAsia="宋体" w:hint="default"/>
                <w:sz w:val="24"/>
                <w:szCs w:val="24"/>
              </w:rPr>
              <w:t>一年以上到期的押金</w:t>
            </w:r>
          </w:p>
        </w:tc>
        <w:tc>
          <w:tcPr>
            <w:tcW w:w="3121" w:type="dxa"/>
            <w:tcBorders>
              <w:top w:val="nil" w:sz="6" w:space="0" w:color="auto"/>
              <w:left w:val="nil" w:sz="6" w:space="0" w:color="auto"/>
              <w:bottom w:val="nil" w:sz="6" w:space="0" w:color="auto"/>
              <w:right w:val="nil" w:sz="6" w:space="0" w:color="auto"/>
            </w:tcBorders>
          </w:tcPr>
          <w:p>
            <w:pPr>
              <w:pStyle w:val="TableParagraph"/>
              <w:tabs>
                <w:tab w:pos="1307" w:val="left" w:leader="none"/>
                <w:tab w:pos="2409" w:val="left" w:leader="none"/>
              </w:tabs>
              <w:spacing w:line="240" w:lineRule="auto" w:before="35"/>
              <w:ind w:right="35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(130,768)</w:t>
              <w:tab/>
            </w:r>
            <w:r>
              <w:rPr>
                <w:rFonts w:ascii="Arial"/>
                <w:spacing w:val="-1"/>
                <w:sz w:val="24"/>
              </w:rPr>
            </w:r>
          </w:p>
        </w:tc>
        <w:tc>
          <w:tcPr>
            <w:tcW w:w="2801" w:type="dxa"/>
            <w:tcBorders>
              <w:top w:val="nil" w:sz="6" w:space="0" w:color="auto"/>
              <w:left w:val="nil" w:sz="6" w:space="0" w:color="auto"/>
              <w:bottom w:val="nil" w:sz="6" w:space="0" w:color="auto"/>
              <w:right w:val="nil" w:sz="6" w:space="0" w:color="auto"/>
            </w:tcBorders>
          </w:tcPr>
          <w:p>
            <w:pPr>
              <w:pStyle w:val="TableParagraph"/>
              <w:tabs>
                <w:tab w:pos="1402" w:val="left" w:leader="none"/>
                <w:tab w:pos="2410" w:val="left" w:leader="none"/>
              </w:tabs>
              <w:spacing w:line="240" w:lineRule="auto" w:before="35"/>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(88,450)</w:t>
              <w:tab/>
            </w:r>
            <w:r>
              <w:rPr>
                <w:rFonts w:ascii="Arial"/>
                <w:spacing w:val="-1"/>
                <w:sz w:val="24"/>
              </w:rPr>
            </w:r>
          </w:p>
        </w:tc>
      </w:tr>
      <w:tr>
        <w:trPr>
          <w:trHeight w:val="363" w:hRule="exact"/>
        </w:trPr>
        <w:tc>
          <w:tcPr>
            <w:tcW w:w="529"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
        </w:tc>
        <w:tc>
          <w:tcPr>
            <w:tcW w:w="3121" w:type="dxa"/>
            <w:tcBorders>
              <w:top w:val="nil" w:sz="6" w:space="0" w:color="auto"/>
              <w:left w:val="nil" w:sz="6" w:space="0" w:color="auto"/>
              <w:bottom w:val="nil" w:sz="6" w:space="0" w:color="auto"/>
              <w:right w:val="nil" w:sz="6" w:space="0" w:color="auto"/>
            </w:tcBorders>
          </w:tcPr>
          <w:p>
            <w:pPr>
              <w:pStyle w:val="TableParagraph"/>
              <w:tabs>
                <w:tab w:pos="1388" w:val="left" w:leader="none"/>
                <w:tab w:pos="2409" w:val="left" w:leader="none"/>
              </w:tabs>
              <w:spacing w:line="268" w:lineRule="exact"/>
              <w:ind w:right="35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975,737</w:t>
              <w:tab/>
            </w:r>
            <w:r>
              <w:rPr>
                <w:rFonts w:ascii="Arial"/>
                <w:spacing w:val="-1"/>
                <w:sz w:val="24"/>
              </w:rPr>
            </w:r>
          </w:p>
        </w:tc>
        <w:tc>
          <w:tcPr>
            <w:tcW w:w="2801" w:type="dxa"/>
            <w:tcBorders>
              <w:top w:val="nil" w:sz="6" w:space="0" w:color="auto"/>
              <w:left w:val="nil" w:sz="6" w:space="0" w:color="auto"/>
              <w:bottom w:val="nil" w:sz="6" w:space="0" w:color="auto"/>
              <w:right w:val="nil" w:sz="6" w:space="0" w:color="auto"/>
            </w:tcBorders>
          </w:tcPr>
          <w:p>
            <w:pPr>
              <w:pStyle w:val="TableParagraph"/>
              <w:tabs>
                <w:tab w:pos="1367" w:val="left" w:leader="none"/>
                <w:tab w:pos="2410"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4"/>
                <w:sz w:val="24"/>
                <w:u w:val="thick" w:color="000000"/>
              </w:rPr>
              <w:t>110,975</w:t>
              <w:tab/>
            </w:r>
            <w:r>
              <w:rPr>
                <w:rFonts w:ascii="Arial"/>
                <w:spacing w:val="-4"/>
                <w:sz w:val="24"/>
              </w:rPr>
            </w:r>
          </w:p>
        </w:tc>
      </w:tr>
    </w:tbl>
    <w:p>
      <w:pPr>
        <w:spacing w:line="240" w:lineRule="auto" w:before="12"/>
        <w:rPr>
          <w:rFonts w:ascii="宋体" w:hAnsi="宋体" w:cs="宋体" w:eastAsia="宋体" w:hint="default"/>
          <w:sz w:val="10"/>
          <w:szCs w:val="10"/>
        </w:rPr>
      </w:pPr>
    </w:p>
    <w:p>
      <w:pPr>
        <w:pStyle w:val="BodyText"/>
        <w:tabs>
          <w:tab w:pos="848" w:val="left" w:leader="none"/>
        </w:tabs>
        <w:spacing w:line="240" w:lineRule="auto" w:before="32"/>
        <w:ind w:left="143" w:right="0"/>
        <w:jc w:val="left"/>
      </w:pPr>
      <w:r>
        <w:rPr>
          <w:rFonts w:ascii="Arial" w:hAnsi="Arial" w:cs="Arial" w:eastAsia="Arial" w:hint="default"/>
          <w:w w:val="95"/>
          <w:position w:val="2"/>
        </w:rPr>
        <w:t>(a)</w:t>
        <w:tab/>
      </w:r>
      <w:r>
        <w:rPr/>
        <w:t>其他应收款和长期应收款账龄分析如下：</w:t>
      </w:r>
    </w:p>
    <w:p>
      <w:pPr>
        <w:spacing w:line="240" w:lineRule="auto" w:before="12"/>
        <w:rPr>
          <w:rFonts w:ascii="宋体" w:hAnsi="宋体" w:cs="宋体" w:eastAsia="宋体" w:hint="default"/>
          <w:sz w:val="20"/>
          <w:szCs w:val="20"/>
        </w:rPr>
      </w:pPr>
    </w:p>
    <w:p>
      <w:pPr>
        <w:pStyle w:val="BodyText"/>
        <w:tabs>
          <w:tab w:pos="7909" w:val="left" w:leader="none"/>
        </w:tabs>
        <w:spacing w:line="240" w:lineRule="auto"/>
        <w:ind w:left="4788" w:right="0"/>
        <w:jc w:val="left"/>
      </w:pP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spacing w:line="240" w:lineRule="auto" w:before="2"/>
        <w:rPr>
          <w:rFonts w:ascii="宋体" w:hAnsi="宋体" w:cs="宋体" w:eastAsia="宋体" w:hint="default"/>
          <w:sz w:val="17"/>
          <w:szCs w:val="17"/>
        </w:rPr>
      </w:pPr>
    </w:p>
    <w:tbl>
      <w:tblPr>
        <w:tblW w:w="0" w:type="auto"/>
        <w:jc w:val="left"/>
        <w:tblInd w:w="813" w:type="dxa"/>
        <w:tblLayout w:type="fixed"/>
        <w:tblCellMar>
          <w:top w:w="0" w:type="dxa"/>
          <w:left w:w="0" w:type="dxa"/>
          <w:bottom w:w="0" w:type="dxa"/>
          <w:right w:w="0" w:type="dxa"/>
        </w:tblCellMar>
        <w:tblLook w:val="01E0"/>
      </w:tblPr>
      <w:tblGrid>
        <w:gridCol w:w="3754"/>
        <w:gridCol w:w="2410"/>
        <w:gridCol w:w="707"/>
        <w:gridCol w:w="2414"/>
      </w:tblGrid>
      <w:tr>
        <w:trPr>
          <w:trHeight w:val="379"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84"/>
              <w:jc w:val="right"/>
              <w:rPr>
                <w:rFonts w:ascii="Arial" w:hAnsi="Arial" w:cs="Arial" w:eastAsia="Arial" w:hint="default"/>
                <w:sz w:val="24"/>
                <w:szCs w:val="24"/>
              </w:rPr>
            </w:pPr>
            <w:r>
              <w:rPr>
                <w:rFonts w:ascii="Arial"/>
                <w:spacing w:val="-1"/>
                <w:w w:val="95"/>
                <w:sz w:val="24"/>
              </w:rPr>
              <w:t>981,849</w:t>
            </w:r>
            <w:r>
              <w:rPr>
                <w:rFonts w:ascii="Arial"/>
                <w:sz w:val="24"/>
              </w:rPr>
            </w:r>
          </w:p>
        </w:tc>
        <w:tc>
          <w:tcPr>
            <w:tcW w:w="707"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85"/>
              <w:jc w:val="right"/>
              <w:rPr>
                <w:rFonts w:ascii="Arial" w:hAnsi="Arial" w:cs="Arial" w:eastAsia="Arial" w:hint="default"/>
                <w:sz w:val="24"/>
                <w:szCs w:val="24"/>
              </w:rPr>
            </w:pPr>
            <w:r>
              <w:rPr>
                <w:rFonts w:ascii="Arial"/>
                <w:spacing w:val="-1"/>
                <w:w w:val="95"/>
                <w:sz w:val="24"/>
              </w:rPr>
              <w:t>134,937</w:t>
            </w:r>
            <w:r>
              <w:rPr>
                <w:rFonts w:ascii="Arial"/>
                <w:sz w:val="24"/>
              </w:rPr>
            </w:r>
          </w:p>
        </w:tc>
      </w:tr>
      <w:tr>
        <w:trPr>
          <w:trHeight w:val="312"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84"/>
              <w:jc w:val="right"/>
              <w:rPr>
                <w:rFonts w:ascii="Arial" w:hAnsi="Arial" w:cs="Arial" w:eastAsia="Arial" w:hint="default"/>
                <w:sz w:val="24"/>
                <w:szCs w:val="24"/>
              </w:rPr>
            </w:pPr>
            <w:r>
              <w:rPr>
                <w:rFonts w:ascii="Arial"/>
                <w:spacing w:val="-1"/>
                <w:w w:val="95"/>
                <w:sz w:val="24"/>
              </w:rPr>
              <w:t>77,514</w:t>
            </w:r>
            <w:r>
              <w:rPr>
                <w:rFonts w:ascii="Arial"/>
                <w:sz w:val="24"/>
              </w:rPr>
            </w:r>
          </w:p>
        </w:tc>
        <w:tc>
          <w:tcPr>
            <w:tcW w:w="707"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85"/>
              <w:jc w:val="right"/>
              <w:rPr>
                <w:rFonts w:ascii="Arial" w:hAnsi="Arial" w:cs="Arial" w:eastAsia="Arial" w:hint="default"/>
                <w:sz w:val="24"/>
                <w:szCs w:val="24"/>
              </w:rPr>
            </w:pPr>
            <w:r>
              <w:rPr>
                <w:rFonts w:ascii="Arial"/>
                <w:spacing w:val="-1"/>
                <w:w w:val="95"/>
                <w:sz w:val="24"/>
              </w:rPr>
              <w:t>65,515</w:t>
            </w:r>
            <w:r>
              <w:rPr>
                <w:rFonts w:ascii="Arial"/>
                <w:sz w:val="24"/>
              </w:rPr>
            </w:r>
          </w:p>
        </w:tc>
      </w:tr>
      <w:tr>
        <w:trPr>
          <w:trHeight w:val="312"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84"/>
              <w:jc w:val="right"/>
              <w:rPr>
                <w:rFonts w:ascii="Arial" w:hAnsi="Arial" w:cs="Arial" w:eastAsia="Arial" w:hint="default"/>
                <w:sz w:val="24"/>
                <w:szCs w:val="24"/>
              </w:rPr>
            </w:pPr>
            <w:r>
              <w:rPr>
                <w:rFonts w:ascii="Arial"/>
                <w:spacing w:val="-1"/>
                <w:w w:val="95"/>
                <w:sz w:val="24"/>
              </w:rPr>
              <w:t>52,920</w:t>
            </w:r>
            <w:r>
              <w:rPr>
                <w:rFonts w:ascii="Arial"/>
                <w:sz w:val="24"/>
              </w:rPr>
            </w:r>
          </w:p>
        </w:tc>
        <w:tc>
          <w:tcPr>
            <w:tcW w:w="707"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85"/>
              <w:jc w:val="right"/>
              <w:rPr>
                <w:rFonts w:ascii="Arial" w:hAnsi="Arial" w:cs="Arial" w:eastAsia="Arial" w:hint="default"/>
                <w:sz w:val="24"/>
                <w:szCs w:val="24"/>
              </w:rPr>
            </w:pPr>
            <w:r>
              <w:rPr>
                <w:rFonts w:ascii="Arial"/>
                <w:spacing w:val="-1"/>
                <w:w w:val="95"/>
                <w:sz w:val="24"/>
              </w:rPr>
              <w:t>13,455</w:t>
            </w:r>
            <w:r>
              <w:rPr>
                <w:rFonts w:ascii="Arial"/>
                <w:sz w:val="24"/>
              </w:rPr>
            </w:r>
          </w:p>
        </w:tc>
      </w:tr>
      <w:tr>
        <w:trPr>
          <w:trHeight w:val="312"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84"/>
              <w:jc w:val="right"/>
              <w:rPr>
                <w:rFonts w:ascii="Arial" w:hAnsi="Arial" w:cs="Arial" w:eastAsia="Arial" w:hint="default"/>
                <w:sz w:val="24"/>
                <w:szCs w:val="24"/>
              </w:rPr>
            </w:pPr>
            <w:r>
              <w:rPr>
                <w:rFonts w:ascii="Arial"/>
                <w:spacing w:val="-4"/>
                <w:w w:val="95"/>
                <w:sz w:val="24"/>
              </w:rPr>
              <w:t>11,806</w:t>
            </w:r>
            <w:r>
              <w:rPr>
                <w:rFonts w:ascii="Arial"/>
                <w:sz w:val="24"/>
              </w:rPr>
            </w:r>
          </w:p>
        </w:tc>
        <w:tc>
          <w:tcPr>
            <w:tcW w:w="707"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85"/>
              <w:jc w:val="right"/>
              <w:rPr>
                <w:rFonts w:ascii="Arial" w:hAnsi="Arial" w:cs="Arial" w:eastAsia="Arial" w:hint="default"/>
                <w:sz w:val="24"/>
                <w:szCs w:val="24"/>
              </w:rPr>
            </w:pPr>
            <w:r>
              <w:rPr>
                <w:rFonts w:ascii="Arial"/>
                <w:spacing w:val="-1"/>
                <w:w w:val="95"/>
                <w:sz w:val="24"/>
              </w:rPr>
              <w:t>2,127</w:t>
            </w:r>
            <w:r>
              <w:rPr>
                <w:rFonts w:ascii="Arial"/>
                <w:sz w:val="24"/>
              </w:rPr>
            </w:r>
          </w:p>
        </w:tc>
      </w:tr>
      <w:tr>
        <w:trPr>
          <w:trHeight w:val="312"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84"/>
              <w:jc w:val="right"/>
              <w:rPr>
                <w:rFonts w:ascii="Arial" w:hAnsi="Arial" w:cs="Arial" w:eastAsia="Arial" w:hint="default"/>
                <w:sz w:val="24"/>
                <w:szCs w:val="24"/>
              </w:rPr>
            </w:pPr>
            <w:r>
              <w:rPr>
                <w:rFonts w:ascii="Arial"/>
                <w:spacing w:val="-1"/>
                <w:w w:val="95"/>
                <w:sz w:val="24"/>
              </w:rPr>
              <w:t>1,838</w:t>
            </w:r>
            <w:r>
              <w:rPr>
                <w:rFonts w:ascii="Arial"/>
                <w:sz w:val="24"/>
              </w:rPr>
            </w:r>
          </w:p>
        </w:tc>
        <w:tc>
          <w:tcPr>
            <w:tcW w:w="707"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85"/>
              <w:jc w:val="right"/>
              <w:rPr>
                <w:rFonts w:ascii="Arial" w:hAnsi="Arial" w:cs="Arial" w:eastAsia="Arial" w:hint="default"/>
                <w:sz w:val="24"/>
                <w:szCs w:val="24"/>
              </w:rPr>
            </w:pPr>
            <w:r>
              <w:rPr>
                <w:rFonts w:ascii="Arial"/>
                <w:spacing w:val="-1"/>
                <w:w w:val="95"/>
                <w:sz w:val="24"/>
              </w:rPr>
              <w:t>1,148</w:t>
            </w:r>
            <w:r>
              <w:rPr>
                <w:rFonts w:ascii="Arial"/>
                <w:sz w:val="24"/>
              </w:rPr>
            </w:r>
          </w:p>
        </w:tc>
      </w:tr>
      <w:tr>
        <w:trPr>
          <w:trHeight w:val="321"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84"/>
              <w:jc w:val="right"/>
              <w:rPr>
                <w:rFonts w:ascii="Arial" w:hAnsi="Arial" w:cs="Arial" w:eastAsia="Arial" w:hint="default"/>
                <w:sz w:val="24"/>
                <w:szCs w:val="24"/>
              </w:rPr>
            </w:pPr>
            <w:r>
              <w:rPr>
                <w:rFonts w:ascii="Arial"/>
                <w:spacing w:val="-1"/>
                <w:w w:val="95"/>
                <w:sz w:val="24"/>
              </w:rPr>
              <w:t>884</w:t>
            </w:r>
            <w:r>
              <w:rPr>
                <w:rFonts w:ascii="Arial"/>
                <w:sz w:val="24"/>
              </w:rPr>
            </w:r>
          </w:p>
        </w:tc>
        <w:tc>
          <w:tcPr>
            <w:tcW w:w="707"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85"/>
              <w:jc w:val="right"/>
              <w:rPr>
                <w:rFonts w:ascii="Arial" w:hAnsi="Arial" w:cs="Arial" w:eastAsia="Arial" w:hint="default"/>
                <w:sz w:val="24"/>
                <w:szCs w:val="24"/>
              </w:rPr>
            </w:pPr>
            <w:r>
              <w:rPr>
                <w:rFonts w:ascii="Arial"/>
                <w:spacing w:val="-5"/>
                <w:sz w:val="24"/>
              </w:rPr>
              <w:t>2,116</w:t>
            </w:r>
            <w:r>
              <w:rPr>
                <w:rFonts w:ascii="Arial"/>
                <w:sz w:val="24"/>
              </w:rPr>
            </w:r>
          </w:p>
        </w:tc>
      </w:tr>
      <w:tr>
        <w:trPr>
          <w:trHeight w:val="296" w:hRule="exact"/>
        </w:trPr>
        <w:tc>
          <w:tcPr>
            <w:tcW w:w="3754"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48"/>
              <w:jc w:val="right"/>
              <w:rPr>
                <w:rFonts w:ascii="Arial" w:hAnsi="Arial" w:cs="Arial" w:eastAsia="Arial" w:hint="default"/>
                <w:sz w:val="24"/>
                <w:szCs w:val="24"/>
              </w:rPr>
            </w:pPr>
            <w:r>
              <w:rPr>
                <w:rFonts w:ascii="Arial"/>
                <w:spacing w:val="-3"/>
                <w:sz w:val="24"/>
              </w:rPr>
              <w:t>1,126,811</w:t>
            </w:r>
          </w:p>
        </w:tc>
        <w:tc>
          <w:tcPr>
            <w:tcW w:w="707" w:type="dxa"/>
            <w:tcBorders>
              <w:top w:val="nil" w:sz="6" w:space="0" w:color="auto"/>
              <w:left w:val="nil" w:sz="6" w:space="0" w:color="auto"/>
              <w:bottom w:val="nil" w:sz="6" w:space="0" w:color="auto"/>
              <w:right w:val="nil" w:sz="6" w:space="0" w:color="auto"/>
            </w:tcBorders>
          </w:tcPr>
          <w:p>
            <w:pPr/>
          </w:p>
        </w:tc>
        <w:tc>
          <w:tcPr>
            <w:tcW w:w="2414"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86"/>
              <w:jc w:val="right"/>
              <w:rPr>
                <w:rFonts w:ascii="Arial" w:hAnsi="Arial" w:cs="Arial" w:eastAsia="Arial" w:hint="default"/>
                <w:sz w:val="24"/>
                <w:szCs w:val="24"/>
              </w:rPr>
            </w:pPr>
            <w:r>
              <w:rPr>
                <w:rFonts w:ascii="Arial"/>
                <w:spacing w:val="-1"/>
                <w:w w:val="95"/>
                <w:sz w:val="24"/>
              </w:rPr>
              <w:t>219,298</w:t>
            </w:r>
            <w:r>
              <w:rPr>
                <w:rFonts w:ascii="Arial"/>
                <w:sz w:val="24"/>
              </w:rPr>
            </w:r>
          </w:p>
        </w:tc>
      </w:tr>
    </w:tbl>
    <w:p>
      <w:pPr>
        <w:spacing w:after="0" w:line="274" w:lineRule="exact"/>
        <w:jc w:val="right"/>
        <w:rPr>
          <w:rFonts w:ascii="Arial" w:hAnsi="Arial" w:cs="Arial" w:eastAsia="Arial" w:hint="default"/>
          <w:sz w:val="24"/>
          <w:szCs w:val="24"/>
        </w:rPr>
        <w:sectPr>
          <w:pgSz w:w="11910" w:h="16840"/>
          <w:pgMar w:header="1475" w:footer="947" w:top="3020" w:bottom="1140" w:left="980" w:right="680"/>
        </w:sectPr>
      </w:pPr>
    </w:p>
    <w:p>
      <w:pPr>
        <w:spacing w:line="240" w:lineRule="auto" w:before="6"/>
        <w:rPr>
          <w:rFonts w:ascii="宋体" w:hAnsi="宋体" w:cs="宋体" w:eastAsia="宋体" w:hint="default"/>
          <w:sz w:val="13"/>
          <w:szCs w:val="13"/>
        </w:rPr>
      </w:pPr>
    </w:p>
    <w:p>
      <w:pPr>
        <w:pStyle w:val="Heading2"/>
        <w:tabs>
          <w:tab w:pos="832" w:val="left" w:leader="none"/>
        </w:tabs>
        <w:spacing w:line="240" w:lineRule="auto"/>
        <w:ind w:left="103" w:right="0"/>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32" w:val="left" w:leader="none"/>
        </w:tabs>
        <w:spacing w:before="0"/>
        <w:ind w:left="103" w:right="0" w:firstLine="0"/>
        <w:jc w:val="left"/>
        <w:rPr>
          <w:rFonts w:ascii="Arial" w:hAnsi="Arial" w:cs="Arial" w:eastAsia="Arial" w:hint="default"/>
          <w:sz w:val="24"/>
          <w:szCs w:val="24"/>
        </w:rPr>
      </w:pPr>
      <w:r>
        <w:rPr>
          <w:rFonts w:ascii="Arial" w:hAnsi="Arial" w:cs="Arial" w:eastAsia="Arial" w:hint="default"/>
          <w:w w:val="95"/>
          <w:position w:val="2"/>
          <w:sz w:val="24"/>
          <w:szCs w:val="24"/>
        </w:rPr>
        <w:t>(6)</w:t>
        <w:tab/>
      </w:r>
      <w:r>
        <w:rPr>
          <w:rFonts w:ascii="宋体" w:hAnsi="宋体" w:cs="宋体" w:eastAsia="宋体" w:hint="default"/>
          <w:b/>
          <w:bCs/>
          <w:sz w:val="24"/>
          <w:szCs w:val="24"/>
        </w:rPr>
        <w:t>其他应收款和长期应收款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BodyText"/>
        <w:tabs>
          <w:tab w:pos="809" w:val="left" w:leader="none"/>
        </w:tabs>
        <w:spacing w:line="240" w:lineRule="auto" w:before="222"/>
        <w:ind w:left="103" w:right="0"/>
        <w:jc w:val="left"/>
      </w:pPr>
      <w:r>
        <w:rPr>
          <w:rFonts w:ascii="Arial" w:hAnsi="Arial" w:cs="Arial" w:eastAsia="Arial" w:hint="default"/>
          <w:w w:val="95"/>
          <w:position w:val="2"/>
        </w:rPr>
        <w:t>(b)</w:t>
        <w:tab/>
      </w:r>
      <w:r>
        <w:rPr/>
        <w:t>其他应收款和长期应收款按类别分析如下：</w:t>
      </w:r>
    </w:p>
    <w:p>
      <w:pPr>
        <w:spacing w:line="240" w:lineRule="auto" w:before="12"/>
        <w:rPr>
          <w:rFonts w:ascii="宋体" w:hAnsi="宋体" w:cs="宋体" w:eastAsia="宋体" w:hint="default"/>
          <w:sz w:val="18"/>
          <w:szCs w:val="18"/>
        </w:rPr>
      </w:pPr>
    </w:p>
    <w:p>
      <w:pPr>
        <w:tabs>
          <w:tab w:pos="6531" w:val="left" w:leader="none"/>
        </w:tabs>
        <w:spacing w:before="0"/>
        <w:ind w:left="2567" w:right="0" w:firstLine="0"/>
        <w:jc w:val="center"/>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tabs>
          <w:tab w:pos="4747" w:val="left" w:leader="none"/>
          <w:tab w:pos="6708" w:val="left" w:leader="none"/>
          <w:tab w:pos="8604" w:val="left" w:leader="none"/>
        </w:tabs>
        <w:spacing w:before="13"/>
        <w:ind w:left="2702" w:right="0" w:firstLine="0"/>
        <w:jc w:val="center"/>
        <w:rPr>
          <w:rFonts w:ascii="宋体" w:hAnsi="宋体" w:cs="宋体" w:eastAsia="宋体" w:hint="default"/>
          <w:sz w:val="20"/>
          <w:szCs w:val="20"/>
        </w:rPr>
      </w:pPr>
      <w:r>
        <w:rPr/>
        <w:pict>
          <v:group style="position:absolute;margin-left:180.600006pt;margin-top:1.500425pt;width:192.5pt;height:.1pt;mso-position-horizontal-relative:page;mso-position-vertical-relative:paragraph;z-index:-1004440" coordorigin="3612,30" coordsize="3850,2">
            <v:shape style="position:absolute;left:3612;top:30;width:3850;height:2" coordorigin="3612,30" coordsize="3850,0" path="m3612,30l7462,30e" filled="false" stroked="true" strokeweight="1.5pt" strokecolor="#000000">
              <v:path arrowok="t"/>
            </v:shape>
            <w10:wrap type="none"/>
          </v:group>
        </w:pict>
      </w:r>
      <w:r>
        <w:rPr/>
        <w:pict>
          <v:group style="position:absolute;margin-left:384.959991pt;margin-top:1.500425pt;width:180.2pt;height:.1pt;mso-position-horizontal-relative:page;mso-position-vertical-relative:paragraph;z-index:-1004416" coordorigin="7699,30" coordsize="3604,2">
            <v:shape style="position:absolute;left:7699;top:30;width:3604;height:2" coordorigin="7699,30" coordsize="3604,0" path="m7699,30l11303,30e" filled="false" stroked="true" strokeweight="1.5pt" strokecolor="#000000">
              <v:path arrowok="t"/>
            </v:shape>
            <w10:wrap type="none"/>
          </v:group>
        </w:pict>
      </w:r>
      <w:r>
        <w:rPr/>
        <w:pict>
          <v:group style="position:absolute;margin-left:180.600006pt;margin-top:16.020424pt;width:99.85pt;height:.1pt;mso-position-horizontal-relative:page;mso-position-vertical-relative:paragraph;z-index:-1004392" coordorigin="3612,320" coordsize="1997,2">
            <v:shape style="position:absolute;left:3612;top:320;width:1997;height:2" coordorigin="3612,320" coordsize="1997,0" path="m3612,320l5609,320e" filled="false" stroked="true" strokeweight="1.5pt" strokecolor="#000000">
              <v:path arrowok="t"/>
            </v:shape>
            <w10:wrap type="none"/>
          </v:group>
        </w:pict>
      </w:r>
      <w:r>
        <w:rPr/>
        <w:pict>
          <v:group style="position:absolute;margin-left:292.5pt;margin-top:16.020424pt;width:80.6pt;height:.1pt;mso-position-horizontal-relative:page;mso-position-vertical-relative:paragraph;z-index:-1004368" coordorigin="5850,320" coordsize="1612,2">
            <v:shape style="position:absolute;left:5850;top:320;width:1612;height:2" coordorigin="5850,320" coordsize="1612,0" path="m5850,320l7462,320e" filled="false" stroked="true" strokeweight="1.5pt" strokecolor="#000000">
              <v:path arrowok="t"/>
            </v:shape>
            <w10:wrap type="none"/>
          </v:group>
        </w:pict>
      </w:r>
      <w:r>
        <w:rPr/>
        <w:pict>
          <v:group style="position:absolute;margin-left:384.959991pt;margin-top:16.020424pt;width:91.75pt;height:.1pt;mso-position-horizontal-relative:page;mso-position-vertical-relative:paragraph;z-index:-1004344" coordorigin="7699,320" coordsize="1835,2">
            <v:shape style="position:absolute;left:7699;top:320;width:1835;height:2" coordorigin="7699,320" coordsize="1835,0" path="m7699,320l9534,320e" filled="false" stroked="true" strokeweight="1.5pt" strokecolor="#000000">
              <v:path arrowok="t"/>
            </v:shape>
            <w10:wrap type="none"/>
          </v:group>
        </w:pict>
      </w:r>
      <w:r>
        <w:rPr/>
        <w:pict>
          <v:group style="position:absolute;margin-left:488.519989pt;margin-top:16.020424pt;width:76.650pt;height:.1pt;mso-position-horizontal-relative:page;mso-position-vertical-relative:paragraph;z-index:-1004320" coordorigin="9770,320" coordsize="1533,2">
            <v:shape style="position:absolute;left:9770;top:320;width:1533;height:2" coordorigin="9770,320" coordsize="1533,0" path="m9770,320l11303,320e" filled="false" stroked="true" strokeweight="1.5pt" strokecolor="#000000">
              <v:path arrowok="t"/>
            </v:shape>
            <w10:wrap type="none"/>
          </v:group>
        </w:pict>
      </w:r>
      <w:r>
        <w:rPr>
          <w:rFonts w:ascii="宋体" w:hAnsi="宋体" w:cs="宋体" w:eastAsia="宋体" w:hint="default"/>
          <w:sz w:val="20"/>
          <w:szCs w:val="20"/>
        </w:rPr>
        <w:t>账面余额</w:t>
        <w:tab/>
        <w:t>坏账准备</w:t>
        <w:tab/>
        <w:t>账面余额</w:t>
        <w:tab/>
        <w:t>坏账准备</w:t>
      </w:r>
    </w:p>
    <w:p>
      <w:pPr>
        <w:spacing w:after="0"/>
        <w:jc w:val="center"/>
        <w:rPr>
          <w:rFonts w:ascii="宋体" w:hAnsi="宋体" w:cs="宋体" w:eastAsia="宋体" w:hint="default"/>
          <w:sz w:val="20"/>
          <w:szCs w:val="20"/>
        </w:rPr>
        <w:sectPr>
          <w:pgSz w:w="11910" w:h="16840"/>
          <w:pgMar w:header="1475" w:footer="947" w:top="3020" w:bottom="1140" w:left="1020" w:right="440"/>
        </w:sectPr>
      </w:pPr>
    </w:p>
    <w:p>
      <w:pPr>
        <w:tabs>
          <w:tab w:pos="3938" w:val="left" w:leader="none"/>
        </w:tabs>
        <w:spacing w:before="28"/>
        <w:ind w:left="4137" w:right="0" w:hanging="1154"/>
        <w:jc w:val="right"/>
        <w:rPr>
          <w:rFonts w:ascii="宋体" w:hAnsi="宋体" w:cs="宋体" w:eastAsia="宋体" w:hint="default"/>
          <w:sz w:val="20"/>
          <w:szCs w:val="20"/>
        </w:rPr>
      </w:pPr>
      <w:r>
        <w:rPr>
          <w:rFonts w:ascii="宋体" w:hAnsi="宋体" w:cs="宋体" w:eastAsia="宋体" w:hint="default"/>
          <w:sz w:val="20"/>
          <w:szCs w:val="20"/>
        </w:rPr>
        <w:t>金额</w:t>
        <w:tab/>
        <w:t>占总额</w:t>
      </w:r>
      <w:r>
        <w:rPr>
          <w:rFonts w:ascii="宋体" w:hAnsi="宋体" w:cs="宋体" w:eastAsia="宋体" w:hint="default"/>
          <w:w w:val="100"/>
          <w:sz w:val="20"/>
          <w:szCs w:val="20"/>
        </w:rPr>
        <w:t> </w:t>
      </w:r>
      <w:r>
        <w:rPr>
          <w:rFonts w:ascii="宋体" w:hAnsi="宋体" w:cs="宋体" w:eastAsia="宋体" w:hint="default"/>
          <w:sz w:val="20"/>
          <w:szCs w:val="20"/>
        </w:rPr>
        <w:t>比例</w:t>
      </w:r>
    </w:p>
    <w:p>
      <w:pPr>
        <w:tabs>
          <w:tab w:pos="1349" w:val="left" w:leader="none"/>
        </w:tabs>
        <w:spacing w:before="28"/>
        <w:ind w:left="1348" w:right="0" w:hanging="806"/>
        <w:jc w:val="right"/>
        <w:rPr>
          <w:rFonts w:ascii="宋体" w:hAnsi="宋体" w:cs="宋体" w:eastAsia="宋体" w:hint="default"/>
          <w:sz w:val="20"/>
          <w:szCs w:val="20"/>
        </w:rPr>
      </w:pPr>
      <w:r>
        <w:rPr/>
        <w:br w:type="column"/>
      </w:r>
      <w:r>
        <w:rPr>
          <w:rFonts w:ascii="宋体" w:hAnsi="宋体" w:cs="宋体" w:eastAsia="宋体" w:hint="default"/>
          <w:sz w:val="20"/>
          <w:szCs w:val="20"/>
        </w:rPr>
        <w:t>金额</w:t>
        <w:tab/>
        <w:tab/>
        <w:t>计提</w:t>
      </w:r>
      <w:r>
        <w:rPr>
          <w:rFonts w:ascii="宋体" w:hAnsi="宋体" w:cs="宋体" w:eastAsia="宋体" w:hint="default"/>
          <w:w w:val="100"/>
          <w:sz w:val="20"/>
          <w:szCs w:val="20"/>
        </w:rPr>
        <w:t> </w:t>
      </w:r>
      <w:r>
        <w:rPr>
          <w:rFonts w:ascii="宋体" w:hAnsi="宋体" w:cs="宋体" w:eastAsia="宋体" w:hint="default"/>
          <w:sz w:val="20"/>
          <w:szCs w:val="20"/>
        </w:rPr>
        <w:t>比例</w:t>
      </w:r>
    </w:p>
    <w:p>
      <w:pPr>
        <w:tabs>
          <w:tab w:pos="1492" w:val="left" w:leader="none"/>
        </w:tabs>
        <w:spacing w:before="28"/>
        <w:ind w:left="1691" w:right="0" w:hanging="1097"/>
        <w:jc w:val="right"/>
        <w:rPr>
          <w:rFonts w:ascii="宋体" w:hAnsi="宋体" w:cs="宋体" w:eastAsia="宋体" w:hint="default"/>
          <w:sz w:val="20"/>
          <w:szCs w:val="20"/>
        </w:rPr>
      </w:pPr>
      <w:r>
        <w:rPr/>
        <w:br w:type="column"/>
      </w:r>
      <w:r>
        <w:rPr>
          <w:rFonts w:ascii="宋体" w:hAnsi="宋体" w:cs="宋体" w:eastAsia="宋体" w:hint="default"/>
          <w:sz w:val="20"/>
          <w:szCs w:val="20"/>
        </w:rPr>
        <w:t>金额</w:t>
        <w:tab/>
        <w:t>占总额</w:t>
      </w:r>
      <w:r>
        <w:rPr>
          <w:rFonts w:ascii="宋体" w:hAnsi="宋体" w:cs="宋体" w:eastAsia="宋体" w:hint="default"/>
          <w:w w:val="100"/>
          <w:sz w:val="20"/>
          <w:szCs w:val="20"/>
        </w:rPr>
        <w:t> </w:t>
      </w:r>
      <w:r>
        <w:rPr>
          <w:rFonts w:ascii="宋体" w:hAnsi="宋体" w:cs="宋体" w:eastAsia="宋体" w:hint="default"/>
          <w:sz w:val="20"/>
          <w:szCs w:val="20"/>
        </w:rPr>
        <w:t>比例</w:t>
      </w:r>
    </w:p>
    <w:p>
      <w:pPr>
        <w:tabs>
          <w:tab w:pos="1285" w:val="left" w:leader="none"/>
        </w:tabs>
        <w:spacing w:before="28"/>
        <w:ind w:left="1286" w:right="251" w:hanging="767"/>
        <w:jc w:val="left"/>
        <w:rPr>
          <w:rFonts w:ascii="宋体" w:hAnsi="宋体" w:cs="宋体" w:eastAsia="宋体" w:hint="default"/>
          <w:sz w:val="20"/>
          <w:szCs w:val="20"/>
        </w:rPr>
      </w:pPr>
      <w:r>
        <w:rPr/>
        <w:br w:type="column"/>
      </w:r>
      <w:r>
        <w:rPr>
          <w:rFonts w:ascii="宋体" w:hAnsi="宋体" w:cs="宋体" w:eastAsia="宋体" w:hint="default"/>
          <w:sz w:val="20"/>
          <w:szCs w:val="20"/>
        </w:rPr>
        <w:t>金额</w:t>
        <w:tab/>
        <w:t>计提</w:t>
      </w:r>
      <w:r>
        <w:rPr>
          <w:rFonts w:ascii="宋体" w:hAnsi="宋体" w:cs="宋体" w:eastAsia="宋体" w:hint="default"/>
          <w:w w:val="100"/>
          <w:sz w:val="20"/>
          <w:szCs w:val="20"/>
        </w:rPr>
        <w:t> </w:t>
      </w:r>
      <w:r>
        <w:rPr>
          <w:rFonts w:ascii="宋体" w:hAnsi="宋体" w:cs="宋体" w:eastAsia="宋体" w:hint="default"/>
          <w:sz w:val="20"/>
          <w:szCs w:val="20"/>
        </w:rPr>
        <w:t>比例</w:t>
      </w:r>
    </w:p>
    <w:p>
      <w:pPr>
        <w:spacing w:after="0"/>
        <w:jc w:val="left"/>
        <w:rPr>
          <w:rFonts w:ascii="宋体" w:hAnsi="宋体" w:cs="宋体" w:eastAsia="宋体" w:hint="default"/>
          <w:sz w:val="20"/>
          <w:szCs w:val="20"/>
        </w:rPr>
        <w:sectPr>
          <w:type w:val="continuous"/>
          <w:pgSz w:w="11910" w:h="16840"/>
          <w:pgMar w:top="920" w:bottom="900" w:left="1020" w:right="440"/>
          <w:cols w:num="4" w:equalWidth="0">
            <w:col w:w="4540" w:space="40"/>
            <w:col w:w="1751" w:space="40"/>
            <w:col w:w="2094" w:space="40"/>
            <w:col w:w="1945"/>
          </w:cols>
        </w:sectPr>
      </w:pPr>
    </w:p>
    <w:p>
      <w:pPr>
        <w:spacing w:line="240" w:lineRule="auto" w:before="6"/>
        <w:rPr>
          <w:rFonts w:ascii="宋体" w:hAnsi="宋体" w:cs="宋体" w:eastAsia="宋体" w:hint="default"/>
          <w:sz w:val="14"/>
          <w:szCs w:val="14"/>
        </w:rPr>
      </w:pPr>
    </w:p>
    <w:p>
      <w:pPr>
        <w:spacing w:before="38"/>
        <w:ind w:left="992" w:right="7935" w:hanging="183"/>
        <w:jc w:val="left"/>
        <w:rPr>
          <w:rFonts w:ascii="宋体" w:hAnsi="宋体" w:cs="宋体" w:eastAsia="宋体" w:hint="default"/>
          <w:sz w:val="20"/>
          <w:szCs w:val="20"/>
        </w:rPr>
      </w:pPr>
      <w:r>
        <w:rPr>
          <w:rFonts w:ascii="宋体" w:hAnsi="宋体" w:cs="宋体" w:eastAsia="宋体" w:hint="default"/>
          <w:spacing w:val="10"/>
          <w:sz w:val="20"/>
          <w:szCs w:val="20"/>
        </w:rPr>
        <w:t>单项金额重大并单</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12"/>
          <w:sz w:val="20"/>
          <w:szCs w:val="20"/>
        </w:rPr>
        <w:t>独计提坏账准备</w:t>
      </w:r>
    </w:p>
    <w:p>
      <w:pPr>
        <w:tabs>
          <w:tab w:pos="2827" w:val="left" w:leader="none"/>
          <w:tab w:pos="4087" w:val="left" w:leader="none"/>
          <w:tab w:pos="5524" w:val="left" w:leader="none"/>
          <w:tab w:pos="6080" w:val="left" w:leader="none"/>
          <w:tab w:pos="7410" w:val="left" w:leader="none"/>
          <w:tab w:pos="8257" w:val="left" w:leader="none"/>
          <w:tab w:pos="9420" w:val="left" w:leader="none"/>
          <w:tab w:pos="10020" w:val="left" w:leader="none"/>
        </w:tabs>
        <w:spacing w:line="272" w:lineRule="exact" w:before="0"/>
        <w:ind w:left="992" w:right="0" w:firstLine="0"/>
        <w:jc w:val="left"/>
        <w:rPr>
          <w:rFonts w:ascii="Arial" w:hAnsi="Arial" w:cs="Arial" w:eastAsia="Arial" w:hint="default"/>
          <w:sz w:val="20"/>
          <w:szCs w:val="20"/>
        </w:rPr>
      </w:pPr>
      <w:r>
        <w:rPr>
          <w:rFonts w:ascii="宋体" w:hAnsi="宋体" w:cs="宋体" w:eastAsia="宋体" w:hint="default"/>
          <w:spacing w:val="-1"/>
          <w:position w:val="1"/>
          <w:sz w:val="20"/>
          <w:szCs w:val="20"/>
        </w:rPr>
        <w:t>的应收款项</w:t>
        <w:tab/>
      </w:r>
      <w:r>
        <w:rPr>
          <w:rFonts w:ascii="Arial" w:hAnsi="Arial" w:cs="Arial" w:eastAsia="Arial" w:hint="default"/>
          <w:spacing w:val="-1"/>
          <w:sz w:val="20"/>
          <w:szCs w:val="20"/>
        </w:rPr>
        <w:t>700,000</w:t>
        <w:tab/>
      </w:r>
      <w:r>
        <w:rPr>
          <w:rFonts w:ascii="Arial" w:hAnsi="Arial" w:cs="Arial" w:eastAsia="Arial" w:hint="default"/>
          <w:sz w:val="20"/>
          <w:szCs w:val="20"/>
        </w:rPr>
        <w:t>62%</w:t>
        <w:tab/>
        <w:t>-</w:t>
        <w:tab/>
        <w:t>-</w:t>
        <w:tab/>
        <w:t>-</w:t>
        <w:tab/>
        <w:t>-</w:t>
        <w:tab/>
        <w:t>-</w:t>
        <w:tab/>
        <w:t>-</w:t>
      </w:r>
    </w:p>
    <w:p>
      <w:pPr>
        <w:spacing w:line="260" w:lineRule="exact" w:before="11"/>
        <w:ind w:left="909" w:right="7843" w:hanging="100"/>
        <w:jc w:val="left"/>
        <w:rPr>
          <w:rFonts w:ascii="宋体" w:hAnsi="宋体" w:cs="宋体" w:eastAsia="宋体" w:hint="default"/>
          <w:sz w:val="20"/>
          <w:szCs w:val="20"/>
        </w:rPr>
      </w:pPr>
      <w:r>
        <w:rPr>
          <w:rFonts w:ascii="宋体" w:hAnsi="宋体" w:cs="宋体" w:eastAsia="宋体" w:hint="default"/>
          <w:sz w:val="20"/>
          <w:szCs w:val="20"/>
        </w:rPr>
        <w:t>按组合计提坏账备</w:t>
      </w:r>
      <w:r>
        <w:rPr>
          <w:rFonts w:ascii="宋体" w:hAnsi="宋体" w:cs="宋体" w:eastAsia="宋体" w:hint="default"/>
          <w:w w:val="100"/>
          <w:sz w:val="20"/>
          <w:szCs w:val="20"/>
        </w:rPr>
        <w:t> </w:t>
      </w:r>
      <w:r>
        <w:rPr>
          <w:rFonts w:ascii="宋体" w:hAnsi="宋体" w:cs="宋体" w:eastAsia="宋体" w:hint="default"/>
          <w:spacing w:val="9"/>
          <w:sz w:val="20"/>
          <w:szCs w:val="20"/>
        </w:rPr>
        <w:t>应收房屋租赁保证</w:t>
      </w:r>
      <w:r>
        <w:rPr>
          <w:rFonts w:ascii="宋体" w:hAnsi="宋体" w:cs="宋体" w:eastAsia="宋体" w:hint="default"/>
          <w:sz w:val="20"/>
          <w:szCs w:val="20"/>
        </w:rPr>
      </w:r>
    </w:p>
    <w:p>
      <w:pPr>
        <w:tabs>
          <w:tab w:pos="2813" w:val="left" w:leader="none"/>
          <w:tab w:pos="4087" w:val="left" w:leader="none"/>
          <w:tab w:pos="5524" w:val="left" w:leader="none"/>
          <w:tab w:pos="6080" w:val="left" w:leader="none"/>
          <w:tab w:pos="7410" w:val="left" w:leader="none"/>
          <w:tab w:pos="8257" w:val="left" w:leader="none"/>
          <w:tab w:pos="9420" w:val="left" w:leader="none"/>
          <w:tab w:pos="10020" w:val="left" w:leader="none"/>
        </w:tabs>
        <w:spacing w:line="264" w:lineRule="exact" w:before="0"/>
        <w:ind w:left="992" w:right="0" w:firstLine="0"/>
        <w:jc w:val="left"/>
        <w:rPr>
          <w:rFonts w:ascii="Arial" w:hAnsi="Arial" w:cs="Arial" w:eastAsia="Arial" w:hint="default"/>
          <w:sz w:val="20"/>
          <w:szCs w:val="20"/>
        </w:rPr>
      </w:pPr>
      <w:r>
        <w:rPr>
          <w:rFonts w:ascii="宋体" w:hAnsi="宋体" w:cs="宋体" w:eastAsia="宋体" w:hint="default"/>
          <w:position w:val="1"/>
          <w:sz w:val="20"/>
          <w:szCs w:val="20"/>
        </w:rPr>
        <w:t>金组合</w:t>
        <w:tab/>
      </w:r>
      <w:r>
        <w:rPr>
          <w:rFonts w:ascii="Arial" w:hAnsi="Arial" w:cs="Arial" w:eastAsia="Arial" w:hint="default"/>
          <w:spacing w:val="-1"/>
          <w:sz w:val="20"/>
          <w:szCs w:val="20"/>
        </w:rPr>
        <w:t>130,768</w:t>
        <w:tab/>
      </w:r>
      <w:r>
        <w:rPr>
          <w:rFonts w:ascii="Arial" w:hAnsi="Arial" w:cs="Arial" w:eastAsia="Arial" w:hint="default"/>
          <w:sz w:val="20"/>
          <w:szCs w:val="20"/>
        </w:rPr>
        <w:t>12%</w:t>
        <w:tab/>
        <w:t>-</w:t>
        <w:tab/>
        <w:t>-</w:t>
        <w:tab/>
        <w:t>-</w:t>
        <w:tab/>
        <w:t>-</w:t>
        <w:tab/>
        <w:t>-</w:t>
        <w:tab/>
        <w:t>-</w:t>
      </w:r>
    </w:p>
    <w:p>
      <w:pPr>
        <w:spacing w:line="240" w:lineRule="auto" w:before="8"/>
        <w:rPr>
          <w:rFonts w:ascii="Arial" w:hAnsi="Arial" w:cs="Arial" w:eastAsia="Arial" w:hint="default"/>
          <w:sz w:val="2"/>
          <w:szCs w:val="2"/>
        </w:rPr>
      </w:pPr>
    </w:p>
    <w:tbl>
      <w:tblPr>
        <w:tblW w:w="0" w:type="auto"/>
        <w:jc w:val="left"/>
        <w:tblInd w:w="874" w:type="dxa"/>
        <w:tblLayout w:type="fixed"/>
        <w:tblCellMar>
          <w:top w:w="0" w:type="dxa"/>
          <w:left w:w="0" w:type="dxa"/>
          <w:bottom w:w="0" w:type="dxa"/>
          <w:right w:w="0" w:type="dxa"/>
        </w:tblCellMar>
        <w:tblLook w:val="01E0"/>
      </w:tblPr>
      <w:tblGrid>
        <w:gridCol w:w="1710"/>
        <w:gridCol w:w="2011"/>
        <w:gridCol w:w="227"/>
        <w:gridCol w:w="1626"/>
        <w:gridCol w:w="223"/>
        <w:gridCol w:w="1849"/>
        <w:gridCol w:w="222"/>
        <w:gridCol w:w="1547"/>
      </w:tblGrid>
      <w:tr>
        <w:trPr>
          <w:trHeight w:val="249" w:hRule="exact"/>
        </w:trPr>
        <w:tc>
          <w:tcPr>
            <w:tcW w:w="1710"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应收其他款项组合</w:t>
            </w:r>
          </w:p>
        </w:tc>
        <w:tc>
          <w:tcPr>
            <w:tcW w:w="2011" w:type="dxa"/>
            <w:tcBorders>
              <w:top w:val="nil" w:sz="6" w:space="0" w:color="auto"/>
              <w:left w:val="nil" w:sz="6" w:space="0" w:color="auto"/>
              <w:bottom w:val="nil" w:sz="6" w:space="0" w:color="auto"/>
              <w:right w:val="nil" w:sz="6" w:space="0" w:color="auto"/>
            </w:tcBorders>
          </w:tcPr>
          <w:p>
            <w:pPr>
              <w:pStyle w:val="TableParagraph"/>
              <w:tabs>
                <w:tab w:pos="1495" w:val="left" w:leader="none"/>
                <w:tab w:pos="1996" w:val="left" w:leader="none"/>
              </w:tabs>
              <w:spacing w:line="228" w:lineRule="exact"/>
              <w:ind w:right="0"/>
              <w:jc w:val="center"/>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
                <w:sz w:val="20"/>
                <w:u w:val="single" w:color="000000"/>
              </w:rPr>
              <w:t> 296,043</w:t>
              <w:tab/>
            </w:r>
            <w:r>
              <w:rPr>
                <w:rFonts w:ascii="Arial"/>
                <w:sz w:val="20"/>
                <w:u w:val="single" w:color="000000"/>
              </w:rPr>
              <w:t>26%</w:t>
              <w:tab/>
            </w:r>
            <w:r>
              <w:rPr>
                <w:rFonts w:ascii="Arial"/>
                <w:sz w:val="20"/>
              </w:rPr>
            </w:r>
          </w:p>
        </w:tc>
        <w:tc>
          <w:tcPr>
            <w:tcW w:w="227"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tabs>
                <w:tab w:pos="1126" w:val="left" w:leader="none"/>
              </w:tabs>
              <w:spacing w:line="228" w:lineRule="exact"/>
              <w:ind w:left="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30"/>
                <w:sz w:val="20"/>
                <w:u w:val="single" w:color="000000"/>
              </w:rPr>
              <w:t> </w:t>
            </w:r>
            <w:r>
              <w:rPr>
                <w:rFonts w:ascii="Arial"/>
                <w:spacing w:val="-1"/>
                <w:sz w:val="20"/>
                <w:u w:val="single" w:color="000000"/>
              </w:rPr>
              <w:t>(20,306)</w:t>
              <w:tab/>
            </w:r>
            <w:r>
              <w:rPr>
                <w:rFonts w:ascii="Arial"/>
                <w:sz w:val="20"/>
                <w:u w:val="single" w:color="000000"/>
              </w:rPr>
              <w:t>6.9%</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tabs>
                <w:tab w:pos="1221" w:val="left" w:leader="none"/>
                <w:tab w:pos="1834" w:val="left" w:leader="none"/>
              </w:tabs>
              <w:spacing w:line="228" w:lineRule="exact"/>
              <w:ind w:right="0"/>
              <w:jc w:val="center"/>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3"/>
                <w:sz w:val="20"/>
                <w:u w:val="single" w:color="000000"/>
              </w:rPr>
              <w:t> </w:t>
            </w:r>
            <w:r>
              <w:rPr>
                <w:rFonts w:ascii="Arial"/>
                <w:spacing w:val="-1"/>
                <w:sz w:val="20"/>
                <w:u w:val="single" w:color="000000"/>
              </w:rPr>
              <w:t>219,298</w:t>
              <w:tab/>
            </w:r>
            <w:r>
              <w:rPr>
                <w:rFonts w:ascii="Arial"/>
                <w:sz w:val="20"/>
                <w:u w:val="single" w:color="000000"/>
              </w:rPr>
              <w:t>100%</w:t>
              <w:tab/>
            </w:r>
            <w:r>
              <w:rPr>
                <w:rFonts w:ascii="Arial"/>
                <w:sz w:val="20"/>
              </w:rPr>
            </w:r>
          </w:p>
        </w:tc>
        <w:tc>
          <w:tcPr>
            <w:tcW w:w="222"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tabs>
                <w:tab w:pos="1539" w:val="left" w:leader="none"/>
              </w:tabs>
              <w:spacing w:line="228" w:lineRule="exact"/>
              <w:ind w:left="7" w:right="0"/>
              <w:jc w:val="left"/>
              <w:rPr>
                <w:rFonts w:ascii="Arial" w:hAnsi="Arial" w:cs="Arial" w:eastAsia="Arial" w:hint="default"/>
                <w:sz w:val="20"/>
                <w:szCs w:val="20"/>
              </w:rPr>
            </w:pPr>
            <w:r>
              <w:rPr>
                <w:rFonts w:ascii="Arial"/>
                <w:w w:val="100"/>
                <w:sz w:val="20"/>
              </w:rPr>
            </w:r>
            <w:r>
              <w:rPr>
                <w:rFonts w:ascii="Arial"/>
                <w:spacing w:val="1"/>
                <w:w w:val="100"/>
                <w:sz w:val="20"/>
                <w:u w:val="single" w:color="000000"/>
              </w:rPr>
              <w:t> </w:t>
            </w:r>
            <w:r>
              <w:rPr>
                <w:rFonts w:ascii="Arial"/>
                <w:sz w:val="20"/>
                <w:u w:val="single" w:color="000000"/>
              </w:rPr>
              <w:t>(19,873)  </w:t>
            </w:r>
            <w:r>
              <w:rPr>
                <w:rFonts w:ascii="Arial"/>
                <w:spacing w:val="6"/>
                <w:sz w:val="20"/>
                <w:u w:val="single" w:color="000000"/>
              </w:rPr>
              <w:t> </w:t>
            </w:r>
            <w:r>
              <w:rPr>
                <w:rFonts w:ascii="Arial"/>
                <w:sz w:val="20"/>
                <w:u w:val="single" w:color="000000"/>
              </w:rPr>
              <w:t>9.1%</w:t>
              <w:tab/>
            </w:r>
            <w:r>
              <w:rPr>
                <w:rFonts w:ascii="Arial"/>
                <w:sz w:val="20"/>
              </w:rPr>
            </w:r>
          </w:p>
        </w:tc>
      </w:tr>
      <w:tr>
        <w:trPr>
          <w:trHeight w:val="248" w:hRule="exact"/>
        </w:trPr>
        <w:tc>
          <w:tcPr>
            <w:tcW w:w="1710"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single" w:sz="12" w:space="0" w:color="000000"/>
              <w:right w:val="nil" w:sz="6" w:space="0" w:color="auto"/>
            </w:tcBorders>
          </w:tcPr>
          <w:p>
            <w:pPr>
              <w:pStyle w:val="TableParagraph"/>
              <w:tabs>
                <w:tab w:pos="1301" w:val="left" w:leader="none"/>
              </w:tabs>
              <w:spacing w:line="240" w:lineRule="auto"/>
              <w:ind w:right="15"/>
              <w:jc w:val="center"/>
              <w:rPr>
                <w:rFonts w:ascii="Arial" w:hAnsi="Arial" w:cs="Arial" w:eastAsia="Arial" w:hint="default"/>
                <w:sz w:val="20"/>
                <w:szCs w:val="20"/>
              </w:rPr>
            </w:pPr>
            <w:r>
              <w:rPr>
                <w:rFonts w:ascii="Arial"/>
                <w:spacing w:val="-2"/>
                <w:sz w:val="20"/>
              </w:rPr>
              <w:t>1,126,811</w:t>
              <w:tab/>
            </w:r>
            <w:r>
              <w:rPr>
                <w:rFonts w:ascii="Arial"/>
                <w:sz w:val="20"/>
              </w:rPr>
              <w:t>100%</w:t>
            </w:r>
          </w:p>
        </w:tc>
        <w:tc>
          <w:tcPr>
            <w:tcW w:w="227"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single" w:sz="12" w:space="0" w:color="000000"/>
              <w:right w:val="nil" w:sz="6" w:space="0" w:color="auto"/>
            </w:tcBorders>
          </w:tcPr>
          <w:p>
            <w:pPr>
              <w:pStyle w:val="TableParagraph"/>
              <w:spacing w:line="240" w:lineRule="auto"/>
              <w:ind w:left="88" w:right="0"/>
              <w:jc w:val="left"/>
              <w:rPr>
                <w:rFonts w:ascii="Arial" w:hAnsi="Arial" w:cs="Arial" w:eastAsia="Arial" w:hint="default"/>
                <w:sz w:val="20"/>
                <w:szCs w:val="20"/>
              </w:rPr>
            </w:pPr>
            <w:r>
              <w:rPr>
                <w:rFonts w:ascii="Arial"/>
                <w:sz w:val="20"/>
              </w:rPr>
              <w:t>(20,306)</w:t>
            </w:r>
          </w:p>
        </w:tc>
        <w:tc>
          <w:tcPr>
            <w:tcW w:w="223"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single" w:sz="12" w:space="0" w:color="000000"/>
              <w:right w:val="nil" w:sz="6" w:space="0" w:color="auto"/>
            </w:tcBorders>
          </w:tcPr>
          <w:p>
            <w:pPr>
              <w:pStyle w:val="TableParagraph"/>
              <w:tabs>
                <w:tab w:pos="1147" w:val="left" w:leader="none"/>
              </w:tabs>
              <w:spacing w:line="240" w:lineRule="auto"/>
              <w:ind w:right="24"/>
              <w:jc w:val="center"/>
              <w:rPr>
                <w:rFonts w:ascii="Arial" w:hAnsi="Arial" w:cs="Arial" w:eastAsia="Arial" w:hint="default"/>
                <w:sz w:val="20"/>
                <w:szCs w:val="20"/>
              </w:rPr>
            </w:pPr>
            <w:r>
              <w:rPr>
                <w:rFonts w:ascii="Arial"/>
                <w:spacing w:val="-1"/>
                <w:sz w:val="20"/>
              </w:rPr>
              <w:t>219,298</w:t>
              <w:tab/>
            </w:r>
            <w:r>
              <w:rPr>
                <w:rFonts w:ascii="Arial"/>
                <w:sz w:val="20"/>
              </w:rPr>
              <w:t>100%</w:t>
            </w:r>
          </w:p>
        </w:tc>
        <w:tc>
          <w:tcPr>
            <w:tcW w:w="222"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single" w:sz="12" w:space="0" w:color="000000"/>
              <w:right w:val="nil" w:sz="6" w:space="0" w:color="auto"/>
            </w:tcBorders>
          </w:tcPr>
          <w:p>
            <w:pPr>
              <w:pStyle w:val="TableParagraph"/>
              <w:spacing w:line="240" w:lineRule="auto"/>
              <w:ind w:left="64" w:right="0"/>
              <w:jc w:val="left"/>
              <w:rPr>
                <w:rFonts w:ascii="Arial" w:hAnsi="Arial" w:cs="Arial" w:eastAsia="Arial" w:hint="default"/>
                <w:sz w:val="20"/>
                <w:szCs w:val="20"/>
              </w:rPr>
            </w:pPr>
            <w:r>
              <w:rPr>
                <w:rFonts w:ascii="Arial"/>
                <w:sz w:val="20"/>
              </w:rPr>
              <w:t>(19,873)</w:t>
            </w:r>
          </w:p>
        </w:tc>
      </w:tr>
    </w:tbl>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19"/>
          <w:szCs w:val="19"/>
        </w:rPr>
      </w:pPr>
    </w:p>
    <w:p>
      <w:pPr>
        <w:pStyle w:val="BodyText"/>
        <w:spacing w:line="312" w:lineRule="exact"/>
        <w:ind w:left="814" w:right="231" w:hanging="712"/>
        <w:jc w:val="both"/>
      </w:pPr>
      <w:r>
        <w:rPr>
          <w:rFonts w:ascii="Arial" w:hAnsi="Arial" w:cs="Arial" w:eastAsia="Arial" w:hint="default"/>
          <w:position w:val="2"/>
        </w:rPr>
        <w:t>(c) </w:t>
      </w:r>
      <w:r>
        <w:rPr/>
        <w:t>单项金额重大并单独计提坏账准备的应收款项系本集团于 </w:t>
      </w:r>
      <w:r>
        <w:rPr>
          <w:rFonts w:ascii="Arial" w:hAnsi="Arial" w:cs="Arial" w:eastAsia="Arial" w:hint="default"/>
        </w:rPr>
        <w:t>2010</w:t>
      </w:r>
      <w:r>
        <w:rPr>
          <w:rFonts w:ascii="Arial" w:hAnsi="Arial" w:cs="Arial" w:eastAsia="Arial" w:hint="default"/>
          <w:spacing w:val="56"/>
        </w:rPr>
        <w:t> </w:t>
      </w:r>
      <w:r>
        <w:rPr/>
        <w:t>年向中国农业银行购买的 截止</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日尚未到期的保本保收益的理财产品人民币</w:t>
      </w:r>
      <w:r>
        <w:rPr>
          <w:spacing w:val="-61"/>
        </w:rPr>
        <w:t> </w:t>
      </w:r>
      <w:r>
        <w:rPr>
          <w:rFonts w:ascii="Arial" w:hAnsi="Arial" w:cs="Arial" w:eastAsia="Arial" w:hint="default"/>
        </w:rPr>
        <w:t>7</w:t>
      </w:r>
      <w:r>
        <w:rPr>
          <w:rFonts w:ascii="Arial" w:hAnsi="Arial" w:cs="Arial" w:eastAsia="Arial" w:hint="default"/>
          <w:spacing w:val="-8"/>
        </w:rPr>
        <w:t> </w:t>
      </w:r>
      <w:r>
        <w:rPr/>
        <w:t>亿元</w:t>
      </w:r>
      <w:r>
        <w:rPr>
          <w:rFonts w:ascii="Arial" w:hAnsi="Arial" w:cs="Arial" w:eastAsia="Arial" w:hint="default"/>
        </w:rPr>
        <w:t>(2009</w:t>
      </w:r>
      <w:r>
        <w:rPr>
          <w:rFonts w:ascii="Arial" w:hAnsi="Arial" w:cs="Arial" w:eastAsia="Arial" w:hint="default"/>
          <w:spacing w:val="-8"/>
        </w:rPr>
        <w:t> </w:t>
      </w:r>
      <w:r>
        <w:rPr/>
        <w:t>年：无</w:t>
      </w:r>
      <w:r>
        <w:rPr>
          <w:rFonts w:ascii="Arial" w:hAnsi="Arial" w:cs="Arial" w:eastAsia="Arial" w:hint="default"/>
        </w:rPr>
        <w:t>)</w:t>
      </w:r>
      <w:r>
        <w:rPr/>
        <w:t>。 截至财务报告批准报出日止，该理财产品的相关款项已经全部收回，因此无坏账风险，无 需计提坏账准备。请参见资产负债表日后事项</w:t>
      </w:r>
      <w:r>
        <w:rPr>
          <w:rFonts w:ascii="Arial" w:hAnsi="Arial" w:cs="Arial" w:eastAsia="Arial" w:hint="default"/>
        </w:rPr>
        <w:t>(</w:t>
      </w:r>
      <w:r>
        <w:rPr/>
        <w:t>附注九</w:t>
      </w:r>
      <w:r>
        <w:rPr>
          <w:rFonts w:ascii="Arial" w:hAnsi="Arial" w:cs="Arial" w:eastAsia="Arial" w:hint="default"/>
        </w:rPr>
        <w:t>(1))</w:t>
      </w:r>
      <w:r>
        <w:rPr/>
        <w:t>。</w:t>
      </w:r>
    </w:p>
    <w:p>
      <w:pPr>
        <w:spacing w:line="240" w:lineRule="auto" w:before="10"/>
        <w:rPr>
          <w:rFonts w:ascii="宋体" w:hAnsi="宋体" w:cs="宋体" w:eastAsia="宋体" w:hint="default"/>
          <w:sz w:val="18"/>
          <w:szCs w:val="18"/>
        </w:rPr>
      </w:pPr>
    </w:p>
    <w:p>
      <w:pPr>
        <w:pStyle w:val="BodyText"/>
        <w:tabs>
          <w:tab w:pos="814" w:val="left" w:leader="none"/>
        </w:tabs>
        <w:spacing w:line="240" w:lineRule="auto"/>
        <w:ind w:left="103" w:right="0"/>
        <w:jc w:val="left"/>
      </w:pPr>
      <w:r>
        <w:rPr>
          <w:rFonts w:ascii="Arial" w:hAnsi="Arial" w:cs="Arial" w:eastAsia="Arial" w:hint="default"/>
          <w:w w:val="95"/>
          <w:position w:val="2"/>
        </w:rPr>
        <w:t>(d)</w:t>
        <w:tab/>
      </w:r>
      <w:r>
        <w:rPr/>
        <w:t>按组合计提坏账准备的其他应收款和长期应收款中，采用账龄分析法的组合分析如下：</w:t>
      </w:r>
    </w:p>
    <w:p>
      <w:pPr>
        <w:spacing w:line="240" w:lineRule="auto" w:before="12"/>
        <w:rPr>
          <w:rFonts w:ascii="宋体" w:hAnsi="宋体" w:cs="宋体" w:eastAsia="宋体" w:hint="default"/>
          <w:sz w:val="18"/>
          <w:szCs w:val="18"/>
        </w:rPr>
      </w:pPr>
    </w:p>
    <w:p>
      <w:pPr>
        <w:tabs>
          <w:tab w:pos="6375" w:val="left" w:leader="none"/>
        </w:tabs>
        <w:spacing w:before="0"/>
        <w:ind w:left="2081" w:right="0" w:firstLine="0"/>
        <w:jc w:val="center"/>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tabs>
          <w:tab w:pos="4338" w:val="left" w:leader="none"/>
          <w:tab w:pos="6377" w:val="left" w:leader="none"/>
          <w:tab w:pos="8400" w:val="left" w:leader="none"/>
        </w:tabs>
        <w:spacing w:before="13"/>
        <w:ind w:left="2070" w:right="0" w:firstLine="0"/>
        <w:jc w:val="center"/>
        <w:rPr>
          <w:rFonts w:ascii="宋体" w:hAnsi="宋体" w:cs="宋体" w:eastAsia="宋体" w:hint="default"/>
          <w:sz w:val="20"/>
          <w:szCs w:val="20"/>
        </w:rPr>
      </w:pPr>
      <w:r>
        <w:rPr/>
        <w:pict>
          <v:group style="position:absolute;margin-left:148.919998pt;margin-top:1.500438pt;width:215pt;height:.1pt;mso-position-horizontal-relative:page;mso-position-vertical-relative:paragraph;z-index:-1004296" coordorigin="2978,30" coordsize="4300,2">
            <v:shape style="position:absolute;left:2978;top:30;width:4300;height:2" coordorigin="2978,30" coordsize="4300,0" path="m2978,30l7278,30e" filled="false" stroked="true" strokeweight="1.5pt" strokecolor="#000000">
              <v:path arrowok="t"/>
            </v:shape>
            <w10:wrap type="none"/>
          </v:group>
        </w:pict>
      </w:r>
      <w:r>
        <w:rPr/>
        <w:pict>
          <v:group style="position:absolute;margin-left:375.209991pt;margin-top:.750438pt;width:191.85pt;height:1.5pt;mso-position-horizontal-relative:page;mso-position-vertical-relative:paragraph;z-index:-1004272" coordorigin="7504,15" coordsize="3837,30">
            <v:group style="position:absolute;left:7519;top:30;width:1786;height:2" coordorigin="7519,30" coordsize="1786,2">
              <v:shape style="position:absolute;left:7519;top:30;width:1786;height:2" coordorigin="7519,30" coordsize="1786,0" path="m7519,30l9305,30e" filled="false" stroked="true" strokeweight="1.5pt" strokecolor="#000000">
                <v:path arrowok="t"/>
              </v:shape>
            </v:group>
            <v:group style="position:absolute;left:9305;top:30;width:2021;height:2" coordorigin="9305,30" coordsize="2021,2">
              <v:shape style="position:absolute;left:9305;top:30;width:2021;height:2" coordorigin="9305,30" coordsize="2021,0" path="m9305,30l11326,30e" filled="false" stroked="true" strokeweight="1.5pt" strokecolor="#000000">
                <v:path arrowok="t"/>
              </v:shape>
            </v:group>
            <w10:wrap type="none"/>
          </v:group>
        </w:pict>
      </w:r>
      <w:r>
        <w:rPr>
          <w:rFonts w:ascii="宋体" w:hAnsi="宋体" w:cs="宋体" w:eastAsia="宋体" w:hint="default"/>
          <w:sz w:val="20"/>
          <w:szCs w:val="20"/>
        </w:rPr>
        <w:t>账面余额</w:t>
        <w:tab/>
        <w:t>坏账准备</w:t>
        <w:tab/>
        <w:t>账面余额</w:t>
        <w:tab/>
        <w:t>坏账准备</w:t>
      </w:r>
    </w:p>
    <w:p>
      <w:pPr>
        <w:spacing w:line="240" w:lineRule="auto" w:before="6"/>
        <w:rPr>
          <w:rFonts w:ascii="宋体" w:hAnsi="宋体" w:cs="宋体" w:eastAsia="宋体" w:hint="default"/>
          <w:sz w:val="3"/>
          <w:szCs w:val="3"/>
        </w:rPr>
      </w:pPr>
    </w:p>
    <w:tbl>
      <w:tblPr>
        <w:tblW w:w="0" w:type="auto"/>
        <w:jc w:val="left"/>
        <w:tblInd w:w="779" w:type="dxa"/>
        <w:tblLayout w:type="fixed"/>
        <w:tblCellMar>
          <w:top w:w="0" w:type="dxa"/>
          <w:left w:w="0" w:type="dxa"/>
          <w:bottom w:w="0" w:type="dxa"/>
          <w:right w:w="0" w:type="dxa"/>
        </w:tblCellMar>
        <w:tblLook w:val="01E0"/>
      </w:tblPr>
      <w:tblGrid>
        <w:gridCol w:w="1179"/>
        <w:gridCol w:w="1262"/>
        <w:gridCol w:w="993"/>
        <w:gridCol w:w="236"/>
        <w:gridCol w:w="1076"/>
        <w:gridCol w:w="733"/>
        <w:gridCol w:w="241"/>
        <w:gridCol w:w="80"/>
        <w:gridCol w:w="893"/>
        <w:gridCol w:w="812"/>
        <w:gridCol w:w="239"/>
        <w:gridCol w:w="1074"/>
        <w:gridCol w:w="735"/>
      </w:tblGrid>
      <w:tr>
        <w:trPr>
          <w:trHeight w:val="646" w:hRule="exact"/>
        </w:trPr>
        <w:tc>
          <w:tcPr>
            <w:tcW w:w="2440"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1560"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993" w:type="dxa"/>
            <w:tcBorders>
              <w:top w:val="single" w:sz="12" w:space="0" w:color="000000"/>
              <w:left w:val="nil" w:sz="6" w:space="0" w:color="auto"/>
              <w:bottom w:val="nil" w:sz="6" w:space="0" w:color="auto"/>
              <w:right w:val="nil" w:sz="6" w:space="0" w:color="auto"/>
            </w:tcBorders>
          </w:tcPr>
          <w:p>
            <w:pPr>
              <w:pStyle w:val="TableParagraph"/>
              <w:spacing w:line="230" w:lineRule="exact"/>
              <w:ind w:left="246"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236" w:type="dxa"/>
            <w:tcBorders>
              <w:top w:val="nil" w:sz="6" w:space="0" w:color="auto"/>
              <w:left w:val="nil" w:sz="6" w:space="0" w:color="auto"/>
              <w:bottom w:val="nil" w:sz="6" w:space="0" w:color="auto"/>
              <w:right w:val="nil" w:sz="6" w:space="0" w:color="auto"/>
            </w:tcBorders>
          </w:tcPr>
          <w:p>
            <w:pPr/>
          </w:p>
        </w:tc>
        <w:tc>
          <w:tcPr>
            <w:tcW w:w="1076" w:type="dxa"/>
            <w:tcBorders>
              <w:top w:val="single" w:sz="12" w:space="0" w:color="000000"/>
              <w:left w:val="nil" w:sz="6" w:space="0" w:color="auto"/>
              <w:bottom w:val="nil" w:sz="6" w:space="0" w:color="auto"/>
              <w:right w:val="nil" w:sz="6" w:space="0" w:color="auto"/>
            </w:tcBorders>
          </w:tcPr>
          <w:p>
            <w:pPr>
              <w:pStyle w:val="TableParagraph"/>
              <w:spacing w:line="230" w:lineRule="exact"/>
              <w:ind w:left="349"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33" w:type="dxa"/>
            <w:tcBorders>
              <w:top w:val="single" w:sz="12" w:space="0" w:color="000000"/>
              <w:left w:val="nil" w:sz="6" w:space="0" w:color="auto"/>
              <w:bottom w:val="nil" w:sz="6" w:space="0" w:color="auto"/>
              <w:right w:val="nil" w:sz="6" w:space="0" w:color="auto"/>
            </w:tcBorders>
          </w:tcPr>
          <w:p>
            <w:pPr>
              <w:pStyle w:val="TableParagraph"/>
              <w:spacing w:line="229" w:lineRule="exact"/>
              <w:ind w:left="177" w:right="0" w:firstLine="1"/>
              <w:jc w:val="left"/>
              <w:rPr>
                <w:rFonts w:ascii="宋体" w:hAnsi="宋体" w:cs="宋体" w:eastAsia="宋体" w:hint="default"/>
                <w:sz w:val="20"/>
                <w:szCs w:val="20"/>
              </w:rPr>
            </w:pPr>
            <w:r>
              <w:rPr>
                <w:rFonts w:ascii="宋体" w:hAnsi="宋体" w:cs="宋体" w:eastAsia="宋体" w:hint="default"/>
                <w:sz w:val="20"/>
                <w:szCs w:val="20"/>
              </w:rPr>
              <w:t>计提</w:t>
            </w:r>
          </w:p>
          <w:p>
            <w:pPr>
              <w:pStyle w:val="TableParagraph"/>
              <w:spacing w:line="261" w:lineRule="exact"/>
              <w:ind w:left="177"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241" w:type="dxa"/>
            <w:tcBorders>
              <w:top w:val="nil" w:sz="6" w:space="0" w:color="auto"/>
              <w:left w:val="nil" w:sz="6" w:space="0" w:color="auto"/>
              <w:bottom w:val="nil" w:sz="6" w:space="0" w:color="auto"/>
              <w:right w:val="nil" w:sz="6" w:space="0" w:color="auto"/>
            </w:tcBorders>
          </w:tcPr>
          <w:p>
            <w:pPr/>
          </w:p>
        </w:tc>
        <w:tc>
          <w:tcPr>
            <w:tcW w:w="974" w:type="dxa"/>
            <w:gridSpan w:val="2"/>
            <w:tcBorders>
              <w:top w:val="single" w:sz="12" w:space="0" w:color="000000"/>
              <w:left w:val="nil" w:sz="6" w:space="0" w:color="auto"/>
              <w:bottom w:val="nil" w:sz="6" w:space="0" w:color="auto"/>
              <w:right w:val="nil" w:sz="6" w:space="0" w:color="auto"/>
            </w:tcBorders>
          </w:tcPr>
          <w:p>
            <w:pPr>
              <w:pStyle w:val="TableParagraph"/>
              <w:spacing w:line="230" w:lineRule="exact"/>
              <w:ind w:left="32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812" w:type="dxa"/>
            <w:tcBorders>
              <w:top w:val="single" w:sz="12" w:space="0" w:color="000000"/>
              <w:left w:val="nil" w:sz="6" w:space="0" w:color="auto"/>
              <w:bottom w:val="nil" w:sz="6" w:space="0" w:color="auto"/>
              <w:right w:val="nil" w:sz="6" w:space="0" w:color="auto"/>
            </w:tcBorders>
          </w:tcPr>
          <w:p>
            <w:pPr>
              <w:pStyle w:val="TableParagraph"/>
              <w:spacing w:line="230" w:lineRule="exact"/>
              <w:ind w:left="240"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239" w:type="dxa"/>
            <w:tcBorders>
              <w:top w:val="nil" w:sz="6" w:space="0" w:color="auto"/>
              <w:left w:val="nil" w:sz="6" w:space="0" w:color="auto"/>
              <w:bottom w:val="nil" w:sz="6" w:space="0" w:color="auto"/>
              <w:right w:val="nil" w:sz="6" w:space="0" w:color="auto"/>
            </w:tcBorders>
          </w:tcPr>
          <w:p>
            <w:pPr/>
          </w:p>
        </w:tc>
        <w:tc>
          <w:tcPr>
            <w:tcW w:w="1074" w:type="dxa"/>
            <w:tcBorders>
              <w:top w:val="single" w:sz="12" w:space="0" w:color="000000"/>
              <w:left w:val="nil" w:sz="6" w:space="0" w:color="auto"/>
              <w:bottom w:val="nil" w:sz="6" w:space="0" w:color="auto"/>
              <w:right w:val="nil" w:sz="6" w:space="0" w:color="auto"/>
            </w:tcBorders>
          </w:tcPr>
          <w:p>
            <w:pPr>
              <w:pStyle w:val="TableParagraph"/>
              <w:spacing w:line="230" w:lineRule="exact"/>
              <w:ind w:left="333"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35" w:type="dxa"/>
            <w:tcBorders>
              <w:top w:val="single" w:sz="12" w:space="0" w:color="000000"/>
              <w:left w:val="nil" w:sz="6" w:space="0" w:color="auto"/>
              <w:bottom w:val="nil" w:sz="6" w:space="0" w:color="auto"/>
              <w:right w:val="nil" w:sz="6" w:space="0" w:color="auto"/>
            </w:tcBorders>
          </w:tcPr>
          <w:p>
            <w:pPr>
              <w:pStyle w:val="TableParagraph"/>
              <w:spacing w:line="229" w:lineRule="exact"/>
              <w:ind w:left="149" w:right="0" w:firstLine="1"/>
              <w:jc w:val="left"/>
              <w:rPr>
                <w:rFonts w:ascii="宋体" w:hAnsi="宋体" w:cs="宋体" w:eastAsia="宋体" w:hint="default"/>
                <w:sz w:val="20"/>
                <w:szCs w:val="20"/>
              </w:rPr>
            </w:pPr>
            <w:r>
              <w:rPr>
                <w:rFonts w:ascii="宋体" w:hAnsi="宋体" w:cs="宋体" w:eastAsia="宋体" w:hint="default"/>
                <w:sz w:val="20"/>
                <w:szCs w:val="20"/>
              </w:rPr>
              <w:t>计提</w:t>
            </w:r>
          </w:p>
          <w:p>
            <w:pPr>
              <w:pStyle w:val="TableParagraph"/>
              <w:spacing w:line="261" w:lineRule="exact"/>
              <w:ind w:left="149"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375"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0"/>
                <w:szCs w:val="20"/>
              </w:rPr>
            </w:pPr>
            <w:r>
              <w:rPr>
                <w:rFonts w:ascii="宋体" w:hAnsi="宋体" w:cs="宋体" w:eastAsia="宋体" w:hint="default"/>
                <w:sz w:val="20"/>
                <w:szCs w:val="20"/>
              </w:rPr>
              <w:t>一年以内</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1"/>
              <w:jc w:val="right"/>
              <w:rPr>
                <w:rFonts w:ascii="Arial" w:hAnsi="Arial" w:cs="Arial" w:eastAsia="Arial" w:hint="default"/>
                <w:sz w:val="20"/>
                <w:szCs w:val="20"/>
              </w:rPr>
            </w:pPr>
            <w:r>
              <w:rPr>
                <w:rFonts w:ascii="Arial"/>
                <w:spacing w:val="-1"/>
                <w:sz w:val="20"/>
              </w:rPr>
              <w:t>235,395</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Arial" w:hAnsi="Arial" w:cs="Arial" w:eastAsia="Arial" w:hint="default"/>
                <w:sz w:val="20"/>
                <w:szCs w:val="20"/>
              </w:rPr>
            </w:pPr>
            <w:r>
              <w:rPr>
                <w:rFonts w:ascii="Arial"/>
                <w:sz w:val="20"/>
              </w:rPr>
              <w:t>79.5%</w:t>
            </w:r>
          </w:p>
        </w:tc>
        <w:tc>
          <w:tcPr>
            <w:tcW w:w="236"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0"/>
              <w:jc w:val="right"/>
              <w:rPr>
                <w:rFonts w:ascii="Arial" w:hAnsi="Arial" w:cs="Arial" w:eastAsia="Arial" w:hint="default"/>
                <w:sz w:val="20"/>
                <w:szCs w:val="20"/>
              </w:rPr>
            </w:pPr>
            <w:r>
              <w:rPr>
                <w:rFonts w:ascii="Arial"/>
                <w:spacing w:val="-3"/>
                <w:sz w:val="20"/>
              </w:rPr>
              <w:t>(11,678)</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25"/>
              <w:jc w:val="right"/>
              <w:rPr>
                <w:rFonts w:ascii="Arial" w:hAnsi="Arial" w:cs="Arial" w:eastAsia="Arial" w:hint="default"/>
                <w:sz w:val="20"/>
                <w:szCs w:val="20"/>
              </w:rPr>
            </w:pPr>
            <w:r>
              <w:rPr>
                <w:rFonts w:ascii="Arial"/>
                <w:sz w:val="20"/>
              </w:rPr>
              <w:t>5%</w:t>
            </w:r>
          </w:p>
        </w:tc>
        <w:tc>
          <w:tcPr>
            <w:tcW w:w="322" w:type="dxa"/>
            <w:gridSpan w:val="2"/>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0"/>
              <w:jc w:val="right"/>
              <w:rPr>
                <w:rFonts w:ascii="Arial" w:hAnsi="Arial" w:cs="Arial" w:eastAsia="Arial" w:hint="default"/>
                <w:sz w:val="20"/>
                <w:szCs w:val="20"/>
              </w:rPr>
            </w:pPr>
            <w:r>
              <w:rPr>
                <w:rFonts w:ascii="Arial"/>
                <w:spacing w:val="-1"/>
                <w:sz w:val="20"/>
              </w:rPr>
              <w:t>134,937</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5"/>
              <w:jc w:val="right"/>
              <w:rPr>
                <w:rFonts w:ascii="Arial" w:hAnsi="Arial" w:cs="Arial" w:eastAsia="Arial" w:hint="default"/>
                <w:sz w:val="20"/>
                <w:szCs w:val="20"/>
              </w:rPr>
            </w:pPr>
            <w:r>
              <w:rPr>
                <w:rFonts w:ascii="Arial"/>
                <w:sz w:val="20"/>
              </w:rPr>
              <w:t>61.5%</w:t>
            </w:r>
          </w:p>
        </w:tc>
        <w:tc>
          <w:tcPr>
            <w:tcW w:w="239"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20"/>
              <w:jc w:val="right"/>
              <w:rPr>
                <w:rFonts w:ascii="Arial" w:hAnsi="Arial" w:cs="Arial" w:eastAsia="Arial" w:hint="default"/>
                <w:sz w:val="20"/>
                <w:szCs w:val="20"/>
              </w:rPr>
            </w:pPr>
            <w:r>
              <w:rPr>
                <w:rFonts w:ascii="Arial"/>
                <w:spacing w:val="-1"/>
                <w:sz w:val="20"/>
              </w:rPr>
              <w:t>(7,188)</w:t>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8"/>
              <w:jc w:val="right"/>
              <w:rPr>
                <w:rFonts w:ascii="Arial" w:hAnsi="Arial" w:cs="Arial" w:eastAsia="Arial" w:hint="default"/>
                <w:sz w:val="20"/>
                <w:szCs w:val="20"/>
              </w:rPr>
            </w:pPr>
            <w:r>
              <w:rPr>
                <w:rFonts w:ascii="Arial"/>
                <w:sz w:val="20"/>
              </w:rPr>
              <w:t>5%</w:t>
            </w:r>
          </w:p>
        </w:tc>
      </w:tr>
      <w:tr>
        <w:trPr>
          <w:trHeight w:val="260"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0"/>
                <w:szCs w:val="20"/>
              </w:rPr>
            </w:pPr>
            <w:r>
              <w:rPr>
                <w:rFonts w:ascii="宋体" w:hAnsi="宋体" w:cs="宋体" w:eastAsia="宋体" w:hint="default"/>
                <w:sz w:val="20"/>
                <w:szCs w:val="20"/>
              </w:rPr>
              <w:t>一到二年</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11"/>
              <w:jc w:val="right"/>
              <w:rPr>
                <w:rFonts w:ascii="Arial" w:hAnsi="Arial" w:cs="Arial" w:eastAsia="Arial" w:hint="default"/>
                <w:sz w:val="20"/>
                <w:szCs w:val="20"/>
              </w:rPr>
            </w:pPr>
            <w:r>
              <w:rPr>
                <w:rFonts w:ascii="Arial"/>
                <w:sz w:val="20"/>
              </w:rPr>
              <w:t>46,589</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8"/>
              <w:jc w:val="right"/>
              <w:rPr>
                <w:rFonts w:ascii="Arial" w:hAnsi="Arial" w:cs="Arial" w:eastAsia="Arial" w:hint="default"/>
                <w:sz w:val="20"/>
                <w:szCs w:val="20"/>
              </w:rPr>
            </w:pPr>
            <w:r>
              <w:rPr>
                <w:rFonts w:ascii="Arial"/>
                <w:sz w:val="20"/>
              </w:rPr>
              <w:t>15.7%</w:t>
            </w:r>
          </w:p>
        </w:tc>
        <w:tc>
          <w:tcPr>
            <w:tcW w:w="236"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1"/>
              <w:jc w:val="right"/>
              <w:rPr>
                <w:rFonts w:ascii="Arial" w:hAnsi="Arial" w:cs="Arial" w:eastAsia="Arial" w:hint="default"/>
                <w:sz w:val="20"/>
                <w:szCs w:val="20"/>
              </w:rPr>
            </w:pPr>
            <w:r>
              <w:rPr>
                <w:rFonts w:ascii="Arial"/>
                <w:spacing w:val="-1"/>
                <w:sz w:val="20"/>
              </w:rPr>
              <w:t>(4,659)</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25"/>
              <w:jc w:val="right"/>
              <w:rPr>
                <w:rFonts w:ascii="Arial" w:hAnsi="Arial" w:cs="Arial" w:eastAsia="Arial" w:hint="default"/>
                <w:sz w:val="20"/>
                <w:szCs w:val="20"/>
              </w:rPr>
            </w:pPr>
            <w:r>
              <w:rPr>
                <w:rFonts w:ascii="Arial"/>
                <w:sz w:val="20"/>
              </w:rPr>
              <w:t>10%</w:t>
            </w:r>
          </w:p>
        </w:tc>
        <w:tc>
          <w:tcPr>
            <w:tcW w:w="322" w:type="dxa"/>
            <w:gridSpan w:val="2"/>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0"/>
              <w:jc w:val="right"/>
              <w:rPr>
                <w:rFonts w:ascii="Arial" w:hAnsi="Arial" w:cs="Arial" w:eastAsia="Arial" w:hint="default"/>
                <w:sz w:val="20"/>
                <w:szCs w:val="20"/>
              </w:rPr>
            </w:pPr>
            <w:r>
              <w:rPr>
                <w:rFonts w:ascii="Arial"/>
                <w:sz w:val="20"/>
              </w:rPr>
              <w:t>65,515</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9"/>
              <w:jc w:val="right"/>
              <w:rPr>
                <w:rFonts w:ascii="Arial" w:hAnsi="Arial" w:cs="Arial" w:eastAsia="Arial" w:hint="default"/>
                <w:sz w:val="20"/>
                <w:szCs w:val="20"/>
              </w:rPr>
            </w:pPr>
            <w:r>
              <w:rPr>
                <w:rFonts w:ascii="Arial"/>
                <w:sz w:val="20"/>
              </w:rPr>
              <w:t>29.9%</w:t>
            </w:r>
          </w:p>
        </w:tc>
        <w:tc>
          <w:tcPr>
            <w:tcW w:w="239"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20"/>
              <w:jc w:val="right"/>
              <w:rPr>
                <w:rFonts w:ascii="Arial" w:hAnsi="Arial" w:cs="Arial" w:eastAsia="Arial" w:hint="default"/>
                <w:sz w:val="20"/>
                <w:szCs w:val="20"/>
              </w:rPr>
            </w:pPr>
            <w:r>
              <w:rPr>
                <w:rFonts w:ascii="Arial"/>
                <w:spacing w:val="-1"/>
                <w:sz w:val="20"/>
              </w:rPr>
              <w:t>(6,551)</w:t>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9"/>
              <w:jc w:val="right"/>
              <w:rPr>
                <w:rFonts w:ascii="Arial" w:hAnsi="Arial" w:cs="Arial" w:eastAsia="Arial" w:hint="default"/>
                <w:sz w:val="20"/>
                <w:szCs w:val="20"/>
              </w:rPr>
            </w:pPr>
            <w:r>
              <w:rPr>
                <w:rFonts w:ascii="Arial"/>
                <w:sz w:val="20"/>
              </w:rPr>
              <w:t>10%</w:t>
            </w:r>
          </w:p>
        </w:tc>
      </w:tr>
      <w:tr>
        <w:trPr>
          <w:trHeight w:val="260"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20"/>
                <w:szCs w:val="20"/>
              </w:rPr>
            </w:pPr>
            <w:r>
              <w:rPr>
                <w:rFonts w:ascii="宋体" w:hAnsi="宋体" w:cs="宋体" w:eastAsia="宋体" w:hint="default"/>
                <w:sz w:val="20"/>
                <w:szCs w:val="20"/>
              </w:rPr>
              <w:t>二到三年</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ind w:right="211"/>
              <w:jc w:val="right"/>
              <w:rPr>
                <w:rFonts w:ascii="Arial" w:hAnsi="Arial" w:cs="Arial" w:eastAsia="Arial" w:hint="default"/>
                <w:sz w:val="20"/>
                <w:szCs w:val="20"/>
              </w:rPr>
            </w:pPr>
            <w:r>
              <w:rPr>
                <w:rFonts w:ascii="Arial"/>
                <w:sz w:val="20"/>
              </w:rPr>
              <w:t>8,298</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ind w:right="97"/>
              <w:jc w:val="right"/>
              <w:rPr>
                <w:rFonts w:ascii="Arial" w:hAnsi="Arial" w:cs="Arial" w:eastAsia="Arial" w:hint="default"/>
                <w:sz w:val="20"/>
                <w:szCs w:val="20"/>
              </w:rPr>
            </w:pPr>
            <w:r>
              <w:rPr>
                <w:rFonts w:ascii="Arial"/>
                <w:sz w:val="20"/>
              </w:rPr>
              <w:t>2.8%</w:t>
            </w:r>
          </w:p>
        </w:tc>
        <w:tc>
          <w:tcPr>
            <w:tcW w:w="236"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ind w:right="90"/>
              <w:jc w:val="right"/>
              <w:rPr>
                <w:rFonts w:ascii="Arial" w:hAnsi="Arial" w:cs="Arial" w:eastAsia="Arial" w:hint="default"/>
                <w:sz w:val="20"/>
                <w:szCs w:val="20"/>
              </w:rPr>
            </w:pPr>
            <w:r>
              <w:rPr>
                <w:rFonts w:ascii="Arial"/>
                <w:spacing w:val="-1"/>
                <w:sz w:val="20"/>
              </w:rPr>
              <w:t>(1,660)</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ind w:right="124"/>
              <w:jc w:val="right"/>
              <w:rPr>
                <w:rFonts w:ascii="Arial" w:hAnsi="Arial" w:cs="Arial" w:eastAsia="Arial" w:hint="default"/>
                <w:sz w:val="20"/>
                <w:szCs w:val="20"/>
              </w:rPr>
            </w:pPr>
            <w:r>
              <w:rPr>
                <w:rFonts w:ascii="Arial"/>
                <w:sz w:val="20"/>
              </w:rPr>
              <w:t>20%</w:t>
            </w:r>
          </w:p>
        </w:tc>
        <w:tc>
          <w:tcPr>
            <w:tcW w:w="322" w:type="dxa"/>
            <w:gridSpan w:val="2"/>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ind w:right="30"/>
              <w:jc w:val="right"/>
              <w:rPr>
                <w:rFonts w:ascii="Arial" w:hAnsi="Arial" w:cs="Arial" w:eastAsia="Arial" w:hint="default"/>
                <w:sz w:val="20"/>
                <w:szCs w:val="20"/>
              </w:rPr>
            </w:pPr>
            <w:r>
              <w:rPr>
                <w:rFonts w:ascii="Arial"/>
                <w:sz w:val="20"/>
              </w:rPr>
              <w:t>13,455</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ind w:right="98"/>
              <w:jc w:val="right"/>
              <w:rPr>
                <w:rFonts w:ascii="Arial" w:hAnsi="Arial" w:cs="Arial" w:eastAsia="Arial" w:hint="default"/>
                <w:sz w:val="20"/>
                <w:szCs w:val="20"/>
              </w:rPr>
            </w:pPr>
            <w:r>
              <w:rPr>
                <w:rFonts w:ascii="Arial"/>
                <w:sz w:val="20"/>
              </w:rPr>
              <w:t>6.1%</w:t>
            </w:r>
          </w:p>
        </w:tc>
        <w:tc>
          <w:tcPr>
            <w:tcW w:w="239"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ind w:right="119"/>
              <w:jc w:val="right"/>
              <w:rPr>
                <w:rFonts w:ascii="Arial" w:hAnsi="Arial" w:cs="Arial" w:eastAsia="Arial" w:hint="default"/>
                <w:sz w:val="20"/>
                <w:szCs w:val="20"/>
              </w:rPr>
            </w:pPr>
            <w:r>
              <w:rPr>
                <w:rFonts w:ascii="Arial"/>
                <w:spacing w:val="-1"/>
                <w:sz w:val="20"/>
              </w:rPr>
              <w:t>(2,691)</w:t>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ind w:right="98"/>
              <w:jc w:val="right"/>
              <w:rPr>
                <w:rFonts w:ascii="Arial" w:hAnsi="Arial" w:cs="Arial" w:eastAsia="Arial" w:hint="default"/>
                <w:sz w:val="20"/>
                <w:szCs w:val="20"/>
              </w:rPr>
            </w:pPr>
            <w:r>
              <w:rPr>
                <w:rFonts w:ascii="Arial"/>
                <w:sz w:val="20"/>
              </w:rPr>
              <w:t>20%</w:t>
            </w:r>
          </w:p>
        </w:tc>
      </w:tr>
      <w:tr>
        <w:trPr>
          <w:trHeight w:val="260"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0"/>
                <w:szCs w:val="20"/>
              </w:rPr>
            </w:pPr>
            <w:r>
              <w:rPr>
                <w:rFonts w:ascii="宋体" w:hAnsi="宋体" w:cs="宋体" w:eastAsia="宋体" w:hint="default"/>
                <w:sz w:val="20"/>
                <w:szCs w:val="20"/>
              </w:rPr>
              <w:t>三到四年</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11"/>
              <w:jc w:val="right"/>
              <w:rPr>
                <w:rFonts w:ascii="Arial" w:hAnsi="Arial" w:cs="Arial" w:eastAsia="Arial" w:hint="default"/>
                <w:sz w:val="20"/>
                <w:szCs w:val="20"/>
              </w:rPr>
            </w:pPr>
            <w:r>
              <w:rPr>
                <w:rFonts w:ascii="Arial"/>
                <w:spacing w:val="-1"/>
                <w:sz w:val="20"/>
              </w:rPr>
              <w:t>4,606</w:t>
            </w:r>
            <w:r>
              <w:rPr>
                <w:rFonts w:ascii="Arial"/>
                <w:sz w:val="20"/>
              </w:rPr>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8"/>
              <w:jc w:val="right"/>
              <w:rPr>
                <w:rFonts w:ascii="Arial" w:hAnsi="Arial" w:cs="Arial" w:eastAsia="Arial" w:hint="default"/>
                <w:sz w:val="20"/>
                <w:szCs w:val="20"/>
              </w:rPr>
            </w:pPr>
            <w:r>
              <w:rPr>
                <w:rFonts w:ascii="Arial"/>
                <w:spacing w:val="-1"/>
                <w:sz w:val="20"/>
              </w:rPr>
              <w:t>1.6%</w:t>
            </w:r>
            <w:r>
              <w:rPr>
                <w:rFonts w:ascii="Arial"/>
                <w:sz w:val="20"/>
              </w:rPr>
            </w:r>
          </w:p>
        </w:tc>
        <w:tc>
          <w:tcPr>
            <w:tcW w:w="236"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0"/>
              <w:jc w:val="right"/>
              <w:rPr>
                <w:rFonts w:ascii="Arial" w:hAnsi="Arial" w:cs="Arial" w:eastAsia="Arial" w:hint="default"/>
                <w:sz w:val="20"/>
                <w:szCs w:val="20"/>
              </w:rPr>
            </w:pPr>
            <w:r>
              <w:rPr>
                <w:rFonts w:ascii="Arial"/>
                <w:spacing w:val="-1"/>
                <w:sz w:val="20"/>
              </w:rPr>
              <w:t>(1,382)</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25"/>
              <w:jc w:val="right"/>
              <w:rPr>
                <w:rFonts w:ascii="Arial" w:hAnsi="Arial" w:cs="Arial" w:eastAsia="Arial" w:hint="default"/>
                <w:sz w:val="20"/>
                <w:szCs w:val="20"/>
              </w:rPr>
            </w:pPr>
            <w:r>
              <w:rPr>
                <w:rFonts w:ascii="Arial"/>
                <w:spacing w:val="-1"/>
                <w:sz w:val="20"/>
              </w:rPr>
              <w:t>30%</w:t>
            </w:r>
            <w:r>
              <w:rPr>
                <w:rFonts w:ascii="Arial"/>
                <w:sz w:val="20"/>
              </w:rPr>
            </w:r>
          </w:p>
        </w:tc>
        <w:tc>
          <w:tcPr>
            <w:tcW w:w="322" w:type="dxa"/>
            <w:gridSpan w:val="2"/>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9"/>
              <w:jc w:val="right"/>
              <w:rPr>
                <w:rFonts w:ascii="Arial" w:hAnsi="Arial" w:cs="Arial" w:eastAsia="Arial" w:hint="default"/>
                <w:sz w:val="20"/>
                <w:szCs w:val="20"/>
              </w:rPr>
            </w:pPr>
            <w:r>
              <w:rPr>
                <w:rFonts w:ascii="Arial"/>
                <w:spacing w:val="-1"/>
                <w:sz w:val="20"/>
              </w:rPr>
              <w:t>2,127</w:t>
            </w:r>
            <w:r>
              <w:rPr>
                <w:rFonts w:ascii="Arial"/>
                <w:sz w:val="20"/>
              </w:rPr>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8"/>
              <w:jc w:val="right"/>
              <w:rPr>
                <w:rFonts w:ascii="Arial" w:hAnsi="Arial" w:cs="Arial" w:eastAsia="Arial" w:hint="default"/>
                <w:sz w:val="20"/>
                <w:szCs w:val="20"/>
              </w:rPr>
            </w:pPr>
            <w:r>
              <w:rPr>
                <w:rFonts w:ascii="Arial"/>
                <w:spacing w:val="-1"/>
                <w:sz w:val="20"/>
              </w:rPr>
              <w:t>1.0%</w:t>
            </w:r>
            <w:r>
              <w:rPr>
                <w:rFonts w:ascii="Arial"/>
                <w:sz w:val="20"/>
              </w:rPr>
            </w:r>
          </w:p>
        </w:tc>
        <w:tc>
          <w:tcPr>
            <w:tcW w:w="239"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20"/>
              <w:jc w:val="right"/>
              <w:rPr>
                <w:rFonts w:ascii="Arial" w:hAnsi="Arial" w:cs="Arial" w:eastAsia="Arial" w:hint="default"/>
                <w:sz w:val="20"/>
                <w:szCs w:val="20"/>
              </w:rPr>
            </w:pPr>
            <w:r>
              <w:rPr>
                <w:rFonts w:ascii="Arial"/>
                <w:spacing w:val="-1"/>
                <w:sz w:val="20"/>
              </w:rPr>
              <w:t>(638)</w:t>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0"/>
              <w:jc w:val="right"/>
              <w:rPr>
                <w:rFonts w:ascii="Arial" w:hAnsi="Arial" w:cs="Arial" w:eastAsia="Arial" w:hint="default"/>
                <w:sz w:val="20"/>
                <w:szCs w:val="20"/>
              </w:rPr>
            </w:pPr>
            <w:r>
              <w:rPr>
                <w:rFonts w:ascii="Arial"/>
                <w:spacing w:val="-1"/>
                <w:sz w:val="20"/>
              </w:rPr>
              <w:t>30%</w:t>
            </w:r>
            <w:r>
              <w:rPr>
                <w:rFonts w:ascii="Arial"/>
                <w:sz w:val="20"/>
              </w:rPr>
            </w:r>
          </w:p>
        </w:tc>
      </w:tr>
      <w:tr>
        <w:trPr>
          <w:trHeight w:val="260"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0"/>
                <w:szCs w:val="20"/>
              </w:rPr>
            </w:pPr>
            <w:r>
              <w:rPr>
                <w:rFonts w:ascii="宋体" w:hAnsi="宋体" w:cs="宋体" w:eastAsia="宋体" w:hint="default"/>
                <w:sz w:val="20"/>
                <w:szCs w:val="20"/>
              </w:rPr>
              <w:t>四到五年</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11"/>
              <w:jc w:val="right"/>
              <w:rPr>
                <w:rFonts w:ascii="Arial" w:hAnsi="Arial" w:cs="Arial" w:eastAsia="Arial" w:hint="default"/>
                <w:sz w:val="20"/>
                <w:szCs w:val="20"/>
              </w:rPr>
            </w:pPr>
            <w:r>
              <w:rPr>
                <w:rFonts w:ascii="Arial"/>
                <w:sz w:val="20"/>
              </w:rPr>
              <w:t>571</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8"/>
              <w:jc w:val="right"/>
              <w:rPr>
                <w:rFonts w:ascii="Arial" w:hAnsi="Arial" w:cs="Arial" w:eastAsia="Arial" w:hint="default"/>
                <w:sz w:val="20"/>
                <w:szCs w:val="20"/>
              </w:rPr>
            </w:pPr>
            <w:r>
              <w:rPr>
                <w:rFonts w:ascii="Arial"/>
                <w:sz w:val="20"/>
              </w:rPr>
              <w:t>0.2%</w:t>
            </w:r>
          </w:p>
        </w:tc>
        <w:tc>
          <w:tcPr>
            <w:tcW w:w="236"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0"/>
              <w:jc w:val="right"/>
              <w:rPr>
                <w:rFonts w:ascii="Arial" w:hAnsi="Arial" w:cs="Arial" w:eastAsia="Arial" w:hint="default"/>
                <w:sz w:val="20"/>
                <w:szCs w:val="20"/>
              </w:rPr>
            </w:pPr>
            <w:r>
              <w:rPr>
                <w:rFonts w:ascii="Arial"/>
                <w:spacing w:val="-1"/>
                <w:sz w:val="20"/>
              </w:rPr>
              <w:t>(343)</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26"/>
              <w:jc w:val="right"/>
              <w:rPr>
                <w:rFonts w:ascii="Arial" w:hAnsi="Arial" w:cs="Arial" w:eastAsia="Arial" w:hint="default"/>
                <w:sz w:val="20"/>
                <w:szCs w:val="20"/>
              </w:rPr>
            </w:pPr>
            <w:r>
              <w:rPr>
                <w:rFonts w:ascii="Arial"/>
                <w:sz w:val="20"/>
              </w:rPr>
              <w:t>60%</w:t>
            </w:r>
          </w:p>
        </w:tc>
        <w:tc>
          <w:tcPr>
            <w:tcW w:w="322" w:type="dxa"/>
            <w:gridSpan w:val="2"/>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0"/>
              <w:jc w:val="right"/>
              <w:rPr>
                <w:rFonts w:ascii="Arial" w:hAnsi="Arial" w:cs="Arial" w:eastAsia="Arial" w:hint="default"/>
                <w:sz w:val="20"/>
                <w:szCs w:val="20"/>
              </w:rPr>
            </w:pPr>
            <w:r>
              <w:rPr>
                <w:rFonts w:ascii="Arial"/>
                <w:sz w:val="20"/>
              </w:rPr>
              <w:t>1,148</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8"/>
              <w:jc w:val="right"/>
              <w:rPr>
                <w:rFonts w:ascii="Arial" w:hAnsi="Arial" w:cs="Arial" w:eastAsia="Arial" w:hint="default"/>
                <w:sz w:val="20"/>
                <w:szCs w:val="20"/>
              </w:rPr>
            </w:pPr>
            <w:r>
              <w:rPr>
                <w:rFonts w:ascii="Arial"/>
                <w:sz w:val="20"/>
              </w:rPr>
              <w:t>0.6%</w:t>
            </w:r>
          </w:p>
        </w:tc>
        <w:tc>
          <w:tcPr>
            <w:tcW w:w="239"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20"/>
              <w:jc w:val="right"/>
              <w:rPr>
                <w:rFonts w:ascii="Arial" w:hAnsi="Arial" w:cs="Arial" w:eastAsia="Arial" w:hint="default"/>
                <w:sz w:val="20"/>
                <w:szCs w:val="20"/>
              </w:rPr>
            </w:pPr>
            <w:r>
              <w:rPr>
                <w:rFonts w:ascii="Arial"/>
                <w:spacing w:val="-1"/>
                <w:sz w:val="20"/>
              </w:rPr>
              <w:t>(689)</w:t>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8"/>
              <w:jc w:val="right"/>
              <w:rPr>
                <w:rFonts w:ascii="Arial" w:hAnsi="Arial" w:cs="Arial" w:eastAsia="Arial" w:hint="default"/>
                <w:sz w:val="20"/>
                <w:szCs w:val="20"/>
              </w:rPr>
            </w:pPr>
            <w:r>
              <w:rPr>
                <w:rFonts w:ascii="Arial"/>
                <w:sz w:val="20"/>
              </w:rPr>
              <w:t>60%</w:t>
            </w:r>
          </w:p>
        </w:tc>
      </w:tr>
      <w:tr>
        <w:trPr>
          <w:trHeight w:val="269"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20"/>
                <w:szCs w:val="20"/>
              </w:rPr>
            </w:pPr>
            <w:r>
              <w:rPr>
                <w:rFonts w:ascii="宋体" w:hAnsi="宋体" w:cs="宋体" w:eastAsia="宋体" w:hint="default"/>
                <w:sz w:val="20"/>
                <w:szCs w:val="20"/>
              </w:rPr>
              <w:t>五年以上</w:t>
            </w: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ind w:right="211"/>
              <w:jc w:val="right"/>
              <w:rPr>
                <w:rFonts w:ascii="Arial" w:hAnsi="Arial" w:cs="Arial" w:eastAsia="Arial" w:hint="default"/>
                <w:sz w:val="20"/>
                <w:szCs w:val="20"/>
              </w:rPr>
            </w:pPr>
            <w:r>
              <w:rPr>
                <w:rFonts w:ascii="Arial"/>
                <w:sz w:val="20"/>
              </w:rPr>
              <w:t>584</w:t>
            </w:r>
          </w:p>
        </w:tc>
        <w:tc>
          <w:tcPr>
            <w:tcW w:w="993" w:type="dxa"/>
            <w:tcBorders>
              <w:top w:val="nil" w:sz="6" w:space="0" w:color="auto"/>
              <w:left w:val="nil" w:sz="6" w:space="0" w:color="auto"/>
              <w:bottom w:val="single" w:sz="4" w:space="0" w:color="000000"/>
              <w:right w:val="nil" w:sz="6" w:space="0" w:color="auto"/>
            </w:tcBorders>
          </w:tcPr>
          <w:p>
            <w:pPr>
              <w:pStyle w:val="TableParagraph"/>
              <w:spacing w:line="240" w:lineRule="auto"/>
              <w:ind w:right="98"/>
              <w:jc w:val="right"/>
              <w:rPr>
                <w:rFonts w:ascii="Arial" w:hAnsi="Arial" w:cs="Arial" w:eastAsia="Arial" w:hint="default"/>
                <w:sz w:val="20"/>
                <w:szCs w:val="20"/>
              </w:rPr>
            </w:pPr>
            <w:r>
              <w:rPr>
                <w:rFonts w:ascii="Arial"/>
                <w:sz w:val="20"/>
              </w:rPr>
              <w:t>0.2%</w:t>
            </w:r>
          </w:p>
        </w:tc>
        <w:tc>
          <w:tcPr>
            <w:tcW w:w="236"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single" w:sz="4" w:space="0" w:color="000000"/>
              <w:right w:val="nil" w:sz="6" w:space="0" w:color="auto"/>
            </w:tcBorders>
          </w:tcPr>
          <w:p>
            <w:pPr>
              <w:pStyle w:val="TableParagraph"/>
              <w:spacing w:line="240" w:lineRule="auto"/>
              <w:ind w:right="91"/>
              <w:jc w:val="right"/>
              <w:rPr>
                <w:rFonts w:ascii="Arial" w:hAnsi="Arial" w:cs="Arial" w:eastAsia="Arial" w:hint="default"/>
                <w:sz w:val="20"/>
                <w:szCs w:val="20"/>
              </w:rPr>
            </w:pPr>
            <w:r>
              <w:rPr>
                <w:rFonts w:ascii="Arial"/>
                <w:spacing w:val="-1"/>
                <w:sz w:val="20"/>
              </w:rPr>
              <w:t>(584)</w:t>
            </w:r>
          </w:p>
        </w:tc>
        <w:tc>
          <w:tcPr>
            <w:tcW w:w="733" w:type="dxa"/>
            <w:tcBorders>
              <w:top w:val="nil" w:sz="6" w:space="0" w:color="auto"/>
              <w:left w:val="nil" w:sz="6" w:space="0" w:color="auto"/>
              <w:bottom w:val="single" w:sz="4" w:space="0" w:color="000000"/>
              <w:right w:val="nil" w:sz="6" w:space="0" w:color="auto"/>
            </w:tcBorders>
          </w:tcPr>
          <w:p>
            <w:pPr>
              <w:pStyle w:val="TableParagraph"/>
              <w:spacing w:line="240" w:lineRule="auto"/>
              <w:ind w:right="125"/>
              <w:jc w:val="right"/>
              <w:rPr>
                <w:rFonts w:ascii="Arial" w:hAnsi="Arial" w:cs="Arial" w:eastAsia="Arial" w:hint="default"/>
                <w:sz w:val="20"/>
                <w:szCs w:val="20"/>
              </w:rPr>
            </w:pPr>
            <w:r>
              <w:rPr>
                <w:rFonts w:ascii="Arial"/>
                <w:sz w:val="20"/>
              </w:rPr>
              <w:t>100%</w:t>
            </w:r>
          </w:p>
        </w:tc>
        <w:tc>
          <w:tcPr>
            <w:tcW w:w="322" w:type="dxa"/>
            <w:gridSpan w:val="2"/>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single" w:sz="4" w:space="0" w:color="000000"/>
              <w:right w:val="nil" w:sz="6" w:space="0" w:color="auto"/>
            </w:tcBorders>
          </w:tcPr>
          <w:p>
            <w:pPr>
              <w:pStyle w:val="TableParagraph"/>
              <w:spacing w:line="240" w:lineRule="auto"/>
              <w:ind w:right="30"/>
              <w:jc w:val="right"/>
              <w:rPr>
                <w:rFonts w:ascii="Arial" w:hAnsi="Arial" w:cs="Arial" w:eastAsia="Arial" w:hint="default"/>
                <w:sz w:val="20"/>
                <w:szCs w:val="20"/>
              </w:rPr>
            </w:pPr>
            <w:r>
              <w:rPr>
                <w:rFonts w:ascii="Arial"/>
                <w:spacing w:val="-3"/>
                <w:sz w:val="20"/>
              </w:rPr>
              <w:t>2,116</w:t>
            </w:r>
          </w:p>
        </w:tc>
        <w:tc>
          <w:tcPr>
            <w:tcW w:w="812" w:type="dxa"/>
            <w:tcBorders>
              <w:top w:val="nil" w:sz="6" w:space="0" w:color="auto"/>
              <w:left w:val="nil" w:sz="6" w:space="0" w:color="auto"/>
              <w:bottom w:val="single" w:sz="4" w:space="0" w:color="000000"/>
              <w:right w:val="nil" w:sz="6" w:space="0" w:color="auto"/>
            </w:tcBorders>
          </w:tcPr>
          <w:p>
            <w:pPr>
              <w:pStyle w:val="TableParagraph"/>
              <w:spacing w:line="240" w:lineRule="auto"/>
              <w:ind w:right="100"/>
              <w:jc w:val="right"/>
              <w:rPr>
                <w:rFonts w:ascii="Arial" w:hAnsi="Arial" w:cs="Arial" w:eastAsia="Arial" w:hint="default"/>
                <w:sz w:val="20"/>
                <w:szCs w:val="20"/>
              </w:rPr>
            </w:pPr>
            <w:r>
              <w:rPr>
                <w:rFonts w:ascii="Arial"/>
                <w:sz w:val="20"/>
              </w:rPr>
              <w:t>0.9%</w:t>
            </w:r>
          </w:p>
        </w:tc>
        <w:tc>
          <w:tcPr>
            <w:tcW w:w="239"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single" w:sz="4" w:space="0" w:color="000000"/>
              <w:right w:val="nil" w:sz="6" w:space="0" w:color="auto"/>
            </w:tcBorders>
          </w:tcPr>
          <w:p>
            <w:pPr>
              <w:pStyle w:val="TableParagraph"/>
              <w:spacing w:line="240" w:lineRule="auto"/>
              <w:ind w:right="120"/>
              <w:jc w:val="right"/>
              <w:rPr>
                <w:rFonts w:ascii="Arial" w:hAnsi="Arial" w:cs="Arial" w:eastAsia="Arial" w:hint="default"/>
                <w:sz w:val="20"/>
                <w:szCs w:val="20"/>
              </w:rPr>
            </w:pPr>
            <w:r>
              <w:rPr>
                <w:rFonts w:ascii="Arial"/>
                <w:spacing w:val="-3"/>
                <w:sz w:val="20"/>
              </w:rPr>
              <w:t>(2,116)</w:t>
            </w:r>
          </w:p>
        </w:tc>
        <w:tc>
          <w:tcPr>
            <w:tcW w:w="735" w:type="dxa"/>
            <w:tcBorders>
              <w:top w:val="nil" w:sz="6" w:space="0" w:color="auto"/>
              <w:left w:val="nil" w:sz="6" w:space="0" w:color="auto"/>
              <w:bottom w:val="single" w:sz="4" w:space="0" w:color="000000"/>
              <w:right w:val="nil" w:sz="6" w:space="0" w:color="auto"/>
            </w:tcBorders>
          </w:tcPr>
          <w:p>
            <w:pPr>
              <w:pStyle w:val="TableParagraph"/>
              <w:spacing w:line="240" w:lineRule="auto"/>
              <w:ind w:right="99"/>
              <w:jc w:val="right"/>
              <w:rPr>
                <w:rFonts w:ascii="Arial" w:hAnsi="Arial" w:cs="Arial" w:eastAsia="Arial" w:hint="default"/>
                <w:sz w:val="20"/>
                <w:szCs w:val="20"/>
              </w:rPr>
            </w:pPr>
            <w:r>
              <w:rPr>
                <w:rFonts w:ascii="Arial"/>
                <w:sz w:val="20"/>
              </w:rPr>
              <w:t>100%</w:t>
            </w:r>
          </w:p>
        </w:tc>
      </w:tr>
      <w:tr>
        <w:trPr>
          <w:trHeight w:val="250" w:hRule="exact"/>
        </w:trPr>
        <w:tc>
          <w:tcPr>
            <w:tcW w:w="1179"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211"/>
              <w:jc w:val="right"/>
              <w:rPr>
                <w:rFonts w:ascii="Arial" w:hAnsi="Arial" w:cs="Arial" w:eastAsia="Arial" w:hint="default"/>
                <w:sz w:val="20"/>
                <w:szCs w:val="20"/>
              </w:rPr>
            </w:pPr>
            <w:r>
              <w:rPr>
                <w:rFonts w:ascii="Arial"/>
                <w:spacing w:val="-1"/>
                <w:sz w:val="20"/>
              </w:rPr>
              <w:t>296,043</w:t>
            </w:r>
          </w:p>
        </w:tc>
        <w:tc>
          <w:tcPr>
            <w:tcW w:w="993"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98"/>
              <w:jc w:val="right"/>
              <w:rPr>
                <w:rFonts w:ascii="Arial" w:hAnsi="Arial" w:cs="Arial" w:eastAsia="Arial" w:hint="default"/>
                <w:sz w:val="20"/>
                <w:szCs w:val="20"/>
              </w:rPr>
            </w:pPr>
            <w:r>
              <w:rPr>
                <w:rFonts w:ascii="Arial"/>
                <w:sz w:val="20"/>
              </w:rPr>
              <w:t>100.0%</w:t>
            </w:r>
          </w:p>
        </w:tc>
        <w:tc>
          <w:tcPr>
            <w:tcW w:w="236" w:type="dxa"/>
            <w:tcBorders>
              <w:top w:val="nil" w:sz="6" w:space="0" w:color="auto"/>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90"/>
              <w:jc w:val="right"/>
              <w:rPr>
                <w:rFonts w:ascii="Arial" w:hAnsi="Arial" w:cs="Arial" w:eastAsia="Arial" w:hint="default"/>
                <w:sz w:val="20"/>
                <w:szCs w:val="20"/>
              </w:rPr>
            </w:pPr>
            <w:r>
              <w:rPr>
                <w:rFonts w:ascii="Arial"/>
                <w:spacing w:val="-1"/>
                <w:sz w:val="20"/>
              </w:rPr>
              <w:t>(20,306)</w:t>
            </w:r>
          </w:p>
        </w:tc>
        <w:tc>
          <w:tcPr>
            <w:tcW w:w="733" w:type="dxa"/>
            <w:tcBorders>
              <w:top w:val="single" w:sz="4" w:space="0" w:color="000000"/>
              <w:left w:val="nil" w:sz="6" w:space="0" w:color="auto"/>
              <w:bottom w:val="single" w:sz="12" w:space="0" w:color="000000"/>
              <w:right w:val="nil" w:sz="6" w:space="0" w:color="auto"/>
            </w:tcBorders>
          </w:tcPr>
          <w:p>
            <w:pPr/>
          </w:p>
        </w:tc>
        <w:tc>
          <w:tcPr>
            <w:tcW w:w="322" w:type="dxa"/>
            <w:gridSpan w:val="2"/>
            <w:tcBorders>
              <w:top w:val="nil" w:sz="6" w:space="0" w:color="auto"/>
              <w:left w:val="nil" w:sz="6" w:space="0" w:color="auto"/>
              <w:bottom w:val="nil" w:sz="6" w:space="0" w:color="auto"/>
              <w:right w:val="nil" w:sz="6" w:space="0" w:color="auto"/>
            </w:tcBorders>
          </w:tcPr>
          <w:p>
            <w:pPr/>
          </w:p>
        </w:tc>
        <w:tc>
          <w:tcPr>
            <w:tcW w:w="893"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31"/>
              <w:jc w:val="right"/>
              <w:rPr>
                <w:rFonts w:ascii="Arial" w:hAnsi="Arial" w:cs="Arial" w:eastAsia="Arial" w:hint="default"/>
                <w:sz w:val="20"/>
                <w:szCs w:val="20"/>
              </w:rPr>
            </w:pPr>
            <w:r>
              <w:rPr>
                <w:rFonts w:ascii="Arial"/>
                <w:spacing w:val="-1"/>
                <w:sz w:val="20"/>
              </w:rPr>
              <w:t>219,298</w:t>
            </w:r>
          </w:p>
        </w:tc>
        <w:tc>
          <w:tcPr>
            <w:tcW w:w="81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98"/>
              <w:jc w:val="right"/>
              <w:rPr>
                <w:rFonts w:ascii="Arial" w:hAnsi="Arial" w:cs="Arial" w:eastAsia="Arial" w:hint="default"/>
                <w:sz w:val="20"/>
                <w:szCs w:val="20"/>
              </w:rPr>
            </w:pPr>
            <w:r>
              <w:rPr>
                <w:rFonts w:ascii="Arial"/>
                <w:sz w:val="20"/>
              </w:rPr>
              <w:t>100.0%</w:t>
            </w:r>
          </w:p>
        </w:tc>
        <w:tc>
          <w:tcPr>
            <w:tcW w:w="239" w:type="dxa"/>
            <w:tcBorders>
              <w:top w:val="nil" w:sz="6" w:space="0" w:color="auto"/>
              <w:left w:val="nil" w:sz="6" w:space="0" w:color="auto"/>
              <w:bottom w:val="nil" w:sz="6" w:space="0" w:color="auto"/>
              <w:right w:val="nil" w:sz="6" w:space="0" w:color="auto"/>
            </w:tcBorders>
          </w:tcPr>
          <w:p>
            <w:pPr/>
          </w:p>
        </w:tc>
        <w:tc>
          <w:tcPr>
            <w:tcW w:w="1074"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20"/>
              <w:jc w:val="right"/>
              <w:rPr>
                <w:rFonts w:ascii="Arial" w:hAnsi="Arial" w:cs="Arial" w:eastAsia="Arial" w:hint="default"/>
                <w:sz w:val="20"/>
                <w:szCs w:val="20"/>
              </w:rPr>
            </w:pPr>
            <w:r>
              <w:rPr>
                <w:rFonts w:ascii="Arial"/>
                <w:spacing w:val="-1"/>
                <w:sz w:val="20"/>
              </w:rPr>
              <w:t>(19,873)</w:t>
            </w:r>
          </w:p>
        </w:tc>
        <w:tc>
          <w:tcPr>
            <w:tcW w:w="735" w:type="dxa"/>
            <w:tcBorders>
              <w:top w:val="single" w:sz="4" w:space="0" w:color="000000"/>
              <w:left w:val="nil" w:sz="6" w:space="0" w:color="auto"/>
              <w:bottom w:val="single" w:sz="12" w:space="0" w:color="000000"/>
              <w:right w:val="nil" w:sz="6" w:space="0" w:color="auto"/>
            </w:tcBorders>
          </w:tcPr>
          <w:p>
            <w:pPr/>
          </w:p>
        </w:tc>
      </w:tr>
    </w:tbl>
    <w:p>
      <w:pPr>
        <w:spacing w:after="0"/>
        <w:sectPr>
          <w:type w:val="continuous"/>
          <w:pgSz w:w="11910" w:h="16840"/>
          <w:pgMar w:top="920" w:bottom="900" w:left="1020" w:right="440"/>
        </w:sectPr>
      </w:pPr>
    </w:p>
    <w:p>
      <w:pPr>
        <w:spacing w:line="240" w:lineRule="auto" w:before="6"/>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30"/>
        <w:gridCol w:w="3008"/>
        <w:gridCol w:w="1886"/>
        <w:gridCol w:w="1328"/>
        <w:gridCol w:w="2146"/>
        <w:gridCol w:w="1330"/>
      </w:tblGrid>
      <w:tr>
        <w:trPr>
          <w:trHeight w:val="1087"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5" w:right="0"/>
              <w:jc w:val="left"/>
              <w:rPr>
                <w:rFonts w:ascii="Arial" w:hAnsi="Arial" w:cs="Arial" w:eastAsia="Arial" w:hint="default"/>
                <w:sz w:val="24"/>
                <w:szCs w:val="24"/>
              </w:rPr>
            </w:pPr>
            <w:r>
              <w:rPr>
                <w:rFonts w:ascii="Arial"/>
                <w:sz w:val="24"/>
              </w:rPr>
              <w:t>(6)</w:t>
            </w:r>
          </w:p>
        </w:tc>
        <w:tc>
          <w:tcPr>
            <w:tcW w:w="62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6"/>
              <w:ind w:left="19"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9" w:right="0"/>
              <w:jc w:val="left"/>
              <w:rPr>
                <w:rFonts w:ascii="Arial" w:hAnsi="Arial" w:cs="Arial" w:eastAsia="Arial" w:hint="default"/>
                <w:sz w:val="24"/>
                <w:szCs w:val="24"/>
              </w:rPr>
            </w:pPr>
            <w:r>
              <w:rPr>
                <w:rFonts w:ascii="宋体" w:hAnsi="宋体" w:cs="宋体" w:eastAsia="宋体" w:hint="default"/>
                <w:b/>
                <w:bCs/>
                <w:sz w:val="24"/>
                <w:szCs w:val="24"/>
              </w:rPr>
              <w:t>其他应收款和长期应收款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477" w:type="dxa"/>
            <w:gridSpan w:val="2"/>
            <w:vMerge w:val="restart"/>
            <w:tcBorders>
              <w:top w:val="nil" w:sz="6" w:space="0" w:color="auto"/>
              <w:left w:val="nil" w:sz="6" w:space="0" w:color="auto"/>
              <w:right w:val="nil" w:sz="6" w:space="0" w:color="auto"/>
            </w:tcBorders>
          </w:tcPr>
          <w:p>
            <w:pPr/>
          </w:p>
        </w:tc>
      </w:tr>
      <w:tr>
        <w:trPr>
          <w:trHeight w:val="430"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 w:right="0"/>
              <w:jc w:val="left"/>
              <w:rPr>
                <w:rFonts w:ascii="Arial" w:hAnsi="Arial" w:cs="Arial" w:eastAsia="Arial" w:hint="default"/>
                <w:sz w:val="24"/>
                <w:szCs w:val="24"/>
              </w:rPr>
            </w:pPr>
            <w:r>
              <w:rPr>
                <w:rFonts w:ascii="Arial"/>
                <w:sz w:val="24"/>
              </w:rPr>
              <w:t>(e)</w:t>
            </w:r>
          </w:p>
        </w:tc>
        <w:tc>
          <w:tcPr>
            <w:tcW w:w="62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9"/>
              <w:ind w:left="18" w:right="0"/>
              <w:jc w:val="left"/>
              <w:rPr>
                <w:rFonts w:ascii="宋体" w:hAnsi="宋体" w:cs="宋体" w:eastAsia="宋体" w:hint="default"/>
                <w:sz w:val="24"/>
                <w:szCs w:val="24"/>
              </w:rPr>
            </w:pPr>
            <w:r>
              <w:rPr>
                <w:rFonts w:ascii="宋体" w:hAnsi="宋体" w:cs="宋体" w:eastAsia="宋体" w:hint="default"/>
                <w:sz w:val="24"/>
                <w:szCs w:val="24"/>
              </w:rPr>
              <w:t>本年度实际核销的其他应收款和长期应收款分析如下：</w:t>
            </w:r>
          </w:p>
        </w:tc>
        <w:tc>
          <w:tcPr>
            <w:tcW w:w="3477" w:type="dxa"/>
            <w:gridSpan w:val="2"/>
            <w:vMerge/>
            <w:tcBorders>
              <w:left w:val="nil" w:sz="6" w:space="0" w:color="auto"/>
              <w:bottom w:val="nil" w:sz="6" w:space="0" w:color="auto"/>
              <w:right w:val="nil" w:sz="6" w:space="0" w:color="auto"/>
            </w:tcBorders>
          </w:tcPr>
          <w:p>
            <w:pPr/>
          </w:p>
        </w:tc>
      </w:tr>
      <w:tr>
        <w:trPr>
          <w:trHeight w:val="312" w:hRule="exact"/>
        </w:trPr>
        <w:tc>
          <w:tcPr>
            <w:tcW w:w="730" w:type="dxa"/>
            <w:tcBorders>
              <w:top w:val="nil" w:sz="6" w:space="0" w:color="auto"/>
              <w:left w:val="nil" w:sz="6" w:space="0" w:color="auto"/>
              <w:bottom w:val="nil" w:sz="6" w:space="0" w:color="auto"/>
              <w:right w:val="nil" w:sz="6" w:space="0" w:color="auto"/>
            </w:tcBorders>
          </w:tcPr>
          <w:p>
            <w:pPr/>
          </w:p>
        </w:tc>
        <w:tc>
          <w:tcPr>
            <w:tcW w:w="6222" w:type="dxa"/>
            <w:gridSpan w:val="3"/>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宋体" w:hAnsi="宋体" w:cs="宋体" w:eastAsia="宋体" w:hint="default"/>
                <w:sz w:val="24"/>
                <w:szCs w:val="24"/>
              </w:rPr>
            </w:pPr>
            <w:r>
              <w:rPr>
                <w:rFonts w:ascii="宋体" w:hAnsi="宋体" w:cs="宋体" w:eastAsia="宋体" w:hint="default"/>
                <w:sz w:val="24"/>
                <w:szCs w:val="24"/>
              </w:rPr>
              <w:t>是否因关联</w:t>
            </w:r>
          </w:p>
        </w:tc>
      </w:tr>
      <w:tr>
        <w:trPr>
          <w:trHeight w:val="450" w:hRule="exact"/>
        </w:trPr>
        <w:tc>
          <w:tcPr>
            <w:tcW w:w="730" w:type="dxa"/>
            <w:tcBorders>
              <w:top w:val="nil" w:sz="6" w:space="0" w:color="auto"/>
              <w:left w:val="nil" w:sz="6" w:space="0" w:color="auto"/>
              <w:bottom w:val="nil" w:sz="6" w:space="0" w:color="auto"/>
              <w:right w:val="nil" w:sz="6" w:space="0" w:color="auto"/>
            </w:tcBorders>
          </w:tcPr>
          <w:p>
            <w:pPr/>
          </w:p>
        </w:tc>
        <w:tc>
          <w:tcPr>
            <w:tcW w:w="6222" w:type="dxa"/>
            <w:gridSpan w:val="3"/>
            <w:tcBorders>
              <w:top w:val="nil" w:sz="6" w:space="0" w:color="auto"/>
              <w:left w:val="nil" w:sz="6" w:space="0" w:color="auto"/>
              <w:bottom w:val="nil" w:sz="6" w:space="0" w:color="auto"/>
              <w:right w:val="nil" w:sz="6" w:space="0" w:color="auto"/>
            </w:tcBorders>
          </w:tcPr>
          <w:p>
            <w:pPr>
              <w:pStyle w:val="TableParagraph"/>
              <w:spacing w:line="276" w:lineRule="exact"/>
              <w:ind w:left="3163" w:right="0"/>
              <w:jc w:val="left"/>
              <w:rPr>
                <w:rFonts w:ascii="宋体" w:hAnsi="宋体" w:cs="宋体" w:eastAsia="宋体" w:hint="default"/>
                <w:sz w:val="24"/>
                <w:szCs w:val="24"/>
              </w:rPr>
            </w:pPr>
            <w:r>
              <w:rPr>
                <w:rFonts w:ascii="宋体" w:hAnsi="宋体" w:cs="宋体" w:eastAsia="宋体" w:hint="default"/>
                <w:sz w:val="24"/>
                <w:szCs w:val="24"/>
              </w:rPr>
              <w:t>其他应收款性质</w:t>
            </w:r>
            <w:r>
              <w:rPr>
                <w:rFonts w:ascii="宋体" w:hAnsi="宋体" w:cs="宋体" w:eastAsia="宋体" w:hint="default"/>
                <w:spacing w:val="67"/>
                <w:sz w:val="24"/>
                <w:szCs w:val="24"/>
              </w:rPr>
              <w:t> </w:t>
            </w:r>
            <w:r>
              <w:rPr>
                <w:rFonts w:ascii="宋体" w:hAnsi="宋体" w:cs="宋体" w:eastAsia="宋体" w:hint="default"/>
                <w:sz w:val="24"/>
                <w:szCs w:val="24"/>
              </w:rPr>
              <w:t>核销金额</w:t>
            </w:r>
          </w:p>
        </w:tc>
        <w:tc>
          <w:tcPr>
            <w:tcW w:w="2146" w:type="dxa"/>
            <w:tcBorders>
              <w:top w:val="nil" w:sz="6" w:space="0" w:color="auto"/>
              <w:left w:val="nil" w:sz="6" w:space="0" w:color="auto"/>
              <w:bottom w:val="nil" w:sz="6" w:space="0" w:color="auto"/>
              <w:right w:val="nil" w:sz="6" w:space="0" w:color="auto"/>
            </w:tcBorders>
          </w:tcPr>
          <w:p>
            <w:pPr>
              <w:pStyle w:val="TableParagraph"/>
              <w:spacing w:line="276" w:lineRule="exact"/>
              <w:ind w:right="93"/>
              <w:jc w:val="right"/>
              <w:rPr>
                <w:rFonts w:ascii="宋体" w:hAnsi="宋体" w:cs="宋体" w:eastAsia="宋体" w:hint="default"/>
                <w:sz w:val="24"/>
                <w:szCs w:val="24"/>
              </w:rPr>
            </w:pPr>
            <w:r>
              <w:rPr>
                <w:rFonts w:ascii="宋体" w:hAnsi="宋体" w:cs="宋体" w:eastAsia="宋体" w:hint="default"/>
                <w:sz w:val="24"/>
                <w:szCs w:val="24"/>
              </w:rPr>
              <w:t>核销原因</w:t>
            </w:r>
          </w:p>
        </w:tc>
        <w:tc>
          <w:tcPr>
            <w:tcW w:w="1330" w:type="dxa"/>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宋体" w:hAnsi="宋体" w:cs="宋体" w:eastAsia="宋体" w:hint="default"/>
                <w:sz w:val="24"/>
                <w:szCs w:val="24"/>
              </w:rPr>
            </w:pPr>
            <w:r>
              <w:rPr>
                <w:rFonts w:ascii="宋体" w:hAnsi="宋体" w:cs="宋体" w:eastAsia="宋体" w:hint="default"/>
                <w:sz w:val="24"/>
                <w:szCs w:val="24"/>
              </w:rPr>
              <w:t>交易产生</w:t>
            </w:r>
          </w:p>
        </w:tc>
      </w:tr>
      <w:tr>
        <w:trPr>
          <w:trHeight w:val="450" w:hRule="exact"/>
        </w:trPr>
        <w:tc>
          <w:tcPr>
            <w:tcW w:w="730" w:type="dxa"/>
            <w:tcBorders>
              <w:top w:val="nil" w:sz="6" w:space="0" w:color="auto"/>
              <w:left w:val="nil" w:sz="6" w:space="0" w:color="auto"/>
              <w:bottom w:val="nil" w:sz="6" w:space="0" w:color="auto"/>
              <w:right w:val="nil" w:sz="6" w:space="0" w:color="auto"/>
            </w:tcBorders>
          </w:tcPr>
          <w:p>
            <w:pPr/>
          </w:p>
        </w:tc>
        <w:tc>
          <w:tcPr>
            <w:tcW w:w="62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51" w:right="0"/>
              <w:jc w:val="left"/>
              <w:rPr>
                <w:rFonts w:ascii="宋体" w:hAnsi="宋体" w:cs="宋体" w:eastAsia="宋体" w:hint="default"/>
                <w:sz w:val="24"/>
                <w:szCs w:val="24"/>
              </w:rPr>
            </w:pPr>
            <w:r>
              <w:rPr>
                <w:rFonts w:ascii="宋体" w:hAnsi="宋体" w:cs="宋体" w:eastAsia="宋体" w:hint="default"/>
                <w:spacing w:val="5"/>
                <w:sz w:val="24"/>
                <w:szCs w:val="24"/>
              </w:rPr>
              <w:t>杭州东方通信上海移动电话</w:t>
            </w:r>
            <w:r>
              <w:rPr>
                <w:rFonts w:ascii="宋体" w:hAnsi="宋体" w:cs="宋体" w:eastAsia="宋体" w:hint="default"/>
                <w:sz w:val="24"/>
                <w:szCs w:val="24"/>
              </w:rPr>
            </w:r>
          </w:p>
        </w:tc>
        <w:tc>
          <w:tcPr>
            <w:tcW w:w="214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936" w:hRule="exact"/>
        </w:trPr>
        <w:tc>
          <w:tcPr>
            <w:tcW w:w="730" w:type="dxa"/>
            <w:tcBorders>
              <w:top w:val="nil" w:sz="6" w:space="0" w:color="auto"/>
              <w:left w:val="nil" w:sz="6" w:space="0" w:color="auto"/>
              <w:bottom w:val="nil" w:sz="6" w:space="0" w:color="auto"/>
              <w:right w:val="nil" w:sz="6" w:space="0" w:color="auto"/>
            </w:tcBorders>
          </w:tcPr>
          <w:p>
            <w:pPr/>
          </w:p>
        </w:tc>
        <w:tc>
          <w:tcPr>
            <w:tcW w:w="6222" w:type="dxa"/>
            <w:gridSpan w:val="3"/>
            <w:tcBorders>
              <w:top w:val="nil" w:sz="6" w:space="0" w:color="auto"/>
              <w:left w:val="nil" w:sz="6" w:space="0" w:color="auto"/>
              <w:bottom w:val="nil" w:sz="6" w:space="0" w:color="auto"/>
              <w:right w:val="nil" w:sz="6" w:space="0" w:color="auto"/>
            </w:tcBorders>
          </w:tcPr>
          <w:p>
            <w:pPr>
              <w:pStyle w:val="TableParagraph"/>
              <w:tabs>
                <w:tab w:pos="3883" w:val="left" w:leader="none"/>
                <w:tab w:pos="5990" w:val="right" w:leader="none"/>
              </w:tabs>
              <w:spacing w:line="292" w:lineRule="exact"/>
              <w:ind w:left="302" w:right="0"/>
              <w:jc w:val="left"/>
              <w:rPr>
                <w:rFonts w:ascii="Arial" w:hAnsi="Arial" w:cs="Arial" w:eastAsia="Arial" w:hint="default"/>
                <w:sz w:val="24"/>
                <w:szCs w:val="24"/>
              </w:rPr>
            </w:pPr>
            <w:r>
              <w:rPr>
                <w:rFonts w:ascii="宋体" w:hAnsi="宋体" w:cs="宋体" w:eastAsia="宋体" w:hint="default"/>
                <w:position w:val="2"/>
                <w:sz w:val="24"/>
                <w:szCs w:val="24"/>
              </w:rPr>
              <w:t>销售服务有限公司</w:t>
              <w:tab/>
              <w:t>应收货款</w:t>
            </w:r>
            <w:r>
              <w:rPr>
                <w:rFonts w:ascii="Arial" w:hAnsi="Arial" w:cs="Arial" w:eastAsia="Arial" w:hint="default"/>
                <w:sz w:val="24"/>
                <w:szCs w:val="24"/>
              </w:rPr>
              <w:tab/>
              <w:t>91</w:t>
            </w:r>
          </w:p>
          <w:p>
            <w:pPr>
              <w:pStyle w:val="TableParagraph"/>
              <w:tabs>
                <w:tab w:pos="3883" w:val="left" w:leader="none"/>
                <w:tab w:pos="5990" w:val="right" w:leader="none"/>
              </w:tabs>
              <w:spacing w:line="313" w:lineRule="exact"/>
              <w:ind w:left="51" w:right="0"/>
              <w:jc w:val="left"/>
              <w:rPr>
                <w:rFonts w:ascii="Arial" w:hAnsi="Arial" w:cs="Arial" w:eastAsia="Arial" w:hint="default"/>
                <w:sz w:val="24"/>
                <w:szCs w:val="24"/>
              </w:rPr>
            </w:pPr>
            <w:r>
              <w:rPr>
                <w:rFonts w:ascii="宋体" w:hAnsi="宋体" w:cs="宋体" w:eastAsia="宋体" w:hint="default"/>
                <w:position w:val="2"/>
                <w:sz w:val="24"/>
                <w:szCs w:val="24"/>
              </w:rPr>
              <w:t>沈阳桑菲消费通讯有限公司</w:t>
              <w:tab/>
              <w:t>应收货款</w:t>
            </w:r>
            <w:r>
              <w:rPr>
                <w:rFonts w:ascii="Arial" w:hAnsi="Arial" w:cs="Arial" w:eastAsia="Arial" w:hint="default"/>
                <w:sz w:val="24"/>
                <w:szCs w:val="24"/>
              </w:rPr>
              <w:tab/>
              <w:t>81</w:t>
            </w:r>
          </w:p>
          <w:p>
            <w:pPr>
              <w:pStyle w:val="TableParagraph"/>
              <w:spacing w:line="295" w:lineRule="exact"/>
              <w:ind w:left="51" w:right="0"/>
              <w:jc w:val="left"/>
              <w:rPr>
                <w:rFonts w:ascii="宋体" w:hAnsi="宋体" w:cs="宋体" w:eastAsia="宋体" w:hint="default"/>
                <w:sz w:val="24"/>
                <w:szCs w:val="24"/>
              </w:rPr>
            </w:pPr>
            <w:r>
              <w:rPr>
                <w:rFonts w:ascii="宋体" w:hAnsi="宋体" w:cs="宋体" w:eastAsia="宋体" w:hint="default"/>
                <w:spacing w:val="5"/>
                <w:sz w:val="24"/>
                <w:szCs w:val="24"/>
              </w:rPr>
              <w:t>陕西长岭黄河集团工贸有限</w:t>
            </w:r>
            <w:r>
              <w:rPr>
                <w:rFonts w:ascii="宋体" w:hAnsi="宋体" w:cs="宋体" w:eastAsia="宋体" w:hint="default"/>
                <w:sz w:val="24"/>
                <w:szCs w:val="24"/>
              </w:rPr>
            </w:r>
          </w:p>
        </w:tc>
        <w:tc>
          <w:tcPr>
            <w:tcW w:w="2146" w:type="dxa"/>
            <w:tcBorders>
              <w:top w:val="nil" w:sz="6" w:space="0" w:color="auto"/>
              <w:left w:val="nil" w:sz="6" w:space="0" w:color="auto"/>
              <w:bottom w:val="nil" w:sz="6" w:space="0" w:color="auto"/>
              <w:right w:val="nil" w:sz="6" w:space="0" w:color="auto"/>
            </w:tcBorders>
          </w:tcPr>
          <w:p>
            <w:pPr>
              <w:pStyle w:val="TableParagraph"/>
              <w:spacing w:line="275" w:lineRule="exact"/>
              <w:ind w:left="130" w:right="0"/>
              <w:jc w:val="left"/>
              <w:rPr>
                <w:rFonts w:ascii="宋体" w:hAnsi="宋体" w:cs="宋体" w:eastAsia="宋体" w:hint="default"/>
                <w:sz w:val="24"/>
                <w:szCs w:val="24"/>
              </w:rPr>
            </w:pPr>
            <w:r>
              <w:rPr>
                <w:rFonts w:ascii="宋体" w:hAnsi="宋体" w:cs="宋体" w:eastAsia="宋体" w:hint="default"/>
                <w:sz w:val="24"/>
                <w:szCs w:val="24"/>
              </w:rPr>
              <w:t>长时间催讨无结果</w:t>
            </w:r>
          </w:p>
          <w:p>
            <w:pPr>
              <w:pStyle w:val="TableParagraph"/>
              <w:spacing w:line="313" w:lineRule="exact"/>
              <w:ind w:left="130" w:right="0"/>
              <w:jc w:val="left"/>
              <w:rPr>
                <w:rFonts w:ascii="宋体" w:hAnsi="宋体" w:cs="宋体" w:eastAsia="宋体" w:hint="default"/>
                <w:sz w:val="24"/>
                <w:szCs w:val="24"/>
              </w:rPr>
            </w:pPr>
            <w:r>
              <w:rPr>
                <w:rFonts w:ascii="宋体" w:hAnsi="宋体" w:cs="宋体" w:eastAsia="宋体" w:hint="default"/>
                <w:sz w:val="24"/>
                <w:szCs w:val="24"/>
              </w:rPr>
              <w:t>长时间催讨无结果</w:t>
            </w:r>
          </w:p>
        </w:tc>
        <w:tc>
          <w:tcPr>
            <w:tcW w:w="1330" w:type="dxa"/>
            <w:tcBorders>
              <w:top w:val="nil" w:sz="6" w:space="0" w:color="auto"/>
              <w:left w:val="nil" w:sz="6" w:space="0" w:color="auto"/>
              <w:bottom w:val="nil" w:sz="6" w:space="0" w:color="auto"/>
              <w:right w:val="nil" w:sz="6" w:space="0" w:color="auto"/>
            </w:tcBorders>
          </w:tcPr>
          <w:p>
            <w:pPr>
              <w:pStyle w:val="TableParagraph"/>
              <w:spacing w:line="275" w:lineRule="exact"/>
              <w:ind w:right="33"/>
              <w:jc w:val="right"/>
              <w:rPr>
                <w:rFonts w:ascii="宋体" w:hAnsi="宋体" w:cs="宋体" w:eastAsia="宋体" w:hint="default"/>
                <w:sz w:val="24"/>
                <w:szCs w:val="24"/>
              </w:rPr>
            </w:pPr>
            <w:r>
              <w:rPr>
                <w:rFonts w:ascii="宋体" w:hAnsi="宋体" w:cs="宋体" w:eastAsia="宋体" w:hint="default"/>
                <w:sz w:val="24"/>
                <w:szCs w:val="24"/>
              </w:rPr>
              <w:t>否</w:t>
            </w:r>
          </w:p>
          <w:p>
            <w:pPr>
              <w:pStyle w:val="TableParagraph"/>
              <w:spacing w:line="313" w:lineRule="exact"/>
              <w:ind w:right="33"/>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1248" w:hRule="exact"/>
        </w:trPr>
        <w:tc>
          <w:tcPr>
            <w:tcW w:w="730" w:type="dxa"/>
            <w:tcBorders>
              <w:top w:val="nil" w:sz="6" w:space="0" w:color="auto"/>
              <w:left w:val="nil" w:sz="6" w:space="0" w:color="auto"/>
              <w:bottom w:val="nil" w:sz="6" w:space="0" w:color="auto"/>
              <w:right w:val="nil" w:sz="6" w:space="0" w:color="auto"/>
            </w:tcBorders>
          </w:tcPr>
          <w:p>
            <w:pPr/>
          </w:p>
        </w:tc>
        <w:tc>
          <w:tcPr>
            <w:tcW w:w="6222" w:type="dxa"/>
            <w:gridSpan w:val="3"/>
            <w:tcBorders>
              <w:top w:val="nil" w:sz="6" w:space="0" w:color="auto"/>
              <w:left w:val="nil" w:sz="6" w:space="0" w:color="auto"/>
              <w:bottom w:val="nil" w:sz="6" w:space="0" w:color="auto"/>
              <w:right w:val="nil" w:sz="6" w:space="0" w:color="auto"/>
            </w:tcBorders>
          </w:tcPr>
          <w:p>
            <w:pPr>
              <w:pStyle w:val="TableParagraph"/>
              <w:tabs>
                <w:tab w:pos="3883" w:val="left" w:leader="none"/>
                <w:tab w:pos="5990" w:val="right" w:leader="none"/>
              </w:tabs>
              <w:spacing w:line="292" w:lineRule="exact"/>
              <w:ind w:left="302" w:right="0"/>
              <w:jc w:val="left"/>
              <w:rPr>
                <w:rFonts w:ascii="Arial" w:hAnsi="Arial" w:cs="Arial" w:eastAsia="Arial" w:hint="default"/>
                <w:sz w:val="24"/>
                <w:szCs w:val="24"/>
              </w:rPr>
            </w:pPr>
            <w:r>
              <w:rPr>
                <w:rFonts w:ascii="宋体" w:hAnsi="宋体" w:cs="宋体" w:eastAsia="宋体" w:hint="default"/>
                <w:position w:val="2"/>
                <w:sz w:val="24"/>
                <w:szCs w:val="24"/>
              </w:rPr>
              <w:t>公司</w:t>
              <w:tab/>
              <w:t>应收货款</w:t>
            </w:r>
            <w:r>
              <w:rPr>
                <w:rFonts w:ascii="Arial" w:hAnsi="Arial" w:cs="Arial" w:eastAsia="Arial" w:hint="default"/>
                <w:sz w:val="24"/>
                <w:szCs w:val="24"/>
              </w:rPr>
              <w:tab/>
              <w:t>54</w:t>
            </w:r>
          </w:p>
          <w:p>
            <w:pPr>
              <w:pStyle w:val="TableParagraph"/>
              <w:tabs>
                <w:tab w:pos="3883" w:val="left" w:leader="none"/>
                <w:tab w:pos="5990" w:val="right" w:leader="none"/>
              </w:tabs>
              <w:spacing w:line="312" w:lineRule="exact"/>
              <w:ind w:left="51" w:right="0"/>
              <w:jc w:val="left"/>
              <w:rPr>
                <w:rFonts w:ascii="Arial" w:hAnsi="Arial" w:cs="Arial" w:eastAsia="Arial" w:hint="default"/>
                <w:sz w:val="24"/>
                <w:szCs w:val="24"/>
              </w:rPr>
            </w:pPr>
            <w:r>
              <w:rPr>
                <w:rFonts w:ascii="宋体" w:hAnsi="宋体" w:cs="宋体" w:eastAsia="宋体" w:hint="default"/>
                <w:position w:val="2"/>
                <w:sz w:val="24"/>
                <w:szCs w:val="24"/>
              </w:rPr>
              <w:t>上海讯点数码科技有限公司</w:t>
              <w:tab/>
              <w:t>应收货款</w:t>
            </w:r>
            <w:r>
              <w:rPr>
                <w:rFonts w:ascii="Arial" w:hAnsi="Arial" w:cs="Arial" w:eastAsia="Arial" w:hint="default"/>
                <w:sz w:val="24"/>
                <w:szCs w:val="24"/>
              </w:rPr>
              <w:tab/>
              <w:t>37</w:t>
            </w:r>
          </w:p>
          <w:p>
            <w:pPr>
              <w:pStyle w:val="TableParagraph"/>
              <w:tabs>
                <w:tab w:pos="3883" w:val="left" w:leader="none"/>
                <w:tab w:pos="5990" w:val="right" w:leader="none"/>
              </w:tabs>
              <w:spacing w:line="313" w:lineRule="exact"/>
              <w:ind w:left="51" w:right="0"/>
              <w:jc w:val="left"/>
              <w:rPr>
                <w:rFonts w:ascii="Arial" w:hAnsi="Arial" w:cs="Arial" w:eastAsia="Arial" w:hint="default"/>
                <w:sz w:val="24"/>
                <w:szCs w:val="24"/>
              </w:rPr>
            </w:pPr>
            <w:r>
              <w:rPr>
                <w:rFonts w:ascii="宋体" w:hAnsi="宋体" w:cs="宋体" w:eastAsia="宋体" w:hint="default"/>
                <w:position w:val="2"/>
                <w:sz w:val="24"/>
                <w:szCs w:val="24"/>
              </w:rPr>
              <w:t>上海楚乔电器有限公司</w:t>
              <w:tab/>
              <w:t>应收货款</w:t>
            </w:r>
            <w:r>
              <w:rPr>
                <w:rFonts w:ascii="Arial" w:hAnsi="Arial" w:cs="Arial" w:eastAsia="Arial" w:hint="default"/>
                <w:sz w:val="24"/>
                <w:szCs w:val="24"/>
              </w:rPr>
              <w:tab/>
              <w:t>36</w:t>
            </w:r>
          </w:p>
          <w:p>
            <w:pPr>
              <w:pStyle w:val="TableParagraph"/>
              <w:spacing w:line="295" w:lineRule="exact"/>
              <w:ind w:left="51" w:right="0"/>
              <w:jc w:val="left"/>
              <w:rPr>
                <w:rFonts w:ascii="宋体" w:hAnsi="宋体" w:cs="宋体" w:eastAsia="宋体" w:hint="default"/>
                <w:sz w:val="24"/>
                <w:szCs w:val="24"/>
              </w:rPr>
            </w:pPr>
            <w:r>
              <w:rPr>
                <w:rFonts w:ascii="宋体" w:hAnsi="宋体" w:cs="宋体" w:eastAsia="宋体" w:hint="default"/>
                <w:spacing w:val="5"/>
                <w:sz w:val="24"/>
                <w:szCs w:val="24"/>
              </w:rPr>
              <w:t>泰州市海陵区宇腾电器有限</w:t>
            </w:r>
            <w:r>
              <w:rPr>
                <w:rFonts w:ascii="宋体" w:hAnsi="宋体" w:cs="宋体" w:eastAsia="宋体" w:hint="default"/>
                <w:sz w:val="24"/>
                <w:szCs w:val="24"/>
              </w:rPr>
            </w:r>
          </w:p>
        </w:tc>
        <w:tc>
          <w:tcPr>
            <w:tcW w:w="2146" w:type="dxa"/>
            <w:tcBorders>
              <w:top w:val="nil" w:sz="6" w:space="0" w:color="auto"/>
              <w:left w:val="nil" w:sz="6" w:space="0" w:color="auto"/>
              <w:bottom w:val="nil" w:sz="6" w:space="0" w:color="auto"/>
              <w:right w:val="nil" w:sz="6" w:space="0" w:color="auto"/>
            </w:tcBorders>
          </w:tcPr>
          <w:p>
            <w:pPr>
              <w:pStyle w:val="TableParagraph"/>
              <w:spacing w:line="275" w:lineRule="exact"/>
              <w:ind w:left="130" w:right="0"/>
              <w:jc w:val="left"/>
              <w:rPr>
                <w:rFonts w:ascii="宋体" w:hAnsi="宋体" w:cs="宋体" w:eastAsia="宋体" w:hint="default"/>
                <w:sz w:val="24"/>
                <w:szCs w:val="24"/>
              </w:rPr>
            </w:pPr>
            <w:r>
              <w:rPr>
                <w:rFonts w:ascii="宋体" w:hAnsi="宋体" w:cs="宋体" w:eastAsia="宋体" w:hint="default"/>
                <w:sz w:val="24"/>
                <w:szCs w:val="24"/>
              </w:rPr>
              <w:t>长时间催讨无结果</w:t>
            </w:r>
          </w:p>
          <w:p>
            <w:pPr>
              <w:pStyle w:val="TableParagraph"/>
              <w:spacing w:line="312" w:lineRule="exact" w:before="29"/>
              <w:ind w:left="130" w:right="93"/>
              <w:jc w:val="left"/>
              <w:rPr>
                <w:rFonts w:ascii="宋体" w:hAnsi="宋体" w:cs="宋体" w:eastAsia="宋体" w:hint="default"/>
                <w:sz w:val="24"/>
                <w:szCs w:val="24"/>
              </w:rPr>
            </w:pPr>
            <w:r>
              <w:rPr>
                <w:rFonts w:ascii="宋体" w:hAnsi="宋体" w:cs="宋体" w:eastAsia="宋体" w:hint="default"/>
                <w:sz w:val="24"/>
                <w:szCs w:val="24"/>
              </w:rPr>
              <w:t>长时间催讨无结果 长时间催讨无结果</w:t>
            </w:r>
          </w:p>
        </w:tc>
        <w:tc>
          <w:tcPr>
            <w:tcW w:w="1330" w:type="dxa"/>
            <w:tcBorders>
              <w:top w:val="nil" w:sz="6" w:space="0" w:color="auto"/>
              <w:left w:val="nil" w:sz="6" w:space="0" w:color="auto"/>
              <w:bottom w:val="nil" w:sz="6" w:space="0" w:color="auto"/>
              <w:right w:val="nil" w:sz="6" w:space="0" w:color="auto"/>
            </w:tcBorders>
          </w:tcPr>
          <w:p>
            <w:pPr>
              <w:pStyle w:val="TableParagraph"/>
              <w:spacing w:line="275" w:lineRule="exact"/>
              <w:ind w:right="33"/>
              <w:jc w:val="right"/>
              <w:rPr>
                <w:rFonts w:ascii="宋体" w:hAnsi="宋体" w:cs="宋体" w:eastAsia="宋体" w:hint="default"/>
                <w:sz w:val="24"/>
                <w:szCs w:val="24"/>
              </w:rPr>
            </w:pPr>
            <w:r>
              <w:rPr>
                <w:rFonts w:ascii="宋体" w:hAnsi="宋体" w:cs="宋体" w:eastAsia="宋体" w:hint="default"/>
                <w:sz w:val="24"/>
                <w:szCs w:val="24"/>
              </w:rPr>
              <w:t>否</w:t>
            </w:r>
          </w:p>
          <w:p>
            <w:pPr>
              <w:pStyle w:val="TableParagraph"/>
              <w:spacing w:line="312" w:lineRule="exact" w:before="29"/>
              <w:ind w:left="1055" w:right="33"/>
              <w:jc w:val="right"/>
              <w:rPr>
                <w:rFonts w:ascii="宋体" w:hAnsi="宋体" w:cs="宋体" w:eastAsia="宋体" w:hint="default"/>
                <w:sz w:val="24"/>
                <w:szCs w:val="24"/>
              </w:rPr>
            </w:pPr>
            <w:r>
              <w:rPr>
                <w:rFonts w:ascii="宋体" w:hAnsi="宋体" w:cs="宋体" w:eastAsia="宋体" w:hint="default"/>
                <w:sz w:val="24"/>
                <w:szCs w:val="24"/>
              </w:rPr>
              <w:t>否 否</w:t>
            </w:r>
          </w:p>
        </w:tc>
      </w:tr>
      <w:tr>
        <w:trPr>
          <w:trHeight w:val="630" w:hRule="exact"/>
        </w:trPr>
        <w:tc>
          <w:tcPr>
            <w:tcW w:w="730" w:type="dxa"/>
            <w:tcBorders>
              <w:top w:val="nil" w:sz="6" w:space="0" w:color="auto"/>
              <w:left w:val="nil" w:sz="6" w:space="0" w:color="auto"/>
              <w:bottom w:val="nil" w:sz="6" w:space="0" w:color="auto"/>
              <w:right w:val="nil" w:sz="6" w:space="0" w:color="auto"/>
            </w:tcBorders>
          </w:tcPr>
          <w:p>
            <w:pPr/>
          </w:p>
        </w:tc>
        <w:tc>
          <w:tcPr>
            <w:tcW w:w="6222" w:type="dxa"/>
            <w:gridSpan w:val="3"/>
            <w:tcBorders>
              <w:top w:val="nil" w:sz="6" w:space="0" w:color="auto"/>
              <w:left w:val="nil" w:sz="6" w:space="0" w:color="auto"/>
              <w:bottom w:val="nil" w:sz="6" w:space="0" w:color="auto"/>
              <w:right w:val="nil" w:sz="6" w:space="0" w:color="auto"/>
            </w:tcBorders>
          </w:tcPr>
          <w:p>
            <w:pPr>
              <w:pStyle w:val="TableParagraph"/>
              <w:tabs>
                <w:tab w:pos="3883" w:val="left" w:leader="none"/>
                <w:tab w:pos="5990" w:val="right" w:leader="none"/>
              </w:tabs>
              <w:spacing w:line="293" w:lineRule="exact"/>
              <w:ind w:left="302" w:right="0"/>
              <w:jc w:val="left"/>
              <w:rPr>
                <w:rFonts w:ascii="Arial" w:hAnsi="Arial" w:cs="Arial" w:eastAsia="Arial" w:hint="default"/>
                <w:sz w:val="24"/>
                <w:szCs w:val="24"/>
              </w:rPr>
            </w:pPr>
            <w:r>
              <w:rPr>
                <w:rFonts w:ascii="宋体" w:hAnsi="宋体" w:cs="宋体" w:eastAsia="宋体" w:hint="default"/>
                <w:position w:val="2"/>
                <w:sz w:val="24"/>
                <w:szCs w:val="24"/>
              </w:rPr>
              <w:t>公司</w:t>
              <w:tab/>
              <w:t>应收货款</w:t>
            </w:r>
            <w:r>
              <w:rPr>
                <w:rFonts w:ascii="Arial" w:hAnsi="Arial" w:cs="Arial" w:eastAsia="Arial" w:hint="default"/>
                <w:sz w:val="24"/>
                <w:szCs w:val="24"/>
              </w:rPr>
              <w:tab/>
              <w:t>35</w:t>
            </w:r>
          </w:p>
          <w:p>
            <w:pPr>
              <w:pStyle w:val="TableParagraph"/>
              <w:spacing w:line="313" w:lineRule="exact"/>
              <w:ind w:left="51" w:right="0"/>
              <w:jc w:val="left"/>
              <w:rPr>
                <w:rFonts w:ascii="宋体" w:hAnsi="宋体" w:cs="宋体" w:eastAsia="宋体" w:hint="default"/>
                <w:sz w:val="24"/>
                <w:szCs w:val="24"/>
              </w:rPr>
            </w:pPr>
            <w:r>
              <w:rPr>
                <w:rFonts w:ascii="宋体" w:hAnsi="宋体" w:cs="宋体" w:eastAsia="宋体" w:hint="default"/>
                <w:sz w:val="24"/>
                <w:szCs w:val="24"/>
              </w:rPr>
              <w:t>樱花卫厨</w:t>
            </w:r>
            <w:r>
              <w:rPr>
                <w:rFonts w:ascii="Arial" w:hAnsi="Arial" w:cs="Arial" w:eastAsia="Arial" w:hint="default"/>
                <w:sz w:val="24"/>
                <w:szCs w:val="24"/>
              </w:rPr>
              <w:t>(</w:t>
            </w:r>
            <w:r>
              <w:rPr>
                <w:rFonts w:ascii="宋体" w:hAnsi="宋体" w:cs="宋体" w:eastAsia="宋体" w:hint="default"/>
                <w:sz w:val="24"/>
                <w:szCs w:val="24"/>
              </w:rPr>
              <w:t>中国）有限公司苏</w:t>
            </w:r>
          </w:p>
        </w:tc>
        <w:tc>
          <w:tcPr>
            <w:tcW w:w="2146" w:type="dxa"/>
            <w:tcBorders>
              <w:top w:val="nil" w:sz="6" w:space="0" w:color="auto"/>
              <w:left w:val="nil" w:sz="6" w:space="0" w:color="auto"/>
              <w:bottom w:val="nil" w:sz="6" w:space="0" w:color="auto"/>
              <w:right w:val="nil" w:sz="6" w:space="0" w:color="auto"/>
            </w:tcBorders>
          </w:tcPr>
          <w:p>
            <w:pPr>
              <w:pStyle w:val="TableParagraph"/>
              <w:spacing w:line="276" w:lineRule="exact"/>
              <w:ind w:right="93"/>
              <w:jc w:val="right"/>
              <w:rPr>
                <w:rFonts w:ascii="宋体" w:hAnsi="宋体" w:cs="宋体" w:eastAsia="宋体" w:hint="default"/>
                <w:sz w:val="24"/>
                <w:szCs w:val="24"/>
              </w:rPr>
            </w:pPr>
            <w:r>
              <w:rPr>
                <w:rFonts w:ascii="宋体" w:hAnsi="宋体" w:cs="宋体" w:eastAsia="宋体" w:hint="default"/>
                <w:sz w:val="24"/>
                <w:szCs w:val="24"/>
              </w:rPr>
              <w:t>长时间催讨无结果</w:t>
            </w:r>
          </w:p>
        </w:tc>
        <w:tc>
          <w:tcPr>
            <w:tcW w:w="1330" w:type="dxa"/>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1" w:hRule="exact"/>
        </w:trPr>
        <w:tc>
          <w:tcPr>
            <w:tcW w:w="3737"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1032" w:right="0"/>
              <w:jc w:val="left"/>
              <w:rPr>
                <w:rFonts w:ascii="宋体" w:hAnsi="宋体" w:cs="宋体" w:eastAsia="宋体" w:hint="default"/>
                <w:sz w:val="24"/>
                <w:szCs w:val="24"/>
              </w:rPr>
            </w:pPr>
            <w:r>
              <w:rPr>
                <w:rFonts w:ascii="宋体" w:hAnsi="宋体" w:cs="宋体" w:eastAsia="宋体" w:hint="default"/>
                <w:sz w:val="24"/>
                <w:szCs w:val="24"/>
              </w:rPr>
              <w:t>州分公司</w:t>
            </w:r>
          </w:p>
        </w:tc>
        <w:tc>
          <w:tcPr>
            <w:tcW w:w="1886" w:type="dxa"/>
            <w:tcBorders>
              <w:top w:val="nil" w:sz="6" w:space="0" w:color="auto"/>
              <w:left w:val="nil" w:sz="6" w:space="0" w:color="auto"/>
              <w:bottom w:val="nil" w:sz="6" w:space="0" w:color="auto"/>
              <w:right w:val="nil" w:sz="6" w:space="0" w:color="auto"/>
            </w:tcBorders>
          </w:tcPr>
          <w:p>
            <w:pPr>
              <w:pStyle w:val="TableParagraph"/>
              <w:spacing w:line="270" w:lineRule="exact"/>
              <w:ind w:left="875" w:right="0"/>
              <w:jc w:val="left"/>
              <w:rPr>
                <w:rFonts w:ascii="宋体" w:hAnsi="宋体" w:cs="宋体" w:eastAsia="宋体" w:hint="default"/>
                <w:sz w:val="24"/>
                <w:szCs w:val="24"/>
              </w:rPr>
            </w:pPr>
            <w:r>
              <w:rPr>
                <w:rFonts w:ascii="宋体" w:hAnsi="宋体" w:cs="宋体" w:eastAsia="宋体" w:hint="default"/>
                <w:sz w:val="24"/>
                <w:szCs w:val="24"/>
              </w:rPr>
              <w:t>应收货款</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29"/>
              <w:jc w:val="right"/>
              <w:rPr>
                <w:rFonts w:ascii="Arial" w:hAnsi="Arial" w:cs="Arial" w:eastAsia="Arial" w:hint="default"/>
                <w:sz w:val="24"/>
                <w:szCs w:val="24"/>
              </w:rPr>
            </w:pPr>
            <w:r>
              <w:rPr>
                <w:rFonts w:ascii="Arial"/>
                <w:spacing w:val="-1"/>
                <w:w w:val="95"/>
                <w:sz w:val="24"/>
              </w:rPr>
              <w:t>34</w:t>
            </w:r>
            <w:r>
              <w:rPr>
                <w:rFonts w:ascii="Arial"/>
                <w:sz w:val="24"/>
              </w:rPr>
            </w:r>
          </w:p>
        </w:tc>
        <w:tc>
          <w:tcPr>
            <w:tcW w:w="2146" w:type="dxa"/>
            <w:tcBorders>
              <w:top w:val="nil" w:sz="6" w:space="0" w:color="auto"/>
              <w:left w:val="nil" w:sz="6" w:space="0" w:color="auto"/>
              <w:bottom w:val="nil" w:sz="6" w:space="0" w:color="auto"/>
              <w:right w:val="nil" w:sz="6" w:space="0" w:color="auto"/>
            </w:tcBorders>
          </w:tcPr>
          <w:p>
            <w:pPr>
              <w:pStyle w:val="TableParagraph"/>
              <w:spacing w:line="270" w:lineRule="exact"/>
              <w:ind w:right="93"/>
              <w:jc w:val="right"/>
              <w:rPr>
                <w:rFonts w:ascii="宋体" w:hAnsi="宋体" w:cs="宋体" w:eastAsia="宋体" w:hint="default"/>
                <w:sz w:val="24"/>
                <w:szCs w:val="24"/>
              </w:rPr>
            </w:pPr>
            <w:r>
              <w:rPr>
                <w:rFonts w:ascii="宋体" w:hAnsi="宋体" w:cs="宋体" w:eastAsia="宋体" w:hint="default"/>
                <w:sz w:val="24"/>
                <w:szCs w:val="24"/>
              </w:rPr>
              <w:t>长时间催讨无结果</w:t>
            </w:r>
          </w:p>
        </w:tc>
        <w:tc>
          <w:tcPr>
            <w:tcW w:w="1330" w:type="dxa"/>
            <w:tcBorders>
              <w:top w:val="nil" w:sz="6" w:space="0" w:color="auto"/>
              <w:left w:val="nil" w:sz="6" w:space="0" w:color="auto"/>
              <w:bottom w:val="nil" w:sz="6" w:space="0" w:color="auto"/>
              <w:right w:val="nil" w:sz="6" w:space="0" w:color="auto"/>
            </w:tcBorders>
          </w:tcPr>
          <w:p>
            <w:pPr>
              <w:pStyle w:val="TableParagraph"/>
              <w:spacing w:line="270" w:lineRule="exact"/>
              <w:ind w:right="33"/>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14" w:hRule="exact"/>
        </w:trPr>
        <w:tc>
          <w:tcPr>
            <w:tcW w:w="3737" w:type="dxa"/>
            <w:gridSpan w:val="2"/>
            <w:tcBorders>
              <w:top w:val="nil" w:sz="6" w:space="0" w:color="auto"/>
              <w:left w:val="nil" w:sz="6" w:space="0" w:color="auto"/>
              <w:bottom w:val="nil" w:sz="6" w:space="0" w:color="auto"/>
              <w:right w:val="nil" w:sz="6" w:space="0" w:color="auto"/>
            </w:tcBorders>
          </w:tcPr>
          <w:p>
            <w:pPr>
              <w:pStyle w:val="TableParagraph"/>
              <w:spacing w:line="278" w:lineRule="exact"/>
              <w:ind w:left="781" w:right="0"/>
              <w:jc w:val="left"/>
              <w:rPr>
                <w:rFonts w:ascii="Arial" w:hAnsi="Arial" w:cs="Arial" w:eastAsia="Arial" w:hint="default"/>
                <w:sz w:val="24"/>
                <w:szCs w:val="24"/>
              </w:rPr>
            </w:pPr>
            <w:r>
              <w:rPr>
                <w:rFonts w:ascii="宋体" w:hAnsi="宋体" w:cs="宋体" w:eastAsia="宋体" w:hint="default"/>
                <w:sz w:val="24"/>
                <w:szCs w:val="24"/>
              </w:rPr>
              <w:t>其他</w:t>
            </w:r>
            <w:r>
              <w:rPr>
                <w:rFonts w:ascii="Arial" w:hAnsi="Arial" w:cs="Arial" w:eastAsia="Arial" w:hint="default"/>
                <w:sz w:val="24"/>
                <w:szCs w:val="24"/>
              </w:rPr>
              <w:t>(</w:t>
            </w:r>
            <w:r>
              <w:rPr>
                <w:rFonts w:ascii="宋体" w:hAnsi="宋体" w:cs="宋体" w:eastAsia="宋体" w:hint="default"/>
                <w:sz w:val="24"/>
                <w:szCs w:val="24"/>
              </w:rPr>
              <w:t>单笔金额较小</w:t>
            </w:r>
            <w:r>
              <w:rPr>
                <w:rFonts w:ascii="Arial" w:hAnsi="Arial" w:cs="Arial" w:eastAsia="Arial" w:hint="default"/>
                <w:sz w:val="24"/>
                <w:szCs w:val="24"/>
              </w:rPr>
              <w:t>)</w:t>
            </w:r>
          </w:p>
        </w:tc>
        <w:tc>
          <w:tcPr>
            <w:tcW w:w="188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tabs>
                <w:tab w:pos="446" w:val="left" w:leader="none"/>
                <w:tab w:pos="1147" w:val="left" w:leader="none"/>
              </w:tabs>
              <w:spacing w:line="240" w:lineRule="auto" w:before="20"/>
              <w:ind w:right="12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1,720</w:t>
              <w:tab/>
            </w:r>
            <w:r>
              <w:rPr>
                <w:rFonts w:ascii="Arial"/>
                <w:spacing w:val="-1"/>
                <w:sz w:val="24"/>
              </w:rPr>
            </w:r>
          </w:p>
        </w:tc>
        <w:tc>
          <w:tcPr>
            <w:tcW w:w="2146" w:type="dxa"/>
            <w:tcBorders>
              <w:top w:val="nil" w:sz="6" w:space="0" w:color="auto"/>
              <w:left w:val="nil" w:sz="6" w:space="0" w:color="auto"/>
              <w:bottom w:val="nil" w:sz="6" w:space="0" w:color="auto"/>
              <w:right w:val="nil" w:sz="6" w:space="0" w:color="auto"/>
            </w:tcBorders>
          </w:tcPr>
          <w:p>
            <w:pPr>
              <w:pStyle w:val="TableParagraph"/>
              <w:spacing w:line="261" w:lineRule="exact"/>
              <w:ind w:right="93"/>
              <w:jc w:val="right"/>
              <w:rPr>
                <w:rFonts w:ascii="宋体" w:hAnsi="宋体" w:cs="宋体" w:eastAsia="宋体" w:hint="default"/>
                <w:sz w:val="24"/>
                <w:szCs w:val="24"/>
              </w:rPr>
            </w:pPr>
            <w:r>
              <w:rPr>
                <w:rFonts w:ascii="宋体" w:hAnsi="宋体" w:cs="宋体" w:eastAsia="宋体" w:hint="default"/>
                <w:sz w:val="24"/>
                <w:szCs w:val="24"/>
              </w:rPr>
              <w:t>长时间催讨无结果</w:t>
            </w:r>
          </w:p>
        </w:tc>
        <w:tc>
          <w:tcPr>
            <w:tcW w:w="1330"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63" w:hRule="exact"/>
        </w:trPr>
        <w:tc>
          <w:tcPr>
            <w:tcW w:w="3737" w:type="dxa"/>
            <w:gridSpan w:val="2"/>
            <w:tcBorders>
              <w:top w:val="nil" w:sz="6" w:space="0" w:color="auto"/>
              <w:left w:val="nil" w:sz="6" w:space="0" w:color="auto"/>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tabs>
                <w:tab w:pos="431" w:val="left" w:leader="none"/>
                <w:tab w:pos="1132" w:val="left" w:leader="none"/>
              </w:tabs>
              <w:spacing w:line="268" w:lineRule="exact"/>
              <w:ind w:right="12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2,088</w:t>
              <w:tab/>
            </w:r>
            <w:r>
              <w:rPr>
                <w:rFonts w:ascii="Arial"/>
                <w:spacing w:val="-1"/>
                <w:sz w:val="24"/>
              </w:rPr>
            </w:r>
          </w:p>
        </w:tc>
        <w:tc>
          <w:tcPr>
            <w:tcW w:w="214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8"/>
          <w:szCs w:val="8"/>
        </w:rPr>
      </w:pPr>
    </w:p>
    <w:p>
      <w:pPr>
        <w:pStyle w:val="BodyText"/>
        <w:tabs>
          <w:tab w:pos="857" w:val="left" w:leader="none"/>
        </w:tabs>
        <w:spacing w:line="312" w:lineRule="exact" w:before="63"/>
        <w:ind w:left="857" w:right="645" w:hanging="714"/>
        <w:jc w:val="left"/>
      </w:pPr>
      <w:r>
        <w:rPr>
          <w:rFonts w:ascii="Arial" w:hAnsi="Arial" w:cs="Arial" w:eastAsia="Arial" w:hint="default"/>
          <w:position w:val="2"/>
        </w:rPr>
        <w:t>(f)</w:t>
        <w:tab/>
      </w:r>
      <w:r>
        <w:rPr/>
        <w:t>于</w:t>
      </w:r>
      <w:r>
        <w:rPr>
          <w:spacing w:val="-58"/>
        </w:rPr>
        <w:t> </w:t>
      </w:r>
      <w:r>
        <w:rPr>
          <w:rFonts w:ascii="Arial" w:hAnsi="Arial" w:cs="Arial" w:eastAsia="Arial" w:hint="default"/>
        </w:rPr>
        <w:t>2010</w:t>
      </w:r>
      <w:r>
        <w:rPr>
          <w:rFonts w:ascii="Arial" w:hAnsi="Arial" w:cs="Arial" w:eastAsia="Arial" w:hint="default"/>
          <w:spacing w:val="-5"/>
        </w:rPr>
        <w:t> </w:t>
      </w:r>
      <w:r>
        <w:rPr/>
        <w:t>年</w:t>
      </w:r>
      <w:r>
        <w:rPr>
          <w:spacing w:val="-57"/>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t>日及</w:t>
      </w:r>
      <w:r>
        <w:rPr>
          <w:spacing w:val="-58"/>
        </w:rPr>
        <w:t> </w:t>
      </w:r>
      <w:r>
        <w:rPr>
          <w:rFonts w:ascii="Arial" w:hAnsi="Arial" w:cs="Arial" w:eastAsia="Arial" w:hint="default"/>
        </w:rPr>
        <w:t>2009</w:t>
      </w:r>
      <w:r>
        <w:rPr>
          <w:rFonts w:ascii="Arial" w:hAnsi="Arial" w:cs="Arial" w:eastAsia="Arial" w:hint="default"/>
          <w:spacing w:val="-5"/>
        </w:rPr>
        <w:t> </w:t>
      </w:r>
      <w:r>
        <w:rPr/>
        <w:t>年</w:t>
      </w:r>
      <w:r>
        <w:rPr>
          <w:spacing w:val="-57"/>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t>日，其他应收款和长期应收款中无应收持有 本公司</w:t>
      </w:r>
      <w:r>
        <w:rPr>
          <w:spacing w:val="-63"/>
        </w:rPr>
        <w:t> </w:t>
      </w:r>
      <w:r>
        <w:rPr>
          <w:rFonts w:ascii="Arial" w:hAnsi="Arial" w:cs="Arial" w:eastAsia="Arial" w:hint="default"/>
        </w:rPr>
        <w:t>5%(</w:t>
      </w:r>
      <w:r>
        <w:rPr/>
        <w:t>含</w:t>
      </w:r>
      <w:r>
        <w:rPr>
          <w:spacing w:val="-63"/>
        </w:rPr>
        <w:t> </w:t>
      </w:r>
      <w:r>
        <w:rPr>
          <w:rFonts w:ascii="Arial" w:hAnsi="Arial" w:cs="Arial" w:eastAsia="Arial" w:hint="default"/>
        </w:rPr>
        <w:t>5%)</w:t>
      </w:r>
      <w:r>
        <w:rPr/>
        <w:t>以上表决权股份的股东的款项。</w:t>
      </w:r>
    </w:p>
    <w:p>
      <w:pPr>
        <w:spacing w:after="0" w:line="312" w:lineRule="exact"/>
        <w:jc w:val="left"/>
        <w:sectPr>
          <w:pgSz w:w="11910" w:h="16840"/>
          <w:pgMar w:header="1475" w:footer="947" w:top="3020" w:bottom="1140" w:left="980" w:right="28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left="103" w:right="104"/>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03" w:right="104" w:firstLine="0"/>
        <w:jc w:val="left"/>
        <w:rPr>
          <w:rFonts w:ascii="Arial" w:hAnsi="Arial" w:cs="Arial" w:eastAsia="Arial" w:hint="default"/>
          <w:sz w:val="24"/>
          <w:szCs w:val="24"/>
        </w:rPr>
      </w:pPr>
      <w:r>
        <w:rPr>
          <w:rFonts w:ascii="Arial" w:hAnsi="Arial" w:cs="Arial" w:eastAsia="Arial" w:hint="default"/>
          <w:w w:val="95"/>
          <w:position w:val="2"/>
          <w:sz w:val="24"/>
          <w:szCs w:val="24"/>
        </w:rPr>
        <w:t>(6)</w:t>
        <w:tab/>
      </w:r>
      <w:r>
        <w:rPr>
          <w:rFonts w:ascii="宋体" w:hAnsi="宋体" w:cs="宋体" w:eastAsia="宋体" w:hint="default"/>
          <w:b/>
          <w:bCs/>
          <w:sz w:val="24"/>
          <w:szCs w:val="24"/>
        </w:rPr>
        <w:t>其他应收款和长期应收款</w:t>
      </w:r>
      <w:r>
        <w:rPr>
          <w:rFonts w:ascii="宋体" w:hAnsi="宋体" w:cs="宋体" w:eastAsia="宋体" w:hint="default"/>
          <w:b/>
          <w:bCs/>
          <w:spacing w:val="-12"/>
          <w:sz w:val="24"/>
          <w:szCs w:val="24"/>
        </w:rPr>
        <w:t> </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17" w:val="left" w:leader="none"/>
        </w:tabs>
        <w:spacing w:line="322" w:lineRule="exact"/>
        <w:ind w:left="103" w:right="104"/>
        <w:jc w:val="left"/>
      </w:pPr>
      <w:r>
        <w:rPr>
          <w:rFonts w:ascii="Arial" w:hAnsi="Arial" w:cs="Arial" w:eastAsia="Arial" w:hint="default"/>
          <w:w w:val="95"/>
          <w:position w:val="2"/>
        </w:rPr>
        <w:t>(g)</w:t>
        <w:tab/>
      </w:r>
      <w:r>
        <w:rPr/>
        <w:t>于</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日，余额前五名的其他应收款和长期应收款分析如下：</w:t>
      </w:r>
    </w:p>
    <w:p>
      <w:pPr>
        <w:pStyle w:val="BodyText"/>
        <w:spacing w:line="312" w:lineRule="exact" w:before="21"/>
        <w:ind w:left="6813" w:right="511"/>
        <w:jc w:val="right"/>
      </w:pPr>
      <w:r>
        <w:rPr/>
        <w:t>占其他应收款 和长期应收款</w:t>
      </w:r>
    </w:p>
    <w:tbl>
      <w:tblPr>
        <w:tblW w:w="0" w:type="auto"/>
        <w:jc w:val="left"/>
        <w:tblInd w:w="788" w:type="dxa"/>
        <w:tblLayout w:type="fixed"/>
        <w:tblCellMar>
          <w:top w:w="0" w:type="dxa"/>
          <w:left w:w="0" w:type="dxa"/>
          <w:bottom w:w="0" w:type="dxa"/>
          <w:right w:w="0" w:type="dxa"/>
        </w:tblCellMar>
        <w:tblLook w:val="01E0"/>
      </w:tblPr>
      <w:tblGrid>
        <w:gridCol w:w="3046"/>
        <w:gridCol w:w="1621"/>
        <w:gridCol w:w="1430"/>
        <w:gridCol w:w="1118"/>
        <w:gridCol w:w="1703"/>
      </w:tblGrid>
      <w:tr>
        <w:trPr>
          <w:trHeight w:val="911"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中国农业银行股份有限公司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72" w:lineRule="exact"/>
              <w:ind w:left="130" w:right="0"/>
              <w:jc w:val="left"/>
              <w:rPr>
                <w:rFonts w:ascii="宋体" w:hAnsi="宋体" w:cs="宋体" w:eastAsia="宋体" w:hint="default"/>
                <w:sz w:val="24"/>
                <w:szCs w:val="24"/>
              </w:rPr>
            </w:pPr>
            <w:r>
              <w:rPr>
                <w:rFonts w:ascii="宋体" w:hAnsi="宋体" w:cs="宋体" w:eastAsia="宋体" w:hint="default"/>
                <w:sz w:val="24"/>
                <w:szCs w:val="24"/>
              </w:rPr>
              <w:t>与本集团关系</w:t>
            </w: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850" w:right="0"/>
              <w:jc w:val="left"/>
              <w:rPr>
                <w:rFonts w:ascii="宋体" w:hAnsi="宋体" w:cs="宋体" w:eastAsia="宋体" w:hint="default"/>
                <w:sz w:val="24"/>
                <w:szCs w:val="24"/>
              </w:rPr>
            </w:pPr>
            <w:r>
              <w:rPr>
                <w:rFonts w:ascii="宋体" w:hAnsi="宋体" w:cs="宋体" w:eastAsia="宋体" w:hint="default"/>
                <w:sz w:val="24"/>
                <w:szCs w:val="24"/>
              </w:rPr>
              <w:t>第三方</w:t>
            </w:r>
          </w:p>
        </w:tc>
        <w:tc>
          <w:tcPr>
            <w:tcW w:w="1430" w:type="dxa"/>
            <w:tcBorders>
              <w:top w:val="nil" w:sz="6" w:space="0" w:color="auto"/>
              <w:left w:val="nil" w:sz="6" w:space="0" w:color="auto"/>
              <w:bottom w:val="nil" w:sz="6" w:space="0" w:color="auto"/>
              <w:right w:val="nil" w:sz="6" w:space="0" w:color="auto"/>
            </w:tcBorders>
          </w:tcPr>
          <w:p>
            <w:pPr>
              <w:pStyle w:val="TableParagraph"/>
              <w:spacing w:line="272" w:lineRule="exact"/>
              <w:ind w:left="353" w:right="0" w:firstLine="386"/>
              <w:jc w:val="left"/>
              <w:rPr>
                <w:rFonts w:ascii="宋体" w:hAnsi="宋体" w:cs="宋体" w:eastAsia="宋体" w:hint="default"/>
                <w:sz w:val="24"/>
                <w:szCs w:val="24"/>
              </w:rPr>
            </w:pPr>
            <w:r>
              <w:rPr>
                <w:rFonts w:ascii="宋体" w:hAnsi="宋体" w:cs="宋体" w:eastAsia="宋体" w:hint="default"/>
                <w:sz w:val="24"/>
                <w:szCs w:val="24"/>
              </w:rPr>
              <w:t>金额</w:t>
            </w: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53" w:right="0"/>
              <w:jc w:val="left"/>
              <w:rPr>
                <w:rFonts w:ascii="Arial" w:hAnsi="Arial" w:cs="Arial" w:eastAsia="Arial" w:hint="default"/>
                <w:sz w:val="24"/>
                <w:szCs w:val="24"/>
              </w:rPr>
            </w:pPr>
            <w:r>
              <w:rPr>
                <w:rFonts w:ascii="Arial"/>
                <w:sz w:val="24"/>
              </w:rPr>
              <w:t>700,000</w:t>
            </w:r>
          </w:p>
        </w:tc>
        <w:tc>
          <w:tcPr>
            <w:tcW w:w="1118"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firstLine="480"/>
              <w:jc w:val="left"/>
              <w:rPr>
                <w:rFonts w:ascii="宋体" w:hAnsi="宋体" w:cs="宋体" w:eastAsia="宋体" w:hint="default"/>
                <w:sz w:val="24"/>
                <w:szCs w:val="24"/>
              </w:rPr>
            </w:pPr>
            <w:r>
              <w:rPr>
                <w:rFonts w:ascii="宋体" w:hAnsi="宋体" w:cs="宋体" w:eastAsia="宋体" w:hint="default"/>
                <w:sz w:val="24"/>
                <w:szCs w:val="24"/>
              </w:rPr>
              <w:t>年限</w:t>
            </w: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703" w:type="dxa"/>
            <w:tcBorders>
              <w:top w:val="nil" w:sz="6" w:space="0" w:color="auto"/>
              <w:left w:val="nil" w:sz="6" w:space="0" w:color="auto"/>
              <w:bottom w:val="nil" w:sz="6" w:space="0" w:color="auto"/>
              <w:right w:val="nil" w:sz="6" w:space="0" w:color="auto"/>
            </w:tcBorders>
          </w:tcPr>
          <w:p>
            <w:pPr>
              <w:pStyle w:val="TableParagraph"/>
              <w:spacing w:line="272" w:lineRule="exact"/>
              <w:ind w:right="33"/>
              <w:jc w:val="right"/>
              <w:rPr>
                <w:rFonts w:ascii="宋体" w:hAnsi="宋体" w:cs="宋体" w:eastAsia="宋体" w:hint="default"/>
                <w:sz w:val="24"/>
                <w:szCs w:val="24"/>
              </w:rPr>
            </w:pPr>
            <w:r>
              <w:rPr>
                <w:rFonts w:ascii="宋体" w:hAnsi="宋体" w:cs="宋体" w:eastAsia="宋体" w:hint="default"/>
                <w:sz w:val="24"/>
                <w:szCs w:val="24"/>
              </w:rPr>
              <w:t>总额比例</w:t>
            </w: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33"/>
              <w:jc w:val="right"/>
              <w:rPr>
                <w:rFonts w:ascii="Arial" w:hAnsi="Arial" w:cs="Arial" w:eastAsia="Arial" w:hint="default"/>
                <w:sz w:val="24"/>
                <w:szCs w:val="24"/>
              </w:rPr>
            </w:pPr>
            <w:r>
              <w:rPr>
                <w:rFonts w:ascii="Arial"/>
                <w:spacing w:val="-1"/>
                <w:w w:val="95"/>
                <w:sz w:val="24"/>
              </w:rPr>
              <w:t>62%</w:t>
            </w:r>
            <w:r>
              <w:rPr>
                <w:rFonts w:ascii="Arial"/>
                <w:sz w:val="24"/>
              </w:rPr>
            </w:r>
          </w:p>
        </w:tc>
      </w:tr>
      <w:tr>
        <w:trPr>
          <w:trHeight w:val="312"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郑州市二七区政府</w:t>
            </w:r>
          </w:p>
        </w:tc>
        <w:tc>
          <w:tcPr>
            <w:tcW w:w="1621" w:type="dxa"/>
            <w:tcBorders>
              <w:top w:val="nil" w:sz="6" w:space="0" w:color="auto"/>
              <w:left w:val="nil" w:sz="6" w:space="0" w:color="auto"/>
              <w:bottom w:val="nil" w:sz="6" w:space="0" w:color="auto"/>
              <w:right w:val="nil" w:sz="6" w:space="0" w:color="auto"/>
            </w:tcBorders>
          </w:tcPr>
          <w:p>
            <w:pPr>
              <w:pStyle w:val="TableParagraph"/>
              <w:spacing w:line="261" w:lineRule="exact"/>
              <w:ind w:right="48"/>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7"/>
              <w:jc w:val="right"/>
              <w:rPr>
                <w:rFonts w:ascii="Arial" w:hAnsi="Arial" w:cs="Arial" w:eastAsia="Arial" w:hint="default"/>
                <w:sz w:val="24"/>
                <w:szCs w:val="24"/>
              </w:rPr>
            </w:pPr>
            <w:r>
              <w:rPr>
                <w:rFonts w:ascii="Arial"/>
                <w:spacing w:val="-1"/>
                <w:w w:val="95"/>
                <w:sz w:val="24"/>
              </w:rPr>
              <w:t>20,000</w:t>
            </w:r>
            <w:r>
              <w:rPr>
                <w:rFonts w:ascii="Arial"/>
                <w:sz w:val="24"/>
              </w:rPr>
            </w:r>
          </w:p>
        </w:tc>
        <w:tc>
          <w:tcPr>
            <w:tcW w:w="1118" w:type="dxa"/>
            <w:tcBorders>
              <w:top w:val="nil" w:sz="6" w:space="0" w:color="auto"/>
              <w:left w:val="nil" w:sz="6" w:space="0" w:color="auto"/>
              <w:bottom w:val="nil" w:sz="6" w:space="0" w:color="auto"/>
              <w:right w:val="nil" w:sz="6" w:space="0" w:color="auto"/>
            </w:tcBorders>
          </w:tcPr>
          <w:p>
            <w:pPr>
              <w:pStyle w:val="TableParagraph"/>
              <w:spacing w:line="261" w:lineRule="exact"/>
              <w:ind w:left="57" w:right="0"/>
              <w:jc w:val="center"/>
              <w:rPr>
                <w:rFonts w:ascii="宋体" w:hAnsi="宋体" w:cs="宋体" w:eastAsia="宋体" w:hint="default"/>
                <w:sz w:val="24"/>
                <w:szCs w:val="24"/>
              </w:rPr>
            </w:pPr>
            <w:r>
              <w:rPr>
                <w:rFonts w:ascii="宋体" w:hAnsi="宋体" w:cs="宋体" w:eastAsia="宋体" w:hint="default"/>
                <w:sz w:val="24"/>
                <w:szCs w:val="24"/>
              </w:rPr>
              <w:t>一年以内</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4"/>
                <w:szCs w:val="24"/>
              </w:rPr>
            </w:pPr>
            <w:r>
              <w:rPr>
                <w:rFonts w:ascii="Arial"/>
                <w:spacing w:val="-1"/>
                <w:w w:val="95"/>
                <w:sz w:val="24"/>
              </w:rPr>
              <w:t>2%</w:t>
            </w:r>
            <w:r>
              <w:rPr>
                <w:rFonts w:ascii="Arial"/>
                <w:sz w:val="24"/>
              </w:rPr>
            </w:r>
          </w:p>
        </w:tc>
      </w:tr>
      <w:tr>
        <w:trPr>
          <w:trHeight w:val="312"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61" w:lineRule="exact"/>
              <w:ind w:left="47" w:right="0"/>
              <w:jc w:val="left"/>
              <w:rPr>
                <w:rFonts w:ascii="宋体" w:hAnsi="宋体" w:cs="宋体" w:eastAsia="宋体" w:hint="default"/>
                <w:sz w:val="24"/>
                <w:szCs w:val="24"/>
              </w:rPr>
            </w:pPr>
            <w:r>
              <w:rPr>
                <w:rFonts w:ascii="宋体" w:hAnsi="宋体" w:cs="宋体" w:eastAsia="宋体" w:hint="default"/>
                <w:sz w:val="24"/>
                <w:szCs w:val="24"/>
              </w:rPr>
              <w:t>广州江南房产有限公司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61" w:lineRule="exact"/>
              <w:ind w:right="48"/>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7"/>
              <w:jc w:val="right"/>
              <w:rPr>
                <w:rFonts w:ascii="Arial" w:hAnsi="Arial" w:cs="Arial" w:eastAsia="Arial" w:hint="default"/>
                <w:sz w:val="24"/>
                <w:szCs w:val="24"/>
              </w:rPr>
            </w:pPr>
            <w:r>
              <w:rPr>
                <w:rFonts w:ascii="Arial"/>
                <w:spacing w:val="-1"/>
                <w:w w:val="95"/>
                <w:sz w:val="24"/>
              </w:rPr>
              <w:t>17,543</w:t>
            </w:r>
            <w:r>
              <w:rPr>
                <w:rFonts w:ascii="Arial"/>
                <w:sz w:val="24"/>
              </w:rPr>
            </w:r>
          </w:p>
        </w:tc>
        <w:tc>
          <w:tcPr>
            <w:tcW w:w="1118" w:type="dxa"/>
            <w:tcBorders>
              <w:top w:val="nil" w:sz="6" w:space="0" w:color="auto"/>
              <w:left w:val="nil" w:sz="6" w:space="0" w:color="auto"/>
              <w:bottom w:val="nil" w:sz="6" w:space="0" w:color="auto"/>
              <w:right w:val="nil" w:sz="6" w:space="0" w:color="auto"/>
            </w:tcBorders>
          </w:tcPr>
          <w:p>
            <w:pPr>
              <w:pStyle w:val="TableParagraph"/>
              <w:spacing w:line="261" w:lineRule="exact"/>
              <w:ind w:left="57" w:right="0"/>
              <w:jc w:val="center"/>
              <w:rPr>
                <w:rFonts w:ascii="宋体" w:hAnsi="宋体" w:cs="宋体" w:eastAsia="宋体" w:hint="default"/>
                <w:sz w:val="24"/>
                <w:szCs w:val="24"/>
              </w:rPr>
            </w:pPr>
            <w:r>
              <w:rPr>
                <w:rFonts w:ascii="宋体" w:hAnsi="宋体" w:cs="宋体" w:eastAsia="宋体" w:hint="default"/>
                <w:sz w:val="24"/>
                <w:szCs w:val="24"/>
              </w:rPr>
              <w:t>一年以内</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4"/>
                <w:szCs w:val="24"/>
              </w:rPr>
            </w:pPr>
            <w:r>
              <w:rPr>
                <w:rFonts w:ascii="Arial"/>
                <w:spacing w:val="-1"/>
                <w:w w:val="95"/>
                <w:sz w:val="24"/>
              </w:rPr>
              <w:t>2%</w:t>
            </w:r>
            <w:r>
              <w:rPr>
                <w:rFonts w:ascii="Arial"/>
                <w:sz w:val="24"/>
              </w:rPr>
            </w:r>
          </w:p>
        </w:tc>
      </w:tr>
      <w:tr>
        <w:trPr>
          <w:trHeight w:val="312"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南京政治学院上海分院</w:t>
            </w:r>
          </w:p>
        </w:tc>
        <w:tc>
          <w:tcPr>
            <w:tcW w:w="1621" w:type="dxa"/>
            <w:tcBorders>
              <w:top w:val="nil" w:sz="6" w:space="0" w:color="auto"/>
              <w:left w:val="nil" w:sz="6" w:space="0" w:color="auto"/>
              <w:bottom w:val="nil" w:sz="6" w:space="0" w:color="auto"/>
              <w:right w:val="nil" w:sz="6" w:space="0" w:color="auto"/>
            </w:tcBorders>
          </w:tcPr>
          <w:p>
            <w:pPr>
              <w:pStyle w:val="TableParagraph"/>
              <w:spacing w:line="261" w:lineRule="exact"/>
              <w:ind w:right="48"/>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7"/>
              <w:jc w:val="right"/>
              <w:rPr>
                <w:rFonts w:ascii="Arial" w:hAnsi="Arial" w:cs="Arial" w:eastAsia="Arial" w:hint="default"/>
                <w:sz w:val="24"/>
                <w:szCs w:val="24"/>
              </w:rPr>
            </w:pPr>
            <w:r>
              <w:rPr>
                <w:rFonts w:ascii="Arial"/>
                <w:spacing w:val="-1"/>
                <w:w w:val="95"/>
                <w:sz w:val="24"/>
              </w:rPr>
              <w:t>16,000</w:t>
            </w:r>
            <w:r>
              <w:rPr>
                <w:rFonts w:ascii="Arial"/>
                <w:sz w:val="24"/>
              </w:rPr>
            </w:r>
          </w:p>
        </w:tc>
        <w:tc>
          <w:tcPr>
            <w:tcW w:w="1118" w:type="dxa"/>
            <w:tcBorders>
              <w:top w:val="nil" w:sz="6" w:space="0" w:color="auto"/>
              <w:left w:val="nil" w:sz="6" w:space="0" w:color="auto"/>
              <w:bottom w:val="nil" w:sz="6" w:space="0" w:color="auto"/>
              <w:right w:val="nil" w:sz="6" w:space="0" w:color="auto"/>
            </w:tcBorders>
          </w:tcPr>
          <w:p>
            <w:pPr>
              <w:pStyle w:val="TableParagraph"/>
              <w:spacing w:line="261" w:lineRule="exact"/>
              <w:ind w:left="57" w:right="0"/>
              <w:jc w:val="center"/>
              <w:rPr>
                <w:rFonts w:ascii="宋体" w:hAnsi="宋体" w:cs="宋体" w:eastAsia="宋体" w:hint="default"/>
                <w:sz w:val="24"/>
                <w:szCs w:val="24"/>
              </w:rPr>
            </w:pPr>
            <w:r>
              <w:rPr>
                <w:rFonts w:ascii="宋体" w:hAnsi="宋体" w:cs="宋体" w:eastAsia="宋体" w:hint="default"/>
                <w:sz w:val="24"/>
                <w:szCs w:val="24"/>
              </w:rPr>
              <w:t>一到二年</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4"/>
                <w:szCs w:val="24"/>
              </w:rPr>
            </w:pPr>
            <w:r>
              <w:rPr>
                <w:rFonts w:ascii="Arial"/>
                <w:spacing w:val="-1"/>
                <w:w w:val="95"/>
                <w:sz w:val="24"/>
              </w:rPr>
              <w:t>1%</w:t>
            </w:r>
            <w:r>
              <w:rPr>
                <w:rFonts w:ascii="Arial"/>
                <w:sz w:val="24"/>
              </w:rPr>
            </w:r>
          </w:p>
        </w:tc>
      </w:tr>
      <w:tr>
        <w:trPr>
          <w:trHeight w:val="293"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广州市瀚森第壹街购物中心</w:t>
            </w:r>
          </w:p>
        </w:tc>
        <w:tc>
          <w:tcPr>
            <w:tcW w:w="1621"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r>
    </w:tbl>
    <w:p>
      <w:pPr>
        <w:pStyle w:val="BodyText"/>
        <w:tabs>
          <w:tab w:pos="4684" w:val="left" w:leader="none"/>
          <w:tab w:pos="5942" w:val="left" w:leader="none"/>
          <w:tab w:pos="6992" w:val="left" w:leader="none"/>
          <w:tab w:pos="9323" w:val="left" w:leader="none"/>
          <w:tab w:pos="9771" w:val="left" w:leader="none"/>
        </w:tabs>
        <w:spacing w:line="326" w:lineRule="exact"/>
        <w:ind w:left="1063" w:right="104"/>
        <w:jc w:val="left"/>
        <w:rPr>
          <w:rFonts w:ascii="Arial" w:hAnsi="Arial" w:cs="Arial" w:eastAsia="Arial" w:hint="default"/>
        </w:rPr>
      </w:pPr>
      <w:r>
        <w:rPr>
          <w:position w:val="2"/>
        </w:rPr>
        <w:t>有限公司</w:t>
        <w:tab/>
        <w:t>第三方</w:t>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10,000</w:t>
      </w:r>
      <w:r>
        <w:rPr>
          <w:rFonts w:ascii="Arial" w:hAnsi="Arial" w:cs="Arial" w:eastAsia="Arial" w:hint="default"/>
          <w:spacing w:val="-1"/>
        </w:rPr>
        <w:tab/>
      </w:r>
      <w:r>
        <w:rPr>
          <w:position w:val="2"/>
        </w:rPr>
        <w:t>二到三年</w:t>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1%</w:t>
        <w:tab/>
      </w:r>
      <w:r>
        <w:rPr>
          <w:rFonts w:ascii="Arial" w:hAnsi="Arial" w:cs="Arial" w:eastAsia="Arial" w:hint="default"/>
          <w:spacing w:val="-1"/>
        </w:rPr>
      </w:r>
    </w:p>
    <w:p>
      <w:pPr>
        <w:pStyle w:val="BodyText"/>
        <w:tabs>
          <w:tab w:pos="5809" w:val="left" w:leader="none"/>
          <w:tab w:pos="8053" w:val="left" w:leader="none"/>
          <w:tab w:pos="9190" w:val="left" w:leader="none"/>
          <w:tab w:pos="9771" w:val="left" w:leader="none"/>
        </w:tabs>
        <w:spacing w:line="240" w:lineRule="auto" w:before="9"/>
        <w:ind w:left="5505" w:right="104"/>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763,543</w:t>
      </w:r>
      <w:r>
        <w:rPr>
          <w:rFonts w:ascii="Arial"/>
          <w:spacing w:val="-1"/>
        </w:rPr>
        <w:tab/>
      </w:r>
      <w:r>
        <w:rPr>
          <w:rFonts w:ascii="Arial"/>
          <w:spacing w:val="-1"/>
          <w:u w:val="thick" w:color="000000"/>
        </w:rPr>
        <w:t> </w:t>
        <w:tab/>
        <w:t>68%</w:t>
        <w:tab/>
      </w:r>
      <w:r>
        <w:rPr>
          <w:rFonts w:ascii="Arial"/>
          <w:spacing w:val="-1"/>
        </w:rPr>
      </w:r>
    </w:p>
    <w:p>
      <w:pPr>
        <w:spacing w:line="240" w:lineRule="auto" w:before="8"/>
        <w:rPr>
          <w:rFonts w:ascii="Arial" w:hAnsi="Arial" w:cs="Arial" w:eastAsia="Arial" w:hint="default"/>
          <w:sz w:val="20"/>
          <w:szCs w:val="20"/>
        </w:rPr>
      </w:pPr>
    </w:p>
    <w:p>
      <w:pPr>
        <w:pStyle w:val="BodyText"/>
        <w:tabs>
          <w:tab w:pos="817" w:val="left" w:leader="none"/>
        </w:tabs>
        <w:spacing w:line="312" w:lineRule="exact" w:before="63"/>
        <w:ind w:left="817" w:right="225" w:hanging="714"/>
        <w:jc w:val="left"/>
      </w:pPr>
      <w:r>
        <w:rPr>
          <w:rFonts w:ascii="Arial" w:hAnsi="Arial" w:cs="Arial" w:eastAsia="Arial" w:hint="default"/>
          <w:w w:val="95"/>
          <w:position w:val="2"/>
        </w:rPr>
        <w:t>(h)</w:t>
        <w:tab/>
      </w:r>
      <w:r>
        <w:rPr/>
        <w:t>于</w:t>
      </w:r>
      <w:r>
        <w:rPr>
          <w:spacing w:val="-58"/>
        </w:rPr>
        <w:t> </w:t>
      </w:r>
      <w:r>
        <w:rPr>
          <w:rFonts w:ascii="Arial" w:hAnsi="Arial" w:cs="Arial" w:eastAsia="Arial" w:hint="default"/>
        </w:rPr>
        <w:t>2010</w:t>
      </w:r>
      <w:r>
        <w:rPr>
          <w:rFonts w:ascii="Arial" w:hAnsi="Arial" w:cs="Arial" w:eastAsia="Arial" w:hint="default"/>
          <w:spacing w:val="-5"/>
        </w:rPr>
        <w:t> </w:t>
      </w:r>
      <w:r>
        <w:rPr/>
        <w:t>年</w:t>
      </w:r>
      <w:r>
        <w:rPr>
          <w:spacing w:val="-57"/>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t>日及</w:t>
      </w:r>
      <w:r>
        <w:rPr>
          <w:spacing w:val="-58"/>
        </w:rPr>
        <w:t> </w:t>
      </w:r>
      <w:r>
        <w:rPr>
          <w:rFonts w:ascii="Arial" w:hAnsi="Arial" w:cs="Arial" w:eastAsia="Arial" w:hint="default"/>
        </w:rPr>
        <w:t>2009</w:t>
      </w:r>
      <w:r>
        <w:rPr>
          <w:rFonts w:ascii="Arial" w:hAnsi="Arial" w:cs="Arial" w:eastAsia="Arial" w:hint="default"/>
          <w:spacing w:val="-5"/>
        </w:rPr>
        <w:t> </w:t>
      </w:r>
      <w:r>
        <w:rPr/>
        <w:t>年</w:t>
      </w:r>
      <w:r>
        <w:rPr>
          <w:spacing w:val="-57"/>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t>日，其他应收款和长期应收款中无持有应收 关联方的款项。</w:t>
      </w:r>
    </w:p>
    <w:p>
      <w:pPr>
        <w:spacing w:line="240" w:lineRule="auto" w:before="10"/>
        <w:rPr>
          <w:rFonts w:ascii="宋体" w:hAnsi="宋体" w:cs="宋体" w:eastAsia="宋体" w:hint="default"/>
          <w:sz w:val="18"/>
          <w:szCs w:val="18"/>
        </w:rPr>
      </w:pPr>
    </w:p>
    <w:p>
      <w:pPr>
        <w:pStyle w:val="BodyText"/>
        <w:tabs>
          <w:tab w:pos="817" w:val="left" w:leader="none"/>
        </w:tabs>
        <w:spacing w:line="240" w:lineRule="auto"/>
        <w:ind w:left="103" w:right="104"/>
        <w:jc w:val="left"/>
      </w:pPr>
      <w:r>
        <w:rPr>
          <w:rFonts w:ascii="Arial" w:hAnsi="Arial" w:cs="Arial" w:eastAsia="Arial" w:hint="default"/>
          <w:w w:val="95"/>
          <w:position w:val="2"/>
        </w:rPr>
        <w:t>(i)</w:t>
        <w:tab/>
      </w:r>
      <w:r>
        <w:rPr/>
        <w:t>其他应收款和长期应收款中包括以下外币余额：</w:t>
      </w:r>
    </w:p>
    <w:p>
      <w:pPr>
        <w:spacing w:line="240" w:lineRule="auto" w:before="6"/>
        <w:rPr>
          <w:rFonts w:ascii="宋体" w:hAnsi="宋体" w:cs="宋体" w:eastAsia="宋体" w:hint="default"/>
          <w:sz w:val="21"/>
          <w:szCs w:val="21"/>
        </w:rPr>
      </w:pPr>
    </w:p>
    <w:p>
      <w:pPr>
        <w:tabs>
          <w:tab w:pos="5997" w:val="left" w:leader="none"/>
        </w:tabs>
        <w:spacing w:before="0"/>
        <w:ind w:left="1863" w:right="0" w:firstLine="0"/>
        <w:jc w:val="center"/>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tabs>
          <w:tab w:pos="3574" w:val="left" w:leader="none"/>
          <w:tab w:pos="4529" w:val="left" w:leader="none"/>
          <w:tab w:pos="6109" w:val="left" w:leader="none"/>
          <w:tab w:pos="7681" w:val="left" w:leader="none"/>
          <w:tab w:pos="8561" w:val="left" w:leader="none"/>
        </w:tabs>
        <w:spacing w:before="13"/>
        <w:ind w:left="2062" w:right="0" w:firstLine="0"/>
        <w:jc w:val="center"/>
        <w:rPr>
          <w:rFonts w:ascii="宋体" w:hAnsi="宋体" w:cs="宋体" w:eastAsia="宋体" w:hint="default"/>
          <w:sz w:val="20"/>
          <w:szCs w:val="20"/>
        </w:rPr>
      </w:pPr>
      <w:r>
        <w:rPr/>
        <w:pict>
          <v:group style="position:absolute;margin-left:149.880005pt;margin-top:1.500439pt;width:197.1pt;height:.1pt;mso-position-horizontal-relative:page;mso-position-vertical-relative:paragraph;z-index:-1004248" coordorigin="2998,30" coordsize="3942,2">
            <v:shape style="position:absolute;left:2998;top:30;width:3942;height:2" coordorigin="2998,30" coordsize="3942,0" path="m2998,30l6940,30e" filled="false" stroked="true" strokeweight="1.5pt" strokecolor="#000000">
              <v:path arrowok="t"/>
            </v:shape>
            <w10:wrap type="none"/>
          </v:group>
        </w:pict>
      </w:r>
      <w:r>
        <w:rPr/>
        <w:pict>
          <v:group style="position:absolute;margin-left:361.619995pt;margin-top:1.500439pt;width:187pt;height:.1pt;mso-position-horizontal-relative:page;mso-position-vertical-relative:paragraph;z-index:-1004224" coordorigin="7232,30" coordsize="3740,2">
            <v:shape style="position:absolute;left:7232;top:30;width:3740;height:2" coordorigin="7232,30" coordsize="3740,0" path="m7232,30l10972,30e" filled="false" stroked="true" strokeweight="1.5pt" strokecolor="#000000">
              <v:path arrowok="t"/>
            </v:shape>
            <w10:wrap type="none"/>
          </v:group>
        </w:pict>
      </w:r>
      <w:r>
        <w:rPr>
          <w:rFonts w:ascii="宋体" w:hAnsi="宋体" w:cs="宋体" w:eastAsia="宋体" w:hint="default"/>
          <w:sz w:val="20"/>
          <w:szCs w:val="20"/>
        </w:rPr>
        <w:t>外币金额</w:t>
        <w:tab/>
        <w:t>汇率</w:t>
        <w:tab/>
      </w:r>
      <w:r>
        <w:rPr>
          <w:rFonts w:ascii="宋体" w:hAnsi="宋体" w:cs="宋体" w:eastAsia="宋体" w:hint="default"/>
          <w:spacing w:val="-1"/>
          <w:sz w:val="20"/>
          <w:szCs w:val="20"/>
        </w:rPr>
        <w:t>折合人民币</w:t>
        <w:tab/>
      </w:r>
      <w:r>
        <w:rPr>
          <w:rFonts w:ascii="宋体" w:hAnsi="宋体" w:cs="宋体" w:eastAsia="宋体" w:hint="default"/>
          <w:sz w:val="20"/>
          <w:szCs w:val="20"/>
        </w:rPr>
        <w:t>外币金额</w:t>
        <w:tab/>
        <w:t>汇率</w:t>
        <w:tab/>
      </w:r>
      <w:r>
        <w:rPr>
          <w:rFonts w:ascii="宋体" w:hAnsi="宋体" w:cs="宋体" w:eastAsia="宋体" w:hint="default"/>
          <w:spacing w:val="-1"/>
          <w:sz w:val="20"/>
          <w:szCs w:val="20"/>
        </w:rPr>
        <w:t>折合人民币</w:t>
      </w:r>
    </w:p>
    <w:p>
      <w:pPr>
        <w:spacing w:line="240" w:lineRule="auto" w:before="7"/>
        <w:rPr>
          <w:rFonts w:ascii="宋体" w:hAnsi="宋体" w:cs="宋体" w:eastAsia="宋体" w:hint="default"/>
          <w:sz w:val="14"/>
          <w:szCs w:val="14"/>
        </w:rPr>
      </w:pPr>
    </w:p>
    <w:p>
      <w:pPr>
        <w:tabs>
          <w:tab w:pos="2561" w:val="left" w:leader="none"/>
          <w:tab w:pos="3739" w:val="left" w:leader="none"/>
          <w:tab w:pos="4636" w:val="left" w:leader="none"/>
          <w:tab w:pos="5228" w:val="left" w:leader="none"/>
          <w:tab w:pos="7080" w:val="left" w:leader="none"/>
          <w:tab w:pos="8326" w:val="left" w:leader="none"/>
          <w:tab w:pos="8702" w:val="left" w:leader="none"/>
          <w:tab w:pos="9958" w:val="left" w:leader="none"/>
        </w:tabs>
        <w:spacing w:before="42"/>
        <w:ind w:left="925" w:right="104" w:firstLine="0"/>
        <w:jc w:val="left"/>
        <w:rPr>
          <w:rFonts w:ascii="Arial" w:hAnsi="Arial" w:cs="Arial" w:eastAsia="Arial" w:hint="default"/>
          <w:sz w:val="20"/>
          <w:szCs w:val="20"/>
        </w:rPr>
      </w:pPr>
      <w:r>
        <w:rPr>
          <w:rFonts w:ascii="宋体" w:hAnsi="宋体" w:cs="宋体" w:eastAsia="宋体" w:hint="default"/>
          <w:position w:val="1"/>
          <w:sz w:val="20"/>
          <w:szCs w:val="20"/>
        </w:rPr>
        <w:t>港元</w:t>
        <w:tab/>
      </w:r>
      <w:r>
        <w:rPr>
          <w:rFonts w:ascii="Arial" w:hAnsi="Arial" w:cs="Arial" w:eastAsia="Arial" w:hint="default"/>
          <w:sz w:val="20"/>
          <w:szCs w:val="20"/>
        </w:rPr>
        <w:t>34,132</w:t>
        <w:tab/>
        <w:t>0.8509</w:t>
        <w:tab/>
      </w:r>
      <w:r>
        <w:rPr>
          <w:rFonts w:ascii="Arial" w:hAnsi="Arial" w:cs="Arial" w:eastAsia="Arial" w:hint="default"/>
          <w:sz w:val="20"/>
          <w:szCs w:val="20"/>
          <w:u w:val="thick" w:color="000000"/>
        </w:rPr>
        <w:t> </w:t>
        <w:tab/>
        <w:t>29,043</w:t>
      </w:r>
      <w:r>
        <w:rPr>
          <w:rFonts w:ascii="Arial" w:hAnsi="Arial" w:cs="Arial" w:eastAsia="Arial" w:hint="default"/>
          <w:sz w:val="20"/>
          <w:szCs w:val="20"/>
        </w:rPr>
        <w:tab/>
        <w:t>-</w:t>
        <w:tab/>
        <w:t>-</w:t>
        <w:tab/>
      </w:r>
      <w:r>
        <w:rPr>
          <w:rFonts w:ascii="Arial" w:hAnsi="Arial" w:cs="Arial" w:eastAsia="Arial" w:hint="default"/>
          <w:w w:val="100"/>
          <w:sz w:val="20"/>
          <w:szCs w:val="20"/>
        </w:rPr>
      </w:r>
      <w:r>
        <w:rPr>
          <w:rFonts w:ascii="Arial" w:hAnsi="Arial" w:cs="Arial" w:eastAsia="Arial" w:hint="default"/>
          <w:w w:val="100"/>
          <w:sz w:val="20"/>
          <w:szCs w:val="20"/>
          <w:u w:val="thick" w:color="000000"/>
        </w:rPr>
        <w:t> </w:t>
      </w:r>
      <w:r>
        <w:rPr>
          <w:rFonts w:ascii="Arial" w:hAnsi="Arial" w:cs="Arial" w:eastAsia="Arial" w:hint="default"/>
          <w:sz w:val="20"/>
          <w:szCs w:val="20"/>
          <w:u w:val="thick" w:color="000000"/>
        </w:rPr>
        <w:tab/>
      </w:r>
      <w:r>
        <w:rPr>
          <w:rFonts w:ascii="Arial" w:hAnsi="Arial" w:cs="Arial" w:eastAsia="Arial" w:hint="default"/>
          <w:sz w:val="20"/>
          <w:szCs w:val="20"/>
        </w:rPr>
      </w:r>
    </w:p>
    <w:p>
      <w:pPr>
        <w:spacing w:line="240" w:lineRule="auto" w:before="7"/>
        <w:rPr>
          <w:rFonts w:ascii="Arial" w:hAnsi="Arial" w:cs="Arial" w:eastAsia="Arial" w:hint="default"/>
          <w:sz w:val="20"/>
          <w:szCs w:val="20"/>
        </w:rPr>
      </w:pPr>
    </w:p>
    <w:p>
      <w:pPr>
        <w:tabs>
          <w:tab w:pos="817" w:val="left" w:leader="none"/>
        </w:tabs>
        <w:spacing w:before="32"/>
        <w:ind w:left="103"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(7)</w:t>
        <w:tab/>
      </w:r>
      <w:r>
        <w:rPr>
          <w:rFonts w:ascii="宋体" w:hAnsi="宋体" w:cs="宋体" w:eastAsia="宋体" w:hint="default"/>
          <w:b/>
          <w:bCs/>
          <w:sz w:val="24"/>
          <w:szCs w:val="24"/>
        </w:rPr>
        <w:t>预付款项</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817" w:val="left" w:leader="none"/>
        </w:tabs>
        <w:spacing w:line="240" w:lineRule="auto"/>
        <w:ind w:left="103" w:right="104"/>
        <w:jc w:val="left"/>
      </w:pPr>
      <w:r>
        <w:rPr>
          <w:rFonts w:ascii="Arial" w:hAnsi="Arial" w:cs="Arial" w:eastAsia="Arial" w:hint="default"/>
          <w:w w:val="95"/>
          <w:position w:val="2"/>
        </w:rPr>
        <w:t>(a)</w:t>
        <w:tab/>
      </w:r>
      <w:r>
        <w:rPr/>
        <w:t>预付款项账龄分析如下：</w:t>
      </w:r>
    </w:p>
    <w:p>
      <w:pPr>
        <w:spacing w:line="240" w:lineRule="auto" w:before="12"/>
        <w:rPr>
          <w:rFonts w:ascii="宋体" w:hAnsi="宋体" w:cs="宋体" w:eastAsia="宋体" w:hint="default"/>
          <w:sz w:val="20"/>
          <w:szCs w:val="20"/>
        </w:rPr>
      </w:pPr>
    </w:p>
    <w:p>
      <w:pPr>
        <w:pStyle w:val="BodyText"/>
        <w:tabs>
          <w:tab w:pos="7108" w:val="left" w:leader="none"/>
        </w:tabs>
        <w:spacing w:line="240" w:lineRule="auto"/>
        <w:ind w:left="2994" w:right="104"/>
        <w:jc w:val="left"/>
      </w:pP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pStyle w:val="BodyText"/>
        <w:tabs>
          <w:tab w:pos="4646" w:val="left" w:leader="none"/>
          <w:tab w:pos="7492" w:val="left" w:leader="none"/>
          <w:tab w:pos="8757" w:val="left" w:leader="none"/>
        </w:tabs>
        <w:spacing w:line="240" w:lineRule="auto" w:before="11"/>
        <w:ind w:left="3376" w:right="104"/>
        <w:jc w:val="left"/>
      </w:pPr>
      <w:r>
        <w:rPr/>
        <w:pict>
          <v:group style="position:absolute;margin-left:156.720001pt;margin-top:1.755926pt;width:191.65pt;height:.1pt;mso-position-horizontal-relative:page;mso-position-vertical-relative:paragraph;z-index:-1004200" coordorigin="3134,35" coordsize="3833,2">
            <v:shape style="position:absolute;left:3134;top:35;width:3833;height:2" coordorigin="3134,35" coordsize="3833,0" path="m3134,35l6967,35e" filled="false" stroked="true" strokeweight="1.5pt" strokecolor="#000000">
              <v:path arrowok="t"/>
            </v:shape>
            <w10:wrap type="none"/>
          </v:group>
        </w:pict>
      </w:r>
      <w:r>
        <w:rPr/>
        <w:pict>
          <v:group style="position:absolute;margin-left:362.579987pt;margin-top:1.755926pt;width:191.35pt;height:.1pt;mso-position-horizontal-relative:page;mso-position-vertical-relative:paragraph;z-index:-1004176" coordorigin="7252,35" coordsize="3827,2">
            <v:shape style="position:absolute;left:7252;top:35;width:3827;height:2" coordorigin="7252,35" coordsize="3827,0" path="m7252,35l11078,35e" filled="false" stroked="true" strokeweight="1.5pt" strokecolor="#000000">
              <v:path arrowok="t"/>
            </v:shape>
            <w10:wrap type="none"/>
          </v:group>
        </w:pict>
      </w:r>
      <w:r>
        <w:rPr/>
        <w:t>金额</w:t>
        <w:tab/>
        <w:t>占总额比例</w:t>
        <w:tab/>
        <w:t>金额</w:t>
        <w:tab/>
        <w:t>占总额比例</w:t>
      </w:r>
    </w:p>
    <w:p>
      <w:pPr>
        <w:spacing w:line="240" w:lineRule="auto" w:before="12"/>
        <w:rPr>
          <w:rFonts w:ascii="宋体" w:hAnsi="宋体" w:cs="宋体" w:eastAsia="宋体" w:hint="default"/>
          <w:sz w:val="18"/>
          <w:szCs w:val="18"/>
        </w:rPr>
      </w:pPr>
    </w:p>
    <w:p>
      <w:pPr>
        <w:pStyle w:val="BodyText"/>
        <w:tabs>
          <w:tab w:pos="2114" w:val="left" w:leader="none"/>
          <w:tab w:pos="2777" w:val="left" w:leader="none"/>
          <w:tab w:pos="4263" w:val="left" w:leader="none"/>
          <w:tab w:pos="5231" w:val="left" w:leader="none"/>
          <w:tab w:pos="6231" w:val="left" w:leader="none"/>
          <w:tab w:pos="7061" w:val="left" w:leader="none"/>
          <w:tab w:pos="8331" w:val="left" w:leader="none"/>
          <w:tab w:pos="9342" w:val="left" w:leader="none"/>
          <w:tab w:pos="10058" w:val="left" w:leader="none"/>
        </w:tabs>
        <w:spacing w:line="240" w:lineRule="auto" w:before="24"/>
        <w:ind w:left="817" w:right="104"/>
        <w:jc w:val="left"/>
        <w:rPr>
          <w:rFonts w:ascii="Arial" w:hAnsi="Arial" w:cs="Arial" w:eastAsia="Arial" w:hint="default"/>
        </w:rPr>
      </w:pPr>
      <w:r>
        <w:rPr>
          <w:position w:val="2"/>
        </w:rPr>
        <w:t>一年以内</w:t>
        <w:tab/>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2,741,405</w:t>
      </w:r>
      <w:r>
        <w:rPr>
          <w:rFonts w:ascii="Arial" w:hAnsi="Arial" w:cs="Arial" w:eastAsia="Arial" w:hint="default"/>
          <w:spacing w:val="-1"/>
        </w:rPr>
        <w:tab/>
      </w:r>
      <w:r>
        <w:rPr>
          <w:rFonts w:ascii="Arial" w:hAnsi="Arial" w:cs="Arial" w:eastAsia="Arial" w:hint="default"/>
          <w:spacing w:val="-1"/>
          <w:u w:val="thick" w:color="000000"/>
        </w:rPr>
        <w:t> </w:t>
        <w:tab/>
        <w:t>100%</w:t>
      </w:r>
      <w:r>
        <w:rPr>
          <w:rFonts w:ascii="Arial" w:hAnsi="Arial" w:cs="Arial" w:eastAsia="Arial" w:hint="default"/>
          <w:spacing w:val="-1"/>
        </w:rPr>
        <w:tab/>
      </w:r>
      <w:r>
        <w:rPr>
          <w:rFonts w:ascii="Arial" w:hAnsi="Arial" w:cs="Arial" w:eastAsia="Arial" w:hint="default"/>
          <w:spacing w:val="-1"/>
          <w:u w:val="thick" w:color="000000"/>
        </w:rPr>
        <w:t> </w:t>
        <w:tab/>
        <w:t>947,924</w:t>
      </w:r>
      <w:r>
        <w:rPr>
          <w:rFonts w:ascii="Arial" w:hAnsi="Arial" w:cs="Arial" w:eastAsia="Arial" w:hint="default"/>
          <w:spacing w:val="-1"/>
        </w:rPr>
        <w:tab/>
      </w:r>
      <w:r>
        <w:rPr>
          <w:rFonts w:ascii="Arial" w:hAnsi="Arial" w:cs="Arial" w:eastAsia="Arial" w:hint="default"/>
          <w:spacing w:val="-1"/>
          <w:u w:val="thick" w:color="000000"/>
        </w:rPr>
        <w:t> </w:t>
        <w:tab/>
        <w:t>100%</w:t>
        <w:tab/>
      </w:r>
      <w:r>
        <w:rPr>
          <w:rFonts w:ascii="Arial" w:hAnsi="Arial" w:cs="Arial" w:eastAsia="Arial" w:hint="default"/>
          <w:spacing w:val="-1"/>
        </w:rPr>
      </w:r>
    </w:p>
    <w:p>
      <w:pPr>
        <w:spacing w:after="0" w:line="240" w:lineRule="auto"/>
        <w:jc w:val="left"/>
        <w:rPr>
          <w:rFonts w:ascii="Arial" w:hAnsi="Arial" w:cs="Arial" w:eastAsia="Arial" w:hint="default"/>
        </w:rPr>
        <w:sectPr>
          <w:pgSz w:w="11910" w:h="16840"/>
          <w:pgMar w:header="1475" w:footer="947" w:top="3020" w:bottom="1140" w:left="1020" w:right="700"/>
        </w:sectPr>
      </w:pPr>
    </w:p>
    <w:p>
      <w:pPr>
        <w:spacing w:line="240" w:lineRule="auto" w:before="4"/>
        <w:rPr>
          <w:rFonts w:ascii="Arial" w:hAnsi="Arial" w:cs="Arial" w:eastAsia="Arial" w:hint="default"/>
          <w:sz w:val="15"/>
          <w:szCs w:val="15"/>
        </w:rPr>
      </w:pPr>
    </w:p>
    <w:p>
      <w:pPr>
        <w:pStyle w:val="Heading2"/>
        <w:tabs>
          <w:tab w:pos="815" w:val="left" w:leader="none"/>
        </w:tabs>
        <w:spacing w:line="240" w:lineRule="auto"/>
        <w:ind w:left="103" w:right="143"/>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5" w:val="left" w:leader="none"/>
        </w:tabs>
        <w:spacing w:before="0"/>
        <w:ind w:left="103" w:right="143" w:firstLine="0"/>
        <w:jc w:val="left"/>
        <w:rPr>
          <w:rFonts w:ascii="Arial" w:hAnsi="Arial" w:cs="Arial" w:eastAsia="Arial" w:hint="default"/>
          <w:sz w:val="24"/>
          <w:szCs w:val="24"/>
        </w:rPr>
      </w:pPr>
      <w:r>
        <w:rPr>
          <w:rFonts w:ascii="Arial" w:hAnsi="Arial" w:cs="Arial" w:eastAsia="Arial" w:hint="default"/>
          <w:w w:val="95"/>
          <w:position w:val="2"/>
          <w:sz w:val="24"/>
          <w:szCs w:val="24"/>
        </w:rPr>
        <w:t>(7)</w:t>
        <w:tab/>
      </w:r>
      <w:r>
        <w:rPr>
          <w:rFonts w:ascii="宋体" w:hAnsi="宋体" w:cs="宋体" w:eastAsia="宋体" w:hint="default"/>
          <w:b/>
          <w:bCs/>
          <w:sz w:val="24"/>
          <w:szCs w:val="24"/>
        </w:rPr>
        <w:t>预付款项</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15" w:val="left" w:leader="none"/>
        </w:tabs>
        <w:spacing w:line="240" w:lineRule="auto"/>
        <w:ind w:left="103" w:right="143"/>
        <w:jc w:val="left"/>
      </w:pPr>
      <w:r>
        <w:rPr>
          <w:rFonts w:ascii="Arial" w:hAnsi="Arial" w:cs="Arial" w:eastAsia="Arial" w:hint="default"/>
          <w:w w:val="95"/>
          <w:position w:val="2"/>
        </w:rPr>
        <w:t>(b)</w:t>
        <w:tab/>
      </w:r>
      <w:r>
        <w:rPr/>
        <w:t>于</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日，余额前五名的预付款项分析如下：</w:t>
      </w: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1475" w:footer="947" w:top="3020" w:bottom="1140" w:left="1020" w:right="760"/>
        </w:sectPr>
      </w:pPr>
    </w:p>
    <w:p>
      <w:pPr>
        <w:spacing w:line="240" w:lineRule="auto" w:before="11"/>
        <w:rPr>
          <w:rFonts w:ascii="宋体" w:hAnsi="宋体" w:cs="宋体" w:eastAsia="宋体" w:hint="default"/>
          <w:sz w:val="25"/>
          <w:szCs w:val="25"/>
        </w:rPr>
      </w:pPr>
    </w:p>
    <w:p>
      <w:pPr>
        <w:pStyle w:val="BodyText"/>
        <w:tabs>
          <w:tab w:pos="4961" w:val="left" w:leader="none"/>
        </w:tabs>
        <w:spacing w:line="240" w:lineRule="auto"/>
        <w:ind w:left="2965" w:right="-19"/>
        <w:jc w:val="left"/>
      </w:pPr>
      <w:r>
        <w:rPr/>
        <w:t>与本集团关系</w:t>
        <w:tab/>
        <w:t>金额</w:t>
      </w:r>
    </w:p>
    <w:p>
      <w:pPr>
        <w:pStyle w:val="BodyText"/>
        <w:spacing w:line="313" w:lineRule="exact" w:before="26"/>
        <w:ind w:left="507" w:right="0"/>
        <w:jc w:val="left"/>
      </w:pPr>
      <w:r>
        <w:rPr/>
        <w:br w:type="column"/>
      </w:r>
      <w:r>
        <w:rPr/>
        <w:t>占预付账款</w:t>
      </w:r>
    </w:p>
    <w:p>
      <w:pPr>
        <w:pStyle w:val="BodyText"/>
        <w:tabs>
          <w:tab w:pos="2160" w:val="left" w:leader="none"/>
        </w:tabs>
        <w:spacing w:line="313" w:lineRule="exact"/>
        <w:ind w:left="747" w:right="0"/>
        <w:jc w:val="left"/>
      </w:pPr>
      <w:r>
        <w:rPr/>
        <w:t>总额比例</w:t>
        <w:tab/>
        <w:t>预付时间</w:t>
      </w:r>
      <w:r>
        <w:rPr>
          <w:spacing w:val="57"/>
        </w:rPr>
        <w:t> </w:t>
      </w:r>
      <w:r>
        <w:rPr/>
        <w:t>未结算原因</w:t>
      </w:r>
    </w:p>
    <w:p>
      <w:pPr>
        <w:spacing w:after="0" w:line="313" w:lineRule="exact"/>
        <w:jc w:val="left"/>
        <w:sectPr>
          <w:type w:val="continuous"/>
          <w:pgSz w:w="11910" w:h="16840"/>
          <w:pgMar w:top="920" w:bottom="900" w:left="1020" w:right="760"/>
          <w:cols w:num="2" w:equalWidth="0">
            <w:col w:w="5443" w:space="40"/>
            <w:col w:w="4647"/>
          </w:cols>
        </w:sectPr>
      </w:pPr>
    </w:p>
    <w:p>
      <w:pPr>
        <w:spacing w:line="240" w:lineRule="auto" w:before="11"/>
        <w:rPr>
          <w:rFonts w:ascii="宋体" w:hAnsi="宋体" w:cs="宋体" w:eastAsia="宋体" w:hint="default"/>
          <w:sz w:val="17"/>
          <w:szCs w:val="17"/>
        </w:rPr>
      </w:pPr>
    </w:p>
    <w:tbl>
      <w:tblPr>
        <w:tblW w:w="0" w:type="auto"/>
        <w:jc w:val="left"/>
        <w:tblInd w:w="780" w:type="dxa"/>
        <w:tblLayout w:type="fixed"/>
        <w:tblCellMar>
          <w:top w:w="0" w:type="dxa"/>
          <w:left w:w="0" w:type="dxa"/>
          <w:bottom w:w="0" w:type="dxa"/>
          <w:right w:w="0" w:type="dxa"/>
        </w:tblCellMar>
        <w:tblLook w:val="01E0"/>
      </w:tblPr>
      <w:tblGrid>
        <w:gridCol w:w="2518"/>
        <w:gridCol w:w="1334"/>
        <w:gridCol w:w="1485"/>
        <w:gridCol w:w="1298"/>
        <w:gridCol w:w="1276"/>
        <w:gridCol w:w="1324"/>
      </w:tblGrid>
      <w:tr>
        <w:trPr>
          <w:trHeight w:val="703"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277" w:right="392" w:hanging="243"/>
              <w:jc w:val="left"/>
              <w:rPr>
                <w:rFonts w:ascii="宋体" w:hAnsi="宋体" w:cs="宋体" w:eastAsia="宋体" w:hint="default"/>
                <w:sz w:val="24"/>
                <w:szCs w:val="24"/>
              </w:rPr>
            </w:pPr>
            <w:r>
              <w:rPr>
                <w:rFonts w:ascii="宋体" w:hAnsi="宋体" w:cs="宋体" w:eastAsia="宋体" w:hint="default"/>
                <w:spacing w:val="21"/>
                <w:sz w:val="24"/>
                <w:szCs w:val="24"/>
              </w:rPr>
              <w:t>北京方晟房地产开 </w:t>
            </w:r>
            <w:r>
              <w:rPr>
                <w:rFonts w:ascii="宋体" w:hAnsi="宋体" w:cs="宋体" w:eastAsia="宋体" w:hint="default"/>
                <w:sz w:val="24"/>
                <w:szCs w:val="24"/>
              </w:rPr>
              <w:t>发有限责任公司</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7"/>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31"/>
                <w:szCs w:val="31"/>
              </w:rPr>
            </w:pPr>
          </w:p>
          <w:p>
            <w:pPr>
              <w:pStyle w:val="TableParagraph"/>
              <w:spacing w:line="240" w:lineRule="auto"/>
              <w:ind w:left="227" w:right="0"/>
              <w:jc w:val="left"/>
              <w:rPr>
                <w:rFonts w:ascii="Arial" w:hAnsi="Arial" w:cs="Arial" w:eastAsia="Arial" w:hint="default"/>
                <w:sz w:val="24"/>
                <w:szCs w:val="24"/>
              </w:rPr>
            </w:pPr>
            <w:r>
              <w:rPr>
                <w:rFonts w:ascii="Arial"/>
                <w:sz w:val="24"/>
              </w:rPr>
              <w:t>492,260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31"/>
                <w:szCs w:val="31"/>
              </w:rPr>
            </w:pPr>
          </w:p>
          <w:p>
            <w:pPr>
              <w:pStyle w:val="TableParagraph"/>
              <w:spacing w:line="240" w:lineRule="auto"/>
              <w:ind w:right="225"/>
              <w:jc w:val="right"/>
              <w:rPr>
                <w:rFonts w:ascii="Arial" w:hAnsi="Arial" w:cs="Arial" w:eastAsia="Arial" w:hint="default"/>
                <w:sz w:val="24"/>
                <w:szCs w:val="24"/>
              </w:rPr>
            </w:pPr>
            <w:r>
              <w:rPr>
                <w:rFonts w:ascii="Arial"/>
                <w:spacing w:val="-1"/>
                <w:w w:val="95"/>
                <w:sz w:val="24"/>
              </w:rPr>
              <w:t>18.0%</w:t>
            </w:r>
            <w:r>
              <w:rPr>
                <w:rFonts w:ascii="Arial"/>
                <w:sz w:val="24"/>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86"/>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33"/>
              <w:jc w:val="right"/>
              <w:rPr>
                <w:rFonts w:ascii="宋体" w:hAnsi="宋体" w:cs="宋体" w:eastAsia="宋体" w:hint="default"/>
                <w:sz w:val="24"/>
                <w:szCs w:val="24"/>
              </w:rPr>
            </w:pPr>
            <w:r>
              <w:rPr>
                <w:rFonts w:ascii="宋体" w:hAnsi="宋体" w:cs="宋体" w:eastAsia="宋体" w:hint="default"/>
                <w:sz w:val="24"/>
                <w:szCs w:val="24"/>
              </w:rPr>
              <w:t>预付土地款</w:t>
            </w:r>
          </w:p>
        </w:tc>
      </w:tr>
      <w:tr>
        <w:trPr>
          <w:trHeight w:val="615"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4"/>
                <w:szCs w:val="24"/>
              </w:rPr>
            </w:pPr>
            <w:r>
              <w:rPr>
                <w:rFonts w:ascii="宋体" w:hAnsi="宋体" w:cs="宋体" w:eastAsia="宋体" w:hint="default"/>
                <w:sz w:val="24"/>
                <w:szCs w:val="24"/>
              </w:rPr>
              <w:t>北京市财政局</w:t>
            </w:r>
          </w:p>
          <w:p>
            <w:pPr>
              <w:pStyle w:val="TableParagraph"/>
              <w:spacing w:line="330" w:lineRule="exact"/>
              <w:ind w:left="35" w:right="0"/>
              <w:jc w:val="left"/>
              <w:rPr>
                <w:rFonts w:ascii="宋体" w:hAnsi="宋体" w:cs="宋体" w:eastAsia="宋体" w:hint="default"/>
                <w:sz w:val="24"/>
                <w:szCs w:val="24"/>
              </w:rPr>
            </w:pPr>
            <w:r>
              <w:rPr>
                <w:rFonts w:ascii="宋体" w:hAnsi="宋体" w:cs="宋体" w:eastAsia="宋体" w:hint="default"/>
                <w:spacing w:val="20"/>
                <w:sz w:val="24"/>
                <w:szCs w:val="24"/>
              </w:rPr>
              <w:t>诺基亚</w:t>
            </w:r>
            <w:r>
              <w:rPr>
                <w:rFonts w:ascii="Arial" w:hAnsi="Arial" w:cs="Arial" w:eastAsia="Arial" w:hint="default"/>
                <w:spacing w:val="20"/>
                <w:sz w:val="24"/>
                <w:szCs w:val="24"/>
              </w:rPr>
              <w:t>(</w:t>
            </w:r>
            <w:r>
              <w:rPr>
                <w:rFonts w:ascii="Arial" w:hAnsi="Arial" w:cs="Arial" w:eastAsia="Arial" w:hint="default"/>
                <w:spacing w:val="-36"/>
                <w:sz w:val="24"/>
                <w:szCs w:val="24"/>
              </w:rPr>
              <w:t> </w:t>
            </w:r>
            <w:r>
              <w:rPr>
                <w:rFonts w:ascii="宋体" w:hAnsi="宋体" w:cs="宋体" w:eastAsia="宋体" w:hint="default"/>
                <w:spacing w:val="18"/>
                <w:sz w:val="24"/>
                <w:szCs w:val="24"/>
              </w:rPr>
              <w:t>中国</w:t>
            </w:r>
            <w:r>
              <w:rPr>
                <w:rFonts w:ascii="Arial" w:hAnsi="Arial" w:cs="Arial" w:eastAsia="Arial" w:hint="default"/>
                <w:spacing w:val="18"/>
                <w:sz w:val="24"/>
                <w:szCs w:val="24"/>
              </w:rPr>
              <w:t>)</w:t>
            </w:r>
            <w:r>
              <w:rPr>
                <w:rFonts w:ascii="Arial" w:hAnsi="Arial" w:cs="Arial" w:eastAsia="Arial" w:hint="default"/>
                <w:spacing w:val="-36"/>
                <w:sz w:val="24"/>
                <w:szCs w:val="24"/>
              </w:rPr>
              <w:t> </w:t>
            </w:r>
            <w:r>
              <w:rPr>
                <w:rFonts w:ascii="宋体" w:hAnsi="宋体" w:cs="宋体" w:eastAsia="宋体" w:hint="default"/>
                <w:spacing w:val="14"/>
                <w:sz w:val="24"/>
                <w:szCs w:val="24"/>
              </w:rPr>
              <w:t>投资</w:t>
            </w:r>
            <w:r>
              <w:rPr>
                <w:rFonts w:ascii="宋体" w:hAnsi="宋体" w:cs="宋体" w:eastAsia="宋体" w:hint="default"/>
                <w:spacing w:val="-92"/>
                <w:sz w:val="24"/>
                <w:szCs w:val="24"/>
              </w:rPr>
              <w:t> </w:t>
            </w:r>
            <w:r>
              <w:rPr>
                <w:rFonts w:ascii="宋体" w:hAnsi="宋体" w:cs="宋体" w:eastAsia="宋体" w:hint="default"/>
                <w:sz w:val="24"/>
                <w:szCs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261" w:lineRule="exact"/>
              <w:ind w:right="227"/>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27" w:right="0"/>
              <w:jc w:val="left"/>
              <w:rPr>
                <w:rFonts w:ascii="Arial" w:hAnsi="Arial" w:cs="Arial" w:eastAsia="Arial" w:hint="default"/>
                <w:sz w:val="24"/>
                <w:szCs w:val="24"/>
              </w:rPr>
            </w:pPr>
            <w:r>
              <w:rPr>
                <w:rFonts w:ascii="Arial"/>
                <w:sz w:val="24"/>
              </w:rPr>
              <w:t>480,798</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25"/>
              <w:jc w:val="right"/>
              <w:rPr>
                <w:rFonts w:ascii="Arial" w:hAnsi="Arial" w:cs="Arial" w:eastAsia="Arial" w:hint="default"/>
                <w:sz w:val="24"/>
                <w:szCs w:val="24"/>
              </w:rPr>
            </w:pPr>
            <w:r>
              <w:rPr>
                <w:rFonts w:ascii="Arial"/>
                <w:spacing w:val="-1"/>
                <w:w w:val="95"/>
                <w:sz w:val="24"/>
              </w:rPr>
              <w:t>17.5%</w:t>
            </w:r>
            <w:r>
              <w:rPr>
                <w:rFonts w:ascii="Arial"/>
                <w:sz w:val="24"/>
              </w:rPr>
            </w:r>
          </w:p>
        </w:tc>
        <w:tc>
          <w:tcPr>
            <w:tcW w:w="1276" w:type="dxa"/>
            <w:tcBorders>
              <w:top w:val="nil" w:sz="6" w:space="0" w:color="auto"/>
              <w:left w:val="nil" w:sz="6" w:space="0" w:color="auto"/>
              <w:bottom w:val="nil" w:sz="6" w:space="0" w:color="auto"/>
              <w:right w:val="nil" w:sz="6" w:space="0" w:color="auto"/>
            </w:tcBorders>
          </w:tcPr>
          <w:p>
            <w:pPr>
              <w:pStyle w:val="TableParagraph"/>
              <w:spacing w:line="261" w:lineRule="exact"/>
              <w:ind w:right="86"/>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324"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4"/>
                <w:szCs w:val="24"/>
              </w:rPr>
            </w:pPr>
            <w:r>
              <w:rPr>
                <w:rFonts w:ascii="宋体" w:hAnsi="宋体" w:cs="宋体" w:eastAsia="宋体" w:hint="default"/>
                <w:sz w:val="24"/>
                <w:szCs w:val="24"/>
              </w:rPr>
              <w:t>预付土地款</w:t>
            </w:r>
          </w:p>
        </w:tc>
      </w:tr>
      <w:tr>
        <w:trPr>
          <w:trHeight w:val="302"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70" w:lineRule="exact"/>
              <w:ind w:left="277"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334" w:type="dxa"/>
            <w:tcBorders>
              <w:top w:val="nil" w:sz="6" w:space="0" w:color="auto"/>
              <w:left w:val="nil" w:sz="6" w:space="0" w:color="auto"/>
              <w:bottom w:val="nil" w:sz="6" w:space="0" w:color="auto"/>
              <w:right w:val="nil" w:sz="6" w:space="0" w:color="auto"/>
            </w:tcBorders>
          </w:tcPr>
          <w:p>
            <w:pPr>
              <w:pStyle w:val="TableParagraph"/>
              <w:spacing w:line="270" w:lineRule="exact"/>
              <w:ind w:right="227"/>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45" w:right="0"/>
              <w:jc w:val="left"/>
              <w:rPr>
                <w:rFonts w:ascii="Arial" w:hAnsi="Arial" w:cs="Arial" w:eastAsia="Arial" w:hint="default"/>
                <w:sz w:val="24"/>
                <w:szCs w:val="24"/>
              </w:rPr>
            </w:pPr>
            <w:r>
              <w:rPr>
                <w:rFonts w:ascii="Arial"/>
                <w:spacing w:val="-4"/>
                <w:sz w:val="24"/>
              </w:rPr>
              <w:t>423,119</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25"/>
              <w:jc w:val="right"/>
              <w:rPr>
                <w:rFonts w:ascii="Arial" w:hAnsi="Arial" w:cs="Arial" w:eastAsia="Arial" w:hint="default"/>
                <w:sz w:val="24"/>
                <w:szCs w:val="24"/>
              </w:rPr>
            </w:pPr>
            <w:r>
              <w:rPr>
                <w:rFonts w:ascii="Arial"/>
                <w:spacing w:val="-1"/>
                <w:w w:val="95"/>
                <w:sz w:val="24"/>
              </w:rPr>
              <w:t>15.4%</w:t>
            </w:r>
            <w:r>
              <w:rPr>
                <w:rFonts w:ascii="Arial"/>
                <w:sz w:val="24"/>
              </w:rPr>
            </w:r>
          </w:p>
        </w:tc>
        <w:tc>
          <w:tcPr>
            <w:tcW w:w="1276" w:type="dxa"/>
            <w:tcBorders>
              <w:top w:val="nil" w:sz="6" w:space="0" w:color="auto"/>
              <w:left w:val="nil" w:sz="6" w:space="0" w:color="auto"/>
              <w:bottom w:val="nil" w:sz="6" w:space="0" w:color="auto"/>
              <w:right w:val="nil" w:sz="6" w:space="0" w:color="auto"/>
            </w:tcBorders>
          </w:tcPr>
          <w:p>
            <w:pPr>
              <w:pStyle w:val="TableParagraph"/>
              <w:spacing w:line="270" w:lineRule="exact"/>
              <w:ind w:right="86"/>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324" w:type="dxa"/>
            <w:tcBorders>
              <w:top w:val="nil" w:sz="6" w:space="0" w:color="auto"/>
              <w:left w:val="nil" w:sz="6" w:space="0" w:color="auto"/>
              <w:bottom w:val="nil" w:sz="6" w:space="0" w:color="auto"/>
              <w:right w:val="nil" w:sz="6" w:space="0" w:color="auto"/>
            </w:tcBorders>
          </w:tcPr>
          <w:p>
            <w:pPr>
              <w:pStyle w:val="TableParagraph"/>
              <w:spacing w:line="270" w:lineRule="exact"/>
              <w:ind w:right="33"/>
              <w:jc w:val="right"/>
              <w:rPr>
                <w:rFonts w:ascii="宋体" w:hAnsi="宋体" w:cs="宋体" w:eastAsia="宋体" w:hint="default"/>
                <w:sz w:val="24"/>
                <w:szCs w:val="24"/>
              </w:rPr>
            </w:pPr>
            <w:r>
              <w:rPr>
                <w:rFonts w:ascii="宋体" w:hAnsi="宋体" w:cs="宋体" w:eastAsia="宋体" w:hint="default"/>
                <w:sz w:val="24"/>
                <w:szCs w:val="24"/>
              </w:rPr>
              <w:t>采购预付款</w:t>
            </w:r>
          </w:p>
        </w:tc>
      </w:tr>
    </w:tbl>
    <w:p>
      <w:pPr>
        <w:pStyle w:val="BodyText"/>
        <w:spacing w:line="278" w:lineRule="exact"/>
        <w:ind w:left="797" w:right="7198"/>
        <w:jc w:val="center"/>
      </w:pPr>
      <w:r>
        <w:rPr>
          <w:spacing w:val="21"/>
        </w:rPr>
        <w:t>南京驰飞电子科技</w:t>
      </w:r>
      <w:r>
        <w:rPr/>
      </w:r>
    </w:p>
    <w:p>
      <w:pPr>
        <w:pStyle w:val="BodyText"/>
        <w:tabs>
          <w:tab w:pos="3685" w:val="left" w:leader="none"/>
          <w:tab w:pos="4994" w:val="left" w:leader="none"/>
          <w:tab w:pos="6641" w:val="left" w:leader="none"/>
          <w:tab w:pos="7642" w:val="left" w:leader="none"/>
        </w:tabs>
        <w:spacing w:line="294" w:lineRule="exact" w:before="63"/>
        <w:ind w:left="816" w:right="143" w:firstLine="242"/>
        <w:jc w:val="left"/>
      </w:pPr>
      <w:r>
        <w:rPr>
          <w:position w:val="2"/>
        </w:rPr>
        <w:t>有限公司</w:t>
        <w:tab/>
        <w:t>第三方</w:t>
        <w:tab/>
      </w:r>
      <w:r>
        <w:rPr>
          <w:rFonts w:ascii="Arial" w:hAnsi="Arial" w:cs="Arial" w:eastAsia="Arial" w:hint="default"/>
          <w:spacing w:val="-1"/>
        </w:rPr>
        <w:t>34,494</w:t>
        <w:tab/>
        <w:t>1.3%</w:t>
        <w:tab/>
      </w:r>
      <w:r>
        <w:rPr>
          <w:position w:val="2"/>
        </w:rPr>
        <w:t>一年以内</w:t>
      </w:r>
      <w:r>
        <w:rPr>
          <w:spacing w:val="57"/>
          <w:position w:val="2"/>
        </w:rPr>
        <w:t> </w:t>
      </w:r>
      <w:r>
        <w:rPr>
          <w:position w:val="2"/>
        </w:rPr>
        <w:t>采购预付款</w:t>
      </w:r>
      <w:r>
        <w:rPr>
          <w:position w:val="2"/>
        </w:rPr>
        <w:t> </w:t>
      </w:r>
      <w:r>
        <w:rPr>
          <w:spacing w:val="21"/>
        </w:rPr>
        <w:t>四川旭丰格力电器</w:t>
      </w:r>
      <w:r>
        <w:rPr/>
      </w:r>
    </w:p>
    <w:p>
      <w:pPr>
        <w:pStyle w:val="BodyText"/>
        <w:spacing w:line="287" w:lineRule="exact"/>
        <w:ind w:left="1058" w:right="143"/>
        <w:jc w:val="left"/>
      </w:pPr>
      <w:r>
        <w:rPr/>
        <w:pict>
          <v:shape style="position:absolute;margin-left:233.509995pt;margin-top:.747497pt;width:318.3pt;height:34.4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7"/>
                    <w:gridCol w:w="1508"/>
                    <w:gridCol w:w="1237"/>
                    <w:gridCol w:w="1324"/>
                  </w:tblGrid>
                  <w:tr>
                    <w:trPr>
                      <w:trHeight w:val="325" w:hRule="exact"/>
                    </w:trPr>
                    <w:tc>
                      <w:tcPr>
                        <w:tcW w:w="2297" w:type="dxa"/>
                        <w:tcBorders>
                          <w:top w:val="nil" w:sz="6" w:space="0" w:color="auto"/>
                          <w:left w:val="nil" w:sz="6" w:space="0" w:color="auto"/>
                          <w:bottom w:val="nil" w:sz="6" w:space="0" w:color="auto"/>
                          <w:right w:val="nil" w:sz="6" w:space="0" w:color="auto"/>
                        </w:tcBorders>
                      </w:tcPr>
                      <w:p>
                        <w:pPr>
                          <w:pStyle w:val="TableParagraph"/>
                          <w:tabs>
                            <w:tab w:pos="1309" w:val="left" w:leader="none"/>
                            <w:tab w:pos="2120" w:val="left" w:leader="none"/>
                          </w:tabs>
                          <w:spacing w:line="307" w:lineRule="exact"/>
                          <w:ind w:right="139"/>
                          <w:jc w:val="right"/>
                          <w:rPr>
                            <w:rFonts w:ascii="Arial" w:hAnsi="Arial" w:cs="Arial" w:eastAsia="Arial" w:hint="default"/>
                            <w:sz w:val="24"/>
                            <w:szCs w:val="24"/>
                          </w:rPr>
                        </w:pPr>
                        <w:r>
                          <w:rPr>
                            <w:rFonts w:ascii="宋体" w:hAnsi="宋体" w:cs="宋体" w:eastAsia="宋体" w:hint="default"/>
                            <w:position w:val="2"/>
                            <w:sz w:val="24"/>
                            <w:szCs w:val="24"/>
                          </w:rPr>
                          <w:t>第三方</w:t>
                        </w:r>
                        <w:r>
                          <w:rPr>
                            <w:rFonts w:ascii="Arial" w:hAnsi="Arial" w:cs="Arial" w:eastAsia="Arial" w:hint="default"/>
                            <w:sz w:val="24"/>
                            <w:szCs w:val="24"/>
                          </w:rPr>
                        </w:r>
                        <w:r>
                          <w:rPr>
                            <w:rFonts w:ascii="Arial" w:hAnsi="Arial" w:cs="Arial" w:eastAsia="Arial" w:hint="default"/>
                            <w:sz w:val="24"/>
                            <w:szCs w:val="24"/>
                            <w:u w:val="single" w:color="000000"/>
                          </w:rPr>
                          <w:t> </w:t>
                          <w:tab/>
                        </w:r>
                        <w:r>
                          <w:rPr>
                            <w:rFonts w:ascii="Arial" w:hAnsi="Arial" w:cs="Arial" w:eastAsia="Arial" w:hint="default"/>
                            <w:spacing w:val="-1"/>
                            <w:sz w:val="24"/>
                            <w:szCs w:val="24"/>
                            <w:u w:val="single" w:color="000000"/>
                          </w:rPr>
                          <w:t>32,368</w:t>
                          <w:tab/>
                        </w:r>
                        <w:r>
                          <w:rPr>
                            <w:rFonts w:ascii="Arial" w:hAnsi="Arial" w:cs="Arial" w:eastAsia="Arial" w:hint="default"/>
                            <w:spacing w:val="-1"/>
                            <w:sz w:val="24"/>
                            <w:szCs w:val="24"/>
                          </w:rPr>
                        </w:r>
                      </w:p>
                    </w:tc>
                    <w:tc>
                      <w:tcPr>
                        <w:tcW w:w="1508" w:type="dxa"/>
                        <w:tcBorders>
                          <w:top w:val="nil" w:sz="6" w:space="0" w:color="auto"/>
                          <w:left w:val="nil" w:sz="6" w:space="0" w:color="auto"/>
                          <w:bottom w:val="nil" w:sz="6" w:space="0" w:color="auto"/>
                          <w:right w:val="nil" w:sz="6" w:space="0" w:color="auto"/>
                        </w:tcBorders>
                      </w:tcPr>
                      <w:p>
                        <w:pPr>
                          <w:pStyle w:val="TableParagraph"/>
                          <w:tabs>
                            <w:tab w:pos="552" w:val="left" w:leader="none"/>
                            <w:tab w:pos="1178" w:val="left" w:leader="none"/>
                          </w:tabs>
                          <w:spacing w:line="240" w:lineRule="auto" w:before="31"/>
                          <w:ind w:right="44"/>
                          <w:jc w:val="center"/>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1.2%</w:t>
                          <w:tab/>
                        </w:r>
                        <w:r>
                          <w:rPr>
                            <w:rFonts w:ascii="Arial"/>
                            <w:sz w:val="24"/>
                          </w:rPr>
                        </w:r>
                      </w:p>
                    </w:tc>
                    <w:tc>
                      <w:tcPr>
                        <w:tcW w:w="1237" w:type="dxa"/>
                        <w:tcBorders>
                          <w:top w:val="nil" w:sz="6" w:space="0" w:color="auto"/>
                          <w:left w:val="nil" w:sz="6" w:space="0" w:color="auto"/>
                          <w:bottom w:val="nil" w:sz="6" w:space="0" w:color="auto"/>
                          <w:right w:val="nil" w:sz="6" w:space="0" w:color="auto"/>
                        </w:tcBorders>
                      </w:tcPr>
                      <w:p>
                        <w:pPr>
                          <w:pStyle w:val="TableParagraph"/>
                          <w:spacing w:line="272" w:lineRule="exact"/>
                          <w:ind w:left="187"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324" w:type="dxa"/>
                        <w:tcBorders>
                          <w:top w:val="nil" w:sz="6" w:space="0" w:color="auto"/>
                          <w:left w:val="nil" w:sz="6" w:space="0" w:color="auto"/>
                          <w:bottom w:val="nil" w:sz="6" w:space="0" w:color="auto"/>
                          <w:right w:val="nil" w:sz="6" w:space="0" w:color="auto"/>
                        </w:tcBorders>
                      </w:tcPr>
                      <w:p>
                        <w:pPr>
                          <w:pStyle w:val="TableParagraph"/>
                          <w:spacing w:line="272" w:lineRule="exact"/>
                          <w:ind w:left="88" w:right="0"/>
                          <w:jc w:val="left"/>
                          <w:rPr>
                            <w:rFonts w:ascii="宋体" w:hAnsi="宋体" w:cs="宋体" w:eastAsia="宋体" w:hint="default"/>
                            <w:sz w:val="24"/>
                            <w:szCs w:val="24"/>
                          </w:rPr>
                        </w:pPr>
                        <w:r>
                          <w:rPr>
                            <w:rFonts w:ascii="宋体" w:hAnsi="宋体" w:cs="宋体" w:eastAsia="宋体" w:hint="default"/>
                            <w:sz w:val="24"/>
                            <w:szCs w:val="24"/>
                          </w:rPr>
                          <w:t>采购预付款</w:t>
                        </w:r>
                      </w:p>
                    </w:tc>
                  </w:tr>
                  <w:tr>
                    <w:trPr>
                      <w:trHeight w:val="363" w:hRule="exact"/>
                    </w:trPr>
                    <w:tc>
                      <w:tcPr>
                        <w:tcW w:w="2297" w:type="dxa"/>
                        <w:tcBorders>
                          <w:top w:val="nil" w:sz="6" w:space="0" w:color="auto"/>
                          <w:left w:val="nil" w:sz="6" w:space="0" w:color="auto"/>
                          <w:bottom w:val="nil" w:sz="6" w:space="0" w:color="auto"/>
                          <w:right w:val="nil" w:sz="6" w:space="0" w:color="auto"/>
                        </w:tcBorders>
                      </w:tcPr>
                      <w:p>
                        <w:pPr>
                          <w:pStyle w:val="TableParagraph"/>
                          <w:tabs>
                            <w:tab w:pos="1323" w:val="left" w:leader="none"/>
                          </w:tabs>
                          <w:spacing w:line="268" w:lineRule="exact"/>
                          <w:ind w:right="13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23"/>
                            <w:sz w:val="24"/>
                            <w:u w:val="thick" w:color="000000"/>
                          </w:rPr>
                          <w:t> </w:t>
                        </w:r>
                        <w:r>
                          <w:rPr>
                            <w:rFonts w:ascii="Arial"/>
                            <w:spacing w:val="-1"/>
                            <w:sz w:val="24"/>
                            <w:u w:val="thick" w:color="000000"/>
                          </w:rPr>
                          <w:t>1,463,039</w:t>
                          <w:tab/>
                        </w:r>
                        <w:r>
                          <w:rPr>
                            <w:rFonts w:ascii="Arial"/>
                            <w:spacing w:val="-1"/>
                            <w:sz w:val="24"/>
                          </w:rPr>
                        </w:r>
                      </w:p>
                    </w:tc>
                    <w:tc>
                      <w:tcPr>
                        <w:tcW w:w="1508" w:type="dxa"/>
                        <w:tcBorders>
                          <w:top w:val="nil" w:sz="6" w:space="0" w:color="auto"/>
                          <w:left w:val="nil" w:sz="6" w:space="0" w:color="auto"/>
                          <w:bottom w:val="nil" w:sz="6" w:space="0" w:color="auto"/>
                          <w:right w:val="nil" w:sz="6" w:space="0" w:color="auto"/>
                        </w:tcBorders>
                      </w:tcPr>
                      <w:p>
                        <w:pPr>
                          <w:pStyle w:val="TableParagraph"/>
                          <w:tabs>
                            <w:tab w:pos="419" w:val="left" w:leader="none"/>
                            <w:tab w:pos="1178" w:val="left" w:leader="none"/>
                          </w:tabs>
                          <w:spacing w:line="268" w:lineRule="exact"/>
                          <w:ind w:right="44"/>
                          <w:jc w:val="center"/>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53.4%</w:t>
                          <w:tab/>
                        </w:r>
                        <w:r>
                          <w:rPr>
                            <w:rFonts w:ascii="Arial"/>
                            <w:sz w:val="24"/>
                          </w:rPr>
                        </w:r>
                      </w:p>
                    </w:tc>
                    <w:tc>
                      <w:tcPr>
                        <w:tcW w:w="1237"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销售有限公司</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tabs>
          <w:tab w:pos="815" w:val="left" w:leader="none"/>
        </w:tabs>
        <w:spacing w:line="322" w:lineRule="exact" w:before="32"/>
        <w:ind w:left="103" w:right="0"/>
        <w:jc w:val="left"/>
        <w:rPr>
          <w:rFonts w:ascii="Arial" w:hAnsi="Arial" w:cs="Arial" w:eastAsia="Arial" w:hint="default"/>
        </w:rPr>
      </w:pPr>
      <w:r>
        <w:rPr>
          <w:rFonts w:ascii="Arial" w:hAnsi="Arial" w:cs="Arial" w:eastAsia="Arial" w:hint="default"/>
          <w:w w:val="99"/>
          <w:position w:val="2"/>
        </w:rPr>
        <w:t>(c)</w:t>
        <w:tab/>
      </w:r>
      <w:r>
        <w:rPr>
          <w:w w:val="99"/>
        </w:rPr>
        <w:t>于</w:t>
      </w:r>
      <w:r>
        <w:rPr>
          <w:spacing w:val="-66"/>
          <w:w w:val="99"/>
        </w:rPr>
        <w:t> </w:t>
      </w:r>
      <w:r>
        <w:rPr>
          <w:rFonts w:ascii="Arial" w:hAnsi="Arial" w:cs="Arial" w:eastAsia="Arial" w:hint="default"/>
          <w:spacing w:val="-1"/>
          <w:w w:val="99"/>
        </w:rPr>
        <w:t>201</w:t>
      </w:r>
      <w:r>
        <w:rPr>
          <w:rFonts w:ascii="Arial" w:hAnsi="Arial" w:cs="Arial" w:eastAsia="Arial" w:hint="default"/>
          <w:w w:val="99"/>
        </w:rPr>
        <w:t>0</w:t>
      </w:r>
      <w:r>
        <w:rPr>
          <w:rFonts w:ascii="Arial" w:hAnsi="Arial" w:cs="Arial" w:eastAsia="Arial" w:hint="default"/>
          <w:spacing w:val="-13"/>
        </w:rPr>
        <w:t> </w:t>
      </w:r>
      <w:r>
        <w:rPr/>
        <w:t>年</w:t>
      </w:r>
      <w:r>
        <w:rPr>
          <w:spacing w:val="-66"/>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13"/>
        </w:rPr>
        <w:t> </w:t>
      </w:r>
      <w:r>
        <w:rPr/>
        <w:t>月</w:t>
      </w:r>
      <w:r>
        <w:rPr>
          <w:spacing w:val="-66"/>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13"/>
        </w:rPr>
        <w:t> </w:t>
      </w:r>
      <w:r>
        <w:rPr/>
        <w:t>日及</w:t>
      </w:r>
      <w:r>
        <w:rPr>
          <w:spacing w:val="-66"/>
        </w:rPr>
        <w:t> </w:t>
      </w:r>
      <w:r>
        <w:rPr>
          <w:rFonts w:ascii="Arial" w:hAnsi="Arial" w:cs="Arial" w:eastAsia="Arial" w:hint="default"/>
          <w:spacing w:val="-1"/>
          <w:w w:val="99"/>
        </w:rPr>
        <w:t>200</w:t>
      </w:r>
      <w:r>
        <w:rPr>
          <w:rFonts w:ascii="Arial" w:hAnsi="Arial" w:cs="Arial" w:eastAsia="Arial" w:hint="default"/>
          <w:w w:val="99"/>
        </w:rPr>
        <w:t>9</w:t>
      </w:r>
      <w:r>
        <w:rPr>
          <w:rFonts w:ascii="Arial" w:hAnsi="Arial" w:cs="Arial" w:eastAsia="Arial" w:hint="default"/>
          <w:spacing w:val="-13"/>
        </w:rPr>
        <w:t> </w:t>
      </w:r>
      <w:r>
        <w:rPr/>
        <w:t>年</w:t>
      </w:r>
      <w:r>
        <w:rPr>
          <w:spacing w:val="-66"/>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13"/>
        </w:rPr>
        <w:t> </w:t>
      </w:r>
      <w:r>
        <w:rPr/>
        <w:t>月</w:t>
      </w:r>
      <w:r>
        <w:rPr>
          <w:spacing w:val="-66"/>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13"/>
        </w:rPr>
        <w:t> </w:t>
      </w:r>
      <w:r>
        <w:rPr/>
        <w:t>日</w:t>
      </w:r>
      <w:r>
        <w:rPr>
          <w:spacing w:val="-120"/>
        </w:rPr>
        <w:t>，</w:t>
      </w:r>
      <w:r>
        <w:rPr/>
        <w:t>预付款项中无预付持有本公司</w:t>
      </w:r>
      <w:r>
        <w:rPr>
          <w:spacing w:val="-66"/>
        </w:rPr>
        <w:t> </w:t>
      </w:r>
      <w:r>
        <w:rPr>
          <w:rFonts w:ascii="Arial" w:hAnsi="Arial" w:cs="Arial" w:eastAsia="Arial" w:hint="default"/>
          <w:spacing w:val="-1"/>
          <w:w w:val="99"/>
        </w:rPr>
        <w:t>5%</w:t>
      </w:r>
      <w:r>
        <w:rPr>
          <w:rFonts w:ascii="Arial" w:hAnsi="Arial" w:cs="Arial" w:eastAsia="Arial" w:hint="default"/>
          <w:w w:val="99"/>
        </w:rPr>
        <w:t>(</w:t>
      </w:r>
      <w:r>
        <w:rPr/>
        <w:t>含</w:t>
      </w:r>
      <w:r>
        <w:rPr>
          <w:spacing w:val="-66"/>
        </w:rPr>
        <w:t> </w:t>
      </w:r>
      <w:r>
        <w:rPr>
          <w:rFonts w:ascii="Arial" w:hAnsi="Arial" w:cs="Arial" w:eastAsia="Arial" w:hint="default"/>
          <w:spacing w:val="-1"/>
          <w:w w:val="99"/>
        </w:rPr>
        <w:t>5%)</w:t>
      </w:r>
      <w:r>
        <w:rPr>
          <w:rFonts w:ascii="Arial" w:hAnsi="Arial" w:cs="Arial" w:eastAsia="Arial" w:hint="default"/>
        </w:rPr>
      </w:r>
    </w:p>
    <w:p>
      <w:pPr>
        <w:pStyle w:val="BodyText"/>
        <w:spacing w:line="304" w:lineRule="exact"/>
        <w:ind w:left="815" w:right="143"/>
        <w:jc w:val="left"/>
      </w:pPr>
      <w:r>
        <w:rPr/>
        <w:t>以上表决权股份的股东的款项。</w:t>
      </w:r>
    </w:p>
    <w:p>
      <w:pPr>
        <w:spacing w:line="240" w:lineRule="auto" w:before="12"/>
        <w:rPr>
          <w:rFonts w:ascii="宋体" w:hAnsi="宋体" w:cs="宋体" w:eastAsia="宋体" w:hint="default"/>
          <w:sz w:val="20"/>
          <w:szCs w:val="20"/>
        </w:rPr>
      </w:pPr>
    </w:p>
    <w:p>
      <w:pPr>
        <w:pStyle w:val="BodyText"/>
        <w:tabs>
          <w:tab w:pos="815" w:val="left" w:leader="none"/>
        </w:tabs>
        <w:spacing w:line="240" w:lineRule="auto"/>
        <w:ind w:left="103" w:right="143"/>
        <w:jc w:val="left"/>
      </w:pPr>
      <w:r>
        <w:rPr>
          <w:rFonts w:ascii="Arial" w:hAnsi="Arial" w:cs="Arial" w:eastAsia="Arial" w:hint="default"/>
          <w:w w:val="95"/>
          <w:position w:val="2"/>
        </w:rPr>
        <w:t>(d)</w:t>
        <w:tab/>
      </w:r>
      <w:r>
        <w:rPr/>
        <w:t>于</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日及</w:t>
      </w:r>
      <w:r>
        <w:rPr>
          <w:spacing w:val="-61"/>
        </w:rPr>
        <w:t> </w:t>
      </w:r>
      <w:r>
        <w:rPr>
          <w:rFonts w:ascii="Arial" w:hAnsi="Arial" w:cs="Arial" w:eastAsia="Arial" w:hint="default"/>
        </w:rPr>
        <w:t>2009</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日，预付款项中无预付关联方的款项。</w:t>
      </w:r>
    </w:p>
    <w:p>
      <w:pPr>
        <w:spacing w:line="240" w:lineRule="auto" w:before="8"/>
        <w:rPr>
          <w:rFonts w:ascii="宋体" w:hAnsi="宋体" w:cs="宋体" w:eastAsia="宋体" w:hint="default"/>
          <w:sz w:val="19"/>
          <w:szCs w:val="19"/>
        </w:rPr>
      </w:pPr>
    </w:p>
    <w:p>
      <w:pPr>
        <w:pStyle w:val="BodyText"/>
        <w:tabs>
          <w:tab w:pos="815" w:val="left" w:leader="none"/>
        </w:tabs>
        <w:spacing w:line="240" w:lineRule="auto"/>
        <w:ind w:left="103" w:right="143"/>
        <w:jc w:val="left"/>
      </w:pPr>
      <w:r>
        <w:rPr>
          <w:rFonts w:ascii="Arial" w:hAnsi="Arial" w:cs="Arial" w:eastAsia="Arial" w:hint="default"/>
          <w:w w:val="95"/>
          <w:position w:val="2"/>
        </w:rPr>
        <w:t>(e)</w:t>
        <w:tab/>
      </w:r>
      <w:r>
        <w:rPr/>
        <w:t>预付款项中包括以下外币余额：</w:t>
      </w:r>
    </w:p>
    <w:p>
      <w:pPr>
        <w:spacing w:line="240" w:lineRule="auto" w:before="6"/>
        <w:rPr>
          <w:rFonts w:ascii="宋体" w:hAnsi="宋体" w:cs="宋体" w:eastAsia="宋体" w:hint="default"/>
          <w:sz w:val="21"/>
          <w:szCs w:val="21"/>
        </w:rPr>
      </w:pPr>
    </w:p>
    <w:p>
      <w:pPr>
        <w:tabs>
          <w:tab w:pos="7219" w:val="left" w:leader="none"/>
        </w:tabs>
        <w:spacing w:before="0"/>
        <w:ind w:left="3085" w:right="143" w:firstLine="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line="240" w:lineRule="auto" w:before="5"/>
        <w:rPr>
          <w:rFonts w:ascii="宋体" w:hAnsi="宋体" w:cs="宋体" w:eastAsia="宋体" w:hint="default"/>
          <w:sz w:val="2"/>
          <w:szCs w:val="2"/>
        </w:rPr>
      </w:pPr>
    </w:p>
    <w:tbl>
      <w:tblPr>
        <w:tblW w:w="0" w:type="auto"/>
        <w:jc w:val="left"/>
        <w:tblInd w:w="889" w:type="dxa"/>
        <w:tblLayout w:type="fixed"/>
        <w:tblCellMar>
          <w:top w:w="0" w:type="dxa"/>
          <w:left w:w="0" w:type="dxa"/>
          <w:bottom w:w="0" w:type="dxa"/>
          <w:right w:w="0" w:type="dxa"/>
        </w:tblCellMar>
        <w:tblLook w:val="01E0"/>
      </w:tblPr>
      <w:tblGrid>
        <w:gridCol w:w="1087"/>
        <w:gridCol w:w="1505"/>
        <w:gridCol w:w="1154"/>
        <w:gridCol w:w="1283"/>
        <w:gridCol w:w="293"/>
        <w:gridCol w:w="1394"/>
        <w:gridCol w:w="1096"/>
        <w:gridCol w:w="1249"/>
      </w:tblGrid>
      <w:tr>
        <w:trPr>
          <w:trHeight w:val="389" w:hRule="exact"/>
        </w:trPr>
        <w:tc>
          <w:tcPr>
            <w:tcW w:w="1087" w:type="dxa"/>
            <w:tcBorders>
              <w:top w:val="nil" w:sz="6" w:space="0" w:color="auto"/>
              <w:left w:val="nil" w:sz="6" w:space="0" w:color="auto"/>
              <w:bottom w:val="nil" w:sz="6" w:space="0" w:color="auto"/>
              <w:right w:val="nil" w:sz="6" w:space="0" w:color="auto"/>
            </w:tcBorders>
          </w:tcPr>
          <w:p>
            <w:pPr/>
          </w:p>
        </w:tc>
        <w:tc>
          <w:tcPr>
            <w:tcW w:w="1505" w:type="dxa"/>
            <w:tcBorders>
              <w:top w:val="single" w:sz="12" w:space="0" w:color="000000"/>
              <w:left w:val="nil" w:sz="6" w:space="0" w:color="auto"/>
              <w:bottom w:val="nil" w:sz="6" w:space="0" w:color="auto"/>
              <w:right w:val="nil" w:sz="6" w:space="0" w:color="auto"/>
            </w:tcBorders>
          </w:tcPr>
          <w:p>
            <w:pPr>
              <w:pStyle w:val="TableParagraph"/>
              <w:spacing w:line="230" w:lineRule="exact"/>
              <w:ind w:left="396" w:right="0"/>
              <w:jc w:val="left"/>
              <w:rPr>
                <w:rFonts w:ascii="宋体" w:hAnsi="宋体" w:cs="宋体" w:eastAsia="宋体" w:hint="default"/>
                <w:sz w:val="20"/>
                <w:szCs w:val="20"/>
              </w:rPr>
            </w:pPr>
            <w:r>
              <w:rPr>
                <w:rFonts w:ascii="宋体" w:hAnsi="宋体" w:cs="宋体" w:eastAsia="宋体" w:hint="default"/>
                <w:sz w:val="20"/>
                <w:szCs w:val="20"/>
              </w:rPr>
              <w:t>外币金额</w:t>
            </w:r>
          </w:p>
        </w:tc>
        <w:tc>
          <w:tcPr>
            <w:tcW w:w="1154" w:type="dxa"/>
            <w:tcBorders>
              <w:top w:val="single" w:sz="12" w:space="0" w:color="000000"/>
              <w:left w:val="nil" w:sz="6" w:space="0" w:color="auto"/>
              <w:bottom w:val="nil" w:sz="6" w:space="0" w:color="auto"/>
              <w:right w:val="nil" w:sz="6" w:space="0" w:color="auto"/>
            </w:tcBorders>
          </w:tcPr>
          <w:p>
            <w:pPr>
              <w:pStyle w:val="TableParagraph"/>
              <w:spacing w:line="230" w:lineRule="exact"/>
              <w:ind w:left="52" w:right="0"/>
              <w:jc w:val="center"/>
              <w:rPr>
                <w:rFonts w:ascii="宋体" w:hAnsi="宋体" w:cs="宋体" w:eastAsia="宋体" w:hint="default"/>
                <w:sz w:val="20"/>
                <w:szCs w:val="20"/>
              </w:rPr>
            </w:pPr>
            <w:r>
              <w:rPr>
                <w:rFonts w:ascii="宋体" w:hAnsi="宋体" w:cs="宋体" w:eastAsia="宋体" w:hint="default"/>
                <w:sz w:val="20"/>
                <w:szCs w:val="20"/>
              </w:rPr>
              <w:t>汇率</w:t>
            </w:r>
          </w:p>
        </w:tc>
        <w:tc>
          <w:tcPr>
            <w:tcW w:w="1283" w:type="dxa"/>
            <w:tcBorders>
              <w:top w:val="single" w:sz="12" w:space="0" w:color="000000"/>
              <w:left w:val="nil" w:sz="6" w:space="0" w:color="auto"/>
              <w:bottom w:val="nil" w:sz="6" w:space="0" w:color="auto"/>
              <w:right w:val="nil" w:sz="6" w:space="0" w:color="auto"/>
            </w:tcBorders>
          </w:tcPr>
          <w:p>
            <w:pPr>
              <w:pStyle w:val="TableParagraph"/>
              <w:spacing w:line="230" w:lineRule="exact"/>
              <w:ind w:right="77"/>
              <w:jc w:val="right"/>
              <w:rPr>
                <w:rFonts w:ascii="宋体" w:hAnsi="宋体" w:cs="宋体" w:eastAsia="宋体" w:hint="default"/>
                <w:sz w:val="20"/>
                <w:szCs w:val="20"/>
              </w:rPr>
            </w:pPr>
            <w:r>
              <w:rPr>
                <w:rFonts w:ascii="宋体" w:hAnsi="宋体" w:cs="宋体" w:eastAsia="宋体" w:hint="default"/>
                <w:spacing w:val="-1"/>
                <w:sz w:val="20"/>
                <w:szCs w:val="20"/>
              </w:rPr>
              <w:t>折合人民币</w:t>
            </w:r>
          </w:p>
        </w:tc>
        <w:tc>
          <w:tcPr>
            <w:tcW w:w="293" w:type="dxa"/>
            <w:tcBorders>
              <w:top w:val="nil" w:sz="6" w:space="0" w:color="auto"/>
              <w:left w:val="nil" w:sz="6" w:space="0" w:color="auto"/>
              <w:bottom w:val="nil" w:sz="6" w:space="0" w:color="auto"/>
              <w:right w:val="nil" w:sz="6" w:space="0" w:color="auto"/>
            </w:tcBorders>
          </w:tcPr>
          <w:p>
            <w:pPr/>
          </w:p>
        </w:tc>
        <w:tc>
          <w:tcPr>
            <w:tcW w:w="1394" w:type="dxa"/>
            <w:tcBorders>
              <w:top w:val="single" w:sz="12" w:space="0" w:color="000000"/>
              <w:left w:val="nil" w:sz="6" w:space="0" w:color="auto"/>
              <w:bottom w:val="nil" w:sz="6" w:space="0" w:color="auto"/>
              <w:right w:val="nil" w:sz="6" w:space="0" w:color="auto"/>
            </w:tcBorders>
          </w:tcPr>
          <w:p>
            <w:pPr>
              <w:pStyle w:val="TableParagraph"/>
              <w:spacing w:line="230" w:lineRule="exact"/>
              <w:ind w:right="383"/>
              <w:jc w:val="right"/>
              <w:rPr>
                <w:rFonts w:ascii="宋体" w:hAnsi="宋体" w:cs="宋体" w:eastAsia="宋体" w:hint="default"/>
                <w:sz w:val="20"/>
                <w:szCs w:val="20"/>
              </w:rPr>
            </w:pPr>
            <w:r>
              <w:rPr>
                <w:rFonts w:ascii="宋体" w:hAnsi="宋体" w:cs="宋体" w:eastAsia="宋体" w:hint="default"/>
                <w:sz w:val="20"/>
                <w:szCs w:val="20"/>
              </w:rPr>
              <w:t>外币金额</w:t>
            </w:r>
          </w:p>
        </w:tc>
        <w:tc>
          <w:tcPr>
            <w:tcW w:w="1096" w:type="dxa"/>
            <w:tcBorders>
              <w:top w:val="single" w:sz="12" w:space="0" w:color="000000"/>
              <w:left w:val="nil" w:sz="6" w:space="0" w:color="auto"/>
              <w:bottom w:val="nil" w:sz="6" w:space="0" w:color="auto"/>
              <w:right w:val="nil" w:sz="6" w:space="0" w:color="auto"/>
            </w:tcBorders>
          </w:tcPr>
          <w:p>
            <w:pPr>
              <w:pStyle w:val="TableParagraph"/>
              <w:spacing w:line="230" w:lineRule="exact"/>
              <w:ind w:right="307"/>
              <w:jc w:val="right"/>
              <w:rPr>
                <w:rFonts w:ascii="宋体" w:hAnsi="宋体" w:cs="宋体" w:eastAsia="宋体" w:hint="default"/>
                <w:sz w:val="20"/>
                <w:szCs w:val="20"/>
              </w:rPr>
            </w:pPr>
            <w:r>
              <w:rPr>
                <w:rFonts w:ascii="宋体" w:hAnsi="宋体" w:cs="宋体" w:eastAsia="宋体" w:hint="default"/>
                <w:sz w:val="20"/>
                <w:szCs w:val="20"/>
              </w:rPr>
              <w:t>汇率</w:t>
            </w:r>
          </w:p>
        </w:tc>
        <w:tc>
          <w:tcPr>
            <w:tcW w:w="1249" w:type="dxa"/>
            <w:tcBorders>
              <w:top w:val="single" w:sz="12" w:space="0" w:color="000000"/>
              <w:left w:val="nil" w:sz="6" w:space="0" w:color="auto"/>
              <w:bottom w:val="nil" w:sz="6" w:space="0" w:color="auto"/>
              <w:right w:val="nil" w:sz="6" w:space="0" w:color="auto"/>
            </w:tcBorders>
          </w:tcPr>
          <w:p>
            <w:pPr>
              <w:pStyle w:val="TableParagraph"/>
              <w:spacing w:line="230" w:lineRule="exact"/>
              <w:ind w:left="170" w:right="0"/>
              <w:jc w:val="left"/>
              <w:rPr>
                <w:rFonts w:ascii="宋体" w:hAnsi="宋体" w:cs="宋体" w:eastAsia="宋体" w:hint="default"/>
                <w:sz w:val="20"/>
                <w:szCs w:val="20"/>
              </w:rPr>
            </w:pPr>
            <w:r>
              <w:rPr>
                <w:rFonts w:ascii="宋体" w:hAnsi="宋体" w:cs="宋体" w:eastAsia="宋体" w:hint="default"/>
                <w:sz w:val="20"/>
                <w:szCs w:val="20"/>
              </w:rPr>
              <w:t>折合人民币</w:t>
            </w:r>
          </w:p>
        </w:tc>
      </w:tr>
      <w:tr>
        <w:trPr>
          <w:trHeight w:val="391"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20"/>
                <w:szCs w:val="20"/>
              </w:rPr>
            </w:pPr>
            <w:r>
              <w:rPr>
                <w:rFonts w:ascii="宋体" w:hAnsi="宋体" w:cs="宋体" w:eastAsia="宋体" w:hint="default"/>
                <w:sz w:val="20"/>
                <w:szCs w:val="20"/>
              </w:rPr>
              <w:t>港元</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634" w:right="0"/>
              <w:jc w:val="left"/>
              <w:rPr>
                <w:rFonts w:ascii="Arial" w:hAnsi="Arial" w:cs="Arial" w:eastAsia="Arial" w:hint="default"/>
                <w:sz w:val="20"/>
                <w:szCs w:val="20"/>
              </w:rPr>
            </w:pPr>
            <w:r>
              <w:rPr>
                <w:rFonts w:ascii="Arial"/>
                <w:sz w:val="20"/>
              </w:rPr>
              <w:t>16,188</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5"/>
              <w:jc w:val="center"/>
              <w:rPr>
                <w:rFonts w:ascii="Arial" w:hAnsi="Arial" w:cs="Arial" w:eastAsia="Arial" w:hint="default"/>
                <w:sz w:val="20"/>
                <w:szCs w:val="20"/>
              </w:rPr>
            </w:pPr>
            <w:r>
              <w:rPr>
                <w:rFonts w:ascii="Arial"/>
                <w:sz w:val="20"/>
              </w:rPr>
              <w:t>0.8509</w:t>
            </w:r>
          </w:p>
        </w:tc>
        <w:tc>
          <w:tcPr>
            <w:tcW w:w="1283" w:type="dxa"/>
            <w:tcBorders>
              <w:top w:val="nil" w:sz="6" w:space="0" w:color="auto"/>
              <w:left w:val="nil" w:sz="6" w:space="0" w:color="auto"/>
              <w:bottom w:val="single" w:sz="12" w:space="0" w:color="000000"/>
              <w:right w:val="nil" w:sz="6" w:space="0" w:color="auto"/>
            </w:tcBorders>
          </w:tcPr>
          <w:p>
            <w:pPr>
              <w:pStyle w:val="TableParagraph"/>
              <w:spacing w:line="240" w:lineRule="auto" w:before="142"/>
              <w:ind w:right="110"/>
              <w:jc w:val="right"/>
              <w:rPr>
                <w:rFonts w:ascii="Arial" w:hAnsi="Arial" w:cs="Arial" w:eastAsia="Arial" w:hint="default"/>
                <w:sz w:val="20"/>
                <w:szCs w:val="20"/>
              </w:rPr>
            </w:pPr>
            <w:r>
              <w:rPr>
                <w:rFonts w:ascii="Arial"/>
                <w:sz w:val="20"/>
              </w:rPr>
              <w:t>13,774</w:t>
            </w:r>
          </w:p>
        </w:tc>
        <w:tc>
          <w:tcPr>
            <w:tcW w:w="29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457"/>
              <w:jc w:val="right"/>
              <w:rPr>
                <w:rFonts w:ascii="Arial" w:hAnsi="Arial" w:cs="Arial" w:eastAsia="Arial" w:hint="default"/>
                <w:sz w:val="20"/>
                <w:szCs w:val="20"/>
              </w:rPr>
            </w:pPr>
            <w:r>
              <w:rPr>
                <w:rFonts w:ascii="Arial"/>
                <w:w w:val="100"/>
                <w:sz w:val="20"/>
              </w:rPr>
              <w:t>-</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07"/>
              <w:jc w:val="right"/>
              <w:rPr>
                <w:rFonts w:ascii="Arial" w:hAnsi="Arial" w:cs="Arial" w:eastAsia="Arial" w:hint="default"/>
                <w:sz w:val="20"/>
                <w:szCs w:val="20"/>
              </w:rPr>
            </w:pPr>
            <w:r>
              <w:rPr>
                <w:rFonts w:ascii="Arial"/>
                <w:w w:val="100"/>
                <w:sz w:val="20"/>
              </w:rPr>
              <w:t>-</w:t>
            </w:r>
          </w:p>
        </w:tc>
        <w:tc>
          <w:tcPr>
            <w:tcW w:w="1249" w:type="dxa"/>
            <w:tcBorders>
              <w:top w:val="nil" w:sz="6" w:space="0" w:color="auto"/>
              <w:left w:val="nil" w:sz="6" w:space="0" w:color="auto"/>
              <w:bottom w:val="single" w:sz="12" w:space="0" w:color="000000"/>
              <w:right w:val="nil" w:sz="6" w:space="0" w:color="auto"/>
            </w:tcBorders>
          </w:tcPr>
          <w:p>
            <w:pPr/>
          </w:p>
        </w:tc>
      </w:tr>
    </w:tbl>
    <w:p>
      <w:pPr>
        <w:spacing w:after="0"/>
        <w:sectPr>
          <w:type w:val="continuous"/>
          <w:pgSz w:w="11910" w:h="16840"/>
          <w:pgMar w:top="920" w:bottom="900" w:left="1020" w:right="760"/>
        </w:sectPr>
      </w:pPr>
    </w:p>
    <w:p>
      <w:pPr>
        <w:spacing w:line="240" w:lineRule="auto" w:before="2"/>
        <w:rPr>
          <w:rFonts w:ascii="宋体" w:hAnsi="宋体" w:cs="宋体" w:eastAsia="宋体" w:hint="default"/>
          <w:sz w:val="16"/>
          <w:szCs w:val="16"/>
        </w:rPr>
      </w:pPr>
    </w:p>
    <w:p>
      <w:pPr>
        <w:pStyle w:val="Heading2"/>
        <w:tabs>
          <w:tab w:pos="815" w:val="left" w:leader="none"/>
        </w:tabs>
        <w:spacing w:line="240" w:lineRule="auto"/>
        <w:ind w:left="103" w:right="104"/>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5" w:val="left" w:leader="none"/>
        </w:tabs>
        <w:spacing w:before="0"/>
        <w:ind w:left="103"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(8)</w:t>
        <w:tab/>
      </w:r>
      <w:r>
        <w:rPr>
          <w:rFonts w:ascii="宋体" w:hAnsi="宋体" w:cs="宋体" w:eastAsia="宋体" w:hint="default"/>
          <w:b/>
          <w:bCs/>
          <w:sz w:val="24"/>
          <w:szCs w:val="24"/>
        </w:rPr>
        <w:t>存货</w:t>
      </w:r>
      <w:r>
        <w:rPr>
          <w:rFonts w:ascii="宋体" w:hAnsi="宋体" w:cs="宋体" w:eastAsia="宋体" w:hint="default"/>
          <w:sz w:val="24"/>
          <w:szCs w:val="24"/>
        </w:rPr>
      </w:r>
    </w:p>
    <w:p>
      <w:pPr>
        <w:spacing w:line="240" w:lineRule="auto" w:before="6"/>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1475" w:footer="947" w:top="3020" w:bottom="1140" w:left="1020" w:right="700"/>
        </w:sectPr>
      </w:pPr>
    </w:p>
    <w:p>
      <w:pPr>
        <w:pStyle w:val="BodyText"/>
        <w:tabs>
          <w:tab w:pos="815" w:val="left" w:leader="none"/>
        </w:tabs>
        <w:spacing w:line="240" w:lineRule="auto" w:before="32"/>
        <w:ind w:left="103" w:right="-19"/>
        <w:jc w:val="left"/>
      </w:pPr>
      <w:r>
        <w:rPr>
          <w:rFonts w:ascii="Arial" w:hAnsi="Arial" w:cs="Arial" w:eastAsia="Arial" w:hint="default"/>
          <w:w w:val="95"/>
          <w:position w:val="2"/>
        </w:rPr>
        <w:t>(a)</w:t>
        <w:tab/>
      </w:r>
      <w:r>
        <w:rPr/>
        <w:t>存货分类如下：</w:t>
      </w:r>
    </w:p>
    <w:p>
      <w:pPr>
        <w:spacing w:line="240" w:lineRule="auto" w:before="0"/>
        <w:rPr>
          <w:rFonts w:ascii="宋体" w:hAnsi="宋体" w:cs="宋体" w:eastAsia="宋体" w:hint="default"/>
          <w:sz w:val="28"/>
          <w:szCs w:val="28"/>
        </w:rPr>
      </w:pPr>
      <w:r>
        <w:rPr/>
        <w:br w:type="column"/>
      </w:r>
      <w:r>
        <w:rPr>
          <w:rFonts w:ascii="宋体"/>
          <w:sz w:val="28"/>
        </w:rPr>
      </w:r>
    </w:p>
    <w:p>
      <w:pPr>
        <w:tabs>
          <w:tab w:pos="4136" w:val="left" w:leader="none"/>
        </w:tabs>
        <w:spacing w:before="0"/>
        <w:ind w:left="103" w:right="0" w:firstLine="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after="0"/>
        <w:jc w:val="left"/>
        <w:rPr>
          <w:rFonts w:ascii="宋体" w:hAnsi="宋体" w:cs="宋体" w:eastAsia="宋体" w:hint="default"/>
          <w:sz w:val="20"/>
          <w:szCs w:val="20"/>
        </w:rPr>
        <w:sectPr>
          <w:type w:val="continuous"/>
          <w:pgSz w:w="11910" w:h="16840"/>
          <w:pgMar w:top="920" w:bottom="900" w:left="1020" w:right="700"/>
          <w:cols w:num="2" w:equalWidth="0">
            <w:col w:w="2497" w:space="721"/>
            <w:col w:w="6972"/>
          </w:cols>
        </w:sectPr>
      </w:pPr>
    </w:p>
    <w:p>
      <w:pPr>
        <w:spacing w:line="240" w:lineRule="auto" w:before="5"/>
        <w:rPr>
          <w:rFonts w:ascii="宋体" w:hAnsi="宋体" w:cs="宋体" w:eastAsia="宋体" w:hint="default"/>
          <w:sz w:val="2"/>
          <w:szCs w:val="2"/>
        </w:rPr>
      </w:pPr>
    </w:p>
    <w:tbl>
      <w:tblPr>
        <w:tblW w:w="0" w:type="auto"/>
        <w:jc w:val="left"/>
        <w:tblInd w:w="780" w:type="dxa"/>
        <w:tblLayout w:type="fixed"/>
        <w:tblCellMar>
          <w:top w:w="0" w:type="dxa"/>
          <w:left w:w="0" w:type="dxa"/>
          <w:bottom w:w="0" w:type="dxa"/>
          <w:right w:w="0" w:type="dxa"/>
        </w:tblCellMar>
        <w:tblLook w:val="01E0"/>
      </w:tblPr>
      <w:tblGrid>
        <w:gridCol w:w="1440"/>
        <w:gridCol w:w="1204"/>
        <w:gridCol w:w="224"/>
        <w:gridCol w:w="980"/>
        <w:gridCol w:w="223"/>
        <w:gridCol w:w="1289"/>
        <w:gridCol w:w="226"/>
        <w:gridCol w:w="1117"/>
        <w:gridCol w:w="223"/>
        <w:gridCol w:w="980"/>
        <w:gridCol w:w="224"/>
        <w:gridCol w:w="1153"/>
      </w:tblGrid>
      <w:tr>
        <w:trPr>
          <w:trHeight w:val="650" w:hRule="exact"/>
        </w:trPr>
        <w:tc>
          <w:tcPr>
            <w:tcW w:w="1440" w:type="dxa"/>
            <w:tcBorders>
              <w:top w:val="nil" w:sz="6" w:space="0" w:color="auto"/>
              <w:left w:val="nil" w:sz="6" w:space="0" w:color="auto"/>
              <w:bottom w:val="nil" w:sz="6" w:space="0" w:color="auto"/>
              <w:right w:val="nil" w:sz="6" w:space="0" w:color="auto"/>
            </w:tcBorders>
          </w:tcPr>
          <w:p>
            <w:pPr/>
          </w:p>
        </w:tc>
        <w:tc>
          <w:tcPr>
            <w:tcW w:w="1204" w:type="dxa"/>
            <w:tcBorders>
              <w:top w:val="single" w:sz="12" w:space="0" w:color="000000"/>
              <w:left w:val="nil" w:sz="6" w:space="0" w:color="auto"/>
              <w:bottom w:val="nil" w:sz="6" w:space="0" w:color="auto"/>
              <w:right w:val="nil" w:sz="6" w:space="0" w:color="auto"/>
            </w:tcBorders>
          </w:tcPr>
          <w:p>
            <w:pPr>
              <w:pStyle w:val="TableParagraph"/>
              <w:spacing w:line="229" w:lineRule="exact"/>
              <w:ind w:left="718" w:right="0"/>
              <w:jc w:val="left"/>
              <w:rPr>
                <w:rFonts w:ascii="宋体" w:hAnsi="宋体" w:cs="宋体" w:eastAsia="宋体" w:hint="default"/>
                <w:sz w:val="20"/>
                <w:szCs w:val="20"/>
              </w:rPr>
            </w:pPr>
            <w:r>
              <w:rPr>
                <w:rFonts w:ascii="宋体" w:hAnsi="宋体" w:cs="宋体" w:eastAsia="宋体" w:hint="default"/>
                <w:sz w:val="20"/>
                <w:szCs w:val="20"/>
              </w:rPr>
              <w:t>账面</w:t>
            </w:r>
          </w:p>
          <w:p>
            <w:pPr>
              <w:pStyle w:val="TableParagraph"/>
              <w:spacing w:line="261" w:lineRule="exact"/>
              <w:ind w:left="718" w:right="0"/>
              <w:jc w:val="left"/>
              <w:rPr>
                <w:rFonts w:ascii="宋体" w:hAnsi="宋体" w:cs="宋体" w:eastAsia="宋体" w:hint="default"/>
                <w:sz w:val="20"/>
                <w:szCs w:val="20"/>
              </w:rPr>
            </w:pPr>
            <w:r>
              <w:rPr>
                <w:rFonts w:ascii="宋体" w:hAnsi="宋体" w:cs="宋体" w:eastAsia="宋体" w:hint="default"/>
                <w:sz w:val="20"/>
                <w:szCs w:val="20"/>
              </w:rPr>
              <w:t>余额</w:t>
            </w:r>
          </w:p>
        </w:tc>
        <w:tc>
          <w:tcPr>
            <w:tcW w:w="224" w:type="dxa"/>
            <w:tcBorders>
              <w:top w:val="single" w:sz="12" w:space="0" w:color="000000"/>
              <w:left w:val="nil" w:sz="6" w:space="0" w:color="auto"/>
              <w:bottom w:val="nil" w:sz="6" w:space="0" w:color="auto"/>
              <w:right w:val="nil" w:sz="6" w:space="0" w:color="auto"/>
            </w:tcBorders>
          </w:tcPr>
          <w:p>
            <w:pPr/>
          </w:p>
        </w:tc>
        <w:tc>
          <w:tcPr>
            <w:tcW w:w="980" w:type="dxa"/>
            <w:tcBorders>
              <w:top w:val="single" w:sz="12" w:space="0" w:color="000000"/>
              <w:left w:val="nil" w:sz="6" w:space="0" w:color="auto"/>
              <w:bottom w:val="nil" w:sz="6" w:space="0" w:color="auto"/>
              <w:right w:val="nil" w:sz="6" w:space="0" w:color="auto"/>
            </w:tcBorders>
          </w:tcPr>
          <w:p>
            <w:pPr>
              <w:pStyle w:val="TableParagraph"/>
              <w:spacing w:line="229" w:lineRule="exact"/>
              <w:ind w:left="294" w:right="0"/>
              <w:jc w:val="left"/>
              <w:rPr>
                <w:rFonts w:ascii="宋体" w:hAnsi="宋体" w:cs="宋体" w:eastAsia="宋体" w:hint="default"/>
                <w:sz w:val="20"/>
                <w:szCs w:val="20"/>
              </w:rPr>
            </w:pPr>
            <w:r>
              <w:rPr>
                <w:rFonts w:ascii="宋体" w:hAnsi="宋体" w:cs="宋体" w:eastAsia="宋体" w:hint="default"/>
                <w:sz w:val="20"/>
                <w:szCs w:val="20"/>
              </w:rPr>
              <w:t>存货跌</w:t>
            </w:r>
          </w:p>
          <w:p>
            <w:pPr>
              <w:pStyle w:val="TableParagraph"/>
              <w:spacing w:line="261" w:lineRule="exact"/>
              <w:ind w:left="294" w:right="0"/>
              <w:jc w:val="left"/>
              <w:rPr>
                <w:rFonts w:ascii="宋体" w:hAnsi="宋体" w:cs="宋体" w:eastAsia="宋体" w:hint="default"/>
                <w:sz w:val="20"/>
                <w:szCs w:val="20"/>
              </w:rPr>
            </w:pPr>
            <w:r>
              <w:rPr>
                <w:rFonts w:ascii="宋体" w:hAnsi="宋体" w:cs="宋体" w:eastAsia="宋体" w:hint="default"/>
                <w:sz w:val="20"/>
                <w:szCs w:val="20"/>
              </w:rPr>
              <w:t>价准备</w:t>
            </w:r>
          </w:p>
        </w:tc>
        <w:tc>
          <w:tcPr>
            <w:tcW w:w="223" w:type="dxa"/>
            <w:tcBorders>
              <w:top w:val="single" w:sz="12" w:space="0" w:color="000000"/>
              <w:left w:val="nil" w:sz="6" w:space="0" w:color="auto"/>
              <w:bottom w:val="nil" w:sz="6" w:space="0" w:color="auto"/>
              <w:right w:val="nil" w:sz="6" w:space="0" w:color="auto"/>
            </w:tcBorders>
          </w:tcPr>
          <w:p>
            <w:pPr/>
          </w:p>
        </w:tc>
        <w:tc>
          <w:tcPr>
            <w:tcW w:w="1289" w:type="dxa"/>
            <w:tcBorders>
              <w:top w:val="single" w:sz="12" w:space="0" w:color="000000"/>
              <w:left w:val="nil" w:sz="6" w:space="0" w:color="auto"/>
              <w:bottom w:val="nil" w:sz="6" w:space="0" w:color="auto"/>
              <w:right w:val="nil" w:sz="6" w:space="0" w:color="auto"/>
            </w:tcBorders>
          </w:tcPr>
          <w:p>
            <w:pPr>
              <w:pStyle w:val="TableParagraph"/>
              <w:spacing w:line="229" w:lineRule="exact"/>
              <w:ind w:left="802" w:right="0"/>
              <w:jc w:val="left"/>
              <w:rPr>
                <w:rFonts w:ascii="宋体" w:hAnsi="宋体" w:cs="宋体" w:eastAsia="宋体" w:hint="default"/>
                <w:sz w:val="20"/>
                <w:szCs w:val="20"/>
              </w:rPr>
            </w:pPr>
            <w:r>
              <w:rPr>
                <w:rFonts w:ascii="宋体" w:hAnsi="宋体" w:cs="宋体" w:eastAsia="宋体" w:hint="default"/>
                <w:sz w:val="20"/>
                <w:szCs w:val="20"/>
              </w:rPr>
              <w:t>账面</w:t>
            </w:r>
          </w:p>
          <w:p>
            <w:pPr>
              <w:pStyle w:val="TableParagraph"/>
              <w:spacing w:line="261" w:lineRule="exact"/>
              <w:ind w:left="802" w:right="0"/>
              <w:jc w:val="left"/>
              <w:rPr>
                <w:rFonts w:ascii="宋体" w:hAnsi="宋体" w:cs="宋体" w:eastAsia="宋体" w:hint="default"/>
                <w:sz w:val="20"/>
                <w:szCs w:val="20"/>
              </w:rPr>
            </w:pPr>
            <w:r>
              <w:rPr>
                <w:rFonts w:ascii="宋体" w:hAnsi="宋体" w:cs="宋体" w:eastAsia="宋体" w:hint="default"/>
                <w:sz w:val="20"/>
                <w:szCs w:val="20"/>
              </w:rPr>
              <w:t>价值</w:t>
            </w:r>
          </w:p>
        </w:tc>
        <w:tc>
          <w:tcPr>
            <w:tcW w:w="226" w:type="dxa"/>
            <w:tcBorders>
              <w:top w:val="nil" w:sz="6" w:space="0" w:color="auto"/>
              <w:left w:val="nil" w:sz="6" w:space="0" w:color="auto"/>
              <w:bottom w:val="nil" w:sz="6" w:space="0" w:color="auto"/>
              <w:right w:val="nil" w:sz="6" w:space="0" w:color="auto"/>
            </w:tcBorders>
          </w:tcPr>
          <w:p>
            <w:pPr/>
          </w:p>
        </w:tc>
        <w:tc>
          <w:tcPr>
            <w:tcW w:w="1117" w:type="dxa"/>
            <w:tcBorders>
              <w:top w:val="single" w:sz="12" w:space="0" w:color="000000"/>
              <w:left w:val="nil" w:sz="6" w:space="0" w:color="auto"/>
              <w:bottom w:val="nil" w:sz="6" w:space="0" w:color="auto"/>
              <w:right w:val="nil" w:sz="6" w:space="0" w:color="auto"/>
            </w:tcBorders>
          </w:tcPr>
          <w:p>
            <w:pPr>
              <w:pStyle w:val="TableParagraph"/>
              <w:spacing w:line="229" w:lineRule="exact"/>
              <w:ind w:left="631" w:right="0"/>
              <w:jc w:val="left"/>
              <w:rPr>
                <w:rFonts w:ascii="宋体" w:hAnsi="宋体" w:cs="宋体" w:eastAsia="宋体" w:hint="default"/>
                <w:sz w:val="20"/>
                <w:szCs w:val="20"/>
              </w:rPr>
            </w:pPr>
            <w:r>
              <w:rPr>
                <w:rFonts w:ascii="宋体" w:hAnsi="宋体" w:cs="宋体" w:eastAsia="宋体" w:hint="default"/>
                <w:sz w:val="20"/>
                <w:szCs w:val="20"/>
              </w:rPr>
              <w:t>账面</w:t>
            </w:r>
          </w:p>
          <w:p>
            <w:pPr>
              <w:pStyle w:val="TableParagraph"/>
              <w:spacing w:line="261" w:lineRule="exact"/>
              <w:ind w:left="631" w:right="0"/>
              <w:jc w:val="left"/>
              <w:rPr>
                <w:rFonts w:ascii="宋体" w:hAnsi="宋体" w:cs="宋体" w:eastAsia="宋体" w:hint="default"/>
                <w:sz w:val="20"/>
                <w:szCs w:val="20"/>
              </w:rPr>
            </w:pPr>
            <w:r>
              <w:rPr>
                <w:rFonts w:ascii="宋体" w:hAnsi="宋体" w:cs="宋体" w:eastAsia="宋体" w:hint="default"/>
                <w:sz w:val="20"/>
                <w:szCs w:val="20"/>
              </w:rPr>
              <w:t>余额</w:t>
            </w:r>
          </w:p>
        </w:tc>
        <w:tc>
          <w:tcPr>
            <w:tcW w:w="223" w:type="dxa"/>
            <w:tcBorders>
              <w:top w:val="single" w:sz="12" w:space="0" w:color="000000"/>
              <w:left w:val="nil" w:sz="6" w:space="0" w:color="auto"/>
              <w:bottom w:val="nil" w:sz="6" w:space="0" w:color="auto"/>
              <w:right w:val="nil" w:sz="6" w:space="0" w:color="auto"/>
            </w:tcBorders>
          </w:tcPr>
          <w:p>
            <w:pPr/>
          </w:p>
        </w:tc>
        <w:tc>
          <w:tcPr>
            <w:tcW w:w="980" w:type="dxa"/>
            <w:tcBorders>
              <w:top w:val="single" w:sz="12" w:space="0" w:color="000000"/>
              <w:left w:val="nil" w:sz="6" w:space="0" w:color="auto"/>
              <w:bottom w:val="nil" w:sz="6" w:space="0" w:color="auto"/>
              <w:right w:val="nil" w:sz="6" w:space="0" w:color="auto"/>
            </w:tcBorders>
          </w:tcPr>
          <w:p>
            <w:pPr>
              <w:pStyle w:val="TableParagraph"/>
              <w:spacing w:line="229" w:lineRule="exact"/>
              <w:ind w:left="294" w:right="0"/>
              <w:jc w:val="left"/>
              <w:rPr>
                <w:rFonts w:ascii="宋体" w:hAnsi="宋体" w:cs="宋体" w:eastAsia="宋体" w:hint="default"/>
                <w:sz w:val="20"/>
                <w:szCs w:val="20"/>
              </w:rPr>
            </w:pPr>
            <w:r>
              <w:rPr>
                <w:rFonts w:ascii="宋体" w:hAnsi="宋体" w:cs="宋体" w:eastAsia="宋体" w:hint="default"/>
                <w:sz w:val="20"/>
                <w:szCs w:val="20"/>
              </w:rPr>
              <w:t>存货跌</w:t>
            </w:r>
          </w:p>
          <w:p>
            <w:pPr>
              <w:pStyle w:val="TableParagraph"/>
              <w:spacing w:line="261" w:lineRule="exact"/>
              <w:ind w:left="294" w:right="0"/>
              <w:jc w:val="left"/>
              <w:rPr>
                <w:rFonts w:ascii="宋体" w:hAnsi="宋体" w:cs="宋体" w:eastAsia="宋体" w:hint="default"/>
                <w:sz w:val="20"/>
                <w:szCs w:val="20"/>
              </w:rPr>
            </w:pPr>
            <w:r>
              <w:rPr>
                <w:rFonts w:ascii="宋体" w:hAnsi="宋体" w:cs="宋体" w:eastAsia="宋体" w:hint="default"/>
                <w:sz w:val="20"/>
                <w:szCs w:val="20"/>
              </w:rPr>
              <w:t>价准备</w:t>
            </w:r>
          </w:p>
        </w:tc>
        <w:tc>
          <w:tcPr>
            <w:tcW w:w="224" w:type="dxa"/>
            <w:tcBorders>
              <w:top w:val="single" w:sz="12" w:space="0" w:color="000000"/>
              <w:left w:val="nil" w:sz="6" w:space="0" w:color="auto"/>
              <w:bottom w:val="nil" w:sz="6" w:space="0" w:color="auto"/>
              <w:right w:val="nil" w:sz="6" w:space="0" w:color="auto"/>
            </w:tcBorders>
          </w:tcPr>
          <w:p>
            <w:pPr/>
          </w:p>
        </w:tc>
        <w:tc>
          <w:tcPr>
            <w:tcW w:w="1153" w:type="dxa"/>
            <w:tcBorders>
              <w:top w:val="single" w:sz="12" w:space="0" w:color="000000"/>
              <w:left w:val="nil" w:sz="6" w:space="0" w:color="auto"/>
              <w:bottom w:val="nil" w:sz="6" w:space="0" w:color="auto"/>
              <w:right w:val="nil" w:sz="6" w:space="0" w:color="auto"/>
            </w:tcBorders>
          </w:tcPr>
          <w:p>
            <w:pPr>
              <w:pStyle w:val="TableParagraph"/>
              <w:spacing w:line="229" w:lineRule="exact"/>
              <w:ind w:left="667" w:right="0"/>
              <w:jc w:val="left"/>
              <w:rPr>
                <w:rFonts w:ascii="宋体" w:hAnsi="宋体" w:cs="宋体" w:eastAsia="宋体" w:hint="default"/>
                <w:sz w:val="20"/>
                <w:szCs w:val="20"/>
              </w:rPr>
            </w:pPr>
            <w:r>
              <w:rPr>
                <w:rFonts w:ascii="宋体" w:hAnsi="宋体" w:cs="宋体" w:eastAsia="宋体" w:hint="default"/>
                <w:sz w:val="20"/>
                <w:szCs w:val="20"/>
              </w:rPr>
              <w:t>账面</w:t>
            </w:r>
          </w:p>
          <w:p>
            <w:pPr>
              <w:pStyle w:val="TableParagraph"/>
              <w:spacing w:line="261" w:lineRule="exact"/>
              <w:ind w:left="667" w:right="0"/>
              <w:jc w:val="left"/>
              <w:rPr>
                <w:rFonts w:ascii="宋体" w:hAnsi="宋体" w:cs="宋体" w:eastAsia="宋体" w:hint="default"/>
                <w:sz w:val="20"/>
                <w:szCs w:val="20"/>
              </w:rPr>
            </w:pPr>
            <w:r>
              <w:rPr>
                <w:rFonts w:ascii="宋体" w:hAnsi="宋体" w:cs="宋体" w:eastAsia="宋体" w:hint="default"/>
                <w:sz w:val="20"/>
                <w:szCs w:val="20"/>
              </w:rPr>
              <w:t>价值</w:t>
            </w:r>
          </w:p>
        </w:tc>
      </w:tr>
      <w:tr>
        <w:trPr>
          <w:trHeight w:val="387" w:hRule="exact"/>
        </w:trPr>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82"/>
              <w:jc w:val="right"/>
              <w:rPr>
                <w:rFonts w:ascii="Arial" w:hAnsi="Arial" w:cs="Arial" w:eastAsia="Arial" w:hint="default"/>
                <w:sz w:val="20"/>
                <w:szCs w:val="20"/>
              </w:rPr>
            </w:pPr>
            <w:r>
              <w:rPr>
                <w:rFonts w:ascii="Arial"/>
                <w:spacing w:val="-1"/>
                <w:sz w:val="20"/>
              </w:rPr>
              <w:t>9,481,736</w:t>
            </w:r>
          </w:p>
        </w:tc>
        <w:tc>
          <w:tcPr>
            <w:tcW w:w="224"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0"/>
              <w:jc w:val="right"/>
              <w:rPr>
                <w:rFonts w:ascii="Arial" w:hAnsi="Arial" w:cs="Arial" w:eastAsia="Arial" w:hint="default"/>
                <w:sz w:val="20"/>
                <w:szCs w:val="20"/>
              </w:rPr>
            </w:pPr>
            <w:r>
              <w:rPr>
                <w:rFonts w:ascii="Arial"/>
                <w:spacing w:val="-1"/>
                <w:sz w:val="20"/>
              </w:rPr>
              <w:t>(57,159)</w:t>
            </w:r>
          </w:p>
        </w:tc>
        <w:tc>
          <w:tcPr>
            <w:tcW w:w="223"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89" w:right="0"/>
              <w:jc w:val="left"/>
              <w:rPr>
                <w:rFonts w:ascii="Arial" w:hAnsi="Arial" w:cs="Arial" w:eastAsia="Arial" w:hint="default"/>
                <w:sz w:val="20"/>
                <w:szCs w:val="20"/>
              </w:rPr>
            </w:pPr>
            <w:r>
              <w:rPr>
                <w:rFonts w:ascii="Arial"/>
                <w:sz w:val="20"/>
              </w:rPr>
              <w:t>9,424,577</w:t>
            </w:r>
          </w:p>
        </w:tc>
        <w:tc>
          <w:tcPr>
            <w:tcW w:w="226"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55" w:right="0"/>
              <w:jc w:val="center"/>
              <w:rPr>
                <w:rFonts w:ascii="Arial" w:hAnsi="Arial" w:cs="Arial" w:eastAsia="Arial" w:hint="default"/>
                <w:sz w:val="20"/>
                <w:szCs w:val="20"/>
              </w:rPr>
            </w:pPr>
            <w:r>
              <w:rPr>
                <w:rFonts w:ascii="Arial"/>
                <w:sz w:val="20"/>
              </w:rPr>
              <w:t>6,329,662</w:t>
            </w:r>
          </w:p>
        </w:tc>
        <w:tc>
          <w:tcPr>
            <w:tcW w:w="223"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62" w:right="0"/>
              <w:jc w:val="center"/>
              <w:rPr>
                <w:rFonts w:ascii="Arial" w:hAnsi="Arial" w:cs="Arial" w:eastAsia="Arial" w:hint="default"/>
                <w:sz w:val="20"/>
                <w:szCs w:val="20"/>
              </w:rPr>
            </w:pPr>
            <w:r>
              <w:rPr>
                <w:rFonts w:ascii="Arial"/>
                <w:sz w:val="20"/>
              </w:rPr>
              <w:t>(26,469)</w:t>
            </w:r>
          </w:p>
        </w:tc>
        <w:tc>
          <w:tcPr>
            <w:tcW w:w="224"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83"/>
              <w:jc w:val="right"/>
              <w:rPr>
                <w:rFonts w:ascii="Arial" w:hAnsi="Arial" w:cs="Arial" w:eastAsia="Arial" w:hint="default"/>
                <w:sz w:val="20"/>
                <w:szCs w:val="20"/>
              </w:rPr>
            </w:pPr>
            <w:r>
              <w:rPr>
                <w:rFonts w:ascii="Arial"/>
                <w:spacing w:val="-1"/>
                <w:sz w:val="20"/>
              </w:rPr>
              <w:t>6,303,193</w:t>
            </w:r>
          </w:p>
        </w:tc>
      </w:tr>
      <w:tr>
        <w:trPr>
          <w:trHeight w:val="267" w:hRule="exact"/>
        </w:trPr>
        <w:tc>
          <w:tcPr>
            <w:tcW w:w="1440"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安装维修用备件</w:t>
            </w:r>
          </w:p>
        </w:tc>
        <w:tc>
          <w:tcPr>
            <w:tcW w:w="1204" w:type="dxa"/>
            <w:tcBorders>
              <w:top w:val="nil" w:sz="6" w:space="0" w:color="auto"/>
              <w:left w:val="nil" w:sz="6" w:space="0" w:color="auto"/>
              <w:bottom w:val="nil" w:sz="6" w:space="0" w:color="auto"/>
              <w:right w:val="nil" w:sz="6" w:space="0" w:color="auto"/>
            </w:tcBorders>
          </w:tcPr>
          <w:p>
            <w:pPr>
              <w:pStyle w:val="TableParagraph"/>
              <w:tabs>
                <w:tab w:pos="499" w:val="left" w:leader="none"/>
                <w:tab w:pos="1189" w:val="left" w:leader="none"/>
              </w:tabs>
              <w:spacing w:line="240" w:lineRule="auto" w:before="16"/>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49,872</w:t>
              <w:tab/>
            </w:r>
            <w:r>
              <w:rPr>
                <w:rFonts w:ascii="Arial"/>
                <w:sz w:val="20"/>
              </w:rPr>
            </w:r>
          </w:p>
        </w:tc>
        <w:tc>
          <w:tcPr>
            <w:tcW w:w="224"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tabs>
                <w:tab w:pos="807" w:val="left" w:leader="none"/>
              </w:tabs>
              <w:spacing w:line="240" w:lineRule="auto" w:before="16"/>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tabs>
                <w:tab w:pos="567" w:val="left" w:leader="none"/>
                <w:tab w:pos="1281" w:val="left" w:leader="none"/>
              </w:tabs>
              <w:spacing w:line="240" w:lineRule="auto" w:before="16"/>
              <w:ind w:left="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49,872</w:t>
              <w:tab/>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tabs>
                <w:tab w:pos="415" w:val="left" w:leader="none"/>
                <w:tab w:pos="1106" w:val="left" w:leader="none"/>
              </w:tabs>
              <w:spacing w:line="240" w:lineRule="auto" w:before="16"/>
              <w:ind w:right="1"/>
              <w:jc w:val="center"/>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23,802</w:t>
              <w:tab/>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tabs>
                <w:tab w:pos="752" w:val="left" w:leader="none"/>
                <w:tab w:pos="965" w:val="left" w:leader="none"/>
              </w:tabs>
              <w:spacing w:line="240" w:lineRule="auto" w:before="16"/>
              <w:ind w:right="0"/>
              <w:jc w:val="center"/>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r>
            <w:r>
              <w:rPr>
                <w:rFonts w:ascii="Arial"/>
                <w:sz w:val="20"/>
              </w:rPr>
            </w:r>
          </w:p>
        </w:tc>
        <w:tc>
          <w:tcPr>
            <w:tcW w:w="224"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Style w:val="TableParagraph"/>
              <w:tabs>
                <w:tab w:pos="447" w:val="left" w:leader="none"/>
                <w:tab w:pos="1138" w:val="left" w:leader="none"/>
              </w:tabs>
              <w:spacing w:line="240" w:lineRule="auto" w:before="16"/>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23,802</w:t>
              <w:tab/>
            </w:r>
            <w:r>
              <w:rPr>
                <w:rFonts w:ascii="Arial"/>
                <w:sz w:val="20"/>
              </w:rPr>
            </w:r>
          </w:p>
        </w:tc>
      </w:tr>
      <w:tr>
        <w:trPr>
          <w:trHeight w:val="248" w:hRule="exact"/>
        </w:trPr>
        <w:tc>
          <w:tcPr>
            <w:tcW w:w="1440"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single" w:sz="12" w:space="0" w:color="000000"/>
              <w:right w:val="nil" w:sz="6" w:space="0" w:color="auto"/>
            </w:tcBorders>
          </w:tcPr>
          <w:p>
            <w:pPr>
              <w:pStyle w:val="TableParagraph"/>
              <w:spacing w:line="240" w:lineRule="auto"/>
              <w:ind w:right="81"/>
              <w:jc w:val="right"/>
              <w:rPr>
                <w:rFonts w:ascii="Arial" w:hAnsi="Arial" w:cs="Arial" w:eastAsia="Arial" w:hint="default"/>
                <w:sz w:val="20"/>
                <w:szCs w:val="20"/>
              </w:rPr>
            </w:pPr>
            <w:r>
              <w:rPr>
                <w:rFonts w:ascii="Arial"/>
                <w:spacing w:val="-1"/>
                <w:sz w:val="20"/>
              </w:rPr>
              <w:t>9,531,608</w:t>
            </w:r>
          </w:p>
        </w:tc>
        <w:tc>
          <w:tcPr>
            <w:tcW w:w="224"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single" w:sz="12" w:space="0" w:color="000000"/>
              <w:right w:val="nil" w:sz="6" w:space="0" w:color="auto"/>
            </w:tcBorders>
          </w:tcPr>
          <w:p>
            <w:pPr>
              <w:pStyle w:val="TableParagraph"/>
              <w:spacing w:line="240" w:lineRule="auto"/>
              <w:ind w:right="30"/>
              <w:jc w:val="right"/>
              <w:rPr>
                <w:rFonts w:ascii="Arial" w:hAnsi="Arial" w:cs="Arial" w:eastAsia="Arial" w:hint="default"/>
                <w:sz w:val="20"/>
                <w:szCs w:val="20"/>
              </w:rPr>
            </w:pPr>
            <w:r>
              <w:rPr>
                <w:rFonts w:ascii="Arial"/>
                <w:spacing w:val="-1"/>
                <w:sz w:val="20"/>
              </w:rPr>
              <w:t>(57,159)</w:t>
            </w:r>
          </w:p>
        </w:tc>
        <w:tc>
          <w:tcPr>
            <w:tcW w:w="223"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12" w:space="0" w:color="000000"/>
              <w:right w:val="nil" w:sz="6" w:space="0" w:color="auto"/>
            </w:tcBorders>
          </w:tcPr>
          <w:p>
            <w:pPr>
              <w:pStyle w:val="TableParagraph"/>
              <w:spacing w:line="240" w:lineRule="auto"/>
              <w:ind w:left="289" w:right="0"/>
              <w:jc w:val="left"/>
              <w:rPr>
                <w:rFonts w:ascii="Arial" w:hAnsi="Arial" w:cs="Arial" w:eastAsia="Arial" w:hint="default"/>
                <w:sz w:val="20"/>
                <w:szCs w:val="20"/>
              </w:rPr>
            </w:pPr>
            <w:r>
              <w:rPr>
                <w:rFonts w:ascii="Arial"/>
                <w:sz w:val="20"/>
              </w:rPr>
              <w:t>9,474,449</w:t>
            </w:r>
          </w:p>
        </w:tc>
        <w:tc>
          <w:tcPr>
            <w:tcW w:w="226"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single" w:sz="12" w:space="0" w:color="000000"/>
              <w:right w:val="nil" w:sz="6" w:space="0" w:color="auto"/>
            </w:tcBorders>
          </w:tcPr>
          <w:p>
            <w:pPr>
              <w:pStyle w:val="TableParagraph"/>
              <w:spacing w:line="240" w:lineRule="auto"/>
              <w:ind w:left="56" w:right="0"/>
              <w:jc w:val="center"/>
              <w:rPr>
                <w:rFonts w:ascii="Arial" w:hAnsi="Arial" w:cs="Arial" w:eastAsia="Arial" w:hint="default"/>
                <w:sz w:val="20"/>
                <w:szCs w:val="20"/>
              </w:rPr>
            </w:pPr>
            <w:r>
              <w:rPr>
                <w:rFonts w:ascii="Arial"/>
                <w:sz w:val="20"/>
              </w:rPr>
              <w:t>6,353,464</w:t>
            </w:r>
          </w:p>
        </w:tc>
        <w:tc>
          <w:tcPr>
            <w:tcW w:w="223"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single" w:sz="12" w:space="0" w:color="000000"/>
              <w:right w:val="nil" w:sz="6" w:space="0" w:color="auto"/>
            </w:tcBorders>
          </w:tcPr>
          <w:p>
            <w:pPr>
              <w:pStyle w:val="TableParagraph"/>
              <w:spacing w:line="240" w:lineRule="auto"/>
              <w:ind w:left="63" w:right="0"/>
              <w:jc w:val="center"/>
              <w:rPr>
                <w:rFonts w:ascii="Arial" w:hAnsi="Arial" w:cs="Arial" w:eastAsia="Arial" w:hint="default"/>
                <w:sz w:val="20"/>
                <w:szCs w:val="20"/>
              </w:rPr>
            </w:pPr>
            <w:r>
              <w:rPr>
                <w:rFonts w:ascii="Arial"/>
                <w:sz w:val="20"/>
              </w:rPr>
              <w:t>(26,469)</w:t>
            </w:r>
          </w:p>
        </w:tc>
        <w:tc>
          <w:tcPr>
            <w:tcW w:w="224"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single" w:sz="12" w:space="0" w:color="000000"/>
              <w:right w:val="nil" w:sz="6" w:space="0" w:color="auto"/>
            </w:tcBorders>
          </w:tcPr>
          <w:p>
            <w:pPr>
              <w:pStyle w:val="TableParagraph"/>
              <w:spacing w:line="240" w:lineRule="auto"/>
              <w:ind w:right="83"/>
              <w:jc w:val="right"/>
              <w:rPr>
                <w:rFonts w:ascii="Arial" w:hAnsi="Arial" w:cs="Arial" w:eastAsia="Arial" w:hint="default"/>
                <w:sz w:val="20"/>
                <w:szCs w:val="20"/>
              </w:rPr>
            </w:pPr>
            <w:r>
              <w:rPr>
                <w:rFonts w:ascii="Arial"/>
                <w:spacing w:val="-1"/>
                <w:sz w:val="20"/>
              </w:rPr>
              <w:t>6,326,995</w:t>
            </w:r>
          </w:p>
        </w:tc>
      </w:tr>
    </w:tbl>
    <w:p>
      <w:pPr>
        <w:spacing w:line="240" w:lineRule="auto" w:before="11"/>
        <w:rPr>
          <w:rFonts w:ascii="宋体" w:hAnsi="宋体" w:cs="宋体" w:eastAsia="宋体" w:hint="default"/>
          <w:sz w:val="11"/>
          <w:szCs w:val="11"/>
        </w:rPr>
      </w:pPr>
    </w:p>
    <w:p>
      <w:pPr>
        <w:pStyle w:val="BodyText"/>
        <w:tabs>
          <w:tab w:pos="813" w:val="left" w:leader="none"/>
        </w:tabs>
        <w:spacing w:line="240" w:lineRule="auto" w:before="32"/>
        <w:ind w:left="103" w:right="104"/>
        <w:jc w:val="left"/>
      </w:pPr>
      <w:r>
        <w:rPr>
          <w:rFonts w:ascii="Arial" w:hAnsi="Arial" w:cs="Arial" w:eastAsia="Arial" w:hint="default"/>
          <w:w w:val="95"/>
          <w:position w:val="2"/>
        </w:rPr>
        <w:t>(b)</w:t>
        <w:tab/>
      </w:r>
      <w:r>
        <w:rPr/>
        <w:t>存货跌价准备分析如下：</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920" w:bottom="900" w:left="1020" w:right="700"/>
        </w:sectPr>
      </w:pPr>
    </w:p>
    <w:p>
      <w:pPr>
        <w:pStyle w:val="BodyText"/>
        <w:spacing w:line="322" w:lineRule="exact" w:before="26"/>
        <w:ind w:left="3297" w:right="3807"/>
        <w:jc w:val="center"/>
      </w:pPr>
      <w:r>
        <w:rPr>
          <w:rFonts w:ascii="Arial" w:hAnsi="Arial" w:cs="Arial" w:eastAsia="Arial" w:hint="default"/>
        </w:rPr>
        <w:t>2009</w:t>
      </w:r>
      <w:r>
        <w:rPr>
          <w:rFonts w:ascii="Arial" w:hAnsi="Arial" w:cs="Arial" w:eastAsia="Arial" w:hint="default"/>
          <w:spacing w:val="-11"/>
        </w:rPr>
        <w:t> </w:t>
      </w:r>
      <w:r>
        <w:rPr/>
        <w:t>年</w:t>
      </w:r>
    </w:p>
    <w:p>
      <w:pPr>
        <w:pStyle w:val="BodyText"/>
        <w:tabs>
          <w:tab w:pos="5030" w:val="left" w:leader="none"/>
          <w:tab w:pos="7013" w:val="left" w:leader="none"/>
        </w:tabs>
        <w:spacing w:line="322" w:lineRule="exact"/>
        <w:ind w:left="2953" w:right="-19"/>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t>本年计提</w:t>
        <w:tab/>
        <w:t>本年转销</w:t>
      </w:r>
    </w:p>
    <w:p>
      <w:pPr>
        <w:pStyle w:val="BodyText"/>
        <w:spacing w:line="322" w:lineRule="exact" w:before="26"/>
        <w:ind w:left="1110" w:right="0"/>
        <w:jc w:val="left"/>
      </w:pPr>
      <w:r>
        <w:rPr/>
        <w:br w:type="column"/>
      </w:r>
      <w:r>
        <w:rPr>
          <w:rFonts w:ascii="Arial" w:hAnsi="Arial" w:cs="Arial" w:eastAsia="Arial" w:hint="default"/>
        </w:rPr>
        <w:t>2010</w:t>
      </w:r>
      <w:r>
        <w:rPr>
          <w:rFonts w:ascii="Arial" w:hAnsi="Arial" w:cs="Arial" w:eastAsia="Arial" w:hint="default"/>
          <w:spacing w:val="-11"/>
        </w:rPr>
        <w:t> </w:t>
      </w:r>
      <w:r>
        <w:rPr/>
        <w:t>年</w:t>
      </w:r>
    </w:p>
    <w:p>
      <w:pPr>
        <w:pStyle w:val="BodyText"/>
        <w:spacing w:line="322" w:lineRule="exact"/>
        <w:ind w:left="749" w:right="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left"/>
        <w:sectPr>
          <w:type w:val="continuous"/>
          <w:pgSz w:w="11910" w:h="16840"/>
          <w:pgMar w:top="920" w:bottom="900" w:left="1020" w:right="700"/>
          <w:cols w:num="2" w:equalWidth="0">
            <w:col w:w="7975" w:space="40"/>
            <w:col w:w="2175"/>
          </w:cols>
        </w:sectPr>
      </w:pPr>
    </w:p>
    <w:p>
      <w:pPr>
        <w:spacing w:line="240" w:lineRule="auto" w:before="8"/>
        <w:rPr>
          <w:rFonts w:ascii="宋体" w:hAnsi="宋体" w:cs="宋体" w:eastAsia="宋体" w:hint="default"/>
          <w:sz w:val="17"/>
          <w:szCs w:val="17"/>
        </w:rPr>
      </w:pPr>
    </w:p>
    <w:p>
      <w:pPr>
        <w:pStyle w:val="BodyText"/>
        <w:tabs>
          <w:tab w:pos="2681" w:val="left" w:leader="none"/>
          <w:tab w:pos="3253" w:val="left" w:leader="none"/>
          <w:tab w:pos="4525" w:val="left" w:leader="none"/>
          <w:tab w:pos="5161" w:val="left" w:leader="none"/>
          <w:tab w:pos="6367" w:val="left" w:leader="none"/>
          <w:tab w:pos="7227" w:val="left" w:leader="none"/>
          <w:tab w:pos="8350" w:val="left" w:leader="none"/>
          <w:tab w:pos="9120" w:val="left" w:leader="none"/>
        </w:tabs>
        <w:spacing w:line="240" w:lineRule="auto" w:before="24"/>
        <w:ind w:left="813" w:right="104"/>
        <w:jc w:val="left"/>
        <w:rPr>
          <w:rFonts w:ascii="Arial" w:hAnsi="Arial" w:cs="Arial" w:eastAsia="Arial" w:hint="default"/>
        </w:rPr>
      </w:pPr>
      <w:r>
        <w:rPr>
          <w:position w:val="2"/>
        </w:rPr>
        <w:t>库存商品</w:t>
        <w:tab/>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(26,469)</w:t>
      </w:r>
      <w:r>
        <w:rPr>
          <w:rFonts w:ascii="Arial" w:hAnsi="Arial" w:cs="Arial" w:eastAsia="Arial" w:hint="default"/>
          <w:spacing w:val="-1"/>
        </w:rPr>
        <w:tab/>
      </w:r>
      <w:r>
        <w:rPr>
          <w:rFonts w:ascii="Arial" w:hAnsi="Arial" w:cs="Arial" w:eastAsia="Arial" w:hint="default"/>
          <w:spacing w:val="-1"/>
          <w:u w:val="thick" w:color="000000"/>
        </w:rPr>
        <w:t> </w:t>
        <w:tab/>
        <w:t>(54,289)</w:t>
      </w:r>
      <w:r>
        <w:rPr>
          <w:rFonts w:ascii="Arial" w:hAnsi="Arial" w:cs="Arial" w:eastAsia="Arial" w:hint="default"/>
          <w:spacing w:val="-1"/>
        </w:rPr>
        <w:tab/>
      </w:r>
      <w:r>
        <w:rPr>
          <w:rFonts w:ascii="Arial" w:hAnsi="Arial" w:cs="Arial" w:eastAsia="Arial" w:hint="default"/>
          <w:spacing w:val="-1"/>
          <w:u w:val="thick" w:color="000000"/>
        </w:rPr>
        <w:t> </w:t>
        <w:tab/>
        <w:t>23,599</w:t>
      </w:r>
      <w:r>
        <w:rPr>
          <w:rFonts w:ascii="Arial" w:hAnsi="Arial" w:cs="Arial" w:eastAsia="Arial" w:hint="default"/>
          <w:spacing w:val="-1"/>
        </w:rPr>
        <w:tab/>
      </w:r>
      <w:r>
        <w:rPr>
          <w:rFonts w:ascii="Arial" w:hAnsi="Arial" w:cs="Arial" w:eastAsia="Arial" w:hint="default"/>
          <w:spacing w:val="-1"/>
          <w:u w:val="thick" w:color="000000"/>
        </w:rPr>
        <w:t> </w:t>
        <w:tab/>
        <w:t>(57,159)</w:t>
      </w:r>
      <w:r>
        <w:rPr>
          <w:rFonts w:ascii="Arial" w:hAnsi="Arial" w:cs="Arial" w:eastAsia="Arial" w:hint="default"/>
          <w:spacing w:val="-1"/>
        </w:rPr>
      </w:r>
      <w:r>
        <w:rPr>
          <w:rFonts w:ascii="Arial" w:hAnsi="Arial" w:cs="Arial" w:eastAsia="Arial" w:hint="default"/>
        </w:rPr>
      </w:r>
    </w:p>
    <w:p>
      <w:pPr>
        <w:spacing w:line="240" w:lineRule="auto" w:before="6"/>
        <w:rPr>
          <w:rFonts w:ascii="Arial" w:hAnsi="Arial" w:cs="Arial" w:eastAsia="Arial" w:hint="default"/>
          <w:sz w:val="17"/>
          <w:szCs w:val="17"/>
        </w:rPr>
      </w:pPr>
    </w:p>
    <w:p>
      <w:pPr>
        <w:pStyle w:val="BodyText"/>
        <w:tabs>
          <w:tab w:pos="813" w:val="left" w:leader="none"/>
        </w:tabs>
        <w:spacing w:line="240" w:lineRule="auto" w:before="32"/>
        <w:ind w:left="103" w:right="104"/>
        <w:jc w:val="left"/>
      </w:pPr>
      <w:r>
        <w:rPr>
          <w:rFonts w:ascii="Arial" w:hAnsi="Arial" w:cs="Arial" w:eastAsia="Arial" w:hint="default"/>
          <w:position w:val="2"/>
        </w:rPr>
        <w:t>(c)</w:t>
        <w:tab/>
      </w:r>
      <w:r>
        <w:rPr/>
        <w:t>存货跌价准备情况如下：</w:t>
      </w:r>
    </w:p>
    <w:p>
      <w:pPr>
        <w:spacing w:line="240" w:lineRule="auto" w:before="7"/>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920" w:bottom="900" w:left="1020" w:right="700"/>
        </w:sectPr>
      </w:pPr>
    </w:p>
    <w:p>
      <w:pPr>
        <w:spacing w:before="38"/>
        <w:ind w:left="3026" w:right="0" w:hanging="200"/>
        <w:jc w:val="right"/>
        <w:rPr>
          <w:rFonts w:ascii="宋体" w:hAnsi="宋体" w:cs="宋体" w:eastAsia="宋体" w:hint="default"/>
          <w:sz w:val="20"/>
          <w:szCs w:val="20"/>
        </w:rPr>
      </w:pPr>
      <w:r>
        <w:rPr>
          <w:rFonts w:ascii="宋体" w:hAnsi="宋体" w:cs="宋体" w:eastAsia="宋体" w:hint="default"/>
          <w:spacing w:val="-1"/>
          <w:sz w:val="20"/>
          <w:szCs w:val="20"/>
        </w:rPr>
        <w:t>计提存货跌价</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
          <w:sz w:val="20"/>
          <w:szCs w:val="20"/>
        </w:rPr>
        <w:t>准备的依据</w:t>
      </w:r>
    </w:p>
    <w:p>
      <w:pPr>
        <w:spacing w:before="38"/>
        <w:ind w:left="1817" w:right="-12" w:firstLine="20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本年转销存货</w:t>
      </w:r>
      <w:r>
        <w:rPr>
          <w:rFonts w:ascii="宋体" w:hAnsi="宋体" w:cs="宋体" w:eastAsia="宋体" w:hint="default"/>
          <w:w w:val="100"/>
          <w:sz w:val="20"/>
          <w:szCs w:val="20"/>
        </w:rPr>
        <w:t> </w:t>
      </w:r>
      <w:r>
        <w:rPr>
          <w:rFonts w:ascii="宋体" w:hAnsi="宋体" w:cs="宋体" w:eastAsia="宋体" w:hint="default"/>
          <w:spacing w:val="-1"/>
          <w:sz w:val="20"/>
          <w:szCs w:val="20"/>
        </w:rPr>
        <w:t>跌价准备的原因</w:t>
      </w:r>
    </w:p>
    <w:p>
      <w:pPr>
        <w:spacing w:before="38"/>
        <w:ind w:left="851" w:right="185" w:firstLine="0"/>
        <w:jc w:val="left"/>
        <w:rPr>
          <w:rFonts w:ascii="宋体" w:hAnsi="宋体" w:cs="宋体" w:eastAsia="宋体" w:hint="default"/>
          <w:sz w:val="20"/>
          <w:szCs w:val="20"/>
        </w:rPr>
      </w:pPr>
      <w:r>
        <w:rPr/>
        <w:br w:type="column"/>
      </w:r>
      <w:r>
        <w:rPr>
          <w:rFonts w:ascii="宋体" w:hAnsi="宋体" w:cs="宋体" w:eastAsia="宋体" w:hint="default"/>
          <w:sz w:val="20"/>
          <w:szCs w:val="20"/>
        </w:rPr>
        <w:t>本期转销金额占该项</w:t>
      </w:r>
      <w:r>
        <w:rPr>
          <w:rFonts w:ascii="宋体" w:hAnsi="宋体" w:cs="宋体" w:eastAsia="宋体" w:hint="default"/>
          <w:w w:val="100"/>
          <w:sz w:val="20"/>
          <w:szCs w:val="20"/>
        </w:rPr>
        <w:t> </w:t>
      </w:r>
      <w:r>
        <w:rPr>
          <w:rFonts w:ascii="宋体" w:hAnsi="宋体" w:cs="宋体" w:eastAsia="宋体" w:hint="default"/>
          <w:sz w:val="20"/>
          <w:szCs w:val="20"/>
        </w:rPr>
        <w:t>存货年末余额的比例</w:t>
      </w:r>
    </w:p>
    <w:p>
      <w:pPr>
        <w:spacing w:after="0"/>
        <w:jc w:val="left"/>
        <w:rPr>
          <w:rFonts w:ascii="宋体" w:hAnsi="宋体" w:cs="宋体" w:eastAsia="宋体" w:hint="default"/>
          <w:sz w:val="20"/>
          <w:szCs w:val="20"/>
        </w:rPr>
        <w:sectPr>
          <w:type w:val="continuous"/>
          <w:pgSz w:w="11910" w:h="16840"/>
          <w:pgMar w:top="920" w:bottom="900" w:left="1020" w:right="700"/>
          <w:cols w:num="3" w:equalWidth="0">
            <w:col w:w="4029" w:space="40"/>
            <w:col w:w="3220" w:space="40"/>
            <w:col w:w="2861"/>
          </w:cols>
        </w:sectPr>
      </w:pPr>
    </w:p>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920" w:bottom="900" w:left="1020" w:right="700"/>
        </w:sectPr>
      </w:pPr>
    </w:p>
    <w:p>
      <w:pPr>
        <w:spacing w:line="240" w:lineRule="auto" w:before="11"/>
        <w:rPr>
          <w:rFonts w:ascii="宋体" w:hAnsi="宋体" w:cs="宋体" w:eastAsia="宋体" w:hint="default"/>
          <w:sz w:val="22"/>
          <w:szCs w:val="22"/>
        </w:rPr>
      </w:pPr>
    </w:p>
    <w:p>
      <w:pPr>
        <w:spacing w:before="0"/>
        <w:ind w:left="813" w:right="-18" w:firstLine="0"/>
        <w:jc w:val="left"/>
        <w:rPr>
          <w:rFonts w:ascii="宋体" w:hAnsi="宋体" w:cs="宋体" w:eastAsia="宋体" w:hint="default"/>
          <w:sz w:val="20"/>
          <w:szCs w:val="20"/>
        </w:rPr>
      </w:pPr>
      <w:r>
        <w:rPr>
          <w:rFonts w:ascii="宋体" w:hAnsi="宋体" w:cs="宋体" w:eastAsia="宋体" w:hint="default"/>
          <w:sz w:val="20"/>
          <w:szCs w:val="20"/>
        </w:rPr>
        <w:t>库存商品</w:t>
      </w:r>
    </w:p>
    <w:p>
      <w:pPr>
        <w:spacing w:line="260" w:lineRule="exact" w:before="64"/>
        <w:ind w:left="771" w:right="-10" w:hanging="40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可变现净值低于库存商</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1"/>
          <w:sz w:val="20"/>
          <w:szCs w:val="20"/>
        </w:rPr>
        <w:t>品账面价值的差额</w:t>
      </w:r>
    </w:p>
    <w:p>
      <w:pPr>
        <w:spacing w:before="38"/>
        <w:ind w:left="418"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以前年度计提了存货跌价准备的</w:t>
      </w:r>
    </w:p>
    <w:p>
      <w:pPr>
        <w:tabs>
          <w:tab w:pos="5344" w:val="left" w:leader="none"/>
        </w:tabs>
        <w:spacing w:before="2"/>
        <w:ind w:left="1017" w:right="0" w:firstLine="0"/>
        <w:jc w:val="left"/>
        <w:rPr>
          <w:rFonts w:ascii="Arial" w:hAnsi="Arial" w:cs="Arial" w:eastAsia="Arial" w:hint="default"/>
          <w:sz w:val="20"/>
          <w:szCs w:val="20"/>
        </w:rPr>
      </w:pPr>
      <w:r>
        <w:rPr>
          <w:rFonts w:ascii="宋体" w:hAnsi="宋体" w:cs="宋体" w:eastAsia="宋体" w:hint="default"/>
          <w:spacing w:val="-1"/>
          <w:position w:val="1"/>
          <w:sz w:val="20"/>
          <w:szCs w:val="20"/>
        </w:rPr>
        <w:t>库存商品本年度实现销售</w:t>
        <w:tab/>
      </w:r>
      <w:r>
        <w:rPr>
          <w:rFonts w:ascii="Arial" w:hAnsi="Arial" w:cs="Arial" w:eastAsia="Arial" w:hint="default"/>
          <w:sz w:val="20"/>
          <w:szCs w:val="20"/>
        </w:rPr>
        <w:t>0.25%</w:t>
      </w:r>
    </w:p>
    <w:p>
      <w:pPr>
        <w:spacing w:after="0"/>
        <w:jc w:val="left"/>
        <w:rPr>
          <w:rFonts w:ascii="Arial" w:hAnsi="Arial" w:cs="Arial" w:eastAsia="Arial" w:hint="default"/>
          <w:sz w:val="20"/>
          <w:szCs w:val="20"/>
        </w:rPr>
        <w:sectPr>
          <w:type w:val="continuous"/>
          <w:pgSz w:w="11910" w:h="16840"/>
          <w:pgMar w:top="920" w:bottom="900" w:left="1020" w:right="700"/>
          <w:cols w:num="3" w:equalWidth="0">
            <w:col w:w="1616" w:space="40"/>
            <w:col w:w="2374" w:space="40"/>
            <w:col w:w="6120"/>
          </w:cols>
        </w:sectPr>
      </w:pPr>
    </w:p>
    <w:p>
      <w:pPr>
        <w:spacing w:line="240" w:lineRule="auto" w:before="11"/>
        <w:rPr>
          <w:rFonts w:ascii="Arial" w:hAnsi="Arial" w:cs="Arial" w:eastAsia="Arial" w:hint="default"/>
          <w:sz w:val="17"/>
          <w:szCs w:val="17"/>
        </w:rPr>
      </w:pPr>
    </w:p>
    <w:p>
      <w:pPr>
        <w:tabs>
          <w:tab w:pos="813" w:val="left" w:leader="none"/>
        </w:tabs>
        <w:spacing w:before="32"/>
        <w:ind w:left="103"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(9)</w:t>
        <w:tab/>
      </w:r>
      <w:r>
        <w:rPr>
          <w:rFonts w:ascii="宋体" w:hAnsi="宋体" w:cs="宋体" w:eastAsia="宋体" w:hint="default"/>
          <w:b/>
          <w:bCs/>
          <w:sz w:val="24"/>
          <w:szCs w:val="24"/>
        </w:rPr>
        <w:t>其他流动资产</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pStyle w:val="BodyText"/>
        <w:tabs>
          <w:tab w:pos="7870" w:val="left" w:leader="none"/>
        </w:tabs>
        <w:spacing w:line="240" w:lineRule="auto" w:before="26"/>
        <w:ind w:left="5034" w:right="104"/>
        <w:jc w:val="left"/>
      </w:pP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spacing w:line="240" w:lineRule="auto" w:before="6"/>
        <w:rPr>
          <w:rFonts w:ascii="宋体" w:hAnsi="宋体" w:cs="宋体" w:eastAsia="宋体" w:hint="default"/>
          <w:sz w:val="19"/>
          <w:szCs w:val="19"/>
        </w:rPr>
      </w:pPr>
    </w:p>
    <w:p>
      <w:pPr>
        <w:pStyle w:val="BodyText"/>
        <w:tabs>
          <w:tab w:pos="6212" w:val="left" w:leader="none"/>
          <w:tab w:pos="8955" w:val="left" w:leader="none"/>
        </w:tabs>
        <w:spacing w:line="332" w:lineRule="exact"/>
        <w:ind w:left="813" w:right="104"/>
        <w:jc w:val="left"/>
        <w:rPr>
          <w:rFonts w:ascii="Arial" w:hAnsi="Arial" w:cs="Arial" w:eastAsia="Arial" w:hint="default"/>
        </w:rPr>
      </w:pPr>
      <w:r>
        <w:rPr>
          <w:position w:val="2"/>
        </w:rPr>
        <w:t>待摊的房屋租赁费</w:t>
        <w:tab/>
      </w:r>
      <w:r>
        <w:rPr>
          <w:rFonts w:ascii="Arial" w:hAnsi="Arial" w:cs="Arial" w:eastAsia="Arial" w:hint="default"/>
          <w:spacing w:val="-1"/>
        </w:rPr>
        <w:t>771,550</w:t>
        <w:tab/>
        <w:t>445,366</w:t>
      </w:r>
      <w:r>
        <w:rPr>
          <w:rFonts w:ascii="Arial" w:hAnsi="Arial" w:cs="Arial" w:eastAsia="Arial" w:hint="default"/>
        </w:rPr>
      </w:r>
    </w:p>
    <w:p>
      <w:pPr>
        <w:pStyle w:val="BodyText"/>
        <w:tabs>
          <w:tab w:pos="4670" w:val="left" w:leader="none"/>
          <w:tab w:pos="6345" w:val="left" w:leader="none"/>
          <w:tab w:pos="7604" w:val="left" w:leader="none"/>
          <w:tab w:pos="9088" w:val="left" w:leader="none"/>
          <w:tab w:pos="10058" w:val="left" w:leader="none"/>
        </w:tabs>
        <w:spacing w:line="332" w:lineRule="exact"/>
        <w:ind w:left="813" w:right="104"/>
        <w:jc w:val="left"/>
        <w:rPr>
          <w:rFonts w:ascii="Arial" w:hAnsi="Arial" w:cs="Arial" w:eastAsia="Arial" w:hint="default"/>
        </w:rPr>
      </w:pPr>
      <w:r>
        <w:rPr>
          <w:position w:val="2"/>
        </w:rPr>
        <w:t>其他</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22,106</w:t>
      </w:r>
      <w:r>
        <w:rPr>
          <w:rFonts w:ascii="Arial" w:hAnsi="Arial" w:cs="Arial" w:eastAsia="Arial" w:hint="default"/>
          <w:spacing w:val="-1"/>
        </w:rPr>
        <w:tab/>
      </w:r>
      <w:r>
        <w:rPr>
          <w:rFonts w:ascii="Arial" w:hAnsi="Arial" w:cs="Arial" w:eastAsia="Arial" w:hint="default"/>
          <w:spacing w:val="-1"/>
          <w:u w:val="single" w:color="000000"/>
        </w:rPr>
        <w:t> </w:t>
        <w:tab/>
        <w:t>10,374</w:t>
        <w:tab/>
      </w:r>
      <w:r>
        <w:rPr>
          <w:rFonts w:ascii="Arial" w:hAnsi="Arial" w:cs="Arial" w:eastAsia="Arial" w:hint="default"/>
          <w:spacing w:val="-1"/>
        </w:rPr>
      </w:r>
    </w:p>
    <w:p>
      <w:pPr>
        <w:pStyle w:val="BodyText"/>
        <w:tabs>
          <w:tab w:pos="6212" w:val="left" w:leader="none"/>
          <w:tab w:pos="7604" w:val="left" w:leader="none"/>
          <w:tab w:pos="8955" w:val="left" w:leader="none"/>
          <w:tab w:pos="10058" w:val="left" w:leader="none"/>
        </w:tabs>
        <w:spacing w:line="240" w:lineRule="auto" w:before="9"/>
        <w:ind w:left="4670" w:right="104"/>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793,656</w:t>
      </w:r>
      <w:r>
        <w:rPr>
          <w:rFonts w:ascii="Arial"/>
          <w:spacing w:val="-1"/>
        </w:rPr>
        <w:tab/>
      </w:r>
      <w:r>
        <w:rPr>
          <w:rFonts w:ascii="Arial"/>
          <w:spacing w:val="-1"/>
          <w:u w:val="thick" w:color="000000"/>
        </w:rPr>
        <w:t> </w:t>
        <w:tab/>
        <w:t>455,740</w:t>
        <w:tab/>
      </w:r>
      <w:r>
        <w:rPr>
          <w:rFonts w:ascii="Arial"/>
          <w:spacing w:val="-1"/>
        </w:rPr>
      </w:r>
    </w:p>
    <w:p>
      <w:pPr>
        <w:spacing w:after="0" w:line="240" w:lineRule="auto"/>
        <w:jc w:val="left"/>
        <w:rPr>
          <w:rFonts w:ascii="Arial" w:hAnsi="Arial" w:cs="Arial" w:eastAsia="Arial" w:hint="default"/>
        </w:rPr>
        <w:sectPr>
          <w:type w:val="continuous"/>
          <w:pgSz w:w="11910" w:h="16840"/>
          <w:pgMar w:top="920" w:bottom="900" w:left="1020" w:right="700"/>
        </w:sectPr>
      </w:pPr>
    </w:p>
    <w:p>
      <w:pPr>
        <w:spacing w:line="240" w:lineRule="auto" w:before="4"/>
        <w:rPr>
          <w:rFonts w:ascii="Arial" w:hAnsi="Arial" w:cs="Arial" w:eastAsia="Arial" w:hint="default"/>
          <w:sz w:val="15"/>
          <w:szCs w:val="15"/>
        </w:rPr>
      </w:pPr>
    </w:p>
    <w:p>
      <w:pPr>
        <w:pStyle w:val="Heading2"/>
        <w:tabs>
          <w:tab w:pos="833" w:val="left" w:leader="none"/>
        </w:tabs>
        <w:spacing w:line="240" w:lineRule="auto"/>
        <w:ind w:left="113" w:right="0"/>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6"/>
        <w:rPr>
          <w:rFonts w:ascii="Arial" w:hAnsi="Arial" w:cs="Arial" w:eastAsia="Arial" w:hint="default"/>
          <w:b/>
          <w:bCs/>
          <w:sz w:val="19"/>
          <w:szCs w:val="19"/>
        </w:rPr>
      </w:pPr>
    </w:p>
    <w:p>
      <w:pPr>
        <w:tabs>
          <w:tab w:pos="833" w:val="left" w:leader="none"/>
        </w:tabs>
        <w:spacing w:line="313" w:lineRule="exact" w:before="32"/>
        <w:ind w:left="113"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(10)</w:t>
        <w:tab/>
      </w:r>
      <w:r>
        <w:rPr>
          <w:rFonts w:ascii="宋体" w:hAnsi="宋体" w:cs="宋体" w:eastAsia="宋体" w:hint="default"/>
          <w:b/>
          <w:bCs/>
          <w:sz w:val="24"/>
          <w:szCs w:val="24"/>
        </w:rPr>
        <w:t>长期股权投资</w:t>
      </w:r>
      <w:r>
        <w:rPr>
          <w:rFonts w:ascii="宋体" w:hAnsi="宋体" w:cs="宋体" w:eastAsia="宋体" w:hint="default"/>
          <w:sz w:val="24"/>
          <w:szCs w:val="24"/>
        </w:rPr>
      </w:r>
    </w:p>
    <w:p>
      <w:pPr>
        <w:pStyle w:val="BodyText"/>
        <w:tabs>
          <w:tab w:pos="7890" w:val="left" w:leader="none"/>
        </w:tabs>
        <w:spacing w:line="330" w:lineRule="exact"/>
        <w:ind w:left="5044" w:right="0"/>
        <w:jc w:val="left"/>
      </w:pP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spacing w:line="240" w:lineRule="auto" w:before="8"/>
        <w:rPr>
          <w:rFonts w:ascii="宋体" w:hAnsi="宋体" w:cs="宋体" w:eastAsia="宋体" w:hint="default"/>
          <w:sz w:val="17"/>
          <w:szCs w:val="17"/>
        </w:rPr>
      </w:pPr>
    </w:p>
    <w:p>
      <w:pPr>
        <w:pStyle w:val="BodyText"/>
        <w:spacing w:line="321" w:lineRule="exact" w:before="26"/>
        <w:ind w:left="833" w:right="0"/>
        <w:jc w:val="left"/>
        <w:rPr>
          <w:rFonts w:ascii="Arial" w:hAnsi="Arial" w:cs="Arial" w:eastAsia="Arial" w:hint="default"/>
        </w:rPr>
      </w:pPr>
      <w:r>
        <w:rPr/>
        <w:t>联营企业</w:t>
      </w:r>
      <w:r>
        <w:rPr>
          <w:rFonts w:ascii="Arial" w:hAnsi="Arial" w:cs="Arial" w:eastAsia="Arial" w:hint="default"/>
        </w:rPr>
        <w:t>(a)</w:t>
      </w:r>
    </w:p>
    <w:p>
      <w:pPr>
        <w:pStyle w:val="BodyText"/>
        <w:tabs>
          <w:tab w:pos="1583" w:val="left" w:leader="none"/>
          <w:tab w:pos="6217" w:val="left" w:leader="none"/>
          <w:tab w:pos="9294" w:val="left" w:leader="none"/>
        </w:tabs>
        <w:spacing w:line="321" w:lineRule="exact"/>
        <w:ind w:left="1223" w:right="0"/>
        <w:jc w:val="left"/>
        <w:rPr>
          <w:rFonts w:ascii="Arial" w:hAnsi="Arial" w:cs="Arial" w:eastAsia="Arial" w:hint="default"/>
        </w:rPr>
      </w:pPr>
      <w:r>
        <w:rPr>
          <w:rFonts w:ascii="Arial" w:hAnsi="Arial" w:cs="Arial" w:eastAsia="Arial" w:hint="default"/>
          <w:position w:val="2"/>
        </w:rPr>
        <w:t>-</w:t>
        <w:tab/>
      </w:r>
      <w:r>
        <w:rPr>
          <w:w w:val="95"/>
          <w:position w:val="2"/>
        </w:rPr>
        <w:t>有公开报价</w:t>
        <w:tab/>
      </w:r>
      <w:r>
        <w:rPr>
          <w:rFonts w:ascii="Arial" w:hAnsi="Arial" w:cs="Arial" w:eastAsia="Arial" w:hint="default"/>
          <w:spacing w:val="-1"/>
        </w:rPr>
        <w:t>251,903</w:t>
        <w:tab/>
        <w:t>56,381</w:t>
      </w:r>
      <w:r>
        <w:rPr>
          <w:rFonts w:ascii="Arial" w:hAnsi="Arial" w:cs="Arial" w:eastAsia="Arial" w:hint="default"/>
        </w:rPr>
      </w:r>
    </w:p>
    <w:p>
      <w:pPr>
        <w:pStyle w:val="BodyText"/>
        <w:tabs>
          <w:tab w:pos="4690" w:val="left" w:leader="none"/>
          <w:tab w:pos="6217" w:val="left" w:leader="none"/>
          <w:tab w:pos="7624" w:val="left" w:leader="none"/>
          <w:tab w:pos="9161" w:val="left" w:leader="none"/>
        </w:tabs>
        <w:spacing w:line="332" w:lineRule="exact"/>
        <w:ind w:left="833" w:right="0"/>
        <w:jc w:val="left"/>
        <w:rPr>
          <w:rFonts w:ascii="Arial" w:hAnsi="Arial" w:cs="Arial" w:eastAsia="Arial" w:hint="default"/>
        </w:rPr>
      </w:pPr>
      <w:r>
        <w:rPr>
          <w:w w:val="95"/>
          <w:position w:val="2"/>
        </w:rPr>
        <w:t>其他长期股权投资</w:t>
      </w:r>
      <w:r>
        <w:rPr>
          <w:rFonts w:ascii="Arial" w:hAnsi="Arial" w:cs="Arial" w:eastAsia="Arial" w:hint="default"/>
          <w:w w:val="95"/>
          <w:position w:val="2"/>
        </w:rPr>
        <w:t>(b)</w:t>
        <w:tab/>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spacing w:val="-1"/>
          <w:u w:val="single" w:color="000000"/>
        </w:rPr>
        <w:t>540,993</w:t>
      </w:r>
      <w:r>
        <w:rPr>
          <w:rFonts w:ascii="Arial" w:hAnsi="Arial" w:cs="Arial" w:eastAsia="Arial" w:hint="default"/>
          <w:spacing w:val="-1"/>
        </w:rPr>
        <w:tab/>
      </w:r>
      <w:r>
        <w:rPr>
          <w:rFonts w:ascii="Arial" w:hAnsi="Arial" w:cs="Arial" w:eastAsia="Arial" w:hint="default"/>
          <w:spacing w:val="-1"/>
          <w:u w:val="single" w:color="000000"/>
        </w:rPr>
        <w:t> </w:t>
        <w:tab/>
        <w:t>540,993</w:t>
      </w:r>
      <w:r>
        <w:rPr>
          <w:rFonts w:ascii="Arial" w:hAnsi="Arial" w:cs="Arial" w:eastAsia="Arial" w:hint="default"/>
          <w:spacing w:val="-1"/>
        </w:rPr>
      </w:r>
      <w:r>
        <w:rPr>
          <w:rFonts w:ascii="Arial" w:hAnsi="Arial" w:cs="Arial" w:eastAsia="Arial" w:hint="default"/>
        </w:rPr>
      </w:r>
    </w:p>
    <w:p>
      <w:pPr>
        <w:pStyle w:val="BodyText"/>
        <w:tabs>
          <w:tab w:pos="6217" w:val="left" w:leader="none"/>
          <w:tab w:pos="7624" w:val="left" w:leader="none"/>
          <w:tab w:pos="9161" w:val="left" w:leader="none"/>
        </w:tabs>
        <w:spacing w:line="240" w:lineRule="auto" w:before="45"/>
        <w:ind w:left="4690" w:right="0"/>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792,896</w:t>
      </w:r>
      <w:r>
        <w:rPr>
          <w:rFonts w:ascii="Arial"/>
          <w:spacing w:val="-1"/>
        </w:rPr>
        <w:tab/>
      </w:r>
      <w:r>
        <w:rPr>
          <w:rFonts w:ascii="Arial"/>
          <w:spacing w:val="-1"/>
          <w:u w:val="thick" w:color="000000"/>
        </w:rPr>
        <w:t> </w:t>
        <w:tab/>
        <w:t>597,374</w:t>
      </w:r>
      <w:r>
        <w:rPr>
          <w:rFonts w:ascii="Arial"/>
          <w:spacing w:val="-1"/>
        </w:rPr>
      </w:r>
      <w:r>
        <w:rPr>
          <w:rFonts w:ascii="Arial"/>
        </w:rPr>
      </w:r>
    </w:p>
    <w:p>
      <w:pPr>
        <w:spacing w:line="240" w:lineRule="auto" w:before="3"/>
        <w:rPr>
          <w:rFonts w:ascii="Arial" w:hAnsi="Arial" w:cs="Arial" w:eastAsia="Arial" w:hint="default"/>
          <w:sz w:val="21"/>
          <w:szCs w:val="21"/>
        </w:rPr>
      </w:pPr>
    </w:p>
    <w:p>
      <w:pPr>
        <w:pStyle w:val="BodyText"/>
        <w:spacing w:line="312" w:lineRule="exact" w:before="26"/>
        <w:ind w:left="833" w:right="0"/>
        <w:jc w:val="left"/>
      </w:pPr>
      <w:r>
        <w:rPr>
          <w:spacing w:val="11"/>
        </w:rPr>
        <w:t>上述有公开报价的联营企业投资的</w:t>
      </w:r>
      <w:r>
        <w:rPr/>
      </w:r>
    </w:p>
    <w:p>
      <w:pPr>
        <w:pStyle w:val="BodyText"/>
        <w:tabs>
          <w:tab w:pos="4690" w:val="left" w:leader="none"/>
          <w:tab w:pos="6217" w:val="left" w:leader="none"/>
          <w:tab w:pos="9161" w:val="left" w:leader="none"/>
        </w:tabs>
        <w:spacing w:line="349" w:lineRule="exact"/>
        <w:ind w:left="1079" w:right="0"/>
        <w:jc w:val="left"/>
        <w:rPr>
          <w:rFonts w:ascii="Arial" w:hAnsi="Arial" w:cs="Arial" w:eastAsia="Arial" w:hint="default"/>
        </w:rPr>
      </w:pPr>
      <w:r>
        <w:rPr>
          <w:position w:val="2"/>
        </w:rPr>
        <w:t>公允价值</w:t>
        <w:tab/>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544,850</w:t>
      </w:r>
      <w:r>
        <w:rPr>
          <w:rFonts w:ascii="Arial" w:hAnsi="Arial" w:cs="Arial" w:eastAsia="Arial" w:hint="default"/>
          <w:spacing w:val="-1"/>
        </w:rPr>
        <w:tab/>
      </w:r>
      <w:r>
        <w:rPr>
          <w:rFonts w:ascii="Arial" w:hAnsi="Arial" w:cs="Arial" w:eastAsia="Arial" w:hint="default"/>
          <w:spacing w:val="-1"/>
          <w:position w:val="3"/>
        </w:rPr>
        <w:t>541,068</w:t>
      </w:r>
      <w:r>
        <w:rPr>
          <w:rFonts w:ascii="Arial" w:hAnsi="Arial" w:cs="Arial" w:eastAsia="Arial" w:hint="default"/>
        </w:rPr>
      </w:r>
    </w:p>
    <w:p>
      <w:pPr>
        <w:spacing w:line="30" w:lineRule="exact"/>
        <w:ind w:left="7609" w:right="0" w:firstLine="0"/>
        <w:rPr>
          <w:rFonts w:ascii="Arial" w:hAnsi="Arial" w:cs="Arial" w:eastAsia="Arial" w:hint="default"/>
          <w:sz w:val="3"/>
          <w:szCs w:val="3"/>
        </w:rPr>
      </w:pPr>
      <w:r>
        <w:rPr>
          <w:rFonts w:ascii="Arial" w:hAnsi="Arial" w:cs="Arial" w:eastAsia="Arial" w:hint="default"/>
          <w:position w:val="0"/>
          <w:sz w:val="3"/>
          <w:szCs w:val="3"/>
        </w:rPr>
        <w:pict>
          <v:group style="width:124.2pt;height:1.5pt;mso-position-horizontal-relative:char;mso-position-vertical-relative:line" coordorigin="0,0" coordsize="2484,30">
            <v:group style="position:absolute;left:15;top:15;width:2454;height:2" coordorigin="15,15" coordsize="2454,2">
              <v:shape style="position:absolute;left:15;top:15;width:2454;height:2" coordorigin="15,15" coordsize="2454,0" path="m15,15l2469,15e" filled="false" stroked="true" strokeweight="1.5pt" strokecolor="#000000">
                <v:path arrowok="t"/>
              </v:shape>
            </v:group>
          </v:group>
        </w:pict>
      </w:r>
      <w:r>
        <w:rPr>
          <w:rFonts w:ascii="Arial" w:hAnsi="Arial" w:cs="Arial" w:eastAsia="Arial" w:hint="default"/>
          <w:position w:val="0"/>
          <w:sz w:val="3"/>
          <w:szCs w:val="3"/>
        </w:rPr>
      </w:r>
    </w:p>
    <w:p>
      <w:pPr>
        <w:spacing w:line="240" w:lineRule="auto" w:before="7"/>
        <w:rPr>
          <w:rFonts w:ascii="Arial" w:hAnsi="Arial" w:cs="Arial" w:eastAsia="Arial" w:hint="default"/>
          <w:sz w:val="20"/>
          <w:szCs w:val="20"/>
        </w:rPr>
      </w:pPr>
    </w:p>
    <w:p>
      <w:pPr>
        <w:pStyle w:val="BodyText"/>
        <w:spacing w:line="240" w:lineRule="auto"/>
        <w:ind w:left="833" w:right="0"/>
        <w:jc w:val="left"/>
      </w:pPr>
      <w:r>
        <w:rPr/>
        <w:t>本集团不存在长期股权投资变现的重大限制。</w:t>
      </w:r>
    </w:p>
    <w:p>
      <w:pPr>
        <w:spacing w:after="0" w:line="240" w:lineRule="auto"/>
        <w:jc w:val="left"/>
        <w:sectPr>
          <w:pgSz w:w="11910" w:h="16840"/>
          <w:pgMar w:header="1475" w:footer="947" w:top="3020" w:bottom="1140" w:left="1000" w:right="700"/>
        </w:sectPr>
      </w:pPr>
    </w:p>
    <w:p>
      <w:pPr>
        <w:spacing w:line="240" w:lineRule="auto" w:before="2"/>
        <w:rPr>
          <w:rFonts w:ascii="宋体" w:hAnsi="宋体" w:cs="宋体" w:eastAsia="宋体" w:hint="default"/>
          <w:sz w:val="16"/>
          <w:szCs w:val="16"/>
        </w:rPr>
      </w:pPr>
    </w:p>
    <w:p>
      <w:pPr>
        <w:pStyle w:val="Heading2"/>
        <w:tabs>
          <w:tab w:pos="716" w:val="left" w:leader="none"/>
        </w:tabs>
        <w:spacing w:line="240" w:lineRule="auto"/>
        <w:ind w:left="101" w:right="0"/>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spacing w:before="0"/>
        <w:ind w:left="101" w:right="0" w:firstLine="0"/>
        <w:jc w:val="left"/>
        <w:rPr>
          <w:rFonts w:ascii="Arial" w:hAnsi="Arial" w:cs="Arial" w:eastAsia="Arial" w:hint="default"/>
          <w:sz w:val="24"/>
          <w:szCs w:val="24"/>
        </w:rPr>
      </w:pPr>
      <w:r>
        <w:rPr>
          <w:rFonts w:ascii="Arial" w:hAnsi="Arial" w:cs="Arial" w:eastAsia="Arial" w:hint="default"/>
          <w:position w:val="2"/>
          <w:sz w:val="24"/>
          <w:szCs w:val="24"/>
        </w:rPr>
        <w:t>(10) </w:t>
      </w:r>
      <w:r>
        <w:rPr>
          <w:rFonts w:ascii="Arial" w:hAnsi="Arial" w:cs="Arial" w:eastAsia="Arial" w:hint="default"/>
          <w:spacing w:val="49"/>
          <w:position w:val="2"/>
          <w:sz w:val="24"/>
          <w:szCs w:val="24"/>
        </w:rPr>
        <w:t> </w:t>
      </w:r>
      <w:r>
        <w:rPr>
          <w:rFonts w:ascii="宋体" w:hAnsi="宋体" w:cs="宋体" w:eastAsia="宋体" w:hint="default"/>
          <w:b/>
          <w:bCs/>
          <w:sz w:val="24"/>
          <w:szCs w:val="24"/>
        </w:rPr>
        <w:t>长期股权投资</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716" w:val="left" w:leader="none"/>
        </w:tabs>
        <w:spacing w:line="240" w:lineRule="auto"/>
        <w:ind w:left="101" w:right="0"/>
        <w:jc w:val="left"/>
      </w:pPr>
      <w:r>
        <w:rPr>
          <w:rFonts w:ascii="Arial" w:hAnsi="Arial" w:cs="Arial" w:eastAsia="Arial" w:hint="default"/>
          <w:w w:val="95"/>
          <w:position w:val="2"/>
        </w:rPr>
        <w:t>(a)</w:t>
        <w:tab/>
      </w:r>
      <w:r>
        <w:rPr/>
        <w:t>联营企业</w:t>
      </w:r>
    </w:p>
    <w:p>
      <w:pPr>
        <w:spacing w:line="240" w:lineRule="auto" w:before="3"/>
        <w:rPr>
          <w:rFonts w:ascii="宋体" w:hAnsi="宋体" w:cs="宋体" w:eastAsia="宋体" w:hint="default"/>
          <w:sz w:val="18"/>
          <w:szCs w:val="18"/>
        </w:rPr>
      </w:pPr>
    </w:p>
    <w:p>
      <w:pPr>
        <w:spacing w:before="44"/>
        <w:ind w:left="6186" w:right="7573" w:firstLine="0"/>
        <w:jc w:val="center"/>
        <w:rPr>
          <w:rFonts w:ascii="宋体" w:hAnsi="宋体" w:cs="宋体" w:eastAsia="宋体" w:hint="default"/>
          <w:sz w:val="18"/>
          <w:szCs w:val="18"/>
        </w:rPr>
      </w:pPr>
      <w:r>
        <w:rPr/>
        <w:pict>
          <v:group style="position:absolute;margin-left:296.871002pt;margin-top:16.161728pt;width:201.6pt;height:.1pt;mso-position-horizontal-relative:page;mso-position-vertical-relative:paragraph;z-index:-1003912" coordorigin="5937,323" coordsize="4032,2">
            <v:shape style="position:absolute;left:5937;top:323;width:4032;height:2" coordorigin="5937,323" coordsize="4032,0" path="m5937,323l9969,323e" filled="false" stroked="true" strokeweight="1.5pt" strokecolor="#000000">
              <v:path arrowok="t"/>
            </v:shape>
            <w10:wrap type="none"/>
          </v:group>
        </w:pict>
      </w:r>
      <w:r>
        <w:rPr>
          <w:rFonts w:ascii="宋体" w:hAnsi="宋体" w:cs="宋体" w:eastAsia="宋体" w:hint="default"/>
          <w:sz w:val="18"/>
          <w:szCs w:val="18"/>
        </w:rPr>
        <w:t>本年增减变动</w:t>
      </w:r>
    </w:p>
    <w:p>
      <w:pPr>
        <w:spacing w:after="0"/>
        <w:jc w:val="center"/>
        <w:rPr>
          <w:rFonts w:ascii="宋体" w:hAnsi="宋体" w:cs="宋体" w:eastAsia="宋体" w:hint="default"/>
          <w:sz w:val="18"/>
          <w:szCs w:val="18"/>
        </w:rPr>
        <w:sectPr>
          <w:headerReference w:type="default" r:id="rId58"/>
          <w:footerReference w:type="default" r:id="rId59"/>
          <w:pgSz w:w="16840" w:h="11910" w:orient="landscape"/>
          <w:pgMar w:header="1475" w:footer="945" w:top="3020" w:bottom="1140" w:left="1160" w:right="800"/>
          <w:pgNumType w:start="156"/>
        </w:sectPr>
      </w:pPr>
    </w:p>
    <w:p>
      <w:pPr>
        <w:spacing w:line="240" w:lineRule="auto" w:before="1"/>
        <w:rPr>
          <w:rFonts w:ascii="宋体" w:hAnsi="宋体" w:cs="宋体" w:eastAsia="宋体" w:hint="default"/>
          <w:sz w:val="20"/>
          <w:szCs w:val="20"/>
        </w:rPr>
      </w:pPr>
    </w:p>
    <w:p>
      <w:pPr>
        <w:tabs>
          <w:tab w:pos="2835" w:val="left" w:leader="none"/>
        </w:tabs>
        <w:spacing w:before="0"/>
        <w:ind w:left="1711" w:right="-20" w:firstLine="0"/>
        <w:jc w:val="left"/>
        <w:rPr>
          <w:rFonts w:ascii="宋体" w:hAnsi="宋体" w:cs="宋体" w:eastAsia="宋体" w:hint="default"/>
          <w:sz w:val="18"/>
          <w:szCs w:val="18"/>
        </w:rPr>
      </w:pPr>
      <w:r>
        <w:rPr>
          <w:rFonts w:ascii="宋体" w:hAnsi="宋体" w:cs="宋体" w:eastAsia="宋体" w:hint="default"/>
          <w:sz w:val="18"/>
          <w:szCs w:val="18"/>
        </w:rPr>
        <w:t>核算方法</w:t>
        <w:tab/>
        <w:t>投资成本</w:t>
      </w:r>
    </w:p>
    <w:p>
      <w:pPr>
        <w:spacing w:line="241" w:lineRule="exact" w:before="28"/>
        <w:ind w:left="451" w:right="-17" w:firstLine="0"/>
        <w:jc w:val="left"/>
        <w:rPr>
          <w:rFonts w:ascii="宋体" w:hAnsi="宋体" w:cs="宋体" w:eastAsia="宋体" w:hint="default"/>
          <w:sz w:val="18"/>
          <w:szCs w:val="18"/>
        </w:rPr>
      </w:pPr>
      <w:r>
        <w:rPr/>
        <w:br w:type="column"/>
      </w: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w:t>
      </w:r>
    </w:p>
    <w:p>
      <w:pPr>
        <w:spacing w:line="241" w:lineRule="exact" w:before="0"/>
        <w:ind w:left="181" w:right="-15" w:firstLine="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spacing w:before="28"/>
        <w:ind w:left="163" w:right="-19" w:firstLine="180"/>
        <w:jc w:val="left"/>
        <w:rPr>
          <w:rFonts w:ascii="宋体" w:hAnsi="宋体" w:cs="宋体" w:eastAsia="宋体" w:hint="default"/>
          <w:sz w:val="18"/>
          <w:szCs w:val="18"/>
        </w:rPr>
      </w:pPr>
      <w:r>
        <w:rPr/>
        <w:br w:type="column"/>
      </w:r>
      <w:r>
        <w:rPr>
          <w:rFonts w:ascii="宋体" w:hAnsi="宋体" w:cs="宋体" w:eastAsia="宋体" w:hint="default"/>
          <w:sz w:val="18"/>
          <w:szCs w:val="18"/>
        </w:rPr>
        <w:t>追加或 减少投资</w:t>
      </w:r>
    </w:p>
    <w:p>
      <w:pPr>
        <w:spacing w:before="28"/>
        <w:ind w:left="103"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按权益法调 整的净损益</w:t>
      </w:r>
    </w:p>
    <w:p>
      <w:pPr>
        <w:spacing w:before="28"/>
        <w:ind w:left="334"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t>宣告分派的 现金股利</w:t>
      </w:r>
    </w:p>
    <w:p>
      <w:pPr>
        <w:spacing w:before="28"/>
        <w:ind w:left="47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其他权 益变动</w:t>
      </w:r>
    </w:p>
    <w:p>
      <w:pPr>
        <w:spacing w:line="241" w:lineRule="exact" w:before="28"/>
        <w:ind w:left="459" w:right="-18" w:firstLine="0"/>
        <w:jc w:val="left"/>
        <w:rPr>
          <w:rFonts w:ascii="宋体" w:hAnsi="宋体" w:cs="宋体" w:eastAsia="宋体" w:hint="default"/>
          <w:sz w:val="18"/>
          <w:szCs w:val="18"/>
        </w:rPr>
      </w:pPr>
      <w:r>
        <w:rPr/>
        <w:br w:type="column"/>
      </w: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p>
      <w:pPr>
        <w:spacing w:line="241" w:lineRule="exact" w:before="0"/>
        <w:ind w:left="189" w:right="-16" w:firstLine="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tabs>
          <w:tab w:pos="1001" w:val="left" w:leader="none"/>
        </w:tabs>
        <w:spacing w:before="28"/>
        <w:ind w:left="29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持股</w:t>
      </w:r>
      <w:r>
        <w:rPr>
          <w:rFonts w:ascii="宋体" w:hAnsi="宋体" w:cs="宋体" w:eastAsia="宋体" w:hint="default"/>
          <w:spacing w:val="78"/>
          <w:sz w:val="18"/>
          <w:szCs w:val="18"/>
        </w:rPr>
        <w:t> </w:t>
      </w:r>
      <w:r>
        <w:rPr>
          <w:rFonts w:ascii="宋体" w:hAnsi="宋体" w:cs="宋体" w:eastAsia="宋体" w:hint="default"/>
          <w:sz w:val="18"/>
          <w:szCs w:val="18"/>
        </w:rPr>
        <w:t>表决权</w:t>
      </w:r>
      <w:r>
        <w:rPr>
          <w:rFonts w:ascii="宋体" w:hAnsi="宋体" w:cs="宋体" w:eastAsia="宋体" w:hint="default"/>
          <w:sz w:val="18"/>
          <w:szCs w:val="18"/>
        </w:rPr>
        <w:t> 比例</w:t>
        <w:tab/>
        <w:t>比例</w:t>
      </w:r>
    </w:p>
    <w:p>
      <w:pPr>
        <w:spacing w:before="28"/>
        <w:ind w:left="8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持股比例与表决权 比例不一致的说明  减值准备</w:t>
      </w:r>
    </w:p>
    <w:p>
      <w:pPr>
        <w:spacing w:before="28"/>
        <w:ind w:left="192" w:right="134"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本年计提 减值准备</w:t>
      </w:r>
    </w:p>
    <w:p>
      <w:pPr>
        <w:spacing w:after="0"/>
        <w:jc w:val="left"/>
        <w:rPr>
          <w:rFonts w:ascii="宋体" w:hAnsi="宋体" w:cs="宋体" w:eastAsia="宋体" w:hint="default"/>
          <w:sz w:val="18"/>
          <w:szCs w:val="18"/>
        </w:rPr>
        <w:sectPr>
          <w:type w:val="continuous"/>
          <w:pgSz w:w="16840" w:h="11910" w:orient="landscape"/>
          <w:pgMar w:top="920" w:bottom="900" w:left="1160" w:right="800"/>
          <w:cols w:num="10" w:equalWidth="0">
            <w:col w:w="3556" w:space="40"/>
            <w:col w:w="1076" w:space="40"/>
            <w:col w:w="884" w:space="40"/>
            <w:col w:w="1005" w:space="40"/>
            <w:col w:w="1055" w:space="40"/>
            <w:col w:w="1015" w:space="40"/>
            <w:col w:w="1084" w:space="40"/>
            <w:col w:w="1362" w:space="40"/>
            <w:col w:w="2421" w:space="40"/>
            <w:col w:w="1062"/>
          </w:cols>
        </w:sectPr>
      </w:pPr>
    </w:p>
    <w:p>
      <w:pPr>
        <w:spacing w:line="240" w:lineRule="auto" w:before="7"/>
        <w:rPr>
          <w:rFonts w:ascii="宋体" w:hAnsi="宋体" w:cs="宋体" w:eastAsia="宋体" w:hint="default"/>
          <w:sz w:val="12"/>
          <w:szCs w:val="12"/>
        </w:rPr>
      </w:pPr>
    </w:p>
    <w:p>
      <w:pPr>
        <w:spacing w:before="77"/>
        <w:ind w:left="0" w:right="3565" w:firstLine="0"/>
        <w:jc w:val="right"/>
        <w:rPr>
          <w:rFonts w:ascii="Arial" w:hAnsi="Arial" w:cs="Arial" w:eastAsia="Arial" w:hint="default"/>
          <w:sz w:val="18"/>
          <w:szCs w:val="18"/>
        </w:rPr>
      </w:pPr>
      <w:r>
        <w:rPr>
          <w:rFonts w:ascii="Arial"/>
          <w:sz w:val="18"/>
        </w:rPr>
        <w:t>34.28%</w:t>
      </w:r>
      <w:r>
        <w:rPr>
          <w:rFonts w:ascii="Arial"/>
          <w:spacing w:val="39"/>
          <w:sz w:val="18"/>
        </w:rPr>
        <w:t> </w:t>
      </w:r>
      <w:r>
        <w:rPr>
          <w:rFonts w:ascii="Arial"/>
          <w:sz w:val="18"/>
        </w:rPr>
        <w:t>34.28%</w:t>
      </w:r>
    </w:p>
    <w:p>
      <w:pPr>
        <w:spacing w:after="0"/>
        <w:jc w:val="right"/>
        <w:rPr>
          <w:rFonts w:ascii="Arial" w:hAnsi="Arial" w:cs="Arial" w:eastAsia="Arial" w:hint="default"/>
          <w:sz w:val="18"/>
          <w:szCs w:val="18"/>
        </w:rPr>
        <w:sectPr>
          <w:type w:val="continuous"/>
          <w:pgSz w:w="16840" w:h="11910" w:orient="landscape"/>
          <w:pgMar w:top="920" w:bottom="900" w:left="1160" w:right="800"/>
        </w:sectPr>
      </w:pPr>
    </w:p>
    <w:p>
      <w:pPr>
        <w:spacing w:line="193" w:lineRule="exact" w:before="27"/>
        <w:ind w:left="716" w:right="-20" w:firstLine="0"/>
        <w:jc w:val="left"/>
        <w:rPr>
          <w:rFonts w:ascii="Arial" w:hAnsi="Arial" w:cs="Arial" w:eastAsia="Arial" w:hint="default"/>
          <w:sz w:val="18"/>
          <w:szCs w:val="18"/>
        </w:rPr>
      </w:pPr>
      <w:r>
        <w:rPr>
          <w:rFonts w:ascii="Arial"/>
          <w:sz w:val="18"/>
        </w:rPr>
        <w:t>LAOX</w:t>
      </w:r>
    </w:p>
    <w:p>
      <w:pPr>
        <w:tabs>
          <w:tab w:pos="1891" w:val="left" w:leader="none"/>
        </w:tabs>
        <w:spacing w:line="222" w:lineRule="exact" w:before="0"/>
        <w:ind w:left="896" w:right="-20" w:firstLine="0"/>
        <w:jc w:val="left"/>
        <w:rPr>
          <w:rFonts w:ascii="宋体" w:hAnsi="宋体" w:cs="宋体" w:eastAsia="宋体" w:hint="default"/>
          <w:sz w:val="18"/>
          <w:szCs w:val="18"/>
        </w:rPr>
      </w:pPr>
      <w:r>
        <w:rPr>
          <w:rFonts w:ascii="宋体" w:hAnsi="宋体" w:cs="宋体" w:eastAsia="宋体" w:hint="default"/>
          <w:sz w:val="18"/>
          <w:szCs w:val="18"/>
        </w:rPr>
        <w:t>株式会社</w:t>
        <w:tab/>
        <w:t>权益法</w:t>
      </w:r>
    </w:p>
    <w:p>
      <w:pPr>
        <w:spacing w:line="208" w:lineRule="exact" w:before="0"/>
        <w:ind w:left="724" w:right="-14" w:firstLine="0"/>
        <w:jc w:val="left"/>
        <w:rPr>
          <w:rFonts w:ascii="宋体" w:hAnsi="宋体" w:cs="宋体" w:eastAsia="宋体" w:hint="default"/>
          <w:sz w:val="18"/>
          <w:szCs w:val="18"/>
        </w:rPr>
      </w:pPr>
      <w:r>
        <w:rPr/>
        <w:br w:type="column"/>
      </w:r>
      <w:r>
        <w:rPr>
          <w:rFonts w:ascii="宋体" w:hAnsi="宋体" w:cs="宋体" w:eastAsia="宋体" w:hint="default"/>
          <w:sz w:val="18"/>
          <w:szCs w:val="18"/>
        </w:rPr>
        <w:t>日元</w:t>
      </w:r>
    </w:p>
    <w:p>
      <w:pPr>
        <w:tabs>
          <w:tab w:pos="1625" w:val="left" w:leader="none"/>
          <w:tab w:pos="2475" w:val="left" w:leader="none"/>
          <w:tab w:pos="3719" w:val="left" w:leader="none"/>
          <w:tab w:pos="5202" w:val="left" w:leader="none"/>
          <w:tab w:pos="6256" w:val="left" w:leader="none"/>
          <w:tab w:pos="6750" w:val="left" w:leader="none"/>
        </w:tabs>
        <w:spacing w:before="1"/>
        <w:ind w:left="330" w:right="-14" w:firstLine="0"/>
        <w:jc w:val="left"/>
        <w:rPr>
          <w:rFonts w:ascii="Arial" w:hAnsi="Arial" w:cs="Arial" w:eastAsia="Arial" w:hint="default"/>
          <w:sz w:val="18"/>
          <w:szCs w:val="18"/>
        </w:rPr>
      </w:pPr>
      <w:r>
        <w:rPr>
          <w:rFonts w:ascii="Arial" w:hAnsi="Arial" w:cs="Arial" w:eastAsia="Arial" w:hint="default"/>
          <w:spacing w:val="-1"/>
          <w:position w:val="1"/>
          <w:sz w:val="18"/>
          <w:szCs w:val="18"/>
        </w:rPr>
        <w:t>30.9</w:t>
      </w:r>
      <w:r>
        <w:rPr>
          <w:rFonts w:ascii="Arial" w:hAnsi="Arial" w:cs="Arial" w:eastAsia="Arial" w:hint="default"/>
          <w:spacing w:val="-7"/>
          <w:position w:val="1"/>
          <w:sz w:val="18"/>
          <w:szCs w:val="18"/>
        </w:rPr>
        <w:t> </w:t>
      </w:r>
      <w:r>
        <w:rPr>
          <w:rFonts w:ascii="宋体" w:hAnsi="宋体" w:cs="宋体" w:eastAsia="宋体" w:hint="default"/>
          <w:position w:val="1"/>
          <w:sz w:val="18"/>
          <w:szCs w:val="18"/>
        </w:rPr>
        <w:t>亿元</w:t>
        <w:tab/>
      </w:r>
      <w:r>
        <w:rPr>
          <w:rFonts w:ascii="Arial" w:hAnsi="Arial" w:cs="Arial" w:eastAsia="Arial" w:hint="default"/>
          <w:spacing w:val="-1"/>
          <w:sz w:val="18"/>
          <w:szCs w:val="18"/>
        </w:rPr>
        <w:t>56,381</w:t>
        <w:tab/>
        <w:t>190,555</w:t>
        <w:tab/>
        <w:t>4,967</w:t>
        <w:tab/>
      </w:r>
      <w:r>
        <w:rPr>
          <w:rFonts w:ascii="Arial" w:hAnsi="Arial" w:cs="Arial" w:eastAsia="Arial" w:hint="default"/>
          <w:sz w:val="18"/>
          <w:szCs w:val="18"/>
        </w:rPr>
        <w:t>-</w:t>
        <w:tab/>
        <w:t>-</w:t>
        <w:tab/>
      </w:r>
      <w:r>
        <w:rPr>
          <w:rFonts w:ascii="Arial" w:hAnsi="Arial" w:cs="Arial" w:eastAsia="Arial" w:hint="default"/>
          <w:spacing w:val="-1"/>
          <w:sz w:val="18"/>
          <w:szCs w:val="18"/>
        </w:rPr>
        <w:t>251,903</w:t>
      </w:r>
    </w:p>
    <w:p>
      <w:pPr>
        <w:spacing w:line="212" w:lineRule="exact" w:before="0"/>
        <w:ind w:left="274" w:right="-20" w:hanging="180"/>
        <w:jc w:val="left"/>
        <w:rPr>
          <w:rFonts w:ascii="宋体" w:hAnsi="宋体" w:cs="宋体" w:eastAsia="宋体" w:hint="default"/>
          <w:sz w:val="18"/>
          <w:szCs w:val="18"/>
        </w:rPr>
      </w:pPr>
      <w:r>
        <w:rPr/>
        <w:br w:type="column"/>
      </w:r>
      <w:r>
        <w:rPr>
          <w:rFonts w:ascii="Arial" w:hAnsi="Arial" w:cs="Arial" w:eastAsia="Arial" w:hint="default"/>
          <w:sz w:val="18"/>
          <w:szCs w:val="18"/>
        </w:rPr>
        <w:t>(</w:t>
      </w:r>
      <w:r>
        <w:rPr>
          <w:rFonts w:ascii="宋体" w:hAnsi="宋体" w:cs="宋体" w:eastAsia="宋体" w:hint="default"/>
          <w:sz w:val="18"/>
          <w:szCs w:val="18"/>
        </w:rPr>
        <w:t>扣除库</w:t>
      </w:r>
    </w:p>
    <w:p>
      <w:pPr>
        <w:spacing w:line="241" w:lineRule="exact" w:before="0"/>
        <w:ind w:left="274" w:right="-20" w:firstLine="0"/>
        <w:jc w:val="left"/>
        <w:rPr>
          <w:rFonts w:ascii="Arial" w:hAnsi="Arial" w:cs="Arial" w:eastAsia="Arial" w:hint="default"/>
          <w:sz w:val="18"/>
          <w:szCs w:val="18"/>
        </w:rPr>
      </w:pPr>
      <w:r>
        <w:rPr>
          <w:rFonts w:ascii="宋体" w:hAnsi="宋体" w:cs="宋体" w:eastAsia="宋体" w:hint="default"/>
          <w:sz w:val="18"/>
          <w:szCs w:val="18"/>
        </w:rPr>
        <w:t>存股</w:t>
      </w:r>
      <w:r>
        <w:rPr>
          <w:rFonts w:ascii="Arial" w:hAnsi="Arial" w:cs="Arial" w:eastAsia="Arial" w:hint="default"/>
          <w:sz w:val="18"/>
          <w:szCs w:val="18"/>
        </w:rPr>
        <w:t>)</w:t>
      </w:r>
    </w:p>
    <w:p>
      <w:pPr>
        <w:spacing w:line="215" w:lineRule="exact" w:before="0"/>
        <w:ind w:left="67" w:right="0" w:firstLine="0"/>
        <w:jc w:val="left"/>
        <w:rPr>
          <w:rFonts w:ascii="宋体" w:hAnsi="宋体" w:cs="宋体" w:eastAsia="宋体" w:hint="default"/>
          <w:sz w:val="18"/>
          <w:szCs w:val="18"/>
        </w:rPr>
      </w:pPr>
      <w:r>
        <w:rPr/>
        <w:br w:type="column"/>
      </w:r>
      <w:r>
        <w:rPr>
          <w:rFonts w:ascii="Arial" w:hAnsi="Arial" w:cs="Arial" w:eastAsia="Arial" w:hint="default"/>
          <w:sz w:val="18"/>
          <w:szCs w:val="18"/>
        </w:rPr>
        <w:t>(</w:t>
      </w:r>
      <w:r>
        <w:rPr>
          <w:rFonts w:ascii="宋体" w:hAnsi="宋体" w:cs="宋体" w:eastAsia="宋体" w:hint="default"/>
          <w:sz w:val="18"/>
          <w:szCs w:val="18"/>
        </w:rPr>
        <w:t>扣除库</w:t>
      </w:r>
    </w:p>
    <w:p>
      <w:pPr>
        <w:tabs>
          <w:tab w:pos="2167" w:val="left" w:leader="none"/>
          <w:tab w:pos="3042" w:val="left" w:leader="none"/>
          <w:tab w:pos="4005" w:val="left" w:leader="none"/>
        </w:tabs>
        <w:spacing w:line="253" w:lineRule="exact" w:before="0"/>
        <w:ind w:left="247" w:right="0" w:firstLine="0"/>
        <w:jc w:val="left"/>
        <w:rPr>
          <w:rFonts w:ascii="Arial" w:hAnsi="Arial" w:cs="Arial" w:eastAsia="Arial" w:hint="default"/>
          <w:sz w:val="18"/>
          <w:szCs w:val="18"/>
        </w:rPr>
      </w:pPr>
      <w:r>
        <w:rPr>
          <w:rFonts w:ascii="宋体" w:hAnsi="宋体" w:cs="宋体" w:eastAsia="宋体" w:hint="default"/>
          <w:position w:val="1"/>
          <w:sz w:val="18"/>
          <w:szCs w:val="18"/>
        </w:rPr>
        <w:t>存股</w:t>
      </w:r>
      <w:r>
        <w:rPr>
          <w:rFonts w:ascii="Arial" w:hAnsi="Arial" w:cs="Arial" w:eastAsia="Arial" w:hint="default"/>
          <w:position w:val="1"/>
          <w:sz w:val="18"/>
          <w:szCs w:val="18"/>
        </w:rPr>
        <w:t>)</w:t>
        <w:tab/>
      </w:r>
      <w:r>
        <w:rPr>
          <w:rFonts w:ascii="Arial" w:hAnsi="Arial" w:cs="Arial" w:eastAsia="Arial" w:hint="default"/>
          <w:sz w:val="18"/>
          <w:szCs w:val="18"/>
        </w:rPr>
        <w:t>-</w:t>
        <w:tab/>
        <w:t>-</w:t>
        <w:tab/>
        <w:t>-</w:t>
      </w:r>
    </w:p>
    <w:p>
      <w:pPr>
        <w:spacing w:after="0" w:line="253" w:lineRule="exact"/>
        <w:jc w:val="left"/>
        <w:rPr>
          <w:rFonts w:ascii="Arial" w:hAnsi="Arial" w:cs="Arial" w:eastAsia="Arial" w:hint="default"/>
          <w:sz w:val="18"/>
          <w:szCs w:val="18"/>
        </w:rPr>
        <w:sectPr>
          <w:type w:val="continuous"/>
          <w:pgSz w:w="16840" w:h="11910" w:orient="landscape"/>
          <w:pgMar w:top="920" w:bottom="900" w:left="1160" w:right="800"/>
          <w:cols w:num="4" w:equalWidth="0">
            <w:col w:w="2432" w:space="40"/>
            <w:col w:w="7400" w:space="40"/>
            <w:col w:w="695" w:space="40"/>
            <w:col w:w="4233"/>
          </w:cols>
        </w:sectPr>
      </w:pPr>
    </w:p>
    <w:p>
      <w:pPr>
        <w:tabs>
          <w:tab w:pos="12894" w:val="left" w:leader="none"/>
        </w:tabs>
        <w:spacing w:line="30" w:lineRule="exact"/>
        <w:ind w:left="3652" w:right="0" w:firstLine="0"/>
        <w:rPr>
          <w:rFonts w:ascii="Arial" w:hAnsi="Arial" w:cs="Arial" w:eastAsia="Arial" w:hint="default"/>
          <w:sz w:val="3"/>
          <w:szCs w:val="3"/>
        </w:rPr>
      </w:pPr>
      <w:r>
        <w:rPr>
          <w:rFonts w:ascii="Arial"/>
          <w:position w:val="0"/>
          <w:sz w:val="3"/>
        </w:rPr>
        <w:pict>
          <v:group style="width:52.8pt;height:1.5pt;mso-position-horizontal-relative:char;mso-position-vertical-relative:line" coordorigin="0,0" coordsize="1056,30">
            <v:group style="position:absolute;left:15;top:15;width:1026;height:2" coordorigin="15,15" coordsize="1026,2">
              <v:shape style="position:absolute;left:15;top:15;width:1026;height:2" coordorigin="15,15" coordsize="1026,0" path="m15,15l1041,15e" filled="false" stroked="true" strokeweight="1.5pt" strokecolor="#000000">
                <v:path arrowok="t"/>
              </v:shape>
            </v:group>
          </v:group>
        </w:pict>
      </w:r>
      <w:r>
        <w:rPr>
          <w:rFonts w:ascii="Arial"/>
          <w:position w:val="0"/>
          <w:sz w:val="3"/>
        </w:rPr>
      </w:r>
      <w:r>
        <w:rPr>
          <w:rFonts w:ascii="Times New Roman"/>
          <w:spacing w:val="70"/>
          <w:position w:val="0"/>
          <w:sz w:val="3"/>
        </w:rPr>
        <w:t> </w:t>
      </w:r>
      <w:r>
        <w:rPr>
          <w:rFonts w:ascii="Arial"/>
          <w:spacing w:val="70"/>
          <w:position w:val="0"/>
          <w:sz w:val="3"/>
        </w:rPr>
        <w:pict>
          <v:group style="width:42.8pt;height:1.5pt;mso-position-horizontal-relative:char;mso-position-vertical-relative:line" coordorigin="0,0" coordsize="856,30">
            <v:group style="position:absolute;left:15;top:15;width:826;height:2" coordorigin="15,15" coordsize="826,2">
              <v:shape style="position:absolute;left:15;top:15;width:826;height:2" coordorigin="15,15" coordsize="826,0" path="m15,15l841,15e" filled="false" stroked="true" strokeweight="1.5pt" strokecolor="#000000">
                <v:path arrowok="t"/>
              </v:shape>
            </v:group>
          </v:group>
        </w:pict>
      </w:r>
      <w:r>
        <w:rPr>
          <w:rFonts w:ascii="Arial"/>
          <w:spacing w:val="70"/>
          <w:position w:val="0"/>
          <w:sz w:val="3"/>
        </w:rPr>
      </w:r>
      <w:r>
        <w:rPr>
          <w:rFonts w:ascii="Times New Roman"/>
          <w:spacing w:val="68"/>
          <w:position w:val="0"/>
          <w:sz w:val="3"/>
        </w:rPr>
        <w:t> </w:t>
      </w:r>
      <w:r>
        <w:rPr>
          <w:rFonts w:ascii="Arial"/>
          <w:spacing w:val="68"/>
          <w:position w:val="0"/>
          <w:sz w:val="3"/>
        </w:rPr>
        <w:pict>
          <v:group style="width:48.9pt;height:1.5pt;mso-position-horizontal-relative:char;mso-position-vertical-relative:line" coordorigin="0,0" coordsize="978,30">
            <v:group style="position:absolute;left:15;top:15;width:948;height:2" coordorigin="15,15" coordsize="948,2">
              <v:shape style="position:absolute;left:15;top:15;width:948;height:2" coordorigin="15,15" coordsize="948,0" path="m15,15l963,15e" filled="false" stroked="true" strokeweight="1.5pt" strokecolor="#000000">
                <v:path arrowok="t"/>
              </v:shape>
            </v:group>
          </v:group>
        </w:pict>
      </w:r>
      <w:r>
        <w:rPr>
          <w:rFonts w:ascii="Arial"/>
          <w:spacing w:val="68"/>
          <w:position w:val="0"/>
          <w:sz w:val="3"/>
        </w:rPr>
      </w:r>
      <w:r>
        <w:rPr>
          <w:rFonts w:ascii="Times New Roman"/>
          <w:spacing w:val="62"/>
          <w:position w:val="0"/>
          <w:sz w:val="3"/>
        </w:rPr>
        <w:t> </w:t>
      </w:r>
      <w:r>
        <w:rPr>
          <w:rFonts w:ascii="Arial"/>
          <w:spacing w:val="62"/>
          <w:position w:val="0"/>
          <w:sz w:val="3"/>
        </w:rPr>
        <w:pict>
          <v:group style="width:51.75pt;height:1.5pt;mso-position-horizontal-relative:char;mso-position-vertical-relative:line" coordorigin="0,0" coordsize="1035,30">
            <v:group style="position:absolute;left:15;top:15;width:1005;height:2" coordorigin="15,15" coordsize="1005,2">
              <v:shape style="position:absolute;left:15;top:15;width:1005;height:2" coordorigin="15,15" coordsize="1005,0" path="m15,15l1019,15e" filled="false" stroked="true" strokeweight="1.5pt" strokecolor="#000000">
                <v:path arrowok="t"/>
              </v:shape>
            </v:group>
          </v:group>
        </w:pict>
      </w:r>
      <w:r>
        <w:rPr>
          <w:rFonts w:ascii="Arial"/>
          <w:spacing w:val="62"/>
          <w:position w:val="0"/>
          <w:sz w:val="3"/>
        </w:rPr>
      </w:r>
      <w:r>
        <w:rPr>
          <w:rFonts w:ascii="Times New Roman"/>
          <w:spacing w:val="61"/>
          <w:position w:val="0"/>
          <w:sz w:val="3"/>
        </w:rPr>
        <w:t> </w:t>
      </w:r>
      <w:r>
        <w:rPr>
          <w:rFonts w:ascii="Arial"/>
          <w:spacing w:val="61"/>
          <w:position w:val="0"/>
          <w:sz w:val="3"/>
        </w:rPr>
        <w:pict>
          <v:group style="width:49.7pt;height:1.5pt;mso-position-horizontal-relative:char;mso-position-vertical-relative:line" coordorigin="0,0" coordsize="994,30">
            <v:group style="position:absolute;left:15;top:15;width:964;height:2" coordorigin="15,15" coordsize="964,2">
              <v:shape style="position:absolute;left:15;top:15;width:964;height:2" coordorigin="15,15" coordsize="964,0" path="m15,15l979,15e" filled="false" stroked="true" strokeweight="1.5pt" strokecolor="#000000">
                <v:path arrowok="t"/>
              </v:shape>
            </v:group>
          </v:group>
        </w:pict>
      </w:r>
      <w:r>
        <w:rPr>
          <w:rFonts w:ascii="Arial"/>
          <w:spacing w:val="61"/>
          <w:position w:val="0"/>
          <w:sz w:val="3"/>
        </w:rPr>
      </w:r>
      <w:r>
        <w:rPr>
          <w:rFonts w:ascii="Times New Roman"/>
          <w:spacing w:val="62"/>
          <w:position w:val="0"/>
          <w:sz w:val="3"/>
        </w:rPr>
        <w:t> </w:t>
      </w:r>
      <w:r>
        <w:rPr>
          <w:rFonts w:ascii="Arial"/>
          <w:spacing w:val="62"/>
          <w:position w:val="0"/>
          <w:sz w:val="3"/>
        </w:rPr>
        <w:pict>
          <v:group style="width:53.25pt;height:1.5pt;mso-position-horizontal-relative:char;mso-position-vertical-relative:line" coordorigin="0,0" coordsize="1065,30">
            <v:group style="position:absolute;left:15;top:15;width:1035;height:2" coordorigin="15,15" coordsize="1035,2">
              <v:shape style="position:absolute;left:15;top:15;width:1035;height:2" coordorigin="15,15" coordsize="1035,0" path="m15,15l1049,15e" filled="false" stroked="true" strokeweight="1.5pt" strokecolor="#000000">
                <v:path arrowok="t"/>
              </v:shape>
            </v:group>
          </v:group>
        </w:pict>
      </w:r>
      <w:r>
        <w:rPr>
          <w:rFonts w:ascii="Arial"/>
          <w:spacing w:val="62"/>
          <w:position w:val="0"/>
          <w:sz w:val="3"/>
        </w:rPr>
      </w:r>
      <w:r>
        <w:rPr>
          <w:rFonts w:ascii="Arial"/>
          <w:spacing w:val="62"/>
          <w:position w:val="0"/>
          <w:sz w:val="3"/>
        </w:rPr>
        <w:tab/>
      </w:r>
      <w:r>
        <w:rPr>
          <w:rFonts w:ascii="Arial"/>
          <w:spacing w:val="62"/>
          <w:position w:val="0"/>
          <w:sz w:val="3"/>
        </w:rPr>
        <w:pict>
          <v:group style="width:45.8pt;height:1.5pt;mso-position-horizontal-relative:char;mso-position-vertical-relative:line" coordorigin="0,0" coordsize="916,30">
            <v:group style="position:absolute;left:15;top:15;width:886;height:2" coordorigin="15,15" coordsize="886,2">
              <v:shape style="position:absolute;left:15;top:15;width:886;height:2" coordorigin="15,15" coordsize="886,0" path="m15,15l901,15e" filled="false" stroked="true" strokeweight="1.5pt" strokecolor="#000000">
                <v:path arrowok="t"/>
              </v:shape>
            </v:group>
          </v:group>
        </w:pict>
      </w:r>
      <w:r>
        <w:rPr>
          <w:rFonts w:ascii="Arial"/>
          <w:spacing w:val="62"/>
          <w:position w:val="0"/>
          <w:sz w:val="3"/>
        </w:rPr>
      </w:r>
      <w:r>
        <w:rPr>
          <w:rFonts w:ascii="Times New Roman"/>
          <w:spacing w:val="62"/>
          <w:position w:val="0"/>
          <w:sz w:val="3"/>
        </w:rPr>
        <w:t> </w:t>
      </w:r>
      <w:r>
        <w:rPr>
          <w:rFonts w:ascii="Arial"/>
          <w:spacing w:val="62"/>
          <w:position w:val="0"/>
          <w:sz w:val="3"/>
        </w:rPr>
        <w:pict>
          <v:group style="width:44.65pt;height:1.5pt;mso-position-horizontal-relative:char;mso-position-vertical-relative:line" coordorigin="0,0" coordsize="893,30">
            <v:group style="position:absolute;left:15;top:15;width:863;height:2" coordorigin="15,15" coordsize="863,2">
              <v:shape style="position:absolute;left:15;top:15;width:863;height:2" coordorigin="15,15" coordsize="863,0" path="m15,15l878,15e" filled="false" stroked="true" strokeweight="1.5pt" strokecolor="#000000">
                <v:path arrowok="t"/>
              </v:shape>
            </v:group>
          </v:group>
        </w:pict>
      </w:r>
      <w:r>
        <w:rPr>
          <w:rFonts w:ascii="Arial"/>
          <w:spacing w:val="62"/>
          <w:position w:val="0"/>
          <w:sz w:val="3"/>
        </w:rPr>
      </w:r>
    </w:p>
    <w:p>
      <w:pPr>
        <w:spacing w:after="0" w:line="30" w:lineRule="exact"/>
        <w:rPr>
          <w:rFonts w:ascii="Arial" w:hAnsi="Arial" w:cs="Arial" w:eastAsia="Arial" w:hint="default"/>
          <w:sz w:val="3"/>
          <w:szCs w:val="3"/>
        </w:rPr>
        <w:sectPr>
          <w:type w:val="continuous"/>
          <w:pgSz w:w="16840" w:h="11910" w:orient="landscape"/>
          <w:pgMar w:top="920" w:bottom="900" w:left="1160" w:right="800"/>
        </w:sectPr>
      </w:pPr>
    </w:p>
    <w:p>
      <w:pPr>
        <w:spacing w:line="240" w:lineRule="auto" w:before="4"/>
        <w:rPr>
          <w:rFonts w:ascii="Arial" w:hAnsi="Arial" w:cs="Arial" w:eastAsia="Arial" w:hint="default"/>
          <w:sz w:val="15"/>
          <w:szCs w:val="15"/>
        </w:rPr>
      </w:pPr>
    </w:p>
    <w:p>
      <w:pPr>
        <w:pStyle w:val="Heading2"/>
        <w:tabs>
          <w:tab w:pos="742" w:val="left" w:leader="none"/>
        </w:tabs>
        <w:spacing w:line="240" w:lineRule="auto"/>
        <w:ind w:left="115" w:right="0"/>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742" w:val="left" w:leader="none"/>
        </w:tabs>
        <w:spacing w:before="0"/>
        <w:ind w:left="115" w:right="0" w:firstLine="0"/>
        <w:jc w:val="left"/>
        <w:rPr>
          <w:rFonts w:ascii="Arial" w:hAnsi="Arial" w:cs="Arial" w:eastAsia="Arial" w:hint="default"/>
          <w:sz w:val="24"/>
          <w:szCs w:val="24"/>
        </w:rPr>
      </w:pPr>
      <w:r>
        <w:rPr>
          <w:rFonts w:ascii="Arial" w:hAnsi="Arial" w:cs="Arial" w:eastAsia="Arial" w:hint="default"/>
          <w:w w:val="95"/>
          <w:position w:val="2"/>
          <w:sz w:val="24"/>
          <w:szCs w:val="24"/>
        </w:rPr>
        <w:t>(10)</w:t>
        <w:tab/>
      </w:r>
      <w:r>
        <w:rPr>
          <w:rFonts w:ascii="宋体" w:hAnsi="宋体" w:cs="宋体" w:eastAsia="宋体" w:hint="default"/>
          <w:b/>
          <w:bCs/>
          <w:sz w:val="24"/>
          <w:szCs w:val="24"/>
        </w:rPr>
        <w:t>长期股权投资</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742" w:val="left" w:leader="none"/>
        </w:tabs>
        <w:spacing w:line="240" w:lineRule="auto"/>
        <w:ind w:left="115" w:right="0"/>
        <w:jc w:val="left"/>
      </w:pPr>
      <w:r>
        <w:rPr>
          <w:rFonts w:ascii="Arial" w:hAnsi="Arial" w:cs="Arial" w:eastAsia="Arial" w:hint="default"/>
          <w:w w:val="95"/>
          <w:position w:val="2"/>
        </w:rPr>
        <w:t>(b)</w:t>
        <w:tab/>
      </w:r>
      <w:r>
        <w:rPr/>
        <w:t>其他长期股权投资</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1475" w:footer="945" w:top="3020" w:bottom="1140" w:left="1140" w:right="800"/>
        </w:sectPr>
      </w:pPr>
    </w:p>
    <w:p>
      <w:pPr>
        <w:spacing w:line="240" w:lineRule="auto" w:before="4"/>
        <w:rPr>
          <w:rFonts w:ascii="宋体" w:hAnsi="宋体" w:cs="宋体" w:eastAsia="宋体" w:hint="default"/>
          <w:sz w:val="21"/>
          <w:szCs w:val="21"/>
        </w:rPr>
      </w:pPr>
    </w:p>
    <w:p>
      <w:pPr>
        <w:tabs>
          <w:tab w:pos="3098" w:val="left" w:leader="none"/>
          <w:tab w:pos="6948" w:val="left" w:leader="none"/>
        </w:tabs>
        <w:spacing w:before="0"/>
        <w:ind w:left="1912" w:right="-12" w:firstLine="0"/>
        <w:jc w:val="left"/>
        <w:rPr>
          <w:rFonts w:ascii="宋体" w:hAnsi="宋体" w:cs="宋体" w:eastAsia="宋体" w:hint="default"/>
          <w:sz w:val="18"/>
          <w:szCs w:val="18"/>
        </w:rPr>
      </w:pPr>
      <w:r>
        <w:rPr>
          <w:rFonts w:ascii="宋体" w:hAnsi="宋体" w:cs="宋体" w:eastAsia="宋体" w:hint="default"/>
          <w:sz w:val="18"/>
          <w:szCs w:val="18"/>
        </w:rPr>
        <w:t>核算方法</w:t>
        <w:tab/>
        <w:t>投资成本 </w:t>
      </w:r>
      <w:r>
        <w:rPr>
          <w:rFonts w:ascii="Arial" w:hAnsi="Arial" w:cs="Arial" w:eastAsia="Arial" w:hint="default"/>
          <w:sz w:val="18"/>
          <w:szCs w:val="18"/>
        </w:rPr>
        <w:t>2009 </w:t>
      </w:r>
      <w:r>
        <w:rPr>
          <w:rFonts w:ascii="宋体" w:hAnsi="宋体" w:cs="宋体" w:eastAsia="宋体" w:hint="default"/>
          <w:sz w:val="18"/>
          <w:szCs w:val="18"/>
        </w:rPr>
        <w:t>年 </w:t>
      </w:r>
      <w:r>
        <w:rPr>
          <w:rFonts w:ascii="Arial" w:hAnsi="Arial" w:cs="Arial" w:eastAsia="Arial" w:hint="default"/>
          <w:sz w:val="18"/>
          <w:szCs w:val="18"/>
        </w:rPr>
        <w:t>12 </w:t>
      </w:r>
      <w:r>
        <w:rPr>
          <w:rFonts w:ascii="宋体" w:hAnsi="宋体" w:cs="宋体" w:eastAsia="宋体" w:hint="default"/>
          <w:sz w:val="18"/>
          <w:szCs w:val="18"/>
        </w:rPr>
        <w:t>月 </w:t>
      </w:r>
      <w:r>
        <w:rPr>
          <w:rFonts w:ascii="Arial" w:hAnsi="Arial" w:cs="Arial" w:eastAsia="Arial" w:hint="default"/>
          <w:sz w:val="18"/>
          <w:szCs w:val="18"/>
        </w:rPr>
        <w:t>31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本年增减变动</w:t>
        <w:tab/>
      </w: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tabs>
          <w:tab w:pos="874" w:val="left" w:leader="none"/>
        </w:tabs>
        <w:spacing w:before="44"/>
        <w:ind w:left="18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持股</w:t>
      </w:r>
      <w:r>
        <w:rPr>
          <w:rFonts w:ascii="宋体" w:hAnsi="宋体" w:cs="宋体" w:eastAsia="宋体" w:hint="default"/>
          <w:spacing w:val="56"/>
          <w:sz w:val="18"/>
          <w:szCs w:val="18"/>
        </w:rPr>
        <w:t> </w:t>
      </w:r>
      <w:r>
        <w:rPr>
          <w:rFonts w:ascii="宋体" w:hAnsi="宋体" w:cs="宋体" w:eastAsia="宋体" w:hint="default"/>
          <w:sz w:val="18"/>
          <w:szCs w:val="18"/>
        </w:rPr>
        <w:t>表决权</w:t>
      </w:r>
      <w:r>
        <w:rPr>
          <w:rFonts w:ascii="宋体" w:hAnsi="宋体" w:cs="宋体" w:eastAsia="宋体" w:hint="default"/>
          <w:sz w:val="18"/>
          <w:szCs w:val="18"/>
        </w:rPr>
        <w:t> 比例</w:t>
        <w:tab/>
        <w:t>比例</w:t>
      </w:r>
    </w:p>
    <w:p>
      <w:pPr>
        <w:tabs>
          <w:tab w:pos="1793" w:val="left" w:leader="none"/>
        </w:tabs>
        <w:spacing w:before="44"/>
        <w:ind w:left="8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持股比例与表决权 比例不一致的说明</w:t>
        <w:tab/>
        <w:t>减值准备</w:t>
      </w:r>
    </w:p>
    <w:p>
      <w:pPr>
        <w:spacing w:before="44"/>
        <w:ind w:left="21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本年计提 减值准备</w:t>
      </w:r>
    </w:p>
    <w:p>
      <w:pPr>
        <w:spacing w:line="235" w:lineRule="exact" w:before="44"/>
        <w:ind w:left="14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本年宣告分派的</w:t>
      </w:r>
    </w:p>
    <w:p>
      <w:pPr>
        <w:spacing w:line="235" w:lineRule="exact" w:before="0"/>
        <w:ind w:left="681" w:right="0" w:firstLine="0"/>
        <w:jc w:val="left"/>
        <w:rPr>
          <w:rFonts w:ascii="宋体" w:hAnsi="宋体" w:cs="宋体" w:eastAsia="宋体" w:hint="default"/>
          <w:sz w:val="18"/>
          <w:szCs w:val="18"/>
        </w:rPr>
      </w:pPr>
      <w:r>
        <w:rPr>
          <w:rFonts w:ascii="宋体" w:hAnsi="宋体" w:cs="宋体" w:eastAsia="宋体" w:hint="default"/>
          <w:sz w:val="18"/>
          <w:szCs w:val="18"/>
        </w:rPr>
        <w:t>现金股利</w:t>
      </w:r>
    </w:p>
    <w:p>
      <w:pPr>
        <w:spacing w:after="0" w:line="235" w:lineRule="exact"/>
        <w:jc w:val="left"/>
        <w:rPr>
          <w:rFonts w:ascii="宋体" w:hAnsi="宋体" w:cs="宋体" w:eastAsia="宋体" w:hint="default"/>
          <w:sz w:val="18"/>
          <w:szCs w:val="18"/>
        </w:rPr>
        <w:sectPr>
          <w:type w:val="continuous"/>
          <w:pgSz w:w="16840" w:h="11910" w:orient="landscape"/>
          <w:pgMar w:top="920" w:bottom="900" w:left="1140" w:right="800"/>
          <w:cols w:num="5" w:equalWidth="0">
            <w:col w:w="8513" w:space="40"/>
            <w:col w:w="1235" w:space="40"/>
            <w:col w:w="2514" w:space="40"/>
            <w:col w:w="934" w:space="40"/>
            <w:col w:w="1544"/>
          </w:cols>
        </w:sectPr>
      </w:pPr>
    </w:p>
    <w:p>
      <w:pPr>
        <w:spacing w:line="240" w:lineRule="auto" w:before="1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6840" w:h="11910" w:orient="landscape"/>
          <w:pgMar w:top="920" w:bottom="900" w:left="1140" w:right="800"/>
        </w:sectPr>
      </w:pPr>
    </w:p>
    <w:p>
      <w:pPr>
        <w:spacing w:before="44"/>
        <w:ind w:left="922" w:right="748" w:hanging="180"/>
        <w:jc w:val="left"/>
        <w:rPr>
          <w:rFonts w:ascii="宋体" w:hAnsi="宋体" w:cs="宋体" w:eastAsia="宋体" w:hint="default"/>
          <w:sz w:val="18"/>
          <w:szCs w:val="18"/>
        </w:rPr>
      </w:pPr>
      <w:r>
        <w:rPr>
          <w:rFonts w:ascii="宋体" w:hAnsi="宋体" w:cs="宋体" w:eastAsia="宋体" w:hint="default"/>
          <w:spacing w:val="7"/>
          <w:sz w:val="18"/>
          <w:szCs w:val="18"/>
        </w:rPr>
        <w:t>南京苏宁工程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设备销售</w:t>
      </w:r>
    </w:p>
    <w:p>
      <w:pPr>
        <w:tabs>
          <w:tab w:pos="2092" w:val="left" w:leader="none"/>
        </w:tabs>
        <w:spacing w:before="0"/>
        <w:ind w:left="742" w:right="0" w:firstLine="180"/>
        <w:jc w:val="left"/>
        <w:rPr>
          <w:rFonts w:ascii="宋体" w:hAnsi="宋体" w:cs="宋体" w:eastAsia="宋体" w:hint="default"/>
          <w:sz w:val="18"/>
          <w:szCs w:val="18"/>
        </w:rPr>
      </w:pPr>
      <w:r>
        <w:rPr>
          <w:rFonts w:ascii="宋体" w:hAnsi="宋体" w:cs="宋体" w:eastAsia="宋体" w:hint="default"/>
          <w:sz w:val="18"/>
          <w:szCs w:val="18"/>
        </w:rPr>
        <w:t>有限公司</w:t>
        <w:tab/>
        <w:t>成本法 </w:t>
      </w:r>
      <w:r>
        <w:rPr>
          <w:rFonts w:ascii="宋体" w:hAnsi="宋体" w:cs="宋体" w:eastAsia="宋体" w:hint="default"/>
          <w:spacing w:val="7"/>
          <w:sz w:val="18"/>
          <w:szCs w:val="18"/>
        </w:rPr>
        <w:t>江苏银行股份</w:t>
      </w:r>
      <w:r>
        <w:rPr>
          <w:rFonts w:ascii="宋体" w:hAnsi="宋体" w:cs="宋体" w:eastAsia="宋体" w:hint="default"/>
          <w:sz w:val="18"/>
          <w:szCs w:val="18"/>
        </w:rPr>
      </w:r>
    </w:p>
    <w:p>
      <w:pPr>
        <w:tabs>
          <w:tab w:pos="2092" w:val="left" w:leader="none"/>
        </w:tabs>
        <w:spacing w:line="234" w:lineRule="exact" w:before="0"/>
        <w:ind w:left="922" w:right="-20" w:firstLine="0"/>
        <w:jc w:val="left"/>
        <w:rPr>
          <w:rFonts w:ascii="宋体" w:hAnsi="宋体" w:cs="宋体" w:eastAsia="宋体" w:hint="default"/>
          <w:sz w:val="18"/>
          <w:szCs w:val="18"/>
        </w:rPr>
      </w:pPr>
      <w:r>
        <w:rPr>
          <w:rFonts w:ascii="宋体" w:hAnsi="宋体" w:cs="宋体" w:eastAsia="宋体" w:hint="default"/>
          <w:sz w:val="18"/>
          <w:szCs w:val="18"/>
        </w:rPr>
        <w:t>有限公司</w:t>
        <w:tab/>
        <w:t>成本法</w:t>
      </w:r>
    </w:p>
    <w:p>
      <w:pPr>
        <w:spacing w:line="240" w:lineRule="auto" w:before="4"/>
        <w:rPr>
          <w:rFonts w:ascii="宋体" w:hAnsi="宋体" w:cs="宋体" w:eastAsia="宋体" w:hint="default"/>
          <w:sz w:val="21"/>
          <w:szCs w:val="21"/>
        </w:rPr>
      </w:pPr>
      <w:r>
        <w:rPr/>
        <w:br w:type="column"/>
      </w:r>
      <w:r>
        <w:rPr>
          <w:rFonts w:ascii="宋体"/>
          <w:sz w:val="21"/>
        </w:rPr>
      </w:r>
    </w:p>
    <w:p>
      <w:pPr>
        <w:spacing w:before="0"/>
        <w:ind w:left="605" w:right="0" w:firstLine="0"/>
        <w:jc w:val="left"/>
        <w:rPr>
          <w:rFonts w:ascii="宋体" w:hAnsi="宋体" w:cs="宋体" w:eastAsia="宋体" w:hint="default"/>
          <w:sz w:val="18"/>
          <w:szCs w:val="18"/>
        </w:rPr>
      </w:pPr>
      <w:r>
        <w:rPr>
          <w:rFonts w:ascii="宋体" w:hAnsi="宋体" w:cs="宋体" w:eastAsia="宋体" w:hint="default"/>
          <w:sz w:val="18"/>
          <w:szCs w:val="18"/>
        </w:rPr>
        <w:t>人民币</w:t>
      </w:r>
    </w:p>
    <w:p>
      <w:pPr>
        <w:tabs>
          <w:tab w:pos="2547" w:val="left" w:leader="none"/>
          <w:tab w:pos="3987" w:val="left" w:leader="none"/>
          <w:tab w:pos="5526" w:val="left" w:leader="none"/>
          <w:tab w:pos="6069" w:val="left" w:leader="none"/>
          <w:tab w:pos="6755" w:val="left" w:leader="none"/>
          <w:tab w:pos="8593" w:val="left" w:leader="none"/>
          <w:tab w:pos="9572" w:val="left" w:leader="none"/>
          <w:tab w:pos="10580" w:val="left" w:leader="none"/>
          <w:tab w:pos="11869" w:val="left" w:leader="none"/>
        </w:tabs>
        <w:spacing w:line="244" w:lineRule="exact" w:before="3"/>
        <w:ind w:left="542" w:right="0" w:firstLine="0"/>
        <w:jc w:val="left"/>
        <w:rPr>
          <w:rFonts w:ascii="Arial" w:hAnsi="Arial" w:cs="Arial" w:eastAsia="Arial" w:hint="default"/>
          <w:sz w:val="18"/>
          <w:szCs w:val="18"/>
        </w:rPr>
      </w:pPr>
      <w:r>
        <w:rPr>
          <w:rFonts w:ascii="Arial" w:hAnsi="Arial" w:cs="Arial" w:eastAsia="Arial" w:hint="default"/>
          <w:spacing w:val="-1"/>
          <w:position w:val="1"/>
          <w:sz w:val="18"/>
          <w:szCs w:val="18"/>
        </w:rPr>
        <w:t>83</w:t>
      </w:r>
      <w:r>
        <w:rPr>
          <w:rFonts w:ascii="Arial" w:hAnsi="Arial" w:cs="Arial" w:eastAsia="Arial" w:hint="default"/>
          <w:spacing w:val="-7"/>
          <w:position w:val="1"/>
          <w:sz w:val="18"/>
          <w:szCs w:val="18"/>
        </w:rPr>
        <w:t> </w:t>
      </w:r>
      <w:r>
        <w:rPr>
          <w:rFonts w:ascii="宋体" w:hAnsi="宋体" w:cs="宋体" w:eastAsia="宋体" w:hint="default"/>
          <w:position w:val="1"/>
          <w:sz w:val="18"/>
          <w:szCs w:val="18"/>
        </w:rPr>
        <w:t>万元</w:t>
        <w:tab/>
      </w:r>
      <w:r>
        <w:rPr>
          <w:rFonts w:ascii="Arial" w:hAnsi="Arial" w:cs="Arial" w:eastAsia="Arial" w:hint="default"/>
          <w:spacing w:val="-1"/>
          <w:sz w:val="18"/>
          <w:szCs w:val="18"/>
        </w:rPr>
        <w:t>993</w:t>
        <w:tab/>
      </w:r>
      <w:r>
        <w:rPr>
          <w:rFonts w:ascii="Arial" w:hAnsi="Arial" w:cs="Arial" w:eastAsia="Arial" w:hint="default"/>
          <w:sz w:val="18"/>
          <w:szCs w:val="18"/>
        </w:rPr>
        <w:t>-</w:t>
        <w:tab/>
      </w:r>
      <w:r>
        <w:rPr>
          <w:rFonts w:ascii="Arial" w:hAnsi="Arial" w:cs="Arial" w:eastAsia="Arial" w:hint="default"/>
          <w:spacing w:val="-1"/>
          <w:sz w:val="18"/>
          <w:szCs w:val="18"/>
        </w:rPr>
        <w:t>993</w:t>
        <w:tab/>
        <w:t>10%</w:t>
        <w:tab/>
        <w:t>10%</w:t>
        <w:tab/>
      </w:r>
      <w:r>
        <w:rPr>
          <w:rFonts w:ascii="Arial" w:hAnsi="Arial" w:cs="Arial" w:eastAsia="Arial" w:hint="default"/>
          <w:sz w:val="18"/>
          <w:szCs w:val="18"/>
        </w:rPr>
        <w:t>-</w:t>
        <w:tab/>
        <w:t>-</w:t>
        <w:tab/>
        <w:t>-</w:t>
        <w:tab/>
        <w:t>-</w:t>
      </w:r>
    </w:p>
    <w:p>
      <w:pPr>
        <w:spacing w:line="221" w:lineRule="exact" w:before="0"/>
        <w:ind w:left="605" w:right="0" w:firstLine="0"/>
        <w:jc w:val="left"/>
        <w:rPr>
          <w:rFonts w:ascii="宋体" w:hAnsi="宋体" w:cs="宋体" w:eastAsia="宋体" w:hint="default"/>
          <w:sz w:val="18"/>
          <w:szCs w:val="18"/>
        </w:rPr>
      </w:pPr>
      <w:r>
        <w:rPr>
          <w:rFonts w:ascii="宋体" w:hAnsi="宋体" w:cs="宋体" w:eastAsia="宋体" w:hint="default"/>
          <w:sz w:val="18"/>
          <w:szCs w:val="18"/>
        </w:rPr>
        <w:t>人民币</w:t>
      </w:r>
    </w:p>
    <w:p>
      <w:pPr>
        <w:tabs>
          <w:tab w:pos="2196" w:val="left" w:leader="none"/>
          <w:tab w:pos="3986" w:val="left" w:leader="none"/>
          <w:tab w:pos="5176" w:val="left" w:leader="none"/>
          <w:tab w:pos="8593" w:val="left" w:leader="none"/>
          <w:tab w:pos="9572" w:val="left" w:leader="none"/>
          <w:tab w:pos="10580" w:val="left" w:leader="none"/>
          <w:tab w:pos="11869" w:val="left" w:leader="none"/>
          <w:tab w:pos="12102" w:val="left" w:leader="none"/>
        </w:tabs>
        <w:spacing w:before="3"/>
        <w:ind w:left="491" w:right="0" w:firstLine="0"/>
        <w:jc w:val="left"/>
        <w:rPr>
          <w:rFonts w:ascii="Arial" w:hAnsi="Arial" w:cs="Arial" w:eastAsia="Arial" w:hint="default"/>
          <w:sz w:val="18"/>
          <w:szCs w:val="18"/>
        </w:rPr>
      </w:pPr>
      <w:r>
        <w:rPr>
          <w:rFonts w:ascii="Arial" w:hAnsi="Arial" w:cs="Arial" w:eastAsia="Arial" w:hint="default"/>
          <w:spacing w:val="-1"/>
          <w:position w:val="1"/>
          <w:sz w:val="18"/>
          <w:szCs w:val="18"/>
        </w:rPr>
        <w:t>5.4</w:t>
      </w:r>
      <w:r>
        <w:rPr>
          <w:rFonts w:ascii="Arial" w:hAnsi="Arial" w:cs="Arial" w:eastAsia="Arial" w:hint="default"/>
          <w:spacing w:val="-6"/>
          <w:position w:val="1"/>
          <w:sz w:val="18"/>
          <w:szCs w:val="18"/>
        </w:rPr>
        <w:t> </w:t>
      </w:r>
      <w:r>
        <w:rPr>
          <w:rFonts w:ascii="宋体" w:hAnsi="宋体" w:cs="宋体" w:eastAsia="宋体" w:hint="default"/>
          <w:position w:val="1"/>
          <w:sz w:val="18"/>
          <w:szCs w:val="18"/>
        </w:rPr>
        <w:t>亿元</w:t>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540,000</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r>
      <w:r>
        <w:rPr>
          <w:rFonts w:ascii="Arial" w:hAnsi="Arial" w:cs="Arial" w:eastAsia="Arial" w:hint="default"/>
          <w:sz w:val="18"/>
          <w:szCs w:val="18"/>
          <w:u w:val="single" w:color="000000"/>
        </w:rPr>
        <w:t>-</w:t>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540,000</w:t>
      </w:r>
      <w:r>
        <w:rPr>
          <w:rFonts w:ascii="Arial" w:hAnsi="Arial" w:cs="Arial" w:eastAsia="Arial" w:hint="default"/>
          <w:sz w:val="18"/>
          <w:szCs w:val="18"/>
          <w:u w:val="single" w:color="000000"/>
        </w:rPr>
        <w:t>  </w:t>
      </w:r>
      <w:r>
        <w:rPr>
          <w:rFonts w:ascii="Arial" w:hAnsi="Arial" w:cs="Arial" w:eastAsia="Arial" w:hint="default"/>
          <w:sz w:val="18"/>
          <w:szCs w:val="18"/>
        </w:rPr>
      </w:r>
      <w:r>
        <w:rPr>
          <w:rFonts w:ascii="Arial" w:hAnsi="Arial" w:cs="Arial" w:eastAsia="Arial" w:hint="default"/>
          <w:spacing w:val="-1"/>
          <w:sz w:val="18"/>
          <w:szCs w:val="18"/>
        </w:rPr>
        <w:t>1.79%</w:t>
      </w:r>
      <w:r>
        <w:rPr>
          <w:rFonts w:ascii="Arial" w:hAnsi="Arial" w:cs="Arial" w:eastAsia="Arial" w:hint="default"/>
          <w:sz w:val="18"/>
          <w:szCs w:val="18"/>
        </w:rPr>
        <w:t>  </w:t>
      </w:r>
      <w:r>
        <w:rPr>
          <w:rFonts w:ascii="Arial" w:hAnsi="Arial" w:cs="Arial" w:eastAsia="Arial" w:hint="default"/>
          <w:spacing w:val="23"/>
          <w:sz w:val="18"/>
          <w:szCs w:val="18"/>
        </w:rPr>
        <w:t> </w:t>
      </w:r>
      <w:r>
        <w:rPr>
          <w:rFonts w:ascii="Arial" w:hAnsi="Arial" w:cs="Arial" w:eastAsia="Arial" w:hint="default"/>
          <w:spacing w:val="-1"/>
          <w:sz w:val="18"/>
          <w:szCs w:val="18"/>
        </w:rPr>
        <w:t>1.79%</w:t>
        <w:tab/>
      </w:r>
      <w:r>
        <w:rPr>
          <w:rFonts w:ascii="Arial" w:hAnsi="Arial" w:cs="Arial" w:eastAsia="Arial" w:hint="default"/>
          <w:sz w:val="18"/>
          <w:szCs w:val="18"/>
        </w:rPr>
        <w:t>-</w:t>
      </w:r>
      <w:r>
        <w:rPr>
          <w:rFonts w:ascii="Arial" w:hAnsi="Arial" w:cs="Arial" w:eastAsia="Arial" w:hint="default"/>
          <w:sz w:val="18"/>
          <w:szCs w:val="18"/>
          <w:u w:val="single" w:color="000000"/>
        </w:rPr>
        <w:t> </w:t>
        <w:tab/>
        <w:t>-</w:t>
      </w:r>
      <w:r>
        <w:rPr>
          <w:rFonts w:ascii="Arial" w:hAnsi="Arial" w:cs="Arial" w:eastAsia="Arial" w:hint="default"/>
          <w:sz w:val="18"/>
          <w:szCs w:val="18"/>
        </w:rPr>
      </w:r>
      <w:r>
        <w:rPr>
          <w:rFonts w:ascii="Arial" w:hAnsi="Arial" w:cs="Arial" w:eastAsia="Arial" w:hint="default"/>
          <w:sz w:val="18"/>
          <w:szCs w:val="18"/>
          <w:u w:val="single" w:color="000000"/>
        </w:rPr>
        <w:t> </w:t>
        <w:tab/>
        <w:t>-</w:t>
      </w:r>
      <w:r>
        <w:rPr>
          <w:rFonts w:ascii="Arial" w:hAnsi="Arial" w:cs="Arial" w:eastAsia="Arial" w:hint="default"/>
          <w:sz w:val="18"/>
          <w:szCs w:val="18"/>
        </w:rPr>
      </w:r>
      <w:r>
        <w:rPr>
          <w:rFonts w:ascii="Arial" w:hAnsi="Arial" w:cs="Arial" w:eastAsia="Arial" w:hint="default"/>
          <w:sz w:val="18"/>
          <w:szCs w:val="18"/>
          <w:u w:val="single" w:color="000000"/>
        </w:rPr>
        <w:t> </w:t>
        <w:tab/>
        <w:t>-</w:t>
        <w:tab/>
      </w:r>
      <w:r>
        <w:rPr>
          <w:rFonts w:ascii="Arial" w:hAnsi="Arial" w:cs="Arial" w:eastAsia="Arial" w:hint="default"/>
          <w:sz w:val="18"/>
          <w:szCs w:val="18"/>
        </w:rPr>
      </w:r>
    </w:p>
    <w:p>
      <w:pPr>
        <w:tabs>
          <w:tab w:pos="3987" w:val="left" w:leader="none"/>
          <w:tab w:pos="5176" w:val="left" w:leader="none"/>
          <w:tab w:pos="9573" w:val="left" w:leader="none"/>
          <w:tab w:pos="10581" w:val="left" w:leader="none"/>
          <w:tab w:pos="11870" w:val="left" w:leader="none"/>
        </w:tabs>
        <w:spacing w:before="78"/>
        <w:ind w:left="2196" w:right="0" w:firstLine="0"/>
        <w:jc w:val="left"/>
        <w:rPr>
          <w:rFonts w:ascii="Arial" w:hAnsi="Arial" w:cs="Arial" w:eastAsia="Arial" w:hint="default"/>
          <w:sz w:val="18"/>
          <w:szCs w:val="18"/>
        </w:rPr>
      </w:pPr>
      <w:r>
        <w:rPr>
          <w:rFonts w:ascii="Arial"/>
          <w:spacing w:val="-1"/>
          <w:sz w:val="18"/>
        </w:rPr>
        <w:t>540,993</w:t>
        <w:tab/>
      </w:r>
      <w:r>
        <w:rPr>
          <w:rFonts w:ascii="Arial"/>
          <w:sz w:val="18"/>
        </w:rPr>
        <w:t>-</w:t>
        <w:tab/>
      </w:r>
      <w:r>
        <w:rPr>
          <w:rFonts w:ascii="Arial"/>
          <w:spacing w:val="-1"/>
          <w:sz w:val="18"/>
        </w:rPr>
        <w:t>540,993</w:t>
        <w:tab/>
      </w:r>
      <w:r>
        <w:rPr>
          <w:rFonts w:ascii="Arial"/>
          <w:sz w:val="18"/>
        </w:rPr>
        <w:t>-</w:t>
        <w:tab/>
        <w:t>-</w:t>
        <w:tab/>
        <w:t>-</w:t>
      </w:r>
    </w:p>
    <w:p>
      <w:pPr>
        <w:spacing w:after="0"/>
        <w:jc w:val="left"/>
        <w:rPr>
          <w:rFonts w:ascii="Arial" w:hAnsi="Arial" w:cs="Arial" w:eastAsia="Arial" w:hint="default"/>
          <w:sz w:val="18"/>
          <w:szCs w:val="18"/>
        </w:rPr>
        <w:sectPr>
          <w:type w:val="continuous"/>
          <w:pgSz w:w="16840" w:h="11910" w:orient="landscape"/>
          <w:pgMar w:top="920" w:bottom="900" w:left="1140" w:right="800"/>
          <w:cols w:num="2" w:equalWidth="0">
            <w:col w:w="2633" w:space="40"/>
            <w:col w:w="12227"/>
          </w:cols>
        </w:sectPr>
      </w:pPr>
    </w:p>
    <w:p>
      <w:pPr>
        <w:tabs>
          <w:tab w:pos="11353" w:val="left" w:leader="none"/>
        </w:tabs>
        <w:spacing w:line="30" w:lineRule="exact"/>
        <w:ind w:left="3900" w:right="0" w:firstLine="0"/>
        <w:rPr>
          <w:rFonts w:ascii="Arial" w:hAnsi="Arial" w:cs="Arial" w:eastAsia="Arial" w:hint="default"/>
          <w:sz w:val="3"/>
          <w:szCs w:val="3"/>
        </w:rPr>
      </w:pPr>
      <w:r>
        <w:rPr>
          <w:rFonts w:ascii="Arial"/>
          <w:position w:val="0"/>
          <w:sz w:val="3"/>
        </w:rPr>
        <w:pict>
          <v:group style="width:232.45pt;height:1.5pt;mso-position-horizontal-relative:char;mso-position-vertical-relative:line" coordorigin="0,0" coordsize="4649,30">
            <v:group style="position:absolute;left:15;top:15;width:1624;height:2" coordorigin="15,15" coordsize="1624,2">
              <v:shape style="position:absolute;left:15;top:15;width:1624;height:2" coordorigin="15,15" coordsize="1624,0" path="m15,15l1639,15e" filled="false" stroked="true" strokeweight="1.5pt" strokecolor="#000000">
                <v:path arrowok="t"/>
              </v:shape>
            </v:group>
            <v:group style="position:absolute;left:1723;top:15;width:1210;height:2" coordorigin="1723,15" coordsize="1210,2">
              <v:shape style="position:absolute;left:1723;top:15;width:1210;height:2" coordorigin="1723,15" coordsize="1210,0" path="m1723,15l2932,15e" filled="false" stroked="true" strokeweight="1.5pt" strokecolor="#000000">
                <v:path arrowok="t"/>
              </v:shape>
            </v:group>
            <v:group style="position:absolute;left:3009;top:15;width:1625;height:2" coordorigin="3009,15" coordsize="1625,2">
              <v:shape style="position:absolute;left:3009;top:15;width:1625;height:2" coordorigin="3009,15" coordsize="1625,0" path="m3009,15l4634,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71.85pt;height:1.5pt;mso-position-horizontal-relative:char;mso-position-vertical-relative:line" coordorigin="0,0" coordsize="3437,30">
            <v:group style="position:absolute;left:15;top:15;width:993;height:2" coordorigin="15,15" coordsize="993,2">
              <v:shape style="position:absolute;left:15;top:15;width:993;height:2" coordorigin="15,15" coordsize="993,0" path="m15,15l1007,15e" filled="false" stroked="true" strokeweight="1.5pt" strokecolor="#000000">
                <v:path arrowok="t"/>
              </v:shape>
            </v:group>
            <v:group style="position:absolute;left:1083;top:15;width:898;height:2" coordorigin="1083,15" coordsize="898,2">
              <v:shape style="position:absolute;left:1083;top:15;width:898;height:2" coordorigin="1083,15" coordsize="898,0" path="m1083,15l1981,15e" filled="false" stroked="true" strokeweight="1.5pt" strokecolor="#000000">
                <v:path arrowok="t"/>
              </v:shape>
            </v:group>
            <v:group style="position:absolute;left:2056;top:15;width:1366;height:2" coordorigin="2056,15" coordsize="1366,2">
              <v:shape style="position:absolute;left:2056;top:15;width:1366;height:2" coordorigin="2056,15" coordsize="1366,0" path="m2056,15l3422,15e" filled="false" stroked="true" strokeweight="1.5pt" strokecolor="#000000">
                <v:path arrowok="t"/>
              </v:shape>
            </v:group>
          </v:group>
        </w:pict>
      </w:r>
      <w:r>
        <w:rPr>
          <w:rFonts w:ascii="Arial"/>
          <w:position w:val="0"/>
          <w:sz w:val="3"/>
        </w:rPr>
      </w:r>
    </w:p>
    <w:p>
      <w:pPr>
        <w:spacing w:line="240" w:lineRule="auto" w:before="0"/>
        <w:rPr>
          <w:rFonts w:ascii="Arial" w:hAnsi="Arial" w:cs="Arial" w:eastAsia="Arial" w:hint="default"/>
          <w:sz w:val="18"/>
          <w:szCs w:val="18"/>
        </w:rPr>
      </w:pPr>
    </w:p>
    <w:p>
      <w:pPr>
        <w:pStyle w:val="BodyText"/>
        <w:tabs>
          <w:tab w:pos="742" w:val="left" w:leader="none"/>
        </w:tabs>
        <w:spacing w:line="240" w:lineRule="auto" w:before="32"/>
        <w:ind w:left="115" w:right="0"/>
        <w:jc w:val="left"/>
      </w:pPr>
      <w:r>
        <w:rPr>
          <w:rFonts w:ascii="Arial" w:hAnsi="Arial" w:cs="Arial" w:eastAsia="Arial" w:hint="default"/>
          <w:spacing w:val="-5"/>
          <w:position w:val="2"/>
        </w:rPr>
        <w:t>(11)</w:t>
        <w:tab/>
      </w:r>
      <w:r>
        <w:rPr/>
        <w:t>对联营企业投资</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6840" w:h="11910" w:orient="landscape"/>
          <w:pgMar w:top="920" w:bottom="900" w:left="1140" w:right="800"/>
        </w:sect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组织机构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23"/>
          <w:szCs w:val="23"/>
        </w:rPr>
      </w:pPr>
    </w:p>
    <w:p>
      <w:pPr>
        <w:tabs>
          <w:tab w:pos="669" w:val="left" w:leader="none"/>
        </w:tabs>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持股</w:t>
        <w:tab/>
        <w:t>表决权</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before="0"/>
        <w:ind w:left="727" w:right="-12" w:firstLine="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spacing w:line="241" w:lineRule="exact" w:before="44"/>
        <w:ind w:left="1804" w:right="0" w:firstLine="0"/>
        <w:jc w:val="left"/>
        <w:rPr>
          <w:rFonts w:ascii="宋体" w:hAnsi="宋体" w:cs="宋体" w:eastAsia="宋体" w:hint="default"/>
          <w:sz w:val="18"/>
          <w:szCs w:val="18"/>
        </w:rPr>
      </w:pPr>
      <w:r>
        <w:rPr/>
        <w:br w:type="column"/>
      </w: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年度</w:t>
      </w:r>
    </w:p>
    <w:p>
      <w:pPr>
        <w:spacing w:line="234" w:lineRule="exact" w:before="0"/>
        <w:ind w:left="662" w:right="0" w:firstLine="0"/>
        <w:jc w:val="left"/>
        <w:rPr>
          <w:rFonts w:ascii="Arial" w:hAnsi="Arial" w:cs="Arial" w:eastAsia="Arial" w:hint="default"/>
          <w:sz w:val="18"/>
          <w:szCs w:val="18"/>
        </w:rPr>
      </w:pPr>
      <w:r>
        <w:rPr>
          <w:rFonts w:ascii="Arial" w:hAnsi="Arial" w:cs="Arial" w:eastAsia="Arial" w:hint="default"/>
          <w:sz w:val="18"/>
          <w:szCs w:val="18"/>
        </w:rPr>
        <w:t>(2010</w:t>
      </w:r>
      <w:r>
        <w:rPr>
          <w:rFonts w:ascii="Arial" w:hAnsi="Arial" w:cs="Arial" w:eastAsia="Arial"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Arial" w:hAnsi="Arial" w:cs="Arial" w:eastAsia="Arial" w:hint="default"/>
          <w:sz w:val="18"/>
          <w:szCs w:val="18"/>
        </w:rPr>
        <w:t>1</w:t>
      </w:r>
      <w:r>
        <w:rPr>
          <w:rFonts w:ascii="Arial" w:hAnsi="Arial" w:cs="Arial" w:eastAsia="Arial"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Arial" w:hAnsi="Arial" w:cs="Arial" w:eastAsia="Arial" w:hint="default"/>
          <w:sz w:val="18"/>
          <w:szCs w:val="18"/>
        </w:rPr>
        <w:t>1</w:t>
      </w:r>
      <w:r>
        <w:rPr>
          <w:rFonts w:ascii="Arial" w:hAnsi="Arial" w:cs="Arial" w:eastAsia="Arial" w:hint="default"/>
          <w:spacing w:val="-24"/>
          <w:sz w:val="18"/>
          <w:szCs w:val="18"/>
        </w:rPr>
        <w:t> </w:t>
      </w:r>
      <w:r>
        <w:rPr>
          <w:rFonts w:ascii="宋体" w:hAnsi="宋体" w:cs="宋体" w:eastAsia="宋体" w:hint="default"/>
          <w:sz w:val="18"/>
          <w:szCs w:val="18"/>
        </w:rPr>
        <w:t>日至</w:t>
      </w:r>
      <w:r>
        <w:rPr>
          <w:rFonts w:ascii="宋体" w:hAnsi="宋体" w:cs="宋体" w:eastAsia="宋体" w:hint="default"/>
          <w:spacing w:val="-64"/>
          <w:sz w:val="18"/>
          <w:szCs w:val="18"/>
        </w:rPr>
        <w:t> </w:t>
      </w:r>
      <w:r>
        <w:rPr>
          <w:rFonts w:ascii="Arial" w:hAnsi="Arial" w:cs="Arial" w:eastAsia="Arial" w:hint="default"/>
          <w:sz w:val="18"/>
          <w:szCs w:val="18"/>
        </w:rPr>
        <w:t>2010</w:t>
      </w:r>
    </w:p>
    <w:p>
      <w:pPr>
        <w:spacing w:line="241" w:lineRule="exact" w:before="0"/>
        <w:ind w:left="1427" w:right="0" w:firstLine="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r>
        <w:rPr>
          <w:rFonts w:ascii="Arial" w:hAnsi="Arial" w:cs="Arial" w:eastAsia="Arial" w:hint="default"/>
          <w:sz w:val="18"/>
          <w:szCs w:val="18"/>
        </w:rPr>
        <w:t>)</w:t>
      </w:r>
    </w:p>
    <w:p>
      <w:pPr>
        <w:spacing w:after="0" w:line="241" w:lineRule="exact"/>
        <w:jc w:val="left"/>
        <w:rPr>
          <w:rFonts w:ascii="Arial" w:hAnsi="Arial" w:cs="Arial" w:eastAsia="Arial" w:hint="default"/>
          <w:sz w:val="18"/>
          <w:szCs w:val="18"/>
        </w:rPr>
        <w:sectPr>
          <w:type w:val="continuous"/>
          <w:pgSz w:w="16840" w:h="11910" w:orient="landscape"/>
          <w:pgMar w:top="920" w:bottom="900" w:left="1140" w:right="800"/>
          <w:cols w:num="4" w:equalWidth="0">
            <w:col w:w="5240" w:space="40"/>
            <w:col w:w="4496" w:space="40"/>
            <w:col w:w="2292" w:space="40"/>
            <w:col w:w="2752"/>
          </w:cols>
        </w:sectPr>
      </w:pPr>
    </w:p>
    <w:p>
      <w:pPr>
        <w:spacing w:line="240" w:lineRule="auto" w:before="0"/>
        <w:rPr>
          <w:rFonts w:ascii="Arial" w:hAnsi="Arial" w:cs="Arial" w:eastAsia="Arial" w:hint="default"/>
          <w:sz w:val="20"/>
          <w:szCs w:val="20"/>
        </w:rPr>
      </w:pPr>
    </w:p>
    <w:p>
      <w:pPr>
        <w:spacing w:line="450" w:lineRule="atLeast" w:before="7"/>
        <w:ind w:left="951" w:right="13228" w:hanging="209"/>
        <w:jc w:val="left"/>
        <w:rPr>
          <w:rFonts w:ascii="Arial" w:hAnsi="Arial" w:cs="Arial" w:eastAsia="Arial" w:hint="default"/>
          <w:sz w:val="18"/>
          <w:szCs w:val="18"/>
        </w:rPr>
      </w:pPr>
      <w:r>
        <w:rPr/>
        <w:pict>
          <v:shape style="position:absolute;margin-left:146.380203pt;margin-top:-10.827229pt;width:649.4pt;height:70.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7"/>
                    <w:gridCol w:w="709"/>
                    <w:gridCol w:w="1066"/>
                    <w:gridCol w:w="918"/>
                    <w:gridCol w:w="1616"/>
                    <w:gridCol w:w="1148"/>
                    <w:gridCol w:w="127"/>
                    <w:gridCol w:w="724"/>
                    <w:gridCol w:w="127"/>
                    <w:gridCol w:w="722"/>
                    <w:gridCol w:w="136"/>
                    <w:gridCol w:w="1015"/>
                    <w:gridCol w:w="1875"/>
                    <w:gridCol w:w="1124"/>
                    <w:gridCol w:w="824"/>
                  </w:tblGrid>
                  <w:tr>
                    <w:trPr>
                      <w:trHeight w:val="906" w:hRule="exact"/>
                    </w:trPr>
                    <w:tc>
                      <w:tcPr>
                        <w:tcW w:w="857" w:type="dxa"/>
                        <w:tcBorders>
                          <w:top w:val="nil" w:sz="6" w:space="0" w:color="auto"/>
                          <w:left w:val="nil" w:sz="6" w:space="0" w:color="auto"/>
                          <w:bottom w:val="nil" w:sz="6" w:space="0" w:color="auto"/>
                          <w:right w:val="nil" w:sz="6" w:space="0" w:color="auto"/>
                        </w:tcBorders>
                      </w:tcPr>
                      <w:p>
                        <w:pPr>
                          <w:pStyle w:val="TableParagraph"/>
                          <w:spacing w:line="220" w:lineRule="exact"/>
                          <w:ind w:right="100"/>
                          <w:jc w:val="right"/>
                          <w:rPr>
                            <w:rFonts w:ascii="宋体" w:hAnsi="宋体" w:cs="宋体" w:eastAsia="宋体" w:hint="default"/>
                            <w:sz w:val="18"/>
                            <w:szCs w:val="18"/>
                          </w:rPr>
                        </w:pPr>
                        <w:r>
                          <w:rPr>
                            <w:rFonts w:ascii="宋体" w:hAnsi="宋体" w:cs="宋体" w:eastAsia="宋体" w:hint="default"/>
                            <w:sz w:val="18"/>
                            <w:szCs w:val="18"/>
                          </w:rPr>
                          <w:t>企业类型</w:t>
                        </w:r>
                      </w:p>
                    </w:tc>
                    <w:tc>
                      <w:tcPr>
                        <w:tcW w:w="709" w:type="dxa"/>
                        <w:tcBorders>
                          <w:top w:val="nil" w:sz="6" w:space="0" w:color="auto"/>
                          <w:left w:val="nil" w:sz="6" w:space="0" w:color="auto"/>
                          <w:bottom w:val="nil" w:sz="6" w:space="0" w:color="auto"/>
                          <w:right w:val="nil" w:sz="6" w:space="0" w:color="auto"/>
                        </w:tcBorders>
                      </w:tcPr>
                      <w:p>
                        <w:pPr>
                          <w:pStyle w:val="TableParagraph"/>
                          <w:spacing w:line="220" w:lineRule="exact"/>
                          <w:ind w:right="65"/>
                          <w:jc w:val="right"/>
                          <w:rPr>
                            <w:rFonts w:ascii="宋体" w:hAnsi="宋体" w:cs="宋体" w:eastAsia="宋体" w:hint="default"/>
                            <w:sz w:val="18"/>
                            <w:szCs w:val="18"/>
                          </w:rPr>
                        </w:pPr>
                        <w:r>
                          <w:rPr>
                            <w:rFonts w:ascii="宋体" w:hAnsi="宋体" w:cs="宋体" w:eastAsia="宋体" w:hint="default"/>
                            <w:sz w:val="18"/>
                            <w:szCs w:val="18"/>
                          </w:rPr>
                          <w:t>注册地</w:t>
                        </w:r>
                      </w:p>
                    </w:tc>
                    <w:tc>
                      <w:tcPr>
                        <w:tcW w:w="1066" w:type="dxa"/>
                        <w:tcBorders>
                          <w:top w:val="nil" w:sz="6" w:space="0" w:color="auto"/>
                          <w:left w:val="nil" w:sz="6" w:space="0" w:color="auto"/>
                          <w:bottom w:val="nil" w:sz="6" w:space="0" w:color="auto"/>
                          <w:right w:val="nil" w:sz="6" w:space="0" w:color="auto"/>
                        </w:tcBorders>
                      </w:tcPr>
                      <w:p>
                        <w:pPr>
                          <w:pStyle w:val="TableParagraph"/>
                          <w:spacing w:line="220" w:lineRule="exact"/>
                          <w:ind w:right="277"/>
                          <w:jc w:val="right"/>
                          <w:rPr>
                            <w:rFonts w:ascii="宋体" w:hAnsi="宋体" w:cs="宋体" w:eastAsia="宋体" w:hint="default"/>
                            <w:sz w:val="18"/>
                            <w:szCs w:val="18"/>
                          </w:rPr>
                        </w:pPr>
                        <w:r>
                          <w:rPr>
                            <w:rFonts w:ascii="宋体" w:hAnsi="宋体" w:cs="宋体" w:eastAsia="宋体" w:hint="default"/>
                            <w:sz w:val="18"/>
                            <w:szCs w:val="18"/>
                          </w:rPr>
                          <w:t>法人代表</w:t>
                        </w:r>
                      </w:p>
                    </w:tc>
                    <w:tc>
                      <w:tcPr>
                        <w:tcW w:w="918" w:type="dxa"/>
                        <w:tcBorders>
                          <w:top w:val="nil" w:sz="6" w:space="0" w:color="auto"/>
                          <w:left w:val="nil" w:sz="6" w:space="0" w:color="auto"/>
                          <w:bottom w:val="nil" w:sz="6" w:space="0" w:color="auto"/>
                          <w:right w:val="nil" w:sz="6" w:space="0" w:color="auto"/>
                        </w:tcBorders>
                      </w:tcPr>
                      <w:p>
                        <w:pPr>
                          <w:pStyle w:val="TableParagraph"/>
                          <w:spacing w:line="220" w:lineRule="exact"/>
                          <w:ind w:right="97"/>
                          <w:jc w:val="right"/>
                          <w:rPr>
                            <w:rFonts w:ascii="宋体" w:hAnsi="宋体" w:cs="宋体" w:eastAsia="宋体" w:hint="default"/>
                            <w:sz w:val="18"/>
                            <w:szCs w:val="18"/>
                          </w:rPr>
                        </w:pPr>
                        <w:r>
                          <w:rPr>
                            <w:rFonts w:ascii="宋体" w:hAnsi="宋体" w:cs="宋体" w:eastAsia="宋体" w:hint="default"/>
                            <w:sz w:val="18"/>
                            <w:szCs w:val="18"/>
                          </w:rPr>
                          <w:t>代码</w:t>
                        </w:r>
                      </w:p>
                    </w:tc>
                    <w:tc>
                      <w:tcPr>
                        <w:tcW w:w="1616" w:type="dxa"/>
                        <w:tcBorders>
                          <w:top w:val="nil" w:sz="6" w:space="0" w:color="auto"/>
                          <w:left w:val="nil" w:sz="6" w:space="0" w:color="auto"/>
                          <w:bottom w:val="nil" w:sz="6" w:space="0" w:color="auto"/>
                          <w:right w:val="nil" w:sz="6" w:space="0" w:color="auto"/>
                        </w:tcBorders>
                      </w:tcPr>
                      <w:p>
                        <w:pPr>
                          <w:pStyle w:val="TableParagraph"/>
                          <w:spacing w:line="220" w:lineRule="exact"/>
                          <w:ind w:right="55"/>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148" w:type="dxa"/>
                        <w:tcBorders>
                          <w:top w:val="nil" w:sz="6" w:space="0" w:color="auto"/>
                          <w:left w:val="nil" w:sz="6" w:space="0" w:color="auto"/>
                          <w:bottom w:val="nil" w:sz="6" w:space="0" w:color="auto"/>
                          <w:right w:val="nil" w:sz="6" w:space="0" w:color="auto"/>
                        </w:tcBorders>
                      </w:tcPr>
                      <w:p>
                        <w:pPr>
                          <w:pStyle w:val="TableParagraph"/>
                          <w:spacing w:line="220" w:lineRule="exact"/>
                          <w:ind w:right="2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27"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nil" w:sz="6" w:space="0" w:color="auto"/>
                          <w:right w:val="nil" w:sz="6" w:space="0" w:color="auto"/>
                        </w:tcBorders>
                      </w:tcPr>
                      <w:p>
                        <w:pPr>
                          <w:pStyle w:val="TableParagraph"/>
                          <w:spacing w:line="220" w:lineRule="exact"/>
                          <w:ind w:left="85" w:right="0" w:firstLine="25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5" w:right="0"/>
                          <w:jc w:val="left"/>
                          <w:rPr>
                            <w:rFonts w:ascii="Arial" w:hAnsi="Arial" w:cs="Arial" w:eastAsia="Arial" w:hint="default"/>
                            <w:sz w:val="18"/>
                            <w:szCs w:val="18"/>
                          </w:rPr>
                        </w:pPr>
                        <w:r>
                          <w:rPr>
                            <w:rFonts w:ascii="Arial"/>
                            <w:sz w:val="18"/>
                          </w:rPr>
                          <w:t>34.28%</w:t>
                        </w:r>
                      </w:p>
                    </w:tc>
                    <w:tc>
                      <w:tcPr>
                        <w:tcW w:w="127"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Style w:val="TableParagraph"/>
                          <w:spacing w:line="220" w:lineRule="exact"/>
                          <w:ind w:left="84" w:right="0" w:firstLine="25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4" w:right="0"/>
                          <w:jc w:val="left"/>
                          <w:rPr>
                            <w:rFonts w:ascii="Arial" w:hAnsi="Arial" w:cs="Arial" w:eastAsia="Arial" w:hint="default"/>
                            <w:sz w:val="18"/>
                            <w:szCs w:val="18"/>
                          </w:rPr>
                        </w:pPr>
                        <w:r>
                          <w:rPr>
                            <w:rFonts w:ascii="Arial"/>
                            <w:sz w:val="18"/>
                          </w:rPr>
                          <w:t>34.28%</w:t>
                        </w:r>
                      </w:p>
                    </w:tc>
                    <w:tc>
                      <w:tcPr>
                        <w:tcW w:w="136" w:type="dxa"/>
                        <w:tcBorders>
                          <w:top w:val="nil" w:sz="6" w:space="0" w:color="auto"/>
                          <w:left w:val="nil" w:sz="6" w:space="0" w:color="auto"/>
                          <w:bottom w:val="nil" w:sz="6" w:space="0" w:color="auto"/>
                          <w:right w:val="nil" w:sz="6" w:space="0" w:color="auto"/>
                        </w:tcBorders>
                      </w:tcPr>
                      <w:p>
                        <w:pPr/>
                      </w:p>
                    </w:tc>
                    <w:tc>
                      <w:tcPr>
                        <w:tcW w:w="1015" w:type="dxa"/>
                        <w:tcBorders>
                          <w:top w:val="single" w:sz="12" w:space="0" w:color="000000"/>
                          <w:left w:val="nil" w:sz="6" w:space="0" w:color="auto"/>
                          <w:bottom w:val="nil" w:sz="6" w:space="0" w:color="auto"/>
                          <w:right w:val="nil" w:sz="6" w:space="0" w:color="auto"/>
                        </w:tcBorders>
                      </w:tcPr>
                      <w:p>
                        <w:pPr>
                          <w:pStyle w:val="TableParagraph"/>
                          <w:spacing w:line="205" w:lineRule="exact"/>
                          <w:ind w:right="121"/>
                          <w:jc w:val="right"/>
                          <w:rPr>
                            <w:rFonts w:ascii="宋体" w:hAnsi="宋体" w:cs="宋体" w:eastAsia="宋体" w:hint="default"/>
                            <w:sz w:val="18"/>
                            <w:szCs w:val="18"/>
                          </w:rPr>
                        </w:pPr>
                        <w:r>
                          <w:rPr>
                            <w:rFonts w:ascii="宋体" w:hAnsi="宋体" w:cs="宋体" w:eastAsia="宋体" w:hint="default"/>
                            <w:sz w:val="18"/>
                            <w:szCs w:val="18"/>
                          </w:rPr>
                          <w:t>资产总额</w:t>
                        </w:r>
                      </w:p>
                    </w:tc>
                    <w:tc>
                      <w:tcPr>
                        <w:tcW w:w="1875" w:type="dxa"/>
                        <w:tcBorders>
                          <w:top w:val="single" w:sz="12" w:space="0" w:color="000000"/>
                          <w:left w:val="nil" w:sz="6" w:space="0" w:color="auto"/>
                          <w:bottom w:val="nil" w:sz="6" w:space="0" w:color="auto"/>
                          <w:right w:val="nil" w:sz="6" w:space="0" w:color="auto"/>
                        </w:tcBorders>
                      </w:tcPr>
                      <w:p>
                        <w:pPr>
                          <w:pStyle w:val="TableParagraph"/>
                          <w:tabs>
                            <w:tab w:pos="1060" w:val="left" w:leader="none"/>
                          </w:tabs>
                          <w:spacing w:line="205" w:lineRule="exact"/>
                          <w:ind w:right="26"/>
                          <w:jc w:val="center"/>
                          <w:rPr>
                            <w:rFonts w:ascii="宋体" w:hAnsi="宋体" w:cs="宋体" w:eastAsia="宋体" w:hint="default"/>
                            <w:sz w:val="18"/>
                            <w:szCs w:val="18"/>
                          </w:rPr>
                        </w:pPr>
                        <w:r>
                          <w:rPr>
                            <w:rFonts w:ascii="宋体" w:hAnsi="宋体" w:cs="宋体" w:eastAsia="宋体" w:hint="default"/>
                            <w:sz w:val="18"/>
                            <w:szCs w:val="18"/>
                          </w:rPr>
                          <w:t>负债总额</w:t>
                          <w:tab/>
                          <w:t>净资产</w:t>
                        </w:r>
                      </w:p>
                    </w:tc>
                    <w:tc>
                      <w:tcPr>
                        <w:tcW w:w="1124" w:type="dxa"/>
                        <w:tcBorders>
                          <w:top w:val="single" w:sz="12" w:space="0" w:color="000000"/>
                          <w:left w:val="nil" w:sz="6" w:space="0" w:color="auto"/>
                          <w:bottom w:val="nil" w:sz="6" w:space="0" w:color="auto"/>
                          <w:right w:val="nil" w:sz="6" w:space="0" w:color="auto"/>
                        </w:tcBorders>
                      </w:tcPr>
                      <w:p>
                        <w:pPr>
                          <w:pStyle w:val="TableParagraph"/>
                          <w:spacing w:line="205" w:lineRule="exact"/>
                          <w:ind w:right="250"/>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824" w:type="dxa"/>
                        <w:tcBorders>
                          <w:top w:val="single" w:sz="12" w:space="0" w:color="000000"/>
                          <w:left w:val="nil" w:sz="6" w:space="0" w:color="auto"/>
                          <w:bottom w:val="nil" w:sz="6" w:space="0" w:color="auto"/>
                          <w:right w:val="nil" w:sz="6" w:space="0" w:color="auto"/>
                        </w:tcBorders>
                      </w:tcPr>
                      <w:p>
                        <w:pPr>
                          <w:pStyle w:val="TableParagraph"/>
                          <w:spacing w:line="205" w:lineRule="exact"/>
                          <w:ind w:right="18"/>
                          <w:jc w:val="right"/>
                          <w:rPr>
                            <w:rFonts w:ascii="宋体" w:hAnsi="宋体" w:cs="宋体" w:eastAsia="宋体" w:hint="default"/>
                            <w:sz w:val="18"/>
                            <w:szCs w:val="18"/>
                          </w:rPr>
                        </w:pPr>
                        <w:r>
                          <w:rPr>
                            <w:rFonts w:ascii="宋体" w:hAnsi="宋体" w:cs="宋体" w:eastAsia="宋体" w:hint="default"/>
                            <w:sz w:val="18"/>
                            <w:szCs w:val="18"/>
                          </w:rPr>
                          <w:t>净利润</w:t>
                        </w:r>
                      </w:p>
                    </w:tc>
                  </w:tr>
                  <w:tr>
                    <w:trPr>
                      <w:trHeight w:val="227" w:hRule="exact"/>
                    </w:trPr>
                    <w:tc>
                      <w:tcPr>
                        <w:tcW w:w="857" w:type="dxa"/>
                        <w:tcBorders>
                          <w:top w:val="nil" w:sz="6" w:space="0" w:color="auto"/>
                          <w:left w:val="nil" w:sz="6" w:space="0" w:color="auto"/>
                          <w:bottom w:val="nil" w:sz="6" w:space="0" w:color="auto"/>
                          <w:right w:val="nil" w:sz="6" w:space="0" w:color="auto"/>
                        </w:tcBorders>
                      </w:tcPr>
                      <w:p>
                        <w:pPr>
                          <w:pStyle w:val="TableParagraph"/>
                          <w:spacing w:line="195" w:lineRule="exact"/>
                          <w:ind w:right="100"/>
                          <w:jc w:val="right"/>
                          <w:rPr>
                            <w:rFonts w:ascii="宋体" w:hAnsi="宋体" w:cs="宋体" w:eastAsia="宋体" w:hint="default"/>
                            <w:sz w:val="18"/>
                            <w:szCs w:val="18"/>
                          </w:rPr>
                        </w:pPr>
                        <w:r>
                          <w:rPr>
                            <w:rFonts w:ascii="宋体" w:hAnsi="宋体" w:cs="宋体" w:eastAsia="宋体" w:hint="default"/>
                            <w:sz w:val="18"/>
                            <w:szCs w:val="18"/>
                          </w:rPr>
                          <w:t>股份有限</w:t>
                        </w:r>
                      </w:p>
                    </w:tc>
                    <w:tc>
                      <w:tcPr>
                        <w:tcW w:w="709" w:type="dxa"/>
                        <w:tcBorders>
                          <w:top w:val="nil" w:sz="6" w:space="0" w:color="auto"/>
                          <w:left w:val="nil" w:sz="6" w:space="0" w:color="auto"/>
                          <w:bottom w:val="nil" w:sz="6" w:space="0" w:color="auto"/>
                          <w:right w:val="nil" w:sz="6" w:space="0" w:color="auto"/>
                        </w:tcBorders>
                      </w:tcPr>
                      <w:p>
                        <w:pPr>
                          <w:pStyle w:val="TableParagraph"/>
                          <w:spacing w:line="195" w:lineRule="exact"/>
                          <w:ind w:right="65"/>
                          <w:jc w:val="right"/>
                          <w:rPr>
                            <w:rFonts w:ascii="宋体" w:hAnsi="宋体" w:cs="宋体" w:eastAsia="宋体" w:hint="default"/>
                            <w:sz w:val="18"/>
                            <w:szCs w:val="18"/>
                          </w:rPr>
                        </w:pPr>
                        <w:r>
                          <w:rPr>
                            <w:rFonts w:ascii="宋体" w:hAnsi="宋体" w:cs="宋体" w:eastAsia="宋体" w:hint="default"/>
                            <w:sz w:val="18"/>
                            <w:szCs w:val="18"/>
                          </w:rPr>
                          <w:t>日本</w:t>
                        </w:r>
                      </w:p>
                    </w:tc>
                    <w:tc>
                      <w:tcPr>
                        <w:tcW w:w="1066"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195" w:lineRule="exact"/>
                          <w:ind w:right="26"/>
                          <w:jc w:val="right"/>
                          <w:rPr>
                            <w:rFonts w:ascii="宋体" w:hAnsi="宋体" w:cs="宋体" w:eastAsia="宋体" w:hint="default"/>
                            <w:sz w:val="18"/>
                            <w:szCs w:val="18"/>
                          </w:rPr>
                        </w:pPr>
                        <w:r>
                          <w:rPr>
                            <w:rFonts w:ascii="宋体" w:hAnsi="宋体" w:cs="宋体" w:eastAsia="宋体" w:hint="default"/>
                            <w:sz w:val="18"/>
                            <w:szCs w:val="18"/>
                          </w:rPr>
                          <w:t>日元</w:t>
                        </w:r>
                      </w:p>
                    </w:tc>
                    <w:tc>
                      <w:tcPr>
                        <w:tcW w:w="127"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nil" w:sz="6" w:space="0" w:color="auto"/>
                          <w:right w:val="nil" w:sz="6" w:space="0" w:color="auto"/>
                        </w:tcBorders>
                      </w:tcPr>
                      <w:p>
                        <w:pPr>
                          <w:pStyle w:val="TableParagraph"/>
                          <w:spacing w:line="209" w:lineRule="exact"/>
                          <w:ind w:right="25"/>
                          <w:jc w:val="righ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扣除库</w:t>
                        </w:r>
                      </w:p>
                    </w:tc>
                    <w:tc>
                      <w:tcPr>
                        <w:tcW w:w="127"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Style w:val="TableParagraph"/>
                          <w:spacing w:line="209" w:lineRule="exact"/>
                          <w:ind w:right="25"/>
                          <w:jc w:val="righ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扣除库</w:t>
                        </w:r>
                      </w:p>
                    </w:tc>
                    <w:tc>
                      <w:tcPr>
                        <w:tcW w:w="136"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1875"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
                    </w:tc>
                  </w:tr>
                  <w:tr>
                    <w:trPr>
                      <w:trHeight w:val="247" w:hRule="exact"/>
                    </w:trPr>
                    <w:tc>
                      <w:tcPr>
                        <w:tcW w:w="857" w:type="dxa"/>
                        <w:tcBorders>
                          <w:top w:val="nil" w:sz="6" w:space="0" w:color="auto"/>
                          <w:left w:val="nil" w:sz="6" w:space="0" w:color="auto"/>
                          <w:bottom w:val="nil" w:sz="6" w:space="0" w:color="auto"/>
                          <w:right w:val="nil" w:sz="6" w:space="0" w:color="auto"/>
                        </w:tcBorders>
                      </w:tcPr>
                      <w:p>
                        <w:pPr>
                          <w:pStyle w:val="TableParagraph"/>
                          <w:spacing w:line="202" w:lineRule="exact"/>
                          <w:ind w:right="100"/>
                          <w:jc w:val="right"/>
                          <w:rPr>
                            <w:rFonts w:ascii="宋体" w:hAnsi="宋体" w:cs="宋体" w:eastAsia="宋体" w:hint="default"/>
                            <w:sz w:val="18"/>
                            <w:szCs w:val="18"/>
                          </w:rPr>
                        </w:pPr>
                        <w:r>
                          <w:rPr>
                            <w:rFonts w:ascii="宋体" w:hAnsi="宋体" w:cs="宋体" w:eastAsia="宋体" w:hint="default"/>
                            <w:sz w:val="18"/>
                            <w:szCs w:val="18"/>
                          </w:rPr>
                          <w:t>公司</w:t>
                        </w:r>
                      </w:p>
                    </w:tc>
                    <w:tc>
                      <w:tcPr>
                        <w:tcW w:w="709" w:type="dxa"/>
                        <w:tcBorders>
                          <w:top w:val="nil" w:sz="6" w:space="0" w:color="auto"/>
                          <w:left w:val="nil" w:sz="6" w:space="0" w:color="auto"/>
                          <w:bottom w:val="nil" w:sz="6" w:space="0" w:color="auto"/>
                          <w:right w:val="nil" w:sz="6" w:space="0" w:color="auto"/>
                        </w:tcBorders>
                      </w:tcPr>
                      <w:p>
                        <w:pPr>
                          <w:pStyle w:val="TableParagraph"/>
                          <w:spacing w:line="202" w:lineRule="exact"/>
                          <w:ind w:right="65"/>
                          <w:jc w:val="right"/>
                          <w:rPr>
                            <w:rFonts w:ascii="宋体" w:hAnsi="宋体" w:cs="宋体" w:eastAsia="宋体" w:hint="default"/>
                            <w:sz w:val="18"/>
                            <w:szCs w:val="18"/>
                          </w:rPr>
                        </w:pPr>
                        <w:r>
                          <w:rPr>
                            <w:rFonts w:ascii="宋体" w:hAnsi="宋体" w:cs="宋体" w:eastAsia="宋体" w:hint="default"/>
                            <w:sz w:val="18"/>
                            <w:szCs w:val="18"/>
                          </w:rPr>
                          <w:t>东京都</w:t>
                        </w:r>
                      </w:p>
                    </w:tc>
                    <w:tc>
                      <w:tcPr>
                        <w:tcW w:w="1066" w:type="dxa"/>
                        <w:tcBorders>
                          <w:top w:val="nil" w:sz="6" w:space="0" w:color="auto"/>
                          <w:left w:val="nil" w:sz="6" w:space="0" w:color="auto"/>
                          <w:bottom w:val="nil" w:sz="6" w:space="0" w:color="auto"/>
                          <w:right w:val="nil" w:sz="6" w:space="0" w:color="auto"/>
                        </w:tcBorders>
                      </w:tcPr>
                      <w:p>
                        <w:pPr>
                          <w:pStyle w:val="TableParagraph"/>
                          <w:spacing w:line="202" w:lineRule="exact"/>
                          <w:ind w:right="278"/>
                          <w:jc w:val="right"/>
                          <w:rPr>
                            <w:rFonts w:ascii="宋体" w:hAnsi="宋体" w:cs="宋体" w:eastAsia="宋体" w:hint="default"/>
                            <w:sz w:val="18"/>
                            <w:szCs w:val="18"/>
                          </w:rPr>
                        </w:pPr>
                        <w:r>
                          <w:rPr>
                            <w:rFonts w:ascii="宋体" w:hAnsi="宋体" w:cs="宋体" w:eastAsia="宋体" w:hint="default"/>
                            <w:sz w:val="18"/>
                            <w:szCs w:val="18"/>
                          </w:rPr>
                          <w:t>罗怡文</w:t>
                        </w:r>
                      </w:p>
                    </w:tc>
                    <w:tc>
                      <w:tcPr>
                        <w:tcW w:w="918" w:type="dxa"/>
                        <w:tcBorders>
                          <w:top w:val="nil" w:sz="6" w:space="0" w:color="auto"/>
                          <w:left w:val="nil" w:sz="6" w:space="0" w:color="auto"/>
                          <w:bottom w:val="nil" w:sz="6" w:space="0" w:color="auto"/>
                          <w:right w:val="nil" w:sz="6" w:space="0" w:color="auto"/>
                        </w:tcBorders>
                      </w:tcPr>
                      <w:p>
                        <w:pPr>
                          <w:pStyle w:val="TableParagraph"/>
                          <w:spacing w:line="202" w:lineRule="exact"/>
                          <w:ind w:right="98"/>
                          <w:jc w:val="right"/>
                          <w:rPr>
                            <w:rFonts w:ascii="宋体" w:hAnsi="宋体" w:cs="宋体" w:eastAsia="宋体" w:hint="default"/>
                            <w:sz w:val="18"/>
                            <w:szCs w:val="18"/>
                          </w:rPr>
                        </w:pPr>
                        <w:r>
                          <w:rPr>
                            <w:rFonts w:ascii="宋体" w:hAnsi="宋体" w:cs="宋体" w:eastAsia="宋体" w:hint="default"/>
                            <w:sz w:val="18"/>
                            <w:szCs w:val="18"/>
                          </w:rPr>
                          <w:t>不适用</w:t>
                        </w:r>
                      </w:p>
                    </w:tc>
                    <w:tc>
                      <w:tcPr>
                        <w:tcW w:w="1616" w:type="dxa"/>
                        <w:tcBorders>
                          <w:top w:val="nil" w:sz="6" w:space="0" w:color="auto"/>
                          <w:left w:val="nil" w:sz="6" w:space="0" w:color="auto"/>
                          <w:bottom w:val="nil" w:sz="6" w:space="0" w:color="auto"/>
                          <w:right w:val="nil" w:sz="6" w:space="0" w:color="auto"/>
                        </w:tcBorders>
                      </w:tcPr>
                      <w:p>
                        <w:pPr>
                          <w:pStyle w:val="TableParagraph"/>
                          <w:spacing w:line="202" w:lineRule="exact"/>
                          <w:ind w:left="22" w:right="0"/>
                          <w:jc w:val="center"/>
                          <w:rPr>
                            <w:rFonts w:ascii="宋体" w:hAnsi="宋体" w:cs="宋体" w:eastAsia="宋体" w:hint="default"/>
                            <w:sz w:val="18"/>
                            <w:szCs w:val="18"/>
                          </w:rPr>
                        </w:pPr>
                        <w:r>
                          <w:rPr>
                            <w:rFonts w:ascii="宋体" w:hAnsi="宋体" w:cs="宋体" w:eastAsia="宋体" w:hint="default"/>
                            <w:sz w:val="18"/>
                            <w:szCs w:val="18"/>
                          </w:rPr>
                          <w:t>电器和电子消费品</w:t>
                        </w:r>
                      </w:p>
                    </w:tc>
                    <w:tc>
                      <w:tcPr>
                        <w:tcW w:w="1148" w:type="dxa"/>
                        <w:tcBorders>
                          <w:top w:val="nil" w:sz="6" w:space="0" w:color="auto"/>
                          <w:left w:val="nil" w:sz="6" w:space="0" w:color="auto"/>
                          <w:bottom w:val="single" w:sz="12" w:space="0" w:color="000000"/>
                          <w:right w:val="nil" w:sz="6" w:space="0" w:color="auto"/>
                        </w:tcBorders>
                      </w:tcPr>
                      <w:p>
                        <w:pPr>
                          <w:pStyle w:val="TableParagraph"/>
                          <w:spacing w:line="215" w:lineRule="exact"/>
                          <w:ind w:right="26"/>
                          <w:jc w:val="right"/>
                          <w:rPr>
                            <w:rFonts w:ascii="宋体" w:hAnsi="宋体" w:cs="宋体" w:eastAsia="宋体" w:hint="default"/>
                            <w:sz w:val="18"/>
                            <w:szCs w:val="18"/>
                          </w:rPr>
                        </w:pPr>
                        <w:r>
                          <w:rPr>
                            <w:rFonts w:ascii="Arial" w:hAnsi="Arial" w:cs="Arial" w:eastAsia="Arial" w:hint="default"/>
                            <w:sz w:val="18"/>
                            <w:szCs w:val="18"/>
                          </w:rPr>
                          <w:t>34.5</w:t>
                        </w:r>
                        <w:r>
                          <w:rPr>
                            <w:rFonts w:ascii="Arial" w:hAnsi="Arial" w:cs="Arial" w:eastAsia="Arial" w:hint="default"/>
                            <w:spacing w:val="-11"/>
                            <w:sz w:val="18"/>
                            <w:szCs w:val="18"/>
                          </w:rPr>
                          <w:t> </w:t>
                        </w:r>
                        <w:r>
                          <w:rPr>
                            <w:rFonts w:ascii="宋体" w:hAnsi="宋体" w:cs="宋体" w:eastAsia="宋体" w:hint="default"/>
                            <w:sz w:val="18"/>
                            <w:szCs w:val="18"/>
                          </w:rPr>
                          <w:t>亿元</w:t>
                        </w:r>
                      </w:p>
                    </w:tc>
                    <w:tc>
                      <w:tcPr>
                        <w:tcW w:w="127"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single" w:sz="12" w:space="0" w:color="000000"/>
                          <w:right w:val="nil" w:sz="6" w:space="0" w:color="auto"/>
                        </w:tcBorders>
                      </w:tcPr>
                      <w:p>
                        <w:pPr>
                          <w:pStyle w:val="TableParagraph"/>
                          <w:spacing w:line="216" w:lineRule="exact"/>
                          <w:ind w:right="25"/>
                          <w:jc w:val="right"/>
                          <w:rPr>
                            <w:rFonts w:ascii="Arial" w:hAnsi="Arial" w:cs="Arial" w:eastAsia="Arial" w:hint="default"/>
                            <w:sz w:val="18"/>
                            <w:szCs w:val="18"/>
                          </w:rPr>
                        </w:pPr>
                        <w:r>
                          <w:rPr>
                            <w:rFonts w:ascii="宋体" w:hAnsi="宋体" w:cs="宋体" w:eastAsia="宋体" w:hint="default"/>
                            <w:sz w:val="18"/>
                            <w:szCs w:val="18"/>
                          </w:rPr>
                          <w:t>存股</w:t>
                        </w:r>
                        <w:r>
                          <w:rPr>
                            <w:rFonts w:ascii="Arial" w:hAnsi="Arial" w:cs="Arial" w:eastAsia="Arial" w:hint="default"/>
                            <w:sz w:val="18"/>
                            <w:szCs w:val="18"/>
                          </w:rPr>
                          <w:t>)</w:t>
                        </w:r>
                      </w:p>
                    </w:tc>
                    <w:tc>
                      <w:tcPr>
                        <w:tcW w:w="127"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single" w:sz="12" w:space="0" w:color="000000"/>
                          <w:right w:val="nil" w:sz="6" w:space="0" w:color="auto"/>
                        </w:tcBorders>
                      </w:tcPr>
                      <w:p>
                        <w:pPr>
                          <w:pStyle w:val="TableParagraph"/>
                          <w:spacing w:line="216" w:lineRule="exact"/>
                          <w:ind w:right="25"/>
                          <w:jc w:val="right"/>
                          <w:rPr>
                            <w:rFonts w:ascii="Arial" w:hAnsi="Arial" w:cs="Arial" w:eastAsia="Arial" w:hint="default"/>
                            <w:sz w:val="18"/>
                            <w:szCs w:val="18"/>
                          </w:rPr>
                        </w:pPr>
                        <w:r>
                          <w:rPr>
                            <w:rFonts w:ascii="宋体" w:hAnsi="宋体" w:cs="宋体" w:eastAsia="宋体" w:hint="default"/>
                            <w:sz w:val="18"/>
                            <w:szCs w:val="18"/>
                          </w:rPr>
                          <w:t>存股</w:t>
                        </w:r>
                        <w:r>
                          <w:rPr>
                            <w:rFonts w:ascii="Arial" w:hAnsi="Arial" w:cs="Arial" w:eastAsia="Arial" w:hint="default"/>
                            <w:sz w:val="18"/>
                            <w:szCs w:val="18"/>
                          </w:rPr>
                          <w:t>)</w:t>
                        </w:r>
                      </w:p>
                    </w:tc>
                    <w:tc>
                      <w:tcPr>
                        <w:tcW w:w="136"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120"/>
                          <w:jc w:val="right"/>
                          <w:rPr>
                            <w:rFonts w:ascii="Arial" w:hAnsi="Arial" w:cs="Arial" w:eastAsia="Arial" w:hint="default"/>
                            <w:sz w:val="18"/>
                            <w:szCs w:val="18"/>
                          </w:rPr>
                        </w:pPr>
                        <w:r>
                          <w:rPr>
                            <w:rFonts w:ascii="Arial"/>
                            <w:spacing w:val="-1"/>
                            <w:sz w:val="18"/>
                          </w:rPr>
                          <w:t>761,073</w:t>
                        </w:r>
                      </w:p>
                    </w:tc>
                    <w:tc>
                      <w:tcPr>
                        <w:tcW w:w="1875" w:type="dxa"/>
                        <w:tcBorders>
                          <w:top w:val="nil" w:sz="6" w:space="0" w:color="auto"/>
                          <w:left w:val="nil" w:sz="6" w:space="0" w:color="auto"/>
                          <w:bottom w:val="single" w:sz="12" w:space="0" w:color="000000"/>
                          <w:right w:val="nil" w:sz="6" w:space="0" w:color="auto"/>
                        </w:tcBorders>
                      </w:tcPr>
                      <w:p>
                        <w:pPr>
                          <w:pStyle w:val="TableParagraph"/>
                          <w:tabs>
                            <w:tab w:pos="922" w:val="left" w:leader="none"/>
                          </w:tabs>
                          <w:spacing w:line="240" w:lineRule="auto" w:before="22"/>
                          <w:ind w:left="41" w:right="0"/>
                          <w:jc w:val="center"/>
                          <w:rPr>
                            <w:rFonts w:ascii="Arial" w:hAnsi="Arial" w:cs="Arial" w:eastAsia="Arial" w:hint="default"/>
                            <w:sz w:val="18"/>
                            <w:szCs w:val="18"/>
                          </w:rPr>
                        </w:pPr>
                        <w:r>
                          <w:rPr>
                            <w:rFonts w:ascii="Arial"/>
                            <w:spacing w:val="-1"/>
                            <w:sz w:val="18"/>
                          </w:rPr>
                          <w:t>265,666</w:t>
                          <w:tab/>
                          <w:t>495,407</w:t>
                        </w:r>
                      </w:p>
                    </w:tc>
                    <w:tc>
                      <w:tcPr>
                        <w:tcW w:w="1124"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251"/>
                          <w:jc w:val="right"/>
                          <w:rPr>
                            <w:rFonts w:ascii="Arial" w:hAnsi="Arial" w:cs="Arial" w:eastAsia="Arial" w:hint="default"/>
                            <w:sz w:val="18"/>
                            <w:szCs w:val="18"/>
                          </w:rPr>
                        </w:pPr>
                        <w:r>
                          <w:rPr>
                            <w:rFonts w:ascii="Arial"/>
                            <w:spacing w:val="-1"/>
                            <w:sz w:val="18"/>
                          </w:rPr>
                          <w:t>881,432</w:t>
                        </w:r>
                        <w:r>
                          <w:rPr>
                            <w:rFonts w:ascii="Arial"/>
                            <w:sz w:val="18"/>
                          </w:rPr>
                        </w:r>
                      </w:p>
                    </w:tc>
                    <w:tc>
                      <w:tcPr>
                        <w:tcW w:w="824"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18"/>
                          <w:jc w:val="right"/>
                          <w:rPr>
                            <w:rFonts w:ascii="Arial" w:hAnsi="Arial" w:cs="Arial" w:eastAsia="Arial" w:hint="default"/>
                            <w:sz w:val="18"/>
                            <w:szCs w:val="18"/>
                          </w:rPr>
                        </w:pPr>
                        <w:r>
                          <w:rPr>
                            <w:rFonts w:ascii="Arial"/>
                            <w:spacing w:val="-1"/>
                            <w:sz w:val="18"/>
                          </w:rPr>
                          <w:t>12,340</w:t>
                        </w:r>
                      </w:p>
                    </w:tc>
                  </w:tr>
                </w:tbl>
                <w:p>
                  <w:pPr/>
                </w:p>
              </w:txbxContent>
            </v:textbox>
            <w10:wrap type="none"/>
          </v:shape>
        </w:pict>
      </w:r>
      <w:r>
        <w:rPr>
          <w:rFonts w:ascii="宋体" w:hAnsi="宋体" w:cs="宋体" w:eastAsia="宋体" w:hint="default"/>
          <w:sz w:val="18"/>
          <w:szCs w:val="18"/>
        </w:rPr>
        <w:t>联营企业</w:t>
      </w:r>
      <w:r>
        <w:rPr>
          <w:rFonts w:ascii="宋体" w:hAnsi="宋体" w:cs="宋体" w:eastAsia="宋体" w:hint="default"/>
          <w:spacing w:val="-1"/>
          <w:sz w:val="18"/>
          <w:szCs w:val="18"/>
        </w:rPr>
        <w:t> </w:t>
      </w:r>
      <w:r>
        <w:rPr>
          <w:rFonts w:ascii="Arial" w:hAnsi="Arial" w:cs="Arial" w:eastAsia="Arial" w:hint="default"/>
          <w:sz w:val="18"/>
          <w:szCs w:val="18"/>
        </w:rPr>
        <w:t>–</w:t>
      </w:r>
      <w:r>
        <w:rPr>
          <w:rFonts w:ascii="Arial" w:hAnsi="Arial" w:cs="Arial" w:eastAsia="Arial" w:hint="default"/>
          <w:w w:val="99"/>
          <w:sz w:val="18"/>
          <w:szCs w:val="18"/>
        </w:rPr>
        <w:t> </w:t>
      </w:r>
      <w:r>
        <w:rPr>
          <w:rFonts w:ascii="Arial" w:hAnsi="Arial" w:cs="Arial" w:eastAsia="Arial" w:hint="default"/>
          <w:sz w:val="18"/>
          <w:szCs w:val="18"/>
        </w:rPr>
        <w:t>LAOX</w:t>
      </w:r>
    </w:p>
    <w:p>
      <w:pPr>
        <w:spacing w:line="208" w:lineRule="exact" w:before="0"/>
        <w:ind w:left="940" w:right="0" w:firstLine="0"/>
        <w:jc w:val="left"/>
        <w:rPr>
          <w:rFonts w:ascii="宋体" w:hAnsi="宋体" w:cs="宋体" w:eastAsia="宋体" w:hint="default"/>
          <w:sz w:val="18"/>
          <w:szCs w:val="18"/>
        </w:rPr>
      </w:pPr>
      <w:r>
        <w:rPr>
          <w:rFonts w:ascii="宋体" w:hAnsi="宋体" w:cs="宋体" w:eastAsia="宋体" w:hint="default"/>
          <w:sz w:val="18"/>
          <w:szCs w:val="18"/>
        </w:rPr>
        <w:t>株式会社</w:t>
      </w:r>
    </w:p>
    <w:p>
      <w:pPr>
        <w:spacing w:after="0" w:line="208" w:lineRule="exact"/>
        <w:jc w:val="left"/>
        <w:rPr>
          <w:rFonts w:ascii="宋体" w:hAnsi="宋体" w:cs="宋体" w:eastAsia="宋体" w:hint="default"/>
          <w:sz w:val="18"/>
          <w:szCs w:val="18"/>
        </w:rPr>
        <w:sectPr>
          <w:type w:val="continuous"/>
          <w:pgSz w:w="16840" w:h="11910" w:orient="landscape"/>
          <w:pgMar w:top="920" w:bottom="900" w:left="1140" w:right="800"/>
        </w:sectPr>
      </w:pPr>
    </w:p>
    <w:p>
      <w:pPr>
        <w:spacing w:line="240" w:lineRule="auto" w:before="6"/>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609"/>
        <w:gridCol w:w="4173"/>
        <w:gridCol w:w="1438"/>
        <w:gridCol w:w="1396"/>
        <w:gridCol w:w="1435"/>
        <w:gridCol w:w="1380"/>
      </w:tblGrid>
      <w:tr>
        <w:trPr>
          <w:trHeight w:val="1101" w:hRule="exact"/>
        </w:trPr>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5" w:right="0"/>
              <w:jc w:val="left"/>
              <w:rPr>
                <w:rFonts w:ascii="Arial" w:hAnsi="Arial" w:cs="Arial" w:eastAsia="Arial" w:hint="default"/>
                <w:sz w:val="24"/>
                <w:szCs w:val="24"/>
              </w:rPr>
            </w:pPr>
            <w:r>
              <w:rPr>
                <w:rFonts w:ascii="Arial"/>
                <w:sz w:val="24"/>
              </w:rPr>
              <w:t>(12)</w:t>
            </w:r>
          </w:p>
        </w:tc>
        <w:tc>
          <w:tcPr>
            <w:tcW w:w="417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7"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24"/>
                <w:szCs w:val="24"/>
              </w:rPr>
            </w:pPr>
            <w:r>
              <w:rPr>
                <w:rFonts w:ascii="宋体" w:hAnsi="宋体" w:cs="宋体" w:eastAsia="宋体" w:hint="default"/>
                <w:b/>
                <w:bCs/>
                <w:sz w:val="24"/>
                <w:szCs w:val="24"/>
              </w:rPr>
              <w:t>投资性房地产</w:t>
            </w:r>
            <w:r>
              <w:rPr>
                <w:rFonts w:ascii="宋体" w:hAnsi="宋体" w:cs="宋体" w:eastAsia="宋体" w:hint="default"/>
                <w:sz w:val="24"/>
                <w:szCs w:val="24"/>
              </w:rPr>
            </w:r>
          </w:p>
        </w:tc>
        <w:tc>
          <w:tcPr>
            <w:tcW w:w="5649" w:type="dxa"/>
            <w:gridSpan w:val="4"/>
            <w:tcBorders>
              <w:top w:val="nil" w:sz="6" w:space="0" w:color="auto"/>
              <w:left w:val="nil" w:sz="6" w:space="0" w:color="auto"/>
              <w:bottom w:val="nil" w:sz="6" w:space="0" w:color="auto"/>
              <w:right w:val="nil" w:sz="6" w:space="0" w:color="auto"/>
            </w:tcBorders>
          </w:tcPr>
          <w:p>
            <w:pPr/>
          </w:p>
        </w:tc>
      </w:tr>
      <w:tr>
        <w:trPr>
          <w:trHeight w:val="845" w:hRule="exact"/>
        </w:trPr>
        <w:tc>
          <w:tcPr>
            <w:tcW w:w="609" w:type="dxa"/>
            <w:tcBorders>
              <w:top w:val="nil" w:sz="6" w:space="0" w:color="auto"/>
              <w:left w:val="nil" w:sz="6" w:space="0" w:color="auto"/>
              <w:bottom w:val="nil" w:sz="6" w:space="0" w:color="auto"/>
              <w:right w:val="nil" w:sz="6" w:space="0" w:color="auto"/>
            </w:tcBorders>
          </w:tcPr>
          <w:p>
            <w:pPr/>
          </w:p>
        </w:tc>
        <w:tc>
          <w:tcPr>
            <w:tcW w:w="4173" w:type="dxa"/>
            <w:tcBorders>
              <w:top w:val="nil" w:sz="6" w:space="0" w:color="auto"/>
              <w:left w:val="nil" w:sz="6" w:space="0" w:color="auto"/>
              <w:bottom w:val="nil" w:sz="6" w:space="0" w:color="auto"/>
              <w:right w:val="nil" w:sz="6" w:space="0" w:color="auto"/>
            </w:tcBorders>
          </w:tcPr>
          <w:p>
            <w:pPr>
              <w:pStyle w:val="TableParagraph"/>
              <w:spacing w:line="295" w:lineRule="exact" w:before="105"/>
              <w:ind w:right="267"/>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95" w:lineRule="exact"/>
              <w:ind w:right="267"/>
              <w:jc w:val="righ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69" w:right="0"/>
              <w:jc w:val="left"/>
              <w:rPr>
                <w:rFonts w:ascii="宋体" w:hAnsi="宋体" w:cs="宋体" w:eastAsia="宋体" w:hint="default"/>
                <w:sz w:val="22"/>
                <w:szCs w:val="22"/>
              </w:rPr>
            </w:pPr>
            <w:r>
              <w:rPr>
                <w:rFonts w:ascii="宋体" w:hAnsi="宋体" w:cs="宋体" w:eastAsia="宋体" w:hint="default"/>
                <w:sz w:val="22"/>
                <w:szCs w:val="22"/>
              </w:rPr>
              <w:t>本年转入</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267"/>
              <w:jc w:val="right"/>
              <w:rPr>
                <w:rFonts w:ascii="宋体" w:hAnsi="宋体" w:cs="宋体" w:eastAsia="宋体" w:hint="default"/>
                <w:sz w:val="22"/>
                <w:szCs w:val="22"/>
              </w:rPr>
            </w:pPr>
            <w:r>
              <w:rPr>
                <w:rFonts w:ascii="宋体" w:hAnsi="宋体" w:cs="宋体" w:eastAsia="宋体" w:hint="default"/>
                <w:w w:val="95"/>
                <w:sz w:val="22"/>
                <w:szCs w:val="22"/>
              </w:rPr>
              <w:t>本年计提</w:t>
            </w:r>
            <w:r>
              <w:rPr>
                <w:rFonts w:ascii="宋体" w:hAnsi="宋体" w:cs="宋体" w:eastAsia="宋体" w:hint="default"/>
                <w:sz w:val="22"/>
                <w:szCs w:val="22"/>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69" w:right="0"/>
              <w:jc w:val="left"/>
              <w:rPr>
                <w:rFonts w:ascii="宋体" w:hAnsi="宋体" w:cs="宋体" w:eastAsia="宋体" w:hint="default"/>
                <w:sz w:val="22"/>
                <w:szCs w:val="22"/>
              </w:rPr>
            </w:pPr>
            <w:r>
              <w:rPr>
                <w:rFonts w:ascii="宋体" w:hAnsi="宋体" w:cs="宋体" w:eastAsia="宋体" w:hint="default"/>
                <w:sz w:val="22"/>
                <w:szCs w:val="22"/>
              </w:rPr>
              <w:t>本期转出</w:t>
            </w:r>
          </w:p>
        </w:tc>
        <w:tc>
          <w:tcPr>
            <w:tcW w:w="1380" w:type="dxa"/>
            <w:tcBorders>
              <w:top w:val="nil" w:sz="6" w:space="0" w:color="auto"/>
              <w:left w:val="nil" w:sz="6" w:space="0" w:color="auto"/>
              <w:bottom w:val="nil" w:sz="6" w:space="0" w:color="auto"/>
              <w:right w:val="nil" w:sz="6" w:space="0" w:color="auto"/>
            </w:tcBorders>
          </w:tcPr>
          <w:p>
            <w:pPr>
              <w:pStyle w:val="TableParagraph"/>
              <w:spacing w:line="295" w:lineRule="exact" w:before="105"/>
              <w:ind w:left="399" w:right="0"/>
              <w:jc w:val="center"/>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95" w:lineRule="exact"/>
              <w:ind w:left="286" w:right="-2"/>
              <w:jc w:val="center"/>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411" w:hRule="exact"/>
        </w:trPr>
        <w:tc>
          <w:tcPr>
            <w:tcW w:w="609" w:type="dxa"/>
            <w:tcBorders>
              <w:top w:val="nil" w:sz="6" w:space="0" w:color="auto"/>
              <w:left w:val="nil" w:sz="6" w:space="0" w:color="auto"/>
              <w:bottom w:val="nil" w:sz="6" w:space="0" w:color="auto"/>
              <w:right w:val="nil" w:sz="6" w:space="0" w:color="auto"/>
            </w:tcBorders>
          </w:tcPr>
          <w:p>
            <w:pPr/>
          </w:p>
        </w:tc>
        <w:tc>
          <w:tcPr>
            <w:tcW w:w="4173" w:type="dxa"/>
            <w:tcBorders>
              <w:top w:val="nil" w:sz="6" w:space="0" w:color="auto"/>
              <w:left w:val="nil" w:sz="6" w:space="0" w:color="auto"/>
              <w:bottom w:val="single" w:sz="4" w:space="0" w:color="000000"/>
              <w:right w:val="nil" w:sz="6" w:space="0" w:color="auto"/>
            </w:tcBorders>
          </w:tcPr>
          <w:p>
            <w:pPr>
              <w:pStyle w:val="TableParagraph"/>
              <w:tabs>
                <w:tab w:pos="2962" w:val="left" w:leader="none"/>
              </w:tabs>
              <w:spacing w:line="240" w:lineRule="auto" w:before="90"/>
              <w:ind w:right="304"/>
              <w:jc w:val="right"/>
              <w:rPr>
                <w:rFonts w:ascii="Arial" w:hAnsi="Arial" w:cs="Arial" w:eastAsia="Arial" w:hint="default"/>
                <w:sz w:val="22"/>
                <w:szCs w:val="22"/>
              </w:rPr>
            </w:pPr>
            <w:r>
              <w:rPr>
                <w:rFonts w:ascii="宋体" w:hAnsi="宋体" w:cs="宋体" w:eastAsia="宋体" w:hint="default"/>
                <w:w w:val="95"/>
                <w:position w:val="1"/>
                <w:sz w:val="22"/>
                <w:szCs w:val="22"/>
              </w:rPr>
              <w:t>原价合计</w:t>
              <w:tab/>
            </w:r>
            <w:r>
              <w:rPr>
                <w:rFonts w:ascii="Arial" w:hAnsi="Arial" w:cs="Arial" w:eastAsia="Arial" w:hint="default"/>
                <w:w w:val="95"/>
                <w:sz w:val="22"/>
                <w:szCs w:val="22"/>
              </w:rPr>
              <w:t>363,735</w:t>
            </w:r>
            <w:r>
              <w:rPr>
                <w:rFonts w:ascii="Arial" w:hAnsi="Arial" w:cs="Arial" w:eastAsia="Arial" w:hint="default"/>
                <w:sz w:val="22"/>
                <w:szCs w:val="22"/>
              </w:rPr>
            </w:r>
          </w:p>
        </w:tc>
        <w:tc>
          <w:tcPr>
            <w:tcW w:w="1438" w:type="dxa"/>
            <w:tcBorders>
              <w:top w:val="nil" w:sz="6" w:space="0" w:color="auto"/>
              <w:left w:val="nil" w:sz="6" w:space="0" w:color="auto"/>
              <w:bottom w:val="single" w:sz="4" w:space="0" w:color="000000"/>
              <w:right w:val="nil" w:sz="6" w:space="0" w:color="auto"/>
            </w:tcBorders>
          </w:tcPr>
          <w:p>
            <w:pPr>
              <w:pStyle w:val="TableParagraph"/>
              <w:spacing w:line="240" w:lineRule="auto" w:before="151"/>
              <w:ind w:left="316" w:right="0"/>
              <w:jc w:val="left"/>
              <w:rPr>
                <w:rFonts w:ascii="Arial" w:hAnsi="Arial" w:cs="Arial" w:eastAsia="Arial" w:hint="default"/>
                <w:sz w:val="22"/>
                <w:szCs w:val="22"/>
              </w:rPr>
            </w:pPr>
            <w:r>
              <w:rPr>
                <w:rFonts w:ascii="Arial"/>
                <w:sz w:val="22"/>
              </w:rPr>
              <w:t>159,170</w:t>
            </w:r>
          </w:p>
        </w:tc>
        <w:tc>
          <w:tcPr>
            <w:tcW w:w="1396" w:type="dxa"/>
            <w:tcBorders>
              <w:top w:val="nil" w:sz="6" w:space="0" w:color="auto"/>
              <w:left w:val="nil" w:sz="6" w:space="0" w:color="auto"/>
              <w:bottom w:val="single" w:sz="4" w:space="0" w:color="000000"/>
              <w:right w:val="nil" w:sz="6" w:space="0" w:color="auto"/>
            </w:tcBorders>
          </w:tcPr>
          <w:p>
            <w:pPr>
              <w:pStyle w:val="TableParagraph"/>
              <w:spacing w:line="240" w:lineRule="auto" w:before="151"/>
              <w:ind w:right="300"/>
              <w:jc w:val="right"/>
              <w:rPr>
                <w:rFonts w:ascii="Arial" w:hAnsi="Arial" w:cs="Arial" w:eastAsia="Arial" w:hint="default"/>
                <w:sz w:val="22"/>
                <w:szCs w:val="22"/>
              </w:rPr>
            </w:pPr>
            <w:r>
              <w:rPr>
                <w:rFonts w:ascii="Arial"/>
                <w:w w:val="99"/>
                <w:sz w:val="22"/>
              </w:rPr>
              <w:t>-</w:t>
            </w:r>
            <w:r>
              <w:rPr>
                <w:rFonts w:ascii="Arial"/>
                <w:sz w:val="22"/>
              </w:rPr>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151"/>
              <w:ind w:left="284" w:right="0"/>
              <w:jc w:val="left"/>
              <w:rPr>
                <w:rFonts w:ascii="Arial" w:hAnsi="Arial" w:cs="Arial" w:eastAsia="Arial" w:hint="default"/>
                <w:sz w:val="22"/>
                <w:szCs w:val="22"/>
              </w:rPr>
            </w:pPr>
            <w:r>
              <w:rPr>
                <w:rFonts w:ascii="Arial"/>
                <w:sz w:val="22"/>
              </w:rPr>
              <w:t>(93,339)</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240" w:lineRule="auto" w:before="151"/>
              <w:ind w:left="432" w:right="0"/>
              <w:jc w:val="left"/>
              <w:rPr>
                <w:rFonts w:ascii="Arial" w:hAnsi="Arial" w:cs="Arial" w:eastAsia="Arial" w:hint="default"/>
                <w:sz w:val="22"/>
                <w:szCs w:val="22"/>
              </w:rPr>
            </w:pPr>
            <w:r>
              <w:rPr>
                <w:rFonts w:ascii="Arial"/>
                <w:sz w:val="22"/>
              </w:rPr>
              <w:t>429,566</w:t>
            </w:r>
          </w:p>
        </w:tc>
      </w:tr>
      <w:tr>
        <w:trPr>
          <w:trHeight w:val="296" w:hRule="exact"/>
        </w:trPr>
        <w:tc>
          <w:tcPr>
            <w:tcW w:w="609" w:type="dxa"/>
            <w:tcBorders>
              <w:top w:val="nil" w:sz="6" w:space="0" w:color="auto"/>
              <w:left w:val="nil" w:sz="6" w:space="0" w:color="auto"/>
              <w:bottom w:val="nil" w:sz="6" w:space="0" w:color="auto"/>
              <w:right w:val="single" w:sz="4" w:space="0" w:color="000000"/>
            </w:tcBorders>
          </w:tcPr>
          <w:p>
            <w:pPr/>
          </w:p>
        </w:tc>
        <w:tc>
          <w:tcPr>
            <w:tcW w:w="4173" w:type="dxa"/>
            <w:tcBorders>
              <w:top w:val="single" w:sz="4" w:space="0" w:color="000000"/>
              <w:left w:val="single" w:sz="4" w:space="0" w:color="000000"/>
              <w:bottom w:val="single" w:sz="4" w:space="0" w:color="000000"/>
              <w:right w:val="nil" w:sz="6" w:space="0" w:color="auto"/>
            </w:tcBorders>
          </w:tcPr>
          <w:p>
            <w:pPr>
              <w:pStyle w:val="TableParagraph"/>
              <w:tabs>
                <w:tab w:pos="2764" w:val="left" w:leader="none"/>
              </w:tabs>
              <w:spacing w:line="284" w:lineRule="exact"/>
              <w:ind w:right="304"/>
              <w:jc w:val="right"/>
              <w:rPr>
                <w:rFonts w:ascii="Arial" w:hAnsi="Arial" w:cs="Arial" w:eastAsia="Arial" w:hint="default"/>
                <w:sz w:val="22"/>
                <w:szCs w:val="22"/>
              </w:rPr>
            </w:pPr>
            <w:r>
              <w:rPr>
                <w:rFonts w:ascii="宋体" w:hAnsi="宋体" w:cs="宋体" w:eastAsia="宋体" w:hint="default"/>
                <w:w w:val="95"/>
                <w:position w:val="2"/>
                <w:sz w:val="22"/>
                <w:szCs w:val="22"/>
              </w:rPr>
              <w:t>房屋及建筑物</w:t>
              <w:tab/>
            </w:r>
            <w:r>
              <w:rPr>
                <w:rFonts w:ascii="Arial" w:hAnsi="Arial" w:cs="Arial" w:eastAsia="Arial" w:hint="default"/>
                <w:w w:val="95"/>
                <w:sz w:val="22"/>
                <w:szCs w:val="22"/>
              </w:rPr>
              <w:t>363,735</w:t>
            </w:r>
            <w:r>
              <w:rPr>
                <w:rFonts w:ascii="Arial" w:hAnsi="Arial" w:cs="Arial" w:eastAsia="Arial" w:hint="default"/>
                <w:sz w:val="22"/>
                <w:szCs w:val="22"/>
              </w:rPr>
            </w:r>
          </w:p>
        </w:tc>
        <w:tc>
          <w:tcPr>
            <w:tcW w:w="1438"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left="315" w:right="0"/>
              <w:jc w:val="left"/>
              <w:rPr>
                <w:rFonts w:ascii="Arial" w:hAnsi="Arial" w:cs="Arial" w:eastAsia="Arial" w:hint="default"/>
                <w:sz w:val="22"/>
                <w:szCs w:val="22"/>
              </w:rPr>
            </w:pPr>
            <w:r>
              <w:rPr>
                <w:rFonts w:ascii="Arial"/>
                <w:sz w:val="22"/>
              </w:rPr>
              <w:t>159,170</w:t>
            </w:r>
          </w:p>
        </w:tc>
        <w:tc>
          <w:tcPr>
            <w:tcW w:w="1396"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right="300"/>
              <w:jc w:val="right"/>
              <w:rPr>
                <w:rFonts w:ascii="Arial" w:hAnsi="Arial" w:cs="Arial" w:eastAsia="Arial" w:hint="default"/>
                <w:sz w:val="22"/>
                <w:szCs w:val="22"/>
              </w:rPr>
            </w:pPr>
            <w:r>
              <w:rPr>
                <w:rFonts w:ascii="Arial"/>
                <w:w w:val="99"/>
                <w:sz w:val="22"/>
              </w:rPr>
              <w:t>-</w:t>
            </w:r>
            <w:r>
              <w:rPr>
                <w:rFonts w:ascii="Arial"/>
                <w:sz w:val="22"/>
              </w:rPr>
            </w:r>
          </w:p>
        </w:tc>
        <w:tc>
          <w:tcPr>
            <w:tcW w:w="1435"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left="284" w:right="0"/>
              <w:jc w:val="left"/>
              <w:rPr>
                <w:rFonts w:ascii="Arial" w:hAnsi="Arial" w:cs="Arial" w:eastAsia="Arial" w:hint="default"/>
                <w:sz w:val="22"/>
                <w:szCs w:val="22"/>
              </w:rPr>
            </w:pPr>
            <w:r>
              <w:rPr>
                <w:rFonts w:ascii="Arial"/>
                <w:sz w:val="22"/>
              </w:rPr>
              <w:t>(93,339)</w:t>
            </w:r>
          </w:p>
        </w:tc>
        <w:tc>
          <w:tcPr>
            <w:tcW w:w="1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432" w:right="0"/>
              <w:jc w:val="left"/>
              <w:rPr>
                <w:rFonts w:ascii="Arial" w:hAnsi="Arial" w:cs="Arial" w:eastAsia="Arial" w:hint="default"/>
                <w:sz w:val="22"/>
                <w:szCs w:val="22"/>
              </w:rPr>
            </w:pPr>
            <w:r>
              <w:rPr>
                <w:rFonts w:ascii="Arial"/>
                <w:sz w:val="22"/>
              </w:rPr>
              <w:t>429,566</w:t>
            </w:r>
          </w:p>
        </w:tc>
      </w:tr>
      <w:tr>
        <w:trPr>
          <w:trHeight w:val="548" w:hRule="exact"/>
        </w:trPr>
        <w:tc>
          <w:tcPr>
            <w:tcW w:w="609" w:type="dxa"/>
            <w:tcBorders>
              <w:top w:val="nil" w:sz="6" w:space="0" w:color="auto"/>
              <w:left w:val="nil" w:sz="6" w:space="0" w:color="auto"/>
              <w:bottom w:val="nil" w:sz="6" w:space="0" w:color="auto"/>
              <w:right w:val="nil" w:sz="6" w:space="0" w:color="auto"/>
            </w:tcBorders>
          </w:tcPr>
          <w:p>
            <w:pPr/>
          </w:p>
        </w:tc>
        <w:tc>
          <w:tcPr>
            <w:tcW w:w="417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tabs>
                <w:tab w:pos="2938" w:val="left" w:leader="none"/>
              </w:tabs>
              <w:spacing w:line="240" w:lineRule="auto"/>
              <w:ind w:right="304"/>
              <w:jc w:val="right"/>
              <w:rPr>
                <w:rFonts w:ascii="Arial" w:hAnsi="Arial" w:cs="Arial" w:eastAsia="Arial" w:hint="default"/>
                <w:sz w:val="22"/>
                <w:szCs w:val="22"/>
              </w:rPr>
            </w:pPr>
            <w:r>
              <w:rPr>
                <w:rFonts w:ascii="宋体" w:hAnsi="宋体" w:cs="宋体" w:eastAsia="宋体" w:hint="default"/>
                <w:w w:val="95"/>
                <w:position w:val="1"/>
                <w:sz w:val="22"/>
                <w:szCs w:val="22"/>
              </w:rPr>
              <w:t>累计折旧合计</w:t>
              <w:tab/>
            </w:r>
            <w:r>
              <w:rPr>
                <w:rFonts w:ascii="Arial" w:hAnsi="Arial" w:cs="Arial" w:eastAsia="Arial" w:hint="default"/>
                <w:w w:val="95"/>
                <w:sz w:val="22"/>
                <w:szCs w:val="22"/>
              </w:rPr>
              <w:t>(23,777)</w:t>
            </w:r>
            <w:r>
              <w:rPr>
                <w:rFonts w:ascii="Arial" w:hAnsi="Arial" w:cs="Arial" w:eastAsia="Arial" w:hint="default"/>
                <w:sz w:val="22"/>
                <w:szCs w:val="22"/>
              </w:rPr>
            </w:r>
          </w:p>
        </w:tc>
        <w:tc>
          <w:tcPr>
            <w:tcW w:w="143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69" w:right="0"/>
              <w:jc w:val="left"/>
              <w:rPr>
                <w:rFonts w:ascii="Arial" w:hAnsi="Arial" w:cs="Arial" w:eastAsia="Arial" w:hint="default"/>
                <w:sz w:val="22"/>
                <w:szCs w:val="22"/>
              </w:rPr>
            </w:pPr>
            <w:r>
              <w:rPr>
                <w:rFonts w:ascii="Arial"/>
                <w:sz w:val="22"/>
              </w:rPr>
              <w:t>(10,225)</w:t>
            </w:r>
          </w:p>
        </w:tc>
        <w:tc>
          <w:tcPr>
            <w:tcW w:w="139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67"/>
              <w:jc w:val="right"/>
              <w:rPr>
                <w:rFonts w:ascii="Arial" w:hAnsi="Arial" w:cs="Arial" w:eastAsia="Arial" w:hint="default"/>
                <w:sz w:val="22"/>
                <w:szCs w:val="22"/>
              </w:rPr>
            </w:pPr>
            <w:r>
              <w:rPr>
                <w:rFonts w:ascii="Arial"/>
                <w:w w:val="95"/>
                <w:sz w:val="22"/>
              </w:rPr>
              <w:t>(12,598)</w:t>
            </w:r>
            <w:r>
              <w:rPr>
                <w:rFonts w:ascii="Arial"/>
                <w:sz w:val="22"/>
              </w:rPr>
            </w:r>
          </w:p>
        </w:tc>
        <w:tc>
          <w:tcPr>
            <w:tcW w:w="143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53" w:right="0"/>
              <w:jc w:val="left"/>
              <w:rPr>
                <w:rFonts w:ascii="Arial" w:hAnsi="Arial" w:cs="Arial" w:eastAsia="Arial" w:hint="default"/>
                <w:sz w:val="22"/>
                <w:szCs w:val="22"/>
              </w:rPr>
            </w:pPr>
            <w:r>
              <w:rPr>
                <w:rFonts w:ascii="Arial"/>
                <w:sz w:val="22"/>
              </w:rPr>
              <w:t>4,168</w:t>
            </w:r>
          </w:p>
        </w:tc>
        <w:tc>
          <w:tcPr>
            <w:tcW w:w="138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94" w:right="0"/>
              <w:jc w:val="left"/>
              <w:rPr>
                <w:rFonts w:ascii="Arial" w:hAnsi="Arial" w:cs="Arial" w:eastAsia="Arial" w:hint="default"/>
                <w:sz w:val="22"/>
                <w:szCs w:val="22"/>
              </w:rPr>
            </w:pPr>
            <w:r>
              <w:rPr>
                <w:rFonts w:ascii="Arial"/>
                <w:sz w:val="22"/>
              </w:rPr>
              <w:t>(42,432)</w:t>
            </w:r>
          </w:p>
        </w:tc>
      </w:tr>
      <w:tr>
        <w:trPr>
          <w:trHeight w:val="296" w:hRule="exact"/>
        </w:trPr>
        <w:tc>
          <w:tcPr>
            <w:tcW w:w="609" w:type="dxa"/>
            <w:tcBorders>
              <w:top w:val="nil" w:sz="6" w:space="0" w:color="auto"/>
              <w:left w:val="nil" w:sz="6" w:space="0" w:color="auto"/>
              <w:bottom w:val="nil" w:sz="6" w:space="0" w:color="auto"/>
              <w:right w:val="single" w:sz="4" w:space="0" w:color="000000"/>
            </w:tcBorders>
          </w:tcPr>
          <w:p>
            <w:pPr/>
          </w:p>
        </w:tc>
        <w:tc>
          <w:tcPr>
            <w:tcW w:w="4173" w:type="dxa"/>
            <w:tcBorders>
              <w:top w:val="single" w:sz="4" w:space="0" w:color="000000"/>
              <w:left w:val="single" w:sz="4" w:space="0" w:color="000000"/>
              <w:bottom w:val="single" w:sz="4" w:space="0" w:color="000000"/>
              <w:right w:val="nil" w:sz="6" w:space="0" w:color="auto"/>
            </w:tcBorders>
          </w:tcPr>
          <w:p>
            <w:pPr>
              <w:pStyle w:val="TableParagraph"/>
              <w:tabs>
                <w:tab w:pos="2740" w:val="left" w:leader="none"/>
              </w:tabs>
              <w:spacing w:line="284" w:lineRule="exact"/>
              <w:ind w:right="304"/>
              <w:jc w:val="right"/>
              <w:rPr>
                <w:rFonts w:ascii="Arial" w:hAnsi="Arial" w:cs="Arial" w:eastAsia="Arial" w:hint="default"/>
                <w:sz w:val="22"/>
                <w:szCs w:val="22"/>
              </w:rPr>
            </w:pPr>
            <w:r>
              <w:rPr>
                <w:rFonts w:ascii="宋体" w:hAnsi="宋体" w:cs="宋体" w:eastAsia="宋体" w:hint="default"/>
                <w:w w:val="95"/>
                <w:position w:val="2"/>
                <w:sz w:val="22"/>
                <w:szCs w:val="22"/>
              </w:rPr>
              <w:t>房屋及建筑物</w:t>
              <w:tab/>
            </w:r>
            <w:r>
              <w:rPr>
                <w:rFonts w:ascii="Arial" w:hAnsi="Arial" w:cs="Arial" w:eastAsia="Arial" w:hint="default"/>
                <w:w w:val="95"/>
                <w:sz w:val="22"/>
                <w:szCs w:val="22"/>
              </w:rPr>
              <w:t>(23,777)</w:t>
            </w:r>
            <w:r>
              <w:rPr>
                <w:rFonts w:ascii="Arial" w:hAnsi="Arial" w:cs="Arial" w:eastAsia="Arial" w:hint="default"/>
                <w:sz w:val="22"/>
                <w:szCs w:val="22"/>
              </w:rPr>
            </w:r>
          </w:p>
        </w:tc>
        <w:tc>
          <w:tcPr>
            <w:tcW w:w="1438"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left="369" w:right="0"/>
              <w:jc w:val="left"/>
              <w:rPr>
                <w:rFonts w:ascii="Arial" w:hAnsi="Arial" w:cs="Arial" w:eastAsia="Arial" w:hint="default"/>
                <w:sz w:val="22"/>
                <w:szCs w:val="22"/>
              </w:rPr>
            </w:pPr>
            <w:r>
              <w:rPr>
                <w:rFonts w:ascii="Arial"/>
                <w:sz w:val="22"/>
              </w:rPr>
              <w:t>(10,225)</w:t>
            </w:r>
          </w:p>
        </w:tc>
        <w:tc>
          <w:tcPr>
            <w:tcW w:w="1396"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right="267"/>
              <w:jc w:val="right"/>
              <w:rPr>
                <w:rFonts w:ascii="Arial" w:hAnsi="Arial" w:cs="Arial" w:eastAsia="Arial" w:hint="default"/>
                <w:sz w:val="22"/>
                <w:szCs w:val="22"/>
              </w:rPr>
            </w:pPr>
            <w:r>
              <w:rPr>
                <w:rFonts w:ascii="Arial"/>
                <w:w w:val="95"/>
                <w:sz w:val="22"/>
              </w:rPr>
              <w:t>(12,598)</w:t>
            </w:r>
            <w:r>
              <w:rPr>
                <w:rFonts w:ascii="Arial"/>
                <w:sz w:val="22"/>
              </w:rPr>
            </w:r>
          </w:p>
        </w:tc>
        <w:tc>
          <w:tcPr>
            <w:tcW w:w="1435"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left="553" w:right="0"/>
              <w:jc w:val="left"/>
              <w:rPr>
                <w:rFonts w:ascii="Arial" w:hAnsi="Arial" w:cs="Arial" w:eastAsia="Arial" w:hint="default"/>
                <w:sz w:val="22"/>
                <w:szCs w:val="22"/>
              </w:rPr>
            </w:pPr>
            <w:r>
              <w:rPr>
                <w:rFonts w:ascii="Arial"/>
                <w:sz w:val="22"/>
              </w:rPr>
              <w:t>4,168</w:t>
            </w:r>
          </w:p>
        </w:tc>
        <w:tc>
          <w:tcPr>
            <w:tcW w:w="1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494" w:right="0"/>
              <w:jc w:val="left"/>
              <w:rPr>
                <w:rFonts w:ascii="Arial" w:hAnsi="Arial" w:cs="Arial" w:eastAsia="Arial" w:hint="default"/>
                <w:sz w:val="22"/>
                <w:szCs w:val="22"/>
              </w:rPr>
            </w:pPr>
            <w:r>
              <w:rPr>
                <w:rFonts w:ascii="Arial"/>
                <w:sz w:val="22"/>
              </w:rPr>
              <w:t>(42,432)</w:t>
            </w:r>
          </w:p>
        </w:tc>
      </w:tr>
      <w:tr>
        <w:trPr>
          <w:trHeight w:val="547" w:hRule="exact"/>
        </w:trPr>
        <w:tc>
          <w:tcPr>
            <w:tcW w:w="609" w:type="dxa"/>
            <w:tcBorders>
              <w:top w:val="nil" w:sz="6" w:space="0" w:color="auto"/>
              <w:left w:val="nil" w:sz="6" w:space="0" w:color="auto"/>
              <w:bottom w:val="nil" w:sz="6" w:space="0" w:color="auto"/>
              <w:right w:val="nil" w:sz="6" w:space="0" w:color="auto"/>
            </w:tcBorders>
          </w:tcPr>
          <w:p>
            <w:pPr/>
          </w:p>
        </w:tc>
        <w:tc>
          <w:tcPr>
            <w:tcW w:w="4173" w:type="dxa"/>
            <w:tcBorders>
              <w:top w:val="single" w:sz="4"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tabs>
                <w:tab w:pos="2962" w:val="left" w:leader="none"/>
              </w:tabs>
              <w:spacing w:line="240" w:lineRule="auto"/>
              <w:ind w:right="304"/>
              <w:jc w:val="right"/>
              <w:rPr>
                <w:rFonts w:ascii="Arial" w:hAnsi="Arial" w:cs="Arial" w:eastAsia="Arial" w:hint="default"/>
                <w:sz w:val="22"/>
                <w:szCs w:val="22"/>
              </w:rPr>
            </w:pPr>
            <w:r>
              <w:rPr>
                <w:rFonts w:ascii="宋体" w:hAnsi="宋体" w:cs="宋体" w:eastAsia="宋体" w:hint="default"/>
                <w:w w:val="95"/>
                <w:position w:val="1"/>
                <w:sz w:val="22"/>
                <w:szCs w:val="22"/>
              </w:rPr>
              <w:t>账面净值合计</w:t>
              <w:tab/>
            </w:r>
            <w:r>
              <w:rPr>
                <w:rFonts w:ascii="Arial" w:hAnsi="Arial" w:cs="Arial" w:eastAsia="Arial" w:hint="default"/>
                <w:w w:val="95"/>
                <w:sz w:val="22"/>
                <w:szCs w:val="22"/>
              </w:rPr>
              <w:t>339,958</w:t>
            </w:r>
            <w:r>
              <w:rPr>
                <w:rFonts w:ascii="Arial" w:hAnsi="Arial" w:cs="Arial" w:eastAsia="Arial" w:hint="default"/>
                <w:sz w:val="22"/>
                <w:szCs w:val="22"/>
              </w:rPr>
            </w:r>
          </w:p>
        </w:tc>
        <w:tc>
          <w:tcPr>
            <w:tcW w:w="1438" w:type="dxa"/>
            <w:tcBorders>
              <w:top w:val="single" w:sz="4" w:space="0" w:color="000000"/>
              <w:left w:val="nil" w:sz="6" w:space="0" w:color="auto"/>
              <w:bottom w:val="single" w:sz="2" w:space="0" w:color="000000"/>
              <w:right w:val="nil" w:sz="6" w:space="0" w:color="auto"/>
            </w:tcBorders>
          </w:tcPr>
          <w:p>
            <w:pPr/>
          </w:p>
        </w:tc>
        <w:tc>
          <w:tcPr>
            <w:tcW w:w="1396" w:type="dxa"/>
            <w:tcBorders>
              <w:top w:val="single" w:sz="4" w:space="0" w:color="000000"/>
              <w:left w:val="nil" w:sz="6" w:space="0" w:color="auto"/>
              <w:bottom w:val="single" w:sz="2" w:space="0" w:color="000000"/>
              <w:right w:val="nil" w:sz="6" w:space="0" w:color="auto"/>
            </w:tcBorders>
          </w:tcPr>
          <w:p>
            <w:pPr/>
          </w:p>
        </w:tc>
        <w:tc>
          <w:tcPr>
            <w:tcW w:w="1435" w:type="dxa"/>
            <w:tcBorders>
              <w:top w:val="single" w:sz="4" w:space="0" w:color="000000"/>
              <w:left w:val="nil" w:sz="6" w:space="0" w:color="auto"/>
              <w:bottom w:val="single" w:sz="2" w:space="0" w:color="000000"/>
              <w:right w:val="nil" w:sz="6" w:space="0" w:color="auto"/>
            </w:tcBorders>
          </w:tcPr>
          <w:p>
            <w:pPr/>
          </w:p>
        </w:tc>
        <w:tc>
          <w:tcPr>
            <w:tcW w:w="1380" w:type="dxa"/>
            <w:tcBorders>
              <w:top w:val="single" w:sz="4" w:space="0" w:color="000000"/>
              <w:left w:val="nil" w:sz="6" w:space="0" w:color="auto"/>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33" w:right="0"/>
              <w:jc w:val="left"/>
              <w:rPr>
                <w:rFonts w:ascii="Arial" w:hAnsi="Arial" w:cs="Arial" w:eastAsia="Arial" w:hint="default"/>
                <w:sz w:val="22"/>
                <w:szCs w:val="22"/>
              </w:rPr>
            </w:pPr>
            <w:r>
              <w:rPr>
                <w:rFonts w:ascii="Arial"/>
                <w:sz w:val="22"/>
              </w:rPr>
              <w:t>387,134</w:t>
            </w:r>
          </w:p>
        </w:tc>
      </w:tr>
      <w:tr>
        <w:trPr>
          <w:trHeight w:val="293" w:hRule="exact"/>
        </w:trPr>
        <w:tc>
          <w:tcPr>
            <w:tcW w:w="609" w:type="dxa"/>
            <w:tcBorders>
              <w:top w:val="nil" w:sz="6" w:space="0" w:color="auto"/>
              <w:left w:val="nil" w:sz="6" w:space="0" w:color="auto"/>
              <w:bottom w:val="nil" w:sz="6" w:space="0" w:color="auto"/>
              <w:right w:val="single" w:sz="2" w:space="0" w:color="000000"/>
            </w:tcBorders>
          </w:tcPr>
          <w:p>
            <w:pPr/>
          </w:p>
        </w:tc>
        <w:tc>
          <w:tcPr>
            <w:tcW w:w="4173" w:type="dxa"/>
            <w:tcBorders>
              <w:top w:val="single" w:sz="2" w:space="0" w:color="000000"/>
              <w:left w:val="single" w:sz="2" w:space="0" w:color="000000"/>
              <w:bottom w:val="single" w:sz="4" w:space="0" w:color="000000"/>
              <w:right w:val="nil" w:sz="6" w:space="0" w:color="auto"/>
            </w:tcBorders>
          </w:tcPr>
          <w:p>
            <w:pPr>
              <w:pStyle w:val="TableParagraph"/>
              <w:tabs>
                <w:tab w:pos="2764" w:val="left" w:leader="none"/>
              </w:tabs>
              <w:spacing w:line="284" w:lineRule="exact"/>
              <w:ind w:right="304"/>
              <w:jc w:val="right"/>
              <w:rPr>
                <w:rFonts w:ascii="Arial" w:hAnsi="Arial" w:cs="Arial" w:eastAsia="Arial" w:hint="default"/>
                <w:sz w:val="22"/>
                <w:szCs w:val="22"/>
              </w:rPr>
            </w:pPr>
            <w:r>
              <w:rPr>
                <w:rFonts w:ascii="宋体" w:hAnsi="宋体" w:cs="宋体" w:eastAsia="宋体" w:hint="default"/>
                <w:w w:val="95"/>
                <w:position w:val="2"/>
                <w:sz w:val="22"/>
                <w:szCs w:val="22"/>
              </w:rPr>
              <w:t>房屋及建筑物</w:t>
              <w:tab/>
            </w:r>
            <w:r>
              <w:rPr>
                <w:rFonts w:ascii="Arial" w:hAnsi="Arial" w:cs="Arial" w:eastAsia="Arial" w:hint="default"/>
                <w:w w:val="95"/>
                <w:sz w:val="22"/>
                <w:szCs w:val="22"/>
              </w:rPr>
              <w:t>339,958</w:t>
            </w:r>
            <w:r>
              <w:rPr>
                <w:rFonts w:ascii="Arial" w:hAnsi="Arial" w:cs="Arial" w:eastAsia="Arial" w:hint="default"/>
                <w:sz w:val="22"/>
                <w:szCs w:val="22"/>
              </w:rPr>
            </w:r>
          </w:p>
        </w:tc>
        <w:tc>
          <w:tcPr>
            <w:tcW w:w="1438" w:type="dxa"/>
            <w:tcBorders>
              <w:top w:val="single" w:sz="2" w:space="0" w:color="000000"/>
              <w:left w:val="nil" w:sz="6" w:space="0" w:color="auto"/>
              <w:bottom w:val="single" w:sz="4" w:space="0" w:color="000000"/>
              <w:right w:val="nil" w:sz="6" w:space="0" w:color="auto"/>
            </w:tcBorders>
          </w:tcPr>
          <w:p>
            <w:pPr/>
          </w:p>
        </w:tc>
        <w:tc>
          <w:tcPr>
            <w:tcW w:w="1396" w:type="dxa"/>
            <w:tcBorders>
              <w:top w:val="single" w:sz="2" w:space="0" w:color="000000"/>
              <w:left w:val="nil" w:sz="6" w:space="0" w:color="auto"/>
              <w:bottom w:val="single" w:sz="4" w:space="0" w:color="000000"/>
              <w:right w:val="nil" w:sz="6" w:space="0" w:color="auto"/>
            </w:tcBorders>
          </w:tcPr>
          <w:p>
            <w:pPr/>
          </w:p>
        </w:tc>
        <w:tc>
          <w:tcPr>
            <w:tcW w:w="1435" w:type="dxa"/>
            <w:tcBorders>
              <w:top w:val="single" w:sz="2" w:space="0" w:color="000000"/>
              <w:left w:val="nil" w:sz="6" w:space="0" w:color="auto"/>
              <w:bottom w:val="single" w:sz="4" w:space="0" w:color="000000"/>
              <w:right w:val="nil" w:sz="6" w:space="0" w:color="auto"/>
            </w:tcBorders>
          </w:tcPr>
          <w:p>
            <w:pPr/>
          </w:p>
        </w:tc>
        <w:tc>
          <w:tcPr>
            <w:tcW w:w="1380" w:type="dxa"/>
            <w:tcBorders>
              <w:top w:val="single" w:sz="2" w:space="0" w:color="000000"/>
              <w:left w:val="nil" w:sz="6" w:space="0" w:color="auto"/>
              <w:bottom w:val="single" w:sz="4" w:space="0" w:color="000000"/>
              <w:right w:val="single" w:sz="2" w:space="0" w:color="000000"/>
            </w:tcBorders>
          </w:tcPr>
          <w:p>
            <w:pPr>
              <w:pStyle w:val="TableParagraph"/>
              <w:spacing w:line="240" w:lineRule="auto" w:before="31"/>
              <w:ind w:left="433" w:right="0"/>
              <w:jc w:val="left"/>
              <w:rPr>
                <w:rFonts w:ascii="Arial" w:hAnsi="Arial" w:cs="Arial" w:eastAsia="Arial" w:hint="default"/>
                <w:sz w:val="22"/>
                <w:szCs w:val="22"/>
              </w:rPr>
            </w:pPr>
            <w:r>
              <w:rPr>
                <w:rFonts w:ascii="Arial"/>
                <w:sz w:val="22"/>
              </w:rPr>
              <w:t>387,134</w:t>
            </w:r>
          </w:p>
        </w:tc>
      </w:tr>
    </w:tbl>
    <w:p>
      <w:pPr>
        <w:spacing w:line="240" w:lineRule="auto" w:before="2"/>
        <w:rPr>
          <w:rFonts w:ascii="宋体" w:hAnsi="宋体" w:cs="宋体" w:eastAsia="宋体" w:hint="default"/>
          <w:sz w:val="13"/>
          <w:szCs w:val="13"/>
        </w:rPr>
      </w:pPr>
    </w:p>
    <w:p>
      <w:pPr>
        <w:pStyle w:val="BodyText"/>
        <w:spacing w:line="312" w:lineRule="exact" w:before="56"/>
        <w:ind w:left="835" w:right="253"/>
        <w:jc w:val="left"/>
      </w:pPr>
      <w:r>
        <w:rPr>
          <w:rFonts w:ascii="Arial" w:hAnsi="Arial" w:cs="Arial" w:eastAsia="Arial" w:hint="default"/>
        </w:rPr>
        <w:t>2010</w:t>
      </w:r>
      <w:r>
        <w:rPr>
          <w:rFonts w:ascii="Arial" w:hAnsi="Arial" w:cs="Arial" w:eastAsia="Arial" w:hint="default"/>
          <w:spacing w:val="7"/>
        </w:rPr>
        <w:t> </w:t>
      </w:r>
      <w:r>
        <w:rPr/>
        <w:t>年度投资性房地产计提折旧金额约为人民币</w:t>
      </w:r>
      <w:r>
        <w:rPr>
          <w:spacing w:val="-47"/>
        </w:rPr>
        <w:t> </w:t>
      </w:r>
      <w:r>
        <w:rPr>
          <w:rFonts w:ascii="Arial" w:hAnsi="Arial" w:cs="Arial" w:eastAsia="Arial" w:hint="default"/>
        </w:rPr>
        <w:t>1,260</w:t>
      </w:r>
      <w:r>
        <w:rPr>
          <w:rFonts w:ascii="Arial" w:hAnsi="Arial" w:cs="Arial" w:eastAsia="Arial" w:hint="default"/>
          <w:spacing w:val="7"/>
        </w:rPr>
        <w:t> </w:t>
      </w:r>
      <w:r>
        <w:rPr/>
        <w:t>万元</w:t>
      </w:r>
      <w:r>
        <w:rPr>
          <w:rFonts w:ascii="Arial" w:hAnsi="Arial" w:cs="Arial" w:eastAsia="Arial" w:hint="default"/>
        </w:rPr>
        <w:t>(2009</w:t>
      </w:r>
      <w:r>
        <w:rPr>
          <w:rFonts w:ascii="Arial" w:hAnsi="Arial" w:cs="Arial" w:eastAsia="Arial" w:hint="default"/>
          <w:spacing w:val="7"/>
        </w:rPr>
        <w:t> </w:t>
      </w:r>
      <w:r>
        <w:rPr/>
        <w:t>年度：约人民币</w:t>
      </w:r>
      <w:r>
        <w:rPr>
          <w:spacing w:val="-47"/>
        </w:rPr>
        <w:t> </w:t>
      </w:r>
      <w:r>
        <w:rPr>
          <w:rFonts w:ascii="Arial" w:hAnsi="Arial" w:cs="Arial" w:eastAsia="Arial" w:hint="default"/>
        </w:rPr>
        <w:t>817</w:t>
      </w:r>
      <w:r>
        <w:rPr>
          <w:rFonts w:ascii="Arial" w:hAnsi="Arial" w:cs="Arial" w:eastAsia="Arial" w:hint="default"/>
          <w:spacing w:val="6"/>
        </w:rPr>
        <w:t> </w:t>
      </w:r>
      <w:r>
        <w:rPr/>
        <w:t>万 元</w:t>
      </w:r>
      <w:r>
        <w:rPr>
          <w:rFonts w:ascii="Arial" w:hAnsi="Arial" w:cs="Arial" w:eastAsia="Arial" w:hint="default"/>
        </w:rPr>
        <w:t>)</w:t>
      </w:r>
      <w:r>
        <w:rPr/>
        <w:t>。</w:t>
      </w:r>
    </w:p>
    <w:p>
      <w:pPr>
        <w:spacing w:line="240" w:lineRule="auto" w:before="6"/>
        <w:rPr>
          <w:rFonts w:ascii="宋体" w:hAnsi="宋体" w:cs="宋体" w:eastAsia="宋体" w:hint="default"/>
          <w:sz w:val="18"/>
          <w:szCs w:val="18"/>
        </w:rPr>
      </w:pPr>
    </w:p>
    <w:p>
      <w:pPr>
        <w:pStyle w:val="BodyText"/>
        <w:spacing w:line="312" w:lineRule="exact"/>
        <w:ind w:left="835" w:right="253"/>
        <w:jc w:val="left"/>
      </w:pPr>
      <w:r>
        <w:rPr/>
        <w:t>于</w:t>
      </w:r>
      <w:r>
        <w:rPr>
          <w:spacing w:val="-43"/>
        </w:rPr>
        <w:t> </w:t>
      </w:r>
      <w:r>
        <w:rPr>
          <w:rFonts w:ascii="Arial" w:hAnsi="Arial" w:cs="Arial" w:eastAsia="Arial" w:hint="default"/>
        </w:rPr>
        <w:t>2010</w:t>
      </w:r>
      <w:r>
        <w:rPr>
          <w:rFonts w:ascii="Arial" w:hAnsi="Arial" w:cs="Arial" w:eastAsia="Arial" w:hint="default"/>
          <w:spacing w:val="10"/>
        </w:rPr>
        <w:t> </w:t>
      </w:r>
      <w:r>
        <w:rPr/>
        <w:t>年度，本集团将账面价值约为人民币</w:t>
      </w:r>
      <w:r>
        <w:rPr>
          <w:spacing w:val="-43"/>
        </w:rPr>
        <w:t> </w:t>
      </w:r>
      <w:r>
        <w:rPr>
          <w:rFonts w:ascii="Arial" w:hAnsi="Arial" w:cs="Arial" w:eastAsia="Arial" w:hint="default"/>
        </w:rPr>
        <w:t>8,917</w:t>
      </w:r>
      <w:r>
        <w:rPr>
          <w:rFonts w:ascii="Arial" w:hAnsi="Arial" w:cs="Arial" w:eastAsia="Arial" w:hint="default"/>
          <w:spacing w:val="10"/>
        </w:rPr>
        <w:t> </w:t>
      </w:r>
      <w:r>
        <w:rPr/>
        <w:t>万元</w:t>
      </w:r>
      <w:r>
        <w:rPr>
          <w:rFonts w:ascii="Arial" w:hAnsi="Arial" w:cs="Arial" w:eastAsia="Arial" w:hint="default"/>
        </w:rPr>
        <w:t>(</w:t>
      </w:r>
      <w:r>
        <w:rPr/>
        <w:t>原价：约人民币</w:t>
      </w:r>
      <w:r>
        <w:rPr>
          <w:spacing w:val="-43"/>
        </w:rPr>
        <w:t> </w:t>
      </w:r>
      <w:r>
        <w:rPr>
          <w:rFonts w:ascii="Arial" w:hAnsi="Arial" w:cs="Arial" w:eastAsia="Arial" w:hint="default"/>
        </w:rPr>
        <w:t>9,334</w:t>
      </w:r>
      <w:r>
        <w:rPr>
          <w:rFonts w:ascii="Arial" w:hAnsi="Arial" w:cs="Arial" w:eastAsia="Arial" w:hint="default"/>
          <w:spacing w:val="10"/>
        </w:rPr>
        <w:t> </w:t>
      </w:r>
      <w:r>
        <w:rPr/>
        <w:t>万元</w:t>
      </w:r>
      <w:r>
        <w:rPr>
          <w:rFonts w:ascii="Arial" w:hAnsi="Arial" w:cs="Arial" w:eastAsia="Arial" w:hint="default"/>
        </w:rPr>
        <w:t>)</w:t>
      </w:r>
      <w:r>
        <w:rPr/>
        <w:t>的房 屋及建筑物改为自用，自改变用途之日，将相应的投资性房地产转换为固定资产核算。</w:t>
      </w:r>
    </w:p>
    <w:p>
      <w:pPr>
        <w:pStyle w:val="BodyText"/>
        <w:spacing w:line="322" w:lineRule="exact" w:before="210"/>
        <w:ind w:left="835" w:right="212"/>
        <w:jc w:val="left"/>
      </w:pPr>
      <w:r>
        <w:rPr/>
        <w:t>于</w:t>
      </w:r>
      <w:r>
        <w:rPr>
          <w:spacing w:val="-58"/>
        </w:rPr>
        <w:t> </w:t>
      </w:r>
      <w:r>
        <w:rPr>
          <w:rFonts w:ascii="Arial" w:hAnsi="Arial" w:cs="Arial" w:eastAsia="Arial" w:hint="default"/>
        </w:rPr>
        <w:t>2010</w:t>
      </w:r>
      <w:r>
        <w:rPr>
          <w:rFonts w:ascii="Arial" w:hAnsi="Arial" w:cs="Arial" w:eastAsia="Arial" w:hint="default"/>
          <w:spacing w:val="-5"/>
        </w:rPr>
        <w:t> </w:t>
      </w:r>
      <w:r>
        <w:rPr>
          <w:spacing w:val="-4"/>
        </w:rPr>
        <w:t>年度，本集团将账面价值约为人民币</w:t>
      </w:r>
      <w:r>
        <w:rPr>
          <w:spacing w:val="-58"/>
        </w:rPr>
        <w:t> </w:t>
      </w:r>
      <w:r>
        <w:rPr>
          <w:rFonts w:ascii="Arial" w:hAnsi="Arial" w:cs="Arial" w:eastAsia="Arial" w:hint="default"/>
        </w:rPr>
        <w:t>1.49</w:t>
      </w:r>
      <w:r>
        <w:rPr>
          <w:rFonts w:ascii="Arial" w:hAnsi="Arial" w:cs="Arial" w:eastAsia="Arial" w:hint="default"/>
          <w:spacing w:val="-5"/>
        </w:rPr>
        <w:t> </w:t>
      </w:r>
      <w:r>
        <w:rPr>
          <w:spacing w:val="-6"/>
        </w:rPr>
        <w:t>亿元</w:t>
      </w:r>
      <w:r>
        <w:rPr>
          <w:rFonts w:ascii="Arial" w:hAnsi="Arial" w:cs="Arial" w:eastAsia="Arial" w:hint="default"/>
          <w:spacing w:val="-6"/>
        </w:rPr>
        <w:t>(</w:t>
      </w:r>
      <w:r>
        <w:rPr>
          <w:spacing w:val="-6"/>
        </w:rPr>
        <w:t>原价：约人民币</w:t>
      </w:r>
      <w:r>
        <w:rPr>
          <w:spacing w:val="-58"/>
        </w:rPr>
        <w:t> </w:t>
      </w:r>
      <w:r>
        <w:rPr>
          <w:rFonts w:ascii="Arial" w:hAnsi="Arial" w:cs="Arial" w:eastAsia="Arial" w:hint="default"/>
        </w:rPr>
        <w:t>1.59</w:t>
      </w:r>
      <w:r>
        <w:rPr>
          <w:rFonts w:ascii="Arial" w:hAnsi="Arial" w:cs="Arial" w:eastAsia="Arial" w:hint="default"/>
          <w:spacing w:val="-5"/>
        </w:rPr>
        <w:t> </w:t>
      </w:r>
      <w:r>
        <w:rPr/>
        <w:t>亿元</w:t>
      </w:r>
      <w:r>
        <w:rPr>
          <w:rFonts w:ascii="Arial" w:hAnsi="Arial" w:cs="Arial" w:eastAsia="Arial" w:hint="default"/>
        </w:rPr>
        <w:t>)</w:t>
      </w:r>
      <w:r>
        <w:rPr/>
        <w:t>的房屋改</w:t>
      </w:r>
    </w:p>
    <w:p>
      <w:pPr>
        <w:pStyle w:val="BodyText"/>
        <w:spacing w:line="312" w:lineRule="exact" w:before="21"/>
        <w:ind w:left="835" w:right="212"/>
        <w:jc w:val="left"/>
      </w:pPr>
      <w:r>
        <w:rPr/>
        <w:t>及建筑物为出租</w:t>
      </w:r>
      <w:r>
        <w:rPr>
          <w:rFonts w:ascii="Arial" w:hAnsi="Arial" w:cs="Arial" w:eastAsia="Arial" w:hint="default"/>
        </w:rPr>
        <w:t>(2009</w:t>
      </w:r>
      <w:r>
        <w:rPr>
          <w:rFonts w:ascii="Arial" w:hAnsi="Arial" w:cs="Arial" w:eastAsia="Arial" w:hint="default"/>
          <w:spacing w:val="-9"/>
        </w:rPr>
        <w:t> </w:t>
      </w:r>
      <w:r>
        <w:rPr/>
        <w:t>年度：账面价值约为人民币</w:t>
      </w:r>
      <w:r>
        <w:rPr>
          <w:spacing w:val="-62"/>
        </w:rPr>
        <w:t> </w:t>
      </w:r>
      <w:r>
        <w:rPr>
          <w:rFonts w:ascii="Arial" w:hAnsi="Arial" w:cs="Arial" w:eastAsia="Arial" w:hint="default"/>
        </w:rPr>
        <w:t>3.40</w:t>
      </w:r>
      <w:r>
        <w:rPr>
          <w:rFonts w:ascii="Arial" w:hAnsi="Arial" w:cs="Arial" w:eastAsia="Arial" w:hint="default"/>
          <w:spacing w:val="-9"/>
        </w:rPr>
        <w:t> </w:t>
      </w:r>
      <w:r>
        <w:rPr/>
        <w:t>亿元，原价约为人民币</w:t>
      </w:r>
      <w:r>
        <w:rPr>
          <w:spacing w:val="-62"/>
        </w:rPr>
        <w:t> </w:t>
      </w:r>
      <w:r>
        <w:rPr>
          <w:rFonts w:ascii="Arial" w:hAnsi="Arial" w:cs="Arial" w:eastAsia="Arial" w:hint="default"/>
        </w:rPr>
        <w:t>3.64</w:t>
      </w:r>
      <w:r>
        <w:rPr>
          <w:rFonts w:ascii="Arial" w:hAnsi="Arial" w:cs="Arial" w:eastAsia="Arial" w:hint="default"/>
          <w:spacing w:val="-9"/>
        </w:rPr>
        <w:t> </w:t>
      </w:r>
      <w:r>
        <w:rPr/>
        <w:t>亿元</w:t>
      </w:r>
      <w:r>
        <w:rPr>
          <w:rFonts w:ascii="Arial" w:hAnsi="Arial" w:cs="Arial" w:eastAsia="Arial" w:hint="default"/>
        </w:rPr>
        <w:t>)</w:t>
      </w:r>
      <w:r>
        <w:rPr/>
        <w:t>， 自改变用途之日，将相应的固定资产转换为投资性房地产核算。</w:t>
      </w:r>
    </w:p>
    <w:p>
      <w:pPr>
        <w:spacing w:line="240" w:lineRule="auto" w:before="10"/>
        <w:rPr>
          <w:rFonts w:ascii="宋体" w:hAnsi="宋体" w:cs="宋体" w:eastAsia="宋体" w:hint="default"/>
          <w:sz w:val="18"/>
          <w:szCs w:val="18"/>
        </w:rPr>
      </w:pPr>
    </w:p>
    <w:p>
      <w:pPr>
        <w:pStyle w:val="BodyText"/>
        <w:spacing w:line="240" w:lineRule="auto"/>
        <w:ind w:left="835" w:right="253"/>
        <w:jc w:val="left"/>
      </w:pPr>
      <w:r>
        <w:rPr/>
        <w:t>于</w:t>
      </w:r>
      <w:r>
        <w:rPr>
          <w:spacing w:val="-62"/>
        </w:rPr>
        <w:t> </w:t>
      </w:r>
      <w:r>
        <w:rPr>
          <w:rFonts w:ascii="Arial" w:hAnsi="Arial" w:cs="Arial" w:eastAsia="Arial" w:hint="default"/>
        </w:rPr>
        <w:t>2010</w:t>
      </w:r>
      <w:r>
        <w:rPr>
          <w:rFonts w:ascii="Arial" w:hAnsi="Arial" w:cs="Arial" w:eastAsia="Arial" w:hint="default"/>
          <w:spacing w:val="-9"/>
        </w:rPr>
        <w:t> </w:t>
      </w:r>
      <w:r>
        <w:rPr/>
        <w:t>年</w:t>
      </w:r>
      <w:r>
        <w:rPr>
          <w:spacing w:val="-61"/>
        </w:rPr>
        <w:t> </w:t>
      </w:r>
      <w:r>
        <w:rPr>
          <w:rFonts w:ascii="Arial" w:hAnsi="Arial" w:cs="Arial" w:eastAsia="Arial" w:hint="default"/>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日，无未办妥房产权证的投资性房地产</w:t>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日：无</w:t>
      </w:r>
      <w:r>
        <w:rPr>
          <w:rFonts w:ascii="Arial" w:hAnsi="Arial" w:cs="Arial" w:eastAsia="Arial" w:hint="default"/>
        </w:rPr>
        <w:t>)</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77"/>
        <w:ind w:left="4860" w:right="5246" w:firstLine="0"/>
        <w:jc w:val="center"/>
        <w:rPr>
          <w:rFonts w:ascii="Arial" w:hAnsi="Arial" w:cs="Arial" w:eastAsia="Arial" w:hint="default"/>
          <w:sz w:val="18"/>
          <w:szCs w:val="18"/>
        </w:rPr>
      </w:pPr>
      <w:r>
        <w:rPr>
          <w:rFonts w:ascii="Arial"/>
          <w:sz w:val="18"/>
        </w:rPr>
        <w:t>- 158</w:t>
      </w:r>
      <w:r>
        <w:rPr>
          <w:rFonts w:ascii="Arial"/>
          <w:spacing w:val="-3"/>
          <w:sz w:val="18"/>
        </w:rPr>
        <w:t> </w:t>
      </w:r>
      <w:r>
        <w:rPr>
          <w:rFonts w:ascii="Arial"/>
          <w:sz w:val="18"/>
        </w:rPr>
        <w:t>-</w:t>
      </w:r>
    </w:p>
    <w:p>
      <w:pPr>
        <w:spacing w:after="0"/>
        <w:jc w:val="center"/>
        <w:rPr>
          <w:rFonts w:ascii="Arial" w:hAnsi="Arial" w:cs="Arial" w:eastAsia="Arial" w:hint="default"/>
          <w:sz w:val="18"/>
          <w:szCs w:val="18"/>
        </w:rPr>
        <w:sectPr>
          <w:headerReference w:type="default" r:id="rId60"/>
          <w:footerReference w:type="default" r:id="rId61"/>
          <w:pgSz w:w="11910" w:h="16840"/>
          <w:pgMar w:header="1475" w:footer="0" w:top="3020" w:bottom="280" w:left="960" w:right="280"/>
        </w:sectPr>
      </w:pPr>
    </w:p>
    <w:p>
      <w:pPr>
        <w:spacing w:line="240" w:lineRule="auto" w:before="6"/>
        <w:rPr>
          <w:rFonts w:ascii="Arial" w:hAnsi="Arial" w:cs="Arial" w:eastAsia="Arial" w:hint="default"/>
          <w:sz w:val="23"/>
          <w:szCs w:val="23"/>
        </w:rPr>
      </w:pPr>
    </w:p>
    <w:p>
      <w:pPr>
        <w:pStyle w:val="BodyText"/>
        <w:spacing w:line="240" w:lineRule="auto" w:before="26"/>
        <w:ind w:left="749" w:right="0"/>
        <w:jc w:val="left"/>
        <w:rPr>
          <w:rFonts w:ascii="黑体" w:hAnsi="黑体" w:cs="黑体" w:eastAsia="黑体" w:hint="default"/>
        </w:rPr>
      </w:pPr>
      <w:r>
        <w:rPr>
          <w:rFonts w:ascii="黑体" w:hAnsi="黑体" w:cs="黑体" w:eastAsia="黑体" w:hint="default"/>
        </w:rPr>
        <w:t>苏宁电器股份有限公司</w:t>
      </w:r>
    </w:p>
    <w:p>
      <w:pPr>
        <w:spacing w:line="240" w:lineRule="auto" w:before="9"/>
        <w:rPr>
          <w:rFonts w:ascii="黑体" w:hAnsi="黑体" w:cs="黑体" w:eastAsia="黑体" w:hint="default"/>
          <w:sz w:val="23"/>
          <w:szCs w:val="23"/>
        </w:rPr>
      </w:pPr>
    </w:p>
    <w:p>
      <w:pPr>
        <w:pStyle w:val="BodyText"/>
        <w:spacing w:line="313" w:lineRule="exact"/>
        <w:ind w:left="749"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ind w:left="749"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11"/>
        </w:rPr>
        <w:t> </w:t>
      </w:r>
      <w:r>
        <w:rPr>
          <w:rFonts w:ascii="黑体" w:hAnsi="黑体" w:cs="黑体" w:eastAsia="黑体" w:hint="default"/>
        </w:rPr>
        <w:t>年度</w:t>
      </w:r>
    </w:p>
    <w:p>
      <w:pPr>
        <w:pStyle w:val="BodyText"/>
        <w:spacing w:line="323" w:lineRule="exact"/>
        <w:ind w:left="749"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p>
      <w:pPr>
        <w:spacing w:line="240" w:lineRule="auto" w:before="3"/>
        <w:rPr>
          <w:rFonts w:ascii="Arial" w:hAnsi="Arial" w:cs="Arial" w:eastAsia="Arial" w:hint="default"/>
          <w:sz w:val="3"/>
          <w:szCs w:val="3"/>
        </w:rPr>
      </w:pPr>
    </w:p>
    <w:p>
      <w:pPr>
        <w:spacing w:line="20" w:lineRule="exact"/>
        <w:ind w:left="711" w:right="0" w:firstLine="0"/>
        <w:rPr>
          <w:rFonts w:ascii="Arial" w:hAnsi="Arial" w:cs="Arial" w:eastAsia="Arial" w:hint="default"/>
          <w:sz w:val="2"/>
          <w:szCs w:val="2"/>
        </w:rPr>
      </w:pPr>
      <w:r>
        <w:rPr>
          <w:rFonts w:ascii="Arial" w:hAnsi="Arial" w:cs="Arial" w:eastAsia="Arial" w:hint="default"/>
          <w:sz w:val="2"/>
          <w:szCs w:val="2"/>
        </w:rPr>
        <w:pict>
          <v:group style="width:687.3pt;height:.75pt;mso-position-horizontal-relative:char;mso-position-vertical-relative:line" coordorigin="0,0" coordsize="13746,15">
            <v:group style="position:absolute;left:7;top:7;width:13732;height:2" coordorigin="7,7" coordsize="13732,2">
              <v:shape style="position:absolute;left:7;top:7;width:13732;height:2" coordorigin="7,7" coordsize="13732,0" path="m7,7l13739,7e" filled="false" stroked="true" strokeweight=".72pt" strokecolor="#000000">
                <v:path arrowok="t"/>
              </v:shape>
            </v:group>
          </v:group>
        </w:pict>
      </w:r>
      <w:r>
        <w:rPr>
          <w:rFonts w:ascii="Arial" w:hAnsi="Arial" w:cs="Arial" w:eastAsia="Arial" w:hint="default"/>
          <w:sz w:val="2"/>
          <w:szCs w:val="2"/>
        </w:rPr>
      </w:r>
    </w:p>
    <w:p>
      <w:pPr>
        <w:spacing w:line="240" w:lineRule="auto" w:before="10"/>
        <w:rPr>
          <w:rFonts w:ascii="Arial" w:hAnsi="Arial" w:cs="Arial" w:eastAsia="Arial"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609"/>
        <w:gridCol w:w="3707"/>
        <w:gridCol w:w="1207"/>
        <w:gridCol w:w="1342"/>
        <w:gridCol w:w="1136"/>
        <w:gridCol w:w="282"/>
        <w:gridCol w:w="1610"/>
        <w:gridCol w:w="1440"/>
        <w:gridCol w:w="1156"/>
        <w:gridCol w:w="191"/>
        <w:gridCol w:w="2416"/>
      </w:tblGrid>
      <w:tr>
        <w:trPr>
          <w:trHeight w:val="961" w:hRule="exact"/>
        </w:trPr>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p>
            <w:pPr>
              <w:pStyle w:val="TableParagraph"/>
              <w:spacing w:line="240" w:lineRule="auto" w:before="1"/>
              <w:ind w:right="0"/>
              <w:jc w:val="left"/>
              <w:rPr>
                <w:rFonts w:ascii="Arial" w:hAnsi="Arial" w:cs="Arial" w:eastAsia="Arial"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(13)</w:t>
            </w:r>
          </w:p>
        </w:tc>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9"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left="109" w:right="0"/>
              <w:jc w:val="left"/>
              <w:rPr>
                <w:rFonts w:ascii="宋体" w:hAnsi="宋体" w:cs="宋体" w:eastAsia="宋体" w:hint="default"/>
                <w:sz w:val="24"/>
                <w:szCs w:val="24"/>
              </w:rPr>
            </w:pPr>
            <w:r>
              <w:rPr>
                <w:rFonts w:ascii="宋体" w:hAnsi="宋体" w:cs="宋体" w:eastAsia="宋体" w:hint="default"/>
                <w:b/>
                <w:bCs/>
                <w:sz w:val="24"/>
                <w:szCs w:val="24"/>
              </w:rPr>
              <w:t>固定资产</w:t>
            </w:r>
            <w:r>
              <w:rPr>
                <w:rFonts w:ascii="宋体" w:hAnsi="宋体" w:cs="宋体" w:eastAsia="宋体" w:hint="default"/>
                <w:sz w:val="24"/>
                <w:szCs w:val="24"/>
              </w:rPr>
            </w:r>
          </w:p>
        </w:tc>
        <w:tc>
          <w:tcPr>
            <w:tcW w:w="10780" w:type="dxa"/>
            <w:gridSpan w:val="9"/>
            <w:tcBorders>
              <w:top w:val="nil" w:sz="6" w:space="0" w:color="auto"/>
              <w:left w:val="nil" w:sz="6" w:space="0" w:color="auto"/>
              <w:bottom w:val="nil" w:sz="6" w:space="0" w:color="auto"/>
              <w:right w:val="nil" w:sz="6" w:space="0" w:color="auto"/>
            </w:tcBorders>
          </w:tcPr>
          <w:p>
            <w:pPr/>
          </w:p>
        </w:tc>
      </w:tr>
      <w:tr>
        <w:trPr>
          <w:trHeight w:val="279" w:hRule="exact"/>
        </w:trPr>
        <w:tc>
          <w:tcPr>
            <w:tcW w:w="609" w:type="dxa"/>
            <w:tcBorders>
              <w:top w:val="nil" w:sz="6" w:space="0" w:color="auto"/>
              <w:left w:val="nil" w:sz="6" w:space="0" w:color="auto"/>
              <w:bottom w:val="nil" w:sz="6" w:space="0" w:color="auto"/>
              <w:right w:val="nil" w:sz="6" w:space="0" w:color="auto"/>
            </w:tcBorders>
          </w:tcPr>
          <w:p>
            <w:pPr/>
          </w:p>
        </w:tc>
        <w:tc>
          <w:tcPr>
            <w:tcW w:w="3707"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12" w:space="0" w:color="000000"/>
              <w:right w:val="nil" w:sz="6" w:space="0" w:color="auto"/>
            </w:tcBorders>
          </w:tcPr>
          <w:p>
            <w:pPr/>
          </w:p>
        </w:tc>
        <w:tc>
          <w:tcPr>
            <w:tcW w:w="1342" w:type="dxa"/>
            <w:tcBorders>
              <w:top w:val="nil" w:sz="6" w:space="0" w:color="auto"/>
              <w:left w:val="nil" w:sz="6" w:space="0" w:color="auto"/>
              <w:bottom w:val="single" w:sz="12" w:space="0" w:color="000000"/>
              <w:right w:val="nil" w:sz="6" w:space="0" w:color="auto"/>
            </w:tcBorders>
          </w:tcPr>
          <w:p>
            <w:pPr>
              <w:pStyle w:val="TableParagraph"/>
              <w:spacing w:line="234" w:lineRule="exact"/>
              <w:ind w:right="296"/>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1136" w:type="dxa"/>
            <w:tcBorders>
              <w:top w:val="nil" w:sz="6" w:space="0" w:color="auto"/>
              <w:left w:val="nil" w:sz="6" w:space="0" w:color="auto"/>
              <w:bottom w:val="single" w:sz="12" w:space="0" w:color="000000"/>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12" w:space="0" w:color="000000"/>
              <w:right w:val="nil" w:sz="6" w:space="0" w:color="auto"/>
            </w:tcBorders>
          </w:tcPr>
          <w:p>
            <w:pPr/>
          </w:p>
        </w:tc>
        <w:tc>
          <w:tcPr>
            <w:tcW w:w="1440" w:type="dxa"/>
            <w:tcBorders>
              <w:top w:val="nil" w:sz="6" w:space="0" w:color="auto"/>
              <w:left w:val="nil" w:sz="6" w:space="0" w:color="auto"/>
              <w:bottom w:val="single" w:sz="12" w:space="0" w:color="000000"/>
              <w:right w:val="nil" w:sz="6" w:space="0" w:color="auto"/>
            </w:tcBorders>
          </w:tcPr>
          <w:p>
            <w:pPr>
              <w:pStyle w:val="TableParagraph"/>
              <w:spacing w:line="234" w:lineRule="exact"/>
              <w:ind w:left="193"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156" w:type="dxa"/>
            <w:tcBorders>
              <w:top w:val="nil" w:sz="6" w:space="0" w:color="auto"/>
              <w:left w:val="nil" w:sz="6" w:space="0" w:color="auto"/>
              <w:bottom w:val="single" w:sz="12" w:space="0" w:color="000000"/>
              <w:right w:val="nil" w:sz="6" w:space="0" w:color="auto"/>
            </w:tcBorders>
          </w:tcPr>
          <w:p>
            <w:pPr/>
          </w:p>
        </w:tc>
        <w:tc>
          <w:tcPr>
            <w:tcW w:w="191" w:type="dxa"/>
            <w:tcBorders>
              <w:top w:val="nil" w:sz="6" w:space="0" w:color="auto"/>
              <w:left w:val="nil" w:sz="6" w:space="0" w:color="auto"/>
              <w:bottom w:val="single" w:sz="12" w:space="0" w:color="000000"/>
              <w:right w:val="nil" w:sz="6" w:space="0" w:color="auto"/>
            </w:tcBorders>
          </w:tcPr>
          <w:p>
            <w:pPr/>
          </w:p>
        </w:tc>
        <w:tc>
          <w:tcPr>
            <w:tcW w:w="2416" w:type="dxa"/>
            <w:tcBorders>
              <w:top w:val="nil" w:sz="6" w:space="0" w:color="auto"/>
              <w:left w:val="nil" w:sz="6" w:space="0" w:color="auto"/>
              <w:bottom w:val="nil" w:sz="6" w:space="0" w:color="auto"/>
              <w:right w:val="nil" w:sz="6" w:space="0" w:color="auto"/>
            </w:tcBorders>
          </w:tcPr>
          <w:p>
            <w:pPr/>
          </w:p>
        </w:tc>
      </w:tr>
      <w:tr>
        <w:trPr>
          <w:trHeight w:val="655" w:hRule="exact"/>
        </w:trPr>
        <w:tc>
          <w:tcPr>
            <w:tcW w:w="609" w:type="dxa"/>
            <w:tcBorders>
              <w:top w:val="nil" w:sz="6" w:space="0" w:color="auto"/>
              <w:left w:val="nil" w:sz="6" w:space="0" w:color="auto"/>
              <w:bottom w:val="nil" w:sz="6" w:space="0" w:color="auto"/>
              <w:right w:val="nil" w:sz="6" w:space="0" w:color="auto"/>
            </w:tcBorders>
          </w:tcPr>
          <w:p>
            <w:pPr/>
          </w:p>
        </w:tc>
        <w:tc>
          <w:tcPr>
            <w:tcW w:w="3707" w:type="dxa"/>
            <w:tcBorders>
              <w:top w:val="nil" w:sz="6" w:space="0" w:color="auto"/>
              <w:left w:val="nil" w:sz="6" w:space="0" w:color="auto"/>
              <w:bottom w:val="nil" w:sz="6" w:space="0" w:color="auto"/>
              <w:right w:val="nil" w:sz="6" w:space="0" w:color="auto"/>
            </w:tcBorders>
          </w:tcPr>
          <w:p>
            <w:pPr>
              <w:pStyle w:val="TableParagraph"/>
              <w:spacing w:line="251" w:lineRule="exact"/>
              <w:ind w:right="383"/>
              <w:jc w:val="righ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right="383"/>
              <w:jc w:val="righ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207" w:type="dxa"/>
            <w:tcBorders>
              <w:top w:val="single" w:sz="12" w:space="0" w:color="000000"/>
              <w:left w:val="nil" w:sz="6" w:space="0" w:color="auto"/>
              <w:bottom w:val="nil" w:sz="6" w:space="0" w:color="auto"/>
              <w:right w:val="nil" w:sz="6" w:space="0" w:color="auto"/>
            </w:tcBorders>
          </w:tcPr>
          <w:p>
            <w:pPr>
              <w:pStyle w:val="TableParagraph"/>
              <w:spacing w:line="230" w:lineRule="exact"/>
              <w:ind w:right="171"/>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1342" w:type="dxa"/>
            <w:tcBorders>
              <w:top w:val="single" w:sz="12" w:space="0" w:color="000000"/>
              <w:left w:val="nil" w:sz="6" w:space="0" w:color="auto"/>
              <w:bottom w:val="nil" w:sz="6" w:space="0" w:color="auto"/>
              <w:right w:val="nil" w:sz="6" w:space="0" w:color="auto"/>
            </w:tcBorders>
          </w:tcPr>
          <w:p>
            <w:pPr>
              <w:pStyle w:val="TableParagraph"/>
              <w:spacing w:line="229" w:lineRule="exact"/>
              <w:ind w:left="106" w:right="0"/>
              <w:jc w:val="left"/>
              <w:rPr>
                <w:rFonts w:ascii="宋体" w:hAnsi="宋体" w:cs="宋体" w:eastAsia="宋体" w:hint="default"/>
                <w:sz w:val="20"/>
                <w:szCs w:val="20"/>
              </w:rPr>
            </w:pPr>
            <w:r>
              <w:rPr>
                <w:rFonts w:ascii="宋体" w:hAnsi="宋体" w:cs="宋体" w:eastAsia="宋体" w:hint="default"/>
                <w:sz w:val="20"/>
                <w:szCs w:val="20"/>
              </w:rPr>
              <w:t>本年投资性</w:t>
            </w:r>
          </w:p>
          <w:p>
            <w:pPr>
              <w:pStyle w:val="TableParagraph"/>
              <w:spacing w:line="261" w:lineRule="exact"/>
              <w:ind w:left="106" w:right="0"/>
              <w:jc w:val="left"/>
              <w:rPr>
                <w:rFonts w:ascii="宋体" w:hAnsi="宋体" w:cs="宋体" w:eastAsia="宋体" w:hint="default"/>
                <w:sz w:val="20"/>
                <w:szCs w:val="20"/>
              </w:rPr>
            </w:pPr>
            <w:r>
              <w:rPr>
                <w:rFonts w:ascii="宋体" w:hAnsi="宋体" w:cs="宋体" w:eastAsia="宋体" w:hint="default"/>
                <w:sz w:val="20"/>
                <w:szCs w:val="20"/>
              </w:rPr>
              <w:t>房地产转入</w:t>
            </w:r>
          </w:p>
        </w:tc>
        <w:tc>
          <w:tcPr>
            <w:tcW w:w="1136" w:type="dxa"/>
            <w:tcBorders>
              <w:top w:val="single" w:sz="12" w:space="0" w:color="000000"/>
              <w:left w:val="nil" w:sz="6" w:space="0" w:color="auto"/>
              <w:bottom w:val="nil" w:sz="6" w:space="0" w:color="auto"/>
              <w:right w:val="nil" w:sz="6" w:space="0" w:color="auto"/>
            </w:tcBorders>
          </w:tcPr>
          <w:p>
            <w:pPr>
              <w:pStyle w:val="TableParagraph"/>
              <w:spacing w:line="229" w:lineRule="exact"/>
              <w:ind w:left="235" w:right="0"/>
              <w:jc w:val="left"/>
              <w:rPr>
                <w:rFonts w:ascii="宋体" w:hAnsi="宋体" w:cs="宋体" w:eastAsia="宋体" w:hint="default"/>
                <w:sz w:val="20"/>
                <w:szCs w:val="20"/>
              </w:rPr>
            </w:pPr>
            <w:r>
              <w:rPr>
                <w:rFonts w:ascii="宋体" w:hAnsi="宋体" w:cs="宋体" w:eastAsia="宋体" w:hint="default"/>
                <w:sz w:val="20"/>
                <w:szCs w:val="20"/>
              </w:rPr>
              <w:t>在建工程</w:t>
            </w:r>
          </w:p>
          <w:p>
            <w:pPr>
              <w:pStyle w:val="TableParagraph"/>
              <w:spacing w:line="261" w:lineRule="exact"/>
              <w:ind w:left="634" w:right="0"/>
              <w:jc w:val="left"/>
              <w:rPr>
                <w:rFonts w:ascii="宋体" w:hAnsi="宋体" w:cs="宋体" w:eastAsia="宋体" w:hint="default"/>
                <w:sz w:val="20"/>
                <w:szCs w:val="20"/>
              </w:rPr>
            </w:pPr>
            <w:r>
              <w:rPr>
                <w:rFonts w:ascii="宋体" w:hAnsi="宋体" w:cs="宋体" w:eastAsia="宋体" w:hint="default"/>
                <w:sz w:val="20"/>
                <w:szCs w:val="20"/>
              </w:rPr>
              <w:t>转入</w:t>
            </w:r>
          </w:p>
        </w:tc>
        <w:tc>
          <w:tcPr>
            <w:tcW w:w="282" w:type="dxa"/>
            <w:tcBorders>
              <w:top w:val="nil" w:sz="6" w:space="0" w:color="auto"/>
              <w:left w:val="nil" w:sz="6" w:space="0" w:color="auto"/>
              <w:bottom w:val="nil" w:sz="6" w:space="0" w:color="auto"/>
              <w:right w:val="nil" w:sz="6" w:space="0" w:color="auto"/>
            </w:tcBorders>
          </w:tcPr>
          <w:p>
            <w:pPr/>
          </w:p>
        </w:tc>
        <w:tc>
          <w:tcPr>
            <w:tcW w:w="1610" w:type="dxa"/>
            <w:tcBorders>
              <w:top w:val="single" w:sz="12" w:space="0" w:color="000000"/>
              <w:left w:val="nil" w:sz="6" w:space="0" w:color="auto"/>
              <w:bottom w:val="nil" w:sz="6" w:space="0" w:color="auto"/>
              <w:right w:val="nil" w:sz="6" w:space="0" w:color="auto"/>
            </w:tcBorders>
          </w:tcPr>
          <w:p>
            <w:pPr>
              <w:pStyle w:val="TableParagraph"/>
              <w:spacing w:line="260" w:lineRule="exact"/>
              <w:ind w:right="191"/>
              <w:jc w:val="right"/>
              <w:rPr>
                <w:rFonts w:ascii="宋体" w:hAnsi="宋体" w:cs="宋体" w:eastAsia="宋体" w:hint="default"/>
                <w:sz w:val="20"/>
                <w:szCs w:val="20"/>
              </w:rPr>
            </w:pPr>
            <w:r>
              <w:rPr>
                <w:rFonts w:ascii="宋体" w:hAnsi="宋体" w:cs="宋体" w:eastAsia="宋体" w:hint="default"/>
                <w:sz w:val="20"/>
                <w:szCs w:val="20"/>
              </w:rPr>
              <w:t>本年处置</w:t>
            </w:r>
          </w:p>
        </w:tc>
        <w:tc>
          <w:tcPr>
            <w:tcW w:w="1440" w:type="dxa"/>
            <w:tcBorders>
              <w:top w:val="single" w:sz="12" w:space="0" w:color="000000"/>
              <w:left w:val="nil" w:sz="6" w:space="0" w:color="auto"/>
              <w:bottom w:val="nil" w:sz="6" w:space="0" w:color="auto"/>
              <w:right w:val="nil" w:sz="6" w:space="0" w:color="auto"/>
            </w:tcBorders>
          </w:tcPr>
          <w:p>
            <w:pPr>
              <w:pStyle w:val="TableParagraph"/>
              <w:spacing w:line="229" w:lineRule="exact"/>
              <w:ind w:left="209" w:right="0" w:firstLine="398"/>
              <w:jc w:val="left"/>
              <w:rPr>
                <w:rFonts w:ascii="宋体" w:hAnsi="宋体" w:cs="宋体" w:eastAsia="宋体" w:hint="default"/>
                <w:sz w:val="20"/>
                <w:szCs w:val="20"/>
              </w:rPr>
            </w:pPr>
            <w:r>
              <w:rPr>
                <w:rFonts w:ascii="宋体" w:hAnsi="宋体" w:cs="宋体" w:eastAsia="宋体" w:hint="default"/>
                <w:sz w:val="20"/>
                <w:szCs w:val="20"/>
              </w:rPr>
              <w:t>本年转入</w:t>
            </w:r>
          </w:p>
          <w:p>
            <w:pPr>
              <w:pStyle w:val="TableParagraph"/>
              <w:spacing w:line="261" w:lineRule="exact"/>
              <w:ind w:left="209"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156" w:type="dxa"/>
            <w:tcBorders>
              <w:top w:val="single" w:sz="12" w:space="0" w:color="000000"/>
              <w:left w:val="nil" w:sz="6" w:space="0" w:color="auto"/>
              <w:bottom w:val="nil" w:sz="6" w:space="0" w:color="auto"/>
              <w:right w:val="nil" w:sz="6" w:space="0" w:color="auto"/>
            </w:tcBorders>
          </w:tcPr>
          <w:p>
            <w:pPr>
              <w:pStyle w:val="TableParagraph"/>
              <w:spacing w:line="229" w:lineRule="exact"/>
              <w:ind w:left="544" w:right="0" w:firstLine="1"/>
              <w:jc w:val="left"/>
              <w:rPr>
                <w:rFonts w:ascii="宋体" w:hAnsi="宋体" w:cs="宋体" w:eastAsia="宋体" w:hint="default"/>
                <w:sz w:val="20"/>
                <w:szCs w:val="20"/>
              </w:rPr>
            </w:pPr>
            <w:r>
              <w:rPr>
                <w:rFonts w:ascii="宋体" w:hAnsi="宋体" w:cs="宋体" w:eastAsia="宋体" w:hint="default"/>
                <w:sz w:val="20"/>
                <w:szCs w:val="20"/>
              </w:rPr>
              <w:t>本年减</w:t>
            </w:r>
          </w:p>
          <w:p>
            <w:pPr>
              <w:pStyle w:val="TableParagraph"/>
              <w:spacing w:line="261" w:lineRule="exact"/>
              <w:ind w:left="544" w:right="0"/>
              <w:jc w:val="left"/>
              <w:rPr>
                <w:rFonts w:ascii="宋体" w:hAnsi="宋体" w:cs="宋体" w:eastAsia="宋体" w:hint="default"/>
                <w:sz w:val="20"/>
                <w:szCs w:val="20"/>
              </w:rPr>
            </w:pPr>
            <w:r>
              <w:rPr>
                <w:rFonts w:ascii="宋体" w:hAnsi="宋体" w:cs="宋体" w:eastAsia="宋体" w:hint="default"/>
                <w:sz w:val="20"/>
                <w:szCs w:val="20"/>
              </w:rPr>
              <w:t>少小计</w:t>
            </w:r>
          </w:p>
        </w:tc>
        <w:tc>
          <w:tcPr>
            <w:tcW w:w="191" w:type="dxa"/>
            <w:tcBorders>
              <w:top w:val="single" w:sz="12" w:space="0" w:color="000000"/>
              <w:left w:val="nil" w:sz="6" w:space="0" w:color="auto"/>
              <w:bottom w:val="nil" w:sz="6" w:space="0" w:color="auto"/>
              <w:right w:val="nil" w:sz="6" w:space="0" w:color="auto"/>
            </w:tcBorders>
          </w:tcPr>
          <w:p>
            <w:pPr/>
          </w:p>
        </w:tc>
        <w:tc>
          <w:tcPr>
            <w:tcW w:w="2416" w:type="dxa"/>
            <w:tcBorders>
              <w:top w:val="nil" w:sz="6" w:space="0" w:color="auto"/>
              <w:left w:val="nil" w:sz="6" w:space="0" w:color="auto"/>
              <w:bottom w:val="nil" w:sz="6" w:space="0" w:color="auto"/>
              <w:right w:val="nil" w:sz="6" w:space="0" w:color="auto"/>
            </w:tcBorders>
          </w:tcPr>
          <w:p>
            <w:pPr/>
          </w:p>
        </w:tc>
      </w:tr>
      <w:tr>
        <w:trPr>
          <w:trHeight w:val="376" w:hRule="exact"/>
        </w:trPr>
        <w:tc>
          <w:tcPr>
            <w:tcW w:w="609" w:type="dxa"/>
            <w:tcBorders>
              <w:top w:val="nil" w:sz="6" w:space="0" w:color="auto"/>
              <w:left w:val="nil" w:sz="6" w:space="0" w:color="auto"/>
              <w:bottom w:val="nil" w:sz="6" w:space="0" w:color="auto"/>
              <w:right w:val="nil" w:sz="6" w:space="0" w:color="auto"/>
            </w:tcBorders>
          </w:tcPr>
          <w:p>
            <w:pPr/>
          </w:p>
        </w:tc>
        <w:tc>
          <w:tcPr>
            <w:tcW w:w="3707" w:type="dxa"/>
            <w:tcBorders>
              <w:top w:val="nil" w:sz="6" w:space="0" w:color="auto"/>
              <w:left w:val="nil" w:sz="6" w:space="0" w:color="auto"/>
              <w:bottom w:val="single" w:sz="4" w:space="0" w:color="000000"/>
              <w:right w:val="nil" w:sz="6" w:space="0" w:color="auto"/>
            </w:tcBorders>
          </w:tcPr>
          <w:p>
            <w:pPr>
              <w:pStyle w:val="TableParagraph"/>
              <w:tabs>
                <w:tab w:pos="2714" w:val="left" w:leader="none"/>
              </w:tabs>
              <w:spacing w:line="240" w:lineRule="auto" w:before="81"/>
              <w:ind w:right="323"/>
              <w:jc w:val="right"/>
              <w:rPr>
                <w:rFonts w:ascii="Arial" w:hAnsi="Arial" w:cs="Arial" w:eastAsia="Arial" w:hint="default"/>
                <w:sz w:val="20"/>
                <w:szCs w:val="20"/>
              </w:rPr>
            </w:pPr>
            <w:r>
              <w:rPr>
                <w:rFonts w:ascii="宋体" w:hAnsi="宋体" w:cs="宋体" w:eastAsia="宋体" w:hint="default"/>
                <w:position w:val="1"/>
                <w:sz w:val="20"/>
                <w:szCs w:val="20"/>
              </w:rPr>
              <w:t>原价合计</w:t>
              <w:tab/>
            </w:r>
            <w:r>
              <w:rPr>
                <w:rFonts w:ascii="Arial" w:hAnsi="Arial" w:cs="Arial" w:eastAsia="Arial" w:hint="default"/>
                <w:sz w:val="20"/>
                <w:szCs w:val="20"/>
              </w:rPr>
              <w:t>3,397,</w:t>
            </w: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137"/>
              <w:ind w:right="171"/>
              <w:jc w:val="right"/>
              <w:rPr>
                <w:rFonts w:ascii="Arial" w:hAnsi="Arial" w:cs="Arial" w:eastAsia="Arial" w:hint="default"/>
                <w:sz w:val="20"/>
                <w:szCs w:val="20"/>
              </w:rPr>
            </w:pPr>
            <w:r>
              <w:rPr>
                <w:rFonts w:ascii="Arial"/>
                <w:spacing w:val="-1"/>
                <w:sz w:val="20"/>
              </w:rPr>
              <w:t>729,355</w:t>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137"/>
              <w:ind w:left="347" w:right="0"/>
              <w:jc w:val="left"/>
              <w:rPr>
                <w:rFonts w:ascii="Arial" w:hAnsi="Arial" w:cs="Arial" w:eastAsia="Arial" w:hint="default"/>
                <w:sz w:val="20"/>
                <w:szCs w:val="20"/>
              </w:rPr>
            </w:pPr>
            <w:r>
              <w:rPr>
                <w:rFonts w:ascii="Arial"/>
                <w:sz w:val="20"/>
              </w:rPr>
              <w:t>93,339</w:t>
            </w: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137"/>
              <w:ind w:right="99"/>
              <w:jc w:val="right"/>
              <w:rPr>
                <w:rFonts w:ascii="Arial" w:hAnsi="Arial" w:cs="Arial" w:eastAsia="Arial" w:hint="default"/>
                <w:sz w:val="20"/>
                <w:szCs w:val="20"/>
              </w:rPr>
            </w:pPr>
            <w:r>
              <w:rPr>
                <w:rFonts w:ascii="Arial"/>
                <w:spacing w:val="-1"/>
                <w:sz w:val="20"/>
              </w:rPr>
              <w:t>551,713</w:t>
            </w:r>
          </w:p>
        </w:tc>
        <w:tc>
          <w:tcPr>
            <w:tcW w:w="282" w:type="dxa"/>
            <w:tcBorders>
              <w:top w:val="nil" w:sz="6" w:space="0" w:color="auto"/>
              <w:left w:val="nil" w:sz="6" w:space="0" w:color="auto"/>
              <w:bottom w:val="single" w:sz="4" w:space="0" w:color="000000"/>
              <w:right w:val="nil" w:sz="6" w:space="0" w:color="auto"/>
            </w:tcBorders>
          </w:tcPr>
          <w:p>
            <w:pP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137"/>
              <w:ind w:right="223"/>
              <w:jc w:val="right"/>
              <w:rPr>
                <w:rFonts w:ascii="Arial" w:hAnsi="Arial" w:cs="Arial" w:eastAsia="Arial" w:hint="default"/>
                <w:sz w:val="20"/>
                <w:szCs w:val="20"/>
              </w:rPr>
            </w:pPr>
            <w:r>
              <w:rPr>
                <w:rFonts w:ascii="Arial"/>
                <w:spacing w:val="-1"/>
                <w:sz w:val="20"/>
              </w:rPr>
              <w:t>(43,374)</w:t>
            </w:r>
          </w:p>
        </w:tc>
        <w:tc>
          <w:tcPr>
            <w:tcW w:w="1440" w:type="dxa"/>
            <w:tcBorders>
              <w:top w:val="nil" w:sz="6" w:space="0" w:color="auto"/>
              <w:left w:val="nil" w:sz="6" w:space="0" w:color="auto"/>
              <w:bottom w:val="single" w:sz="4" w:space="0" w:color="000000"/>
              <w:right w:val="nil" w:sz="6" w:space="0" w:color="auto"/>
            </w:tcBorders>
          </w:tcPr>
          <w:p>
            <w:pP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137"/>
              <w:ind w:left="29" w:right="0"/>
              <w:jc w:val="left"/>
              <w:rPr>
                <w:rFonts w:ascii="Arial" w:hAnsi="Arial" w:cs="Arial" w:eastAsia="Arial" w:hint="default"/>
                <w:sz w:val="20"/>
                <w:szCs w:val="20"/>
              </w:rPr>
            </w:pPr>
            <w:r>
              <w:rPr>
                <w:rFonts w:ascii="Arial"/>
                <w:w w:val="100"/>
                <w:sz w:val="20"/>
              </w:rPr>
              <w:t>(</w:t>
            </w:r>
          </w:p>
        </w:tc>
        <w:tc>
          <w:tcPr>
            <w:tcW w:w="191" w:type="dxa"/>
            <w:tcBorders>
              <w:top w:val="nil" w:sz="6" w:space="0" w:color="auto"/>
              <w:left w:val="nil" w:sz="6" w:space="0" w:color="auto"/>
              <w:bottom w:val="single" w:sz="4" w:space="0" w:color="000000"/>
              <w:right w:val="nil" w:sz="6" w:space="0" w:color="auto"/>
            </w:tcBorders>
          </w:tcPr>
          <w:p>
            <w:pPr>
              <w:pStyle w:val="TableParagraph"/>
              <w:spacing w:line="240" w:lineRule="auto" w:before="137"/>
              <w:ind w:right="2"/>
              <w:jc w:val="right"/>
              <w:rPr>
                <w:rFonts w:ascii="Arial" w:hAnsi="Arial" w:cs="Arial" w:eastAsia="Arial" w:hint="default"/>
                <w:sz w:val="20"/>
                <w:szCs w:val="20"/>
              </w:rPr>
            </w:pPr>
            <w:r>
              <w:rPr>
                <w:rFonts w:ascii="Arial"/>
                <w:sz w:val="20"/>
              </w:rPr>
              <w:t>(2</w:t>
            </w:r>
          </w:p>
        </w:tc>
        <w:tc>
          <w:tcPr>
            <w:tcW w:w="2416" w:type="dxa"/>
            <w:tcBorders>
              <w:top w:val="nil" w:sz="6" w:space="0" w:color="auto"/>
              <w:left w:val="nil" w:sz="6" w:space="0" w:color="auto"/>
              <w:bottom w:val="single" w:sz="4" w:space="0" w:color="000000"/>
              <w:right w:val="nil" w:sz="6" w:space="0" w:color="auto"/>
            </w:tcBorders>
          </w:tcPr>
          <w:p>
            <w:pPr>
              <w:pStyle w:val="TableParagraph"/>
              <w:spacing w:line="240" w:lineRule="auto" w:before="137"/>
              <w:ind w:right="201"/>
              <w:jc w:val="right"/>
              <w:rPr>
                <w:rFonts w:ascii="Arial" w:hAnsi="Arial" w:cs="Arial" w:eastAsia="Arial" w:hint="default"/>
                <w:sz w:val="20"/>
                <w:szCs w:val="20"/>
              </w:rPr>
            </w:pPr>
            <w:r>
              <w:rPr>
                <w:rFonts w:ascii="Arial"/>
                <w:spacing w:val="-1"/>
                <w:sz w:val="20"/>
              </w:rPr>
              <w:t>4,569,264</w:t>
            </w:r>
          </w:p>
        </w:tc>
      </w:tr>
      <w:tr>
        <w:trPr>
          <w:trHeight w:val="276" w:hRule="exact"/>
        </w:trPr>
        <w:tc>
          <w:tcPr>
            <w:tcW w:w="609" w:type="dxa"/>
            <w:tcBorders>
              <w:top w:val="nil" w:sz="6" w:space="0" w:color="auto"/>
              <w:left w:val="nil" w:sz="6" w:space="0" w:color="auto"/>
              <w:bottom w:val="nil" w:sz="6" w:space="0" w:color="auto"/>
              <w:right w:val="single" w:sz="4" w:space="0" w:color="000000"/>
            </w:tcBorders>
          </w:tcPr>
          <w:p>
            <w:pPr/>
          </w:p>
        </w:tc>
        <w:tc>
          <w:tcPr>
            <w:tcW w:w="3707" w:type="dxa"/>
            <w:tcBorders>
              <w:top w:val="single" w:sz="4" w:space="0" w:color="000000"/>
              <w:left w:val="single" w:sz="4" w:space="0" w:color="000000"/>
              <w:bottom w:val="nil" w:sz="6" w:space="0" w:color="auto"/>
              <w:right w:val="nil" w:sz="6" w:space="0" w:color="auto"/>
            </w:tcBorders>
          </w:tcPr>
          <w:p>
            <w:pPr>
              <w:pStyle w:val="TableParagraph"/>
              <w:tabs>
                <w:tab w:pos="2516" w:val="left" w:leader="none"/>
              </w:tabs>
              <w:spacing w:line="257" w:lineRule="exact"/>
              <w:ind w:right="323"/>
              <w:jc w:val="right"/>
              <w:rPr>
                <w:rFonts w:ascii="Arial" w:hAnsi="Arial" w:cs="Arial" w:eastAsia="Arial" w:hint="default"/>
                <w:sz w:val="20"/>
                <w:szCs w:val="20"/>
              </w:rPr>
            </w:pPr>
            <w:r>
              <w:rPr>
                <w:rFonts w:ascii="宋体" w:hAnsi="宋体" w:cs="宋体" w:eastAsia="宋体" w:hint="default"/>
                <w:spacing w:val="-1"/>
                <w:position w:val="1"/>
                <w:sz w:val="20"/>
                <w:szCs w:val="20"/>
              </w:rPr>
              <w:t>房屋及建筑物</w:t>
              <w:tab/>
            </w:r>
            <w:r>
              <w:rPr>
                <w:rFonts w:ascii="Arial" w:hAnsi="Arial" w:cs="Arial" w:eastAsia="Arial" w:hint="default"/>
                <w:sz w:val="20"/>
                <w:szCs w:val="20"/>
              </w:rPr>
              <w:t>2,833,</w:t>
            </w:r>
          </w:p>
        </w:tc>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71"/>
              <w:jc w:val="right"/>
              <w:rPr>
                <w:rFonts w:ascii="Arial" w:hAnsi="Arial" w:cs="Arial" w:eastAsia="Arial" w:hint="default"/>
                <w:sz w:val="20"/>
                <w:szCs w:val="20"/>
              </w:rPr>
            </w:pPr>
            <w:r>
              <w:rPr>
                <w:rFonts w:ascii="Arial"/>
                <w:spacing w:val="-1"/>
                <w:sz w:val="20"/>
              </w:rPr>
              <w:t>463,566</w:t>
            </w: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347" w:right="0"/>
              <w:jc w:val="left"/>
              <w:rPr>
                <w:rFonts w:ascii="Arial" w:hAnsi="Arial" w:cs="Arial" w:eastAsia="Arial" w:hint="default"/>
                <w:sz w:val="20"/>
                <w:szCs w:val="20"/>
              </w:rPr>
            </w:pPr>
            <w:r>
              <w:rPr>
                <w:rFonts w:ascii="Arial"/>
                <w:sz w:val="20"/>
              </w:rPr>
              <w:t>93,339</w:t>
            </w: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99"/>
              <w:jc w:val="right"/>
              <w:rPr>
                <w:rFonts w:ascii="Arial" w:hAnsi="Arial" w:cs="Arial" w:eastAsia="Arial" w:hint="default"/>
                <w:sz w:val="20"/>
                <w:szCs w:val="20"/>
              </w:rPr>
            </w:pPr>
            <w:r>
              <w:rPr>
                <w:rFonts w:ascii="Arial"/>
                <w:spacing w:val="-1"/>
                <w:sz w:val="20"/>
              </w:rPr>
              <w:t>549,559</w:t>
            </w:r>
          </w:p>
        </w:tc>
        <w:tc>
          <w:tcPr>
            <w:tcW w:w="282" w:type="dxa"/>
            <w:tcBorders>
              <w:top w:val="single" w:sz="4" w:space="0" w:color="000000"/>
              <w:left w:val="nil" w:sz="6" w:space="0" w:color="auto"/>
              <w:bottom w:val="nil" w:sz="6" w:space="0" w:color="auto"/>
              <w:right w:val="nil" w:sz="6" w:space="0" w:color="auto"/>
            </w:tcBorders>
          </w:tcPr>
          <w:p>
            <w:pPr/>
          </w:p>
        </w:tc>
        <w:tc>
          <w:tcPr>
            <w:tcW w:w="161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90"/>
              <w:jc w:val="right"/>
              <w:rPr>
                <w:rFonts w:ascii="Arial" w:hAnsi="Arial" w:cs="Arial" w:eastAsia="Arial" w:hint="default"/>
                <w:sz w:val="20"/>
                <w:szCs w:val="20"/>
              </w:rPr>
            </w:pPr>
            <w:r>
              <w:rPr>
                <w:rFonts w:ascii="Arial"/>
                <w:w w:val="100"/>
                <w:sz w:val="20"/>
              </w:rPr>
              <w:t>-</w:t>
            </w:r>
          </w:p>
        </w:tc>
        <w:tc>
          <w:tcPr>
            <w:tcW w:w="1440" w:type="dxa"/>
            <w:tcBorders>
              <w:top w:val="single" w:sz="4" w:space="0" w:color="000000"/>
              <w:left w:val="nil" w:sz="6" w:space="0" w:color="auto"/>
              <w:bottom w:val="nil" w:sz="6" w:space="0" w:color="auto"/>
              <w:right w:val="nil" w:sz="6" w:space="0" w:color="auto"/>
            </w:tcBorders>
          </w:tcPr>
          <w:p>
            <w:pP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9" w:right="0"/>
              <w:jc w:val="left"/>
              <w:rPr>
                <w:rFonts w:ascii="Arial" w:hAnsi="Arial" w:cs="Arial" w:eastAsia="Arial" w:hint="default"/>
                <w:sz w:val="20"/>
                <w:szCs w:val="20"/>
              </w:rPr>
            </w:pPr>
            <w:r>
              <w:rPr>
                <w:rFonts w:ascii="Arial"/>
                <w:w w:val="100"/>
                <w:sz w:val="20"/>
              </w:rPr>
              <w:t>(</w:t>
            </w:r>
          </w:p>
        </w:tc>
        <w:tc>
          <w:tcPr>
            <w:tcW w:w="19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
              <w:jc w:val="right"/>
              <w:rPr>
                <w:rFonts w:ascii="Arial" w:hAnsi="Arial" w:cs="Arial" w:eastAsia="Arial" w:hint="default"/>
                <w:sz w:val="20"/>
                <w:szCs w:val="20"/>
              </w:rPr>
            </w:pPr>
            <w:r>
              <w:rPr>
                <w:rFonts w:ascii="Arial"/>
                <w:sz w:val="20"/>
              </w:rPr>
              <w:t>(1</w:t>
            </w:r>
          </w:p>
        </w:tc>
        <w:tc>
          <w:tcPr>
            <w:tcW w:w="2416" w:type="dxa"/>
            <w:tcBorders>
              <w:top w:val="single" w:sz="4" w:space="0" w:color="000000"/>
              <w:left w:val="nil" w:sz="6" w:space="0" w:color="auto"/>
              <w:bottom w:val="nil" w:sz="6" w:space="0" w:color="auto"/>
              <w:right w:val="single" w:sz="4" w:space="0" w:color="000000"/>
            </w:tcBorders>
          </w:tcPr>
          <w:p>
            <w:pPr>
              <w:pStyle w:val="TableParagraph"/>
              <w:spacing w:line="240" w:lineRule="auto" w:before="27"/>
              <w:ind w:right="198"/>
              <w:jc w:val="right"/>
              <w:rPr>
                <w:rFonts w:ascii="Arial" w:hAnsi="Arial" w:cs="Arial" w:eastAsia="Arial" w:hint="default"/>
                <w:sz w:val="20"/>
                <w:szCs w:val="20"/>
              </w:rPr>
            </w:pPr>
            <w:r>
              <w:rPr>
                <w:rFonts w:ascii="Arial"/>
                <w:spacing w:val="-1"/>
                <w:sz w:val="20"/>
              </w:rPr>
              <w:t>3,781,145</w:t>
            </w:r>
          </w:p>
        </w:tc>
      </w:tr>
      <w:tr>
        <w:trPr>
          <w:trHeight w:val="260" w:hRule="exact"/>
        </w:trPr>
        <w:tc>
          <w:tcPr>
            <w:tcW w:w="609" w:type="dxa"/>
            <w:tcBorders>
              <w:top w:val="nil" w:sz="6" w:space="0" w:color="auto"/>
              <w:left w:val="nil" w:sz="6" w:space="0" w:color="auto"/>
              <w:bottom w:val="nil" w:sz="6" w:space="0" w:color="auto"/>
              <w:right w:val="single" w:sz="4" w:space="0" w:color="000000"/>
            </w:tcBorders>
          </w:tcPr>
          <w:p>
            <w:pPr/>
          </w:p>
        </w:tc>
        <w:tc>
          <w:tcPr>
            <w:tcW w:w="3707" w:type="dxa"/>
            <w:tcBorders>
              <w:top w:val="nil" w:sz="6" w:space="0" w:color="auto"/>
              <w:left w:val="single" w:sz="4" w:space="0" w:color="000000"/>
              <w:bottom w:val="nil" w:sz="6" w:space="0" w:color="auto"/>
              <w:right w:val="nil" w:sz="6" w:space="0" w:color="auto"/>
            </w:tcBorders>
          </w:tcPr>
          <w:p>
            <w:pPr>
              <w:pStyle w:val="TableParagraph"/>
              <w:tabs>
                <w:tab w:pos="2809" w:val="left" w:leader="none"/>
              </w:tabs>
              <w:spacing w:line="246" w:lineRule="exact"/>
              <w:ind w:right="309"/>
              <w:jc w:val="right"/>
              <w:rPr>
                <w:rFonts w:ascii="Arial" w:hAnsi="Arial" w:cs="Arial" w:eastAsia="Arial" w:hint="default"/>
                <w:sz w:val="20"/>
                <w:szCs w:val="20"/>
              </w:rPr>
            </w:pPr>
            <w:r>
              <w:rPr>
                <w:rFonts w:ascii="宋体" w:hAnsi="宋体" w:cs="宋体" w:eastAsia="宋体" w:hint="default"/>
                <w:position w:val="1"/>
                <w:sz w:val="20"/>
                <w:szCs w:val="20"/>
              </w:rPr>
              <w:t>机器设备</w:t>
              <w:tab/>
            </w:r>
            <w:r>
              <w:rPr>
                <w:rFonts w:ascii="Arial" w:hAnsi="Arial" w:cs="Arial" w:eastAsia="Arial" w:hint="default"/>
                <w:sz w:val="20"/>
                <w:szCs w:val="20"/>
              </w:rPr>
              <w:t>21,</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0"/>
              <w:jc w:val="right"/>
              <w:rPr>
                <w:rFonts w:ascii="Arial" w:hAnsi="Arial" w:cs="Arial" w:eastAsia="Arial" w:hint="default"/>
                <w:sz w:val="20"/>
                <w:szCs w:val="20"/>
              </w:rPr>
            </w:pPr>
            <w:r>
              <w:rPr>
                <w:rFonts w:ascii="Arial"/>
                <w:sz w:val="20"/>
              </w:rPr>
              <w:t>10,381</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79"/>
              <w:jc w:val="right"/>
              <w:rPr>
                <w:rFonts w:ascii="Arial" w:hAnsi="Arial" w:cs="Arial" w:eastAsia="Arial" w:hint="default"/>
                <w:sz w:val="20"/>
                <w:szCs w:val="20"/>
              </w:rPr>
            </w:pPr>
            <w:r>
              <w:rPr>
                <w:rFonts w:ascii="Arial"/>
                <w:w w:val="100"/>
                <w:sz w:val="20"/>
              </w:rPr>
              <w:t>-</w:t>
            </w:r>
          </w:p>
        </w:tc>
        <w:tc>
          <w:tcPr>
            <w:tcW w:w="113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3"/>
              <w:jc w:val="right"/>
              <w:rPr>
                <w:rFonts w:ascii="Arial" w:hAnsi="Arial" w:cs="Arial" w:eastAsia="Arial" w:hint="default"/>
                <w:sz w:val="20"/>
                <w:szCs w:val="20"/>
              </w:rPr>
            </w:pPr>
            <w:r>
              <w:rPr>
                <w:rFonts w:ascii="Arial"/>
                <w:spacing w:val="-1"/>
                <w:sz w:val="20"/>
              </w:rPr>
              <w:t>(128)</w:t>
            </w:r>
          </w:p>
        </w:tc>
        <w:tc>
          <w:tcPr>
            <w:tcW w:w="1440"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2416"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right="196"/>
              <w:jc w:val="right"/>
              <w:rPr>
                <w:rFonts w:ascii="Arial" w:hAnsi="Arial" w:cs="Arial" w:eastAsia="Arial" w:hint="default"/>
                <w:sz w:val="20"/>
                <w:szCs w:val="20"/>
              </w:rPr>
            </w:pPr>
            <w:r>
              <w:rPr>
                <w:rFonts w:ascii="Arial"/>
                <w:sz w:val="20"/>
              </w:rPr>
              <w:t>31,264</w:t>
            </w:r>
          </w:p>
        </w:tc>
      </w:tr>
      <w:tr>
        <w:trPr>
          <w:trHeight w:val="260" w:hRule="exact"/>
        </w:trPr>
        <w:tc>
          <w:tcPr>
            <w:tcW w:w="609" w:type="dxa"/>
            <w:tcBorders>
              <w:top w:val="nil" w:sz="6" w:space="0" w:color="auto"/>
              <w:left w:val="nil" w:sz="6" w:space="0" w:color="auto"/>
              <w:bottom w:val="nil" w:sz="6" w:space="0" w:color="auto"/>
              <w:right w:val="single" w:sz="4" w:space="0" w:color="000000"/>
            </w:tcBorders>
          </w:tcPr>
          <w:p>
            <w:pPr/>
          </w:p>
        </w:tc>
        <w:tc>
          <w:tcPr>
            <w:tcW w:w="3707" w:type="dxa"/>
            <w:tcBorders>
              <w:top w:val="nil" w:sz="6" w:space="0" w:color="auto"/>
              <w:left w:val="single" w:sz="4" w:space="0" w:color="000000"/>
              <w:bottom w:val="nil" w:sz="6" w:space="0" w:color="auto"/>
              <w:right w:val="nil" w:sz="6" w:space="0" w:color="auto"/>
            </w:tcBorders>
          </w:tcPr>
          <w:p>
            <w:pPr>
              <w:pStyle w:val="TableParagraph"/>
              <w:tabs>
                <w:tab w:pos="2793" w:val="left" w:leader="none"/>
              </w:tabs>
              <w:spacing w:line="246" w:lineRule="exact"/>
              <w:ind w:right="325"/>
              <w:jc w:val="right"/>
              <w:rPr>
                <w:rFonts w:ascii="Arial" w:hAnsi="Arial" w:cs="Arial" w:eastAsia="Arial" w:hint="default"/>
                <w:sz w:val="20"/>
                <w:szCs w:val="20"/>
              </w:rPr>
            </w:pPr>
            <w:r>
              <w:rPr>
                <w:rFonts w:ascii="宋体" w:hAnsi="宋体" w:cs="宋体" w:eastAsia="宋体" w:hint="default"/>
                <w:position w:val="1"/>
                <w:sz w:val="20"/>
                <w:szCs w:val="20"/>
              </w:rPr>
              <w:t>运输工具</w:t>
              <w:tab/>
            </w:r>
            <w:r>
              <w:rPr>
                <w:rFonts w:ascii="Arial" w:hAnsi="Arial" w:cs="Arial" w:eastAsia="Arial" w:hint="default"/>
                <w:sz w:val="20"/>
                <w:szCs w:val="20"/>
              </w:rPr>
              <w:t>76,</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1"/>
              <w:jc w:val="right"/>
              <w:rPr>
                <w:rFonts w:ascii="Arial" w:hAnsi="Arial" w:cs="Arial" w:eastAsia="Arial" w:hint="default"/>
                <w:sz w:val="20"/>
                <w:szCs w:val="20"/>
              </w:rPr>
            </w:pPr>
            <w:r>
              <w:rPr>
                <w:rFonts w:ascii="Arial"/>
                <w:sz w:val="20"/>
              </w:rPr>
              <w:t>39,882</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79"/>
              <w:jc w:val="right"/>
              <w:rPr>
                <w:rFonts w:ascii="Arial" w:hAnsi="Arial" w:cs="Arial" w:eastAsia="Arial" w:hint="default"/>
                <w:sz w:val="20"/>
                <w:szCs w:val="20"/>
              </w:rPr>
            </w:pPr>
            <w:r>
              <w:rPr>
                <w:rFonts w:ascii="Arial"/>
                <w:w w:val="100"/>
                <w:sz w:val="20"/>
              </w:rPr>
              <w:t>-</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right"/>
              <w:rPr>
                <w:rFonts w:ascii="Arial" w:hAnsi="Arial" w:cs="Arial" w:eastAsia="Arial" w:hint="default"/>
                <w:sz w:val="20"/>
                <w:szCs w:val="20"/>
              </w:rPr>
            </w:pPr>
            <w:r>
              <w:rPr>
                <w:rFonts w:ascii="Arial"/>
                <w:w w:val="100"/>
                <w:sz w:val="20"/>
              </w:rPr>
              <w:t>-</w:t>
            </w:r>
          </w:p>
        </w:tc>
        <w:tc>
          <w:tcPr>
            <w:tcW w:w="282"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3"/>
              <w:jc w:val="right"/>
              <w:rPr>
                <w:rFonts w:ascii="Arial" w:hAnsi="Arial" w:cs="Arial" w:eastAsia="Arial" w:hint="default"/>
                <w:sz w:val="20"/>
                <w:szCs w:val="20"/>
              </w:rPr>
            </w:pPr>
            <w:r>
              <w:rPr>
                <w:rFonts w:ascii="Arial"/>
                <w:spacing w:val="-1"/>
                <w:sz w:val="20"/>
              </w:rPr>
              <w:t>(7,596)</w:t>
            </w:r>
          </w:p>
        </w:tc>
        <w:tc>
          <w:tcPr>
            <w:tcW w:w="1440"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2416"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right="197"/>
              <w:jc w:val="right"/>
              <w:rPr>
                <w:rFonts w:ascii="Arial" w:hAnsi="Arial" w:cs="Arial" w:eastAsia="Arial" w:hint="default"/>
                <w:sz w:val="20"/>
                <w:szCs w:val="20"/>
              </w:rPr>
            </w:pPr>
            <w:r>
              <w:rPr>
                <w:rFonts w:ascii="Arial"/>
                <w:spacing w:val="-1"/>
                <w:sz w:val="20"/>
              </w:rPr>
              <w:t>108,781</w:t>
            </w:r>
          </w:p>
        </w:tc>
      </w:tr>
      <w:tr>
        <w:trPr>
          <w:trHeight w:val="260" w:hRule="exact"/>
        </w:trPr>
        <w:tc>
          <w:tcPr>
            <w:tcW w:w="609" w:type="dxa"/>
            <w:tcBorders>
              <w:top w:val="nil" w:sz="6" w:space="0" w:color="auto"/>
              <w:left w:val="nil" w:sz="6" w:space="0" w:color="auto"/>
              <w:bottom w:val="nil" w:sz="6" w:space="0" w:color="auto"/>
              <w:right w:val="single" w:sz="4" w:space="0" w:color="000000"/>
            </w:tcBorders>
          </w:tcPr>
          <w:p>
            <w:pPr/>
          </w:p>
        </w:tc>
        <w:tc>
          <w:tcPr>
            <w:tcW w:w="3707" w:type="dxa"/>
            <w:tcBorders>
              <w:top w:val="nil" w:sz="6" w:space="0" w:color="auto"/>
              <w:left w:val="single" w:sz="4" w:space="0" w:color="000000"/>
              <w:bottom w:val="nil" w:sz="6" w:space="0" w:color="auto"/>
              <w:right w:val="nil" w:sz="6" w:space="0" w:color="auto"/>
            </w:tcBorders>
          </w:tcPr>
          <w:p>
            <w:pPr>
              <w:pStyle w:val="TableParagraph"/>
              <w:tabs>
                <w:tab w:pos="2683" w:val="left" w:leader="none"/>
              </w:tabs>
              <w:spacing w:line="246" w:lineRule="exact"/>
              <w:ind w:right="323"/>
              <w:jc w:val="right"/>
              <w:rPr>
                <w:rFonts w:ascii="Arial" w:hAnsi="Arial" w:cs="Arial" w:eastAsia="Arial" w:hint="default"/>
                <w:sz w:val="20"/>
                <w:szCs w:val="20"/>
              </w:rPr>
            </w:pPr>
            <w:r>
              <w:rPr>
                <w:rFonts w:ascii="宋体" w:hAnsi="宋体" w:cs="宋体" w:eastAsia="宋体" w:hint="default"/>
                <w:position w:val="1"/>
                <w:sz w:val="20"/>
                <w:szCs w:val="20"/>
              </w:rPr>
              <w:t>电子设备</w:t>
              <w:tab/>
            </w:r>
            <w:r>
              <w:rPr>
                <w:rFonts w:ascii="Arial" w:hAnsi="Arial" w:cs="Arial" w:eastAsia="Arial" w:hint="default"/>
                <w:sz w:val="20"/>
                <w:szCs w:val="20"/>
              </w:rPr>
              <w:t>419,</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1"/>
              <w:jc w:val="right"/>
              <w:rPr>
                <w:rFonts w:ascii="Arial" w:hAnsi="Arial" w:cs="Arial" w:eastAsia="Arial" w:hint="default"/>
                <w:sz w:val="20"/>
                <w:szCs w:val="20"/>
              </w:rPr>
            </w:pPr>
            <w:r>
              <w:rPr>
                <w:rFonts w:ascii="Arial"/>
                <w:spacing w:val="-3"/>
                <w:sz w:val="20"/>
              </w:rPr>
              <w:t>117,471</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79"/>
              <w:jc w:val="right"/>
              <w:rPr>
                <w:rFonts w:ascii="Arial" w:hAnsi="Arial" w:cs="Arial" w:eastAsia="Arial" w:hint="default"/>
                <w:sz w:val="20"/>
                <w:szCs w:val="20"/>
              </w:rPr>
            </w:pPr>
            <w:r>
              <w:rPr>
                <w:rFonts w:ascii="Arial"/>
                <w:w w:val="100"/>
                <w:sz w:val="20"/>
              </w:rPr>
              <w:t>-</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z w:val="20"/>
              </w:rPr>
              <w:t>2,090</w:t>
            </w:r>
          </w:p>
        </w:tc>
        <w:tc>
          <w:tcPr>
            <w:tcW w:w="282"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3"/>
              <w:jc w:val="right"/>
              <w:rPr>
                <w:rFonts w:ascii="Arial" w:hAnsi="Arial" w:cs="Arial" w:eastAsia="Arial" w:hint="default"/>
                <w:sz w:val="20"/>
                <w:szCs w:val="20"/>
              </w:rPr>
            </w:pPr>
            <w:r>
              <w:rPr>
                <w:rFonts w:ascii="Arial"/>
                <w:spacing w:val="-1"/>
                <w:sz w:val="20"/>
              </w:rPr>
              <w:t>(35,447)</w:t>
            </w:r>
          </w:p>
        </w:tc>
        <w:tc>
          <w:tcPr>
            <w:tcW w:w="1440"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
              <w:jc w:val="right"/>
              <w:rPr>
                <w:rFonts w:ascii="Arial" w:hAnsi="Arial" w:cs="Arial" w:eastAsia="Arial" w:hint="default"/>
                <w:sz w:val="20"/>
                <w:szCs w:val="20"/>
              </w:rPr>
            </w:pPr>
            <w:r>
              <w:rPr>
                <w:rFonts w:ascii="Arial"/>
                <w:w w:val="100"/>
                <w:sz w:val="20"/>
              </w:rPr>
              <w:t>(</w:t>
            </w:r>
          </w:p>
        </w:tc>
        <w:tc>
          <w:tcPr>
            <w:tcW w:w="2416"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right="197"/>
              <w:jc w:val="right"/>
              <w:rPr>
                <w:rFonts w:ascii="Arial" w:hAnsi="Arial" w:cs="Arial" w:eastAsia="Arial" w:hint="default"/>
                <w:sz w:val="20"/>
                <w:szCs w:val="20"/>
              </w:rPr>
            </w:pPr>
            <w:r>
              <w:rPr>
                <w:rFonts w:ascii="Arial"/>
                <w:spacing w:val="-1"/>
                <w:sz w:val="20"/>
              </w:rPr>
              <w:t>503,506</w:t>
            </w:r>
          </w:p>
        </w:tc>
      </w:tr>
      <w:tr>
        <w:trPr>
          <w:trHeight w:val="253" w:hRule="exact"/>
        </w:trPr>
        <w:tc>
          <w:tcPr>
            <w:tcW w:w="609" w:type="dxa"/>
            <w:tcBorders>
              <w:top w:val="nil" w:sz="6" w:space="0" w:color="auto"/>
              <w:left w:val="nil" w:sz="6" w:space="0" w:color="auto"/>
              <w:bottom w:val="nil" w:sz="6" w:space="0" w:color="auto"/>
              <w:right w:val="single" w:sz="4" w:space="0" w:color="000000"/>
            </w:tcBorders>
          </w:tcPr>
          <w:p>
            <w:pPr/>
          </w:p>
        </w:tc>
        <w:tc>
          <w:tcPr>
            <w:tcW w:w="3707" w:type="dxa"/>
            <w:tcBorders>
              <w:top w:val="nil" w:sz="6" w:space="0" w:color="auto"/>
              <w:left w:val="single" w:sz="4" w:space="0" w:color="000000"/>
              <w:bottom w:val="single" w:sz="4" w:space="0" w:color="000000"/>
              <w:right w:val="nil" w:sz="6" w:space="0" w:color="auto"/>
            </w:tcBorders>
          </w:tcPr>
          <w:p>
            <w:pPr>
              <w:pStyle w:val="TableParagraph"/>
              <w:tabs>
                <w:tab w:pos="2793" w:val="left" w:leader="none"/>
              </w:tabs>
              <w:spacing w:line="246" w:lineRule="exact"/>
              <w:ind w:right="325"/>
              <w:jc w:val="right"/>
              <w:rPr>
                <w:rFonts w:ascii="Arial" w:hAnsi="Arial" w:cs="Arial" w:eastAsia="Arial" w:hint="default"/>
                <w:sz w:val="20"/>
                <w:szCs w:val="20"/>
              </w:rPr>
            </w:pPr>
            <w:r>
              <w:rPr>
                <w:rFonts w:ascii="宋体" w:hAnsi="宋体" w:cs="宋体" w:eastAsia="宋体" w:hint="default"/>
                <w:position w:val="1"/>
                <w:sz w:val="20"/>
                <w:szCs w:val="20"/>
              </w:rPr>
              <w:t>其他设备</w:t>
              <w:tab/>
            </w:r>
            <w:r>
              <w:rPr>
                <w:rFonts w:ascii="Arial" w:hAnsi="Arial" w:cs="Arial" w:eastAsia="Arial" w:hint="default"/>
                <w:sz w:val="20"/>
                <w:szCs w:val="20"/>
              </w:rPr>
              <w:t>46,</w:t>
            </w: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70"/>
              <w:jc w:val="right"/>
              <w:rPr>
                <w:rFonts w:ascii="Arial" w:hAnsi="Arial" w:cs="Arial" w:eastAsia="Arial" w:hint="default"/>
                <w:sz w:val="20"/>
                <w:szCs w:val="20"/>
              </w:rPr>
            </w:pPr>
            <w:r>
              <w:rPr>
                <w:rFonts w:ascii="Arial"/>
                <w:sz w:val="20"/>
              </w:rPr>
              <w:t>98,055</w:t>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379"/>
              <w:jc w:val="right"/>
              <w:rPr>
                <w:rFonts w:ascii="Arial" w:hAnsi="Arial" w:cs="Arial" w:eastAsia="Arial" w:hint="default"/>
                <w:sz w:val="20"/>
                <w:szCs w:val="20"/>
              </w:rPr>
            </w:pPr>
            <w:r>
              <w:rPr>
                <w:rFonts w:ascii="Arial"/>
                <w:w w:val="100"/>
                <w:sz w:val="20"/>
              </w:rPr>
              <w:t>-</w:t>
            </w: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z w:val="20"/>
              </w:rPr>
              <w:t>64</w:t>
            </w:r>
          </w:p>
        </w:tc>
        <w:tc>
          <w:tcPr>
            <w:tcW w:w="282" w:type="dxa"/>
            <w:tcBorders>
              <w:top w:val="nil" w:sz="6" w:space="0" w:color="auto"/>
              <w:left w:val="nil" w:sz="6" w:space="0" w:color="auto"/>
              <w:bottom w:val="single" w:sz="4" w:space="0" w:color="000000"/>
              <w:right w:val="nil" w:sz="6" w:space="0" w:color="auto"/>
            </w:tcBorders>
          </w:tcPr>
          <w:p>
            <w:pP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23"/>
              <w:jc w:val="right"/>
              <w:rPr>
                <w:rFonts w:ascii="Arial" w:hAnsi="Arial" w:cs="Arial" w:eastAsia="Arial" w:hint="default"/>
                <w:sz w:val="20"/>
                <w:szCs w:val="20"/>
              </w:rPr>
            </w:pPr>
            <w:r>
              <w:rPr>
                <w:rFonts w:ascii="Arial"/>
                <w:spacing w:val="-1"/>
                <w:sz w:val="20"/>
              </w:rPr>
              <w:t>(203)</w:t>
            </w:r>
          </w:p>
        </w:tc>
        <w:tc>
          <w:tcPr>
            <w:tcW w:w="1440" w:type="dxa"/>
            <w:tcBorders>
              <w:top w:val="nil" w:sz="6" w:space="0" w:color="auto"/>
              <w:left w:val="nil" w:sz="6" w:space="0" w:color="auto"/>
              <w:bottom w:val="single" w:sz="4" w:space="0" w:color="000000"/>
              <w:right w:val="nil" w:sz="6" w:space="0" w:color="auto"/>
            </w:tcBorders>
          </w:tcPr>
          <w:p>
            <w:pPr/>
          </w:p>
        </w:tc>
        <w:tc>
          <w:tcPr>
            <w:tcW w:w="1156" w:type="dxa"/>
            <w:tcBorders>
              <w:top w:val="nil" w:sz="6" w:space="0" w:color="auto"/>
              <w:left w:val="nil" w:sz="6" w:space="0" w:color="auto"/>
              <w:bottom w:val="single" w:sz="4" w:space="0" w:color="000000"/>
              <w:right w:val="nil" w:sz="6" w:space="0" w:color="auto"/>
            </w:tcBorders>
          </w:tcPr>
          <w:p>
            <w:pPr/>
          </w:p>
        </w:tc>
        <w:tc>
          <w:tcPr>
            <w:tcW w:w="191" w:type="dxa"/>
            <w:tcBorders>
              <w:top w:val="nil" w:sz="6" w:space="0" w:color="auto"/>
              <w:left w:val="nil" w:sz="6" w:space="0" w:color="auto"/>
              <w:bottom w:val="single" w:sz="4" w:space="0" w:color="000000"/>
              <w:right w:val="nil" w:sz="6" w:space="0" w:color="auto"/>
            </w:tcBorders>
          </w:tcPr>
          <w:p>
            <w:pPr/>
          </w:p>
        </w:tc>
        <w:tc>
          <w:tcPr>
            <w:tcW w:w="2416" w:type="dxa"/>
            <w:tcBorders>
              <w:top w:val="nil" w:sz="6" w:space="0" w:color="auto"/>
              <w:left w:val="nil" w:sz="6" w:space="0" w:color="auto"/>
              <w:bottom w:val="single" w:sz="4" w:space="0" w:color="000000"/>
              <w:right w:val="single" w:sz="4" w:space="0" w:color="000000"/>
            </w:tcBorders>
          </w:tcPr>
          <w:p>
            <w:pPr>
              <w:pStyle w:val="TableParagraph"/>
              <w:spacing w:line="240" w:lineRule="auto" w:before="16"/>
              <w:ind w:right="197"/>
              <w:jc w:val="right"/>
              <w:rPr>
                <w:rFonts w:ascii="Arial" w:hAnsi="Arial" w:cs="Arial" w:eastAsia="Arial" w:hint="default"/>
                <w:sz w:val="20"/>
                <w:szCs w:val="20"/>
              </w:rPr>
            </w:pPr>
            <w:r>
              <w:rPr>
                <w:rFonts w:ascii="Arial"/>
                <w:spacing w:val="-1"/>
                <w:sz w:val="20"/>
              </w:rPr>
              <w:t>144,568</w:t>
            </w:r>
          </w:p>
        </w:tc>
      </w:tr>
      <w:tr>
        <w:trPr>
          <w:trHeight w:val="500" w:hRule="exact"/>
        </w:trPr>
        <w:tc>
          <w:tcPr>
            <w:tcW w:w="609" w:type="dxa"/>
            <w:tcBorders>
              <w:top w:val="nil" w:sz="6" w:space="0" w:color="auto"/>
              <w:left w:val="nil" w:sz="6" w:space="0" w:color="auto"/>
              <w:bottom w:val="nil" w:sz="6" w:space="0" w:color="auto"/>
              <w:right w:val="nil" w:sz="6" w:space="0" w:color="auto"/>
            </w:tcBorders>
          </w:tcPr>
          <w:p>
            <w:pPr/>
          </w:p>
        </w:tc>
        <w:tc>
          <w:tcPr>
            <w:tcW w:w="3707"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Arial" w:hAnsi="Arial" w:cs="Arial" w:eastAsia="Arial" w:hint="default"/>
                <w:sz w:val="17"/>
                <w:szCs w:val="17"/>
              </w:rPr>
            </w:pPr>
          </w:p>
          <w:p>
            <w:pPr>
              <w:pStyle w:val="TableParagraph"/>
              <w:tabs>
                <w:tab w:pos="2815" w:val="left" w:leader="none"/>
              </w:tabs>
              <w:spacing w:line="240" w:lineRule="auto"/>
              <w:ind w:right="324"/>
              <w:jc w:val="right"/>
              <w:rPr>
                <w:rFonts w:ascii="Arial" w:hAnsi="Arial" w:cs="Arial" w:eastAsia="Arial" w:hint="default"/>
                <w:sz w:val="20"/>
                <w:szCs w:val="20"/>
              </w:rPr>
            </w:pPr>
            <w:r>
              <w:rPr>
                <w:rFonts w:ascii="宋体" w:hAnsi="宋体" w:cs="宋体" w:eastAsia="宋体" w:hint="default"/>
                <w:spacing w:val="-1"/>
                <w:position w:val="1"/>
                <w:sz w:val="20"/>
                <w:szCs w:val="20"/>
              </w:rPr>
              <w:t>累计折旧合计</w:t>
              <w:tab/>
            </w:r>
            <w:r>
              <w:rPr>
                <w:rFonts w:ascii="Arial" w:hAnsi="Arial" w:cs="Arial" w:eastAsia="Arial" w:hint="default"/>
                <w:spacing w:val="-1"/>
                <w:sz w:val="20"/>
                <w:szCs w:val="20"/>
              </w:rPr>
              <w:t>(501,</w:t>
            </w:r>
          </w:p>
        </w:tc>
        <w:tc>
          <w:tcPr>
            <w:tcW w:w="120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04"/>
              <w:jc w:val="right"/>
              <w:rPr>
                <w:rFonts w:ascii="Arial" w:hAnsi="Arial" w:cs="Arial" w:eastAsia="Arial" w:hint="default"/>
                <w:sz w:val="20"/>
                <w:szCs w:val="20"/>
              </w:rPr>
            </w:pPr>
            <w:r>
              <w:rPr>
                <w:rFonts w:ascii="Arial"/>
                <w:spacing w:val="-1"/>
                <w:sz w:val="20"/>
              </w:rPr>
              <w:t>(196,536)</w:t>
            </w:r>
          </w:p>
        </w:tc>
        <w:tc>
          <w:tcPr>
            <w:tcW w:w="134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312"/>
              <w:jc w:val="right"/>
              <w:rPr>
                <w:rFonts w:ascii="Arial" w:hAnsi="Arial" w:cs="Arial" w:eastAsia="Arial" w:hint="default"/>
                <w:sz w:val="20"/>
                <w:szCs w:val="20"/>
              </w:rPr>
            </w:pPr>
            <w:r>
              <w:rPr>
                <w:rFonts w:ascii="Arial"/>
                <w:spacing w:val="-1"/>
                <w:sz w:val="20"/>
              </w:rPr>
              <w:t>(4,168)</w:t>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99"/>
              <w:jc w:val="right"/>
              <w:rPr>
                <w:rFonts w:ascii="Arial" w:hAnsi="Arial" w:cs="Arial" w:eastAsia="Arial" w:hint="default"/>
                <w:sz w:val="20"/>
                <w:szCs w:val="20"/>
              </w:rPr>
            </w:pPr>
            <w:r>
              <w:rPr>
                <w:rFonts w:ascii="Arial"/>
                <w:w w:val="100"/>
                <w:sz w:val="20"/>
              </w:rPr>
              <w:t>-</w:t>
            </w:r>
          </w:p>
        </w:tc>
        <w:tc>
          <w:tcPr>
            <w:tcW w:w="282" w:type="dxa"/>
            <w:tcBorders>
              <w:top w:val="single" w:sz="4" w:space="0" w:color="000000"/>
              <w:left w:val="nil" w:sz="6" w:space="0" w:color="auto"/>
              <w:bottom w:val="single" w:sz="4" w:space="0" w:color="000000"/>
              <w:right w:val="nil" w:sz="6" w:space="0" w:color="auto"/>
            </w:tcBorders>
          </w:tcPr>
          <w:p>
            <w:pPr/>
          </w:p>
        </w:tc>
        <w:tc>
          <w:tcPr>
            <w:tcW w:w="161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290"/>
              <w:jc w:val="right"/>
              <w:rPr>
                <w:rFonts w:ascii="Arial" w:hAnsi="Arial" w:cs="Arial" w:eastAsia="Arial" w:hint="default"/>
                <w:sz w:val="20"/>
                <w:szCs w:val="20"/>
              </w:rPr>
            </w:pPr>
            <w:r>
              <w:rPr>
                <w:rFonts w:ascii="Arial"/>
                <w:sz w:val="20"/>
              </w:rPr>
              <w:t>36,962</w:t>
            </w:r>
          </w:p>
        </w:tc>
        <w:tc>
          <w:tcPr>
            <w:tcW w:w="1440" w:type="dxa"/>
            <w:tcBorders>
              <w:top w:val="single" w:sz="4" w:space="0" w:color="000000"/>
              <w:left w:val="nil" w:sz="6" w:space="0" w:color="auto"/>
              <w:bottom w:val="single" w:sz="4" w:space="0" w:color="000000"/>
              <w:right w:val="nil" w:sz="6" w:space="0" w:color="auto"/>
            </w:tcBorders>
          </w:tcPr>
          <w:p>
            <w:pPr/>
          </w:p>
        </w:tc>
        <w:tc>
          <w:tcPr>
            <w:tcW w:w="1156" w:type="dxa"/>
            <w:tcBorders>
              <w:top w:val="single" w:sz="4" w:space="0" w:color="000000"/>
              <w:left w:val="nil" w:sz="6" w:space="0" w:color="auto"/>
              <w:bottom w:val="single" w:sz="4" w:space="0" w:color="000000"/>
              <w:right w:val="nil" w:sz="6" w:space="0" w:color="auto"/>
            </w:tcBorders>
          </w:tcPr>
          <w:p>
            <w:pPr/>
          </w:p>
        </w:tc>
        <w:tc>
          <w:tcPr>
            <w:tcW w:w="191" w:type="dxa"/>
            <w:tcBorders>
              <w:top w:val="single" w:sz="4" w:space="0" w:color="000000"/>
              <w:left w:val="nil" w:sz="6" w:space="0" w:color="auto"/>
              <w:bottom w:val="single" w:sz="4" w:space="0" w:color="000000"/>
              <w:right w:val="nil" w:sz="6" w:space="0" w:color="auto"/>
            </w:tcBorders>
          </w:tcPr>
          <w:p>
            <w:pPr/>
          </w:p>
        </w:tc>
        <w:tc>
          <w:tcPr>
            <w:tcW w:w="241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34"/>
              <w:jc w:val="right"/>
              <w:rPr>
                <w:rFonts w:ascii="Arial" w:hAnsi="Arial" w:cs="Arial" w:eastAsia="Arial" w:hint="default"/>
                <w:sz w:val="20"/>
                <w:szCs w:val="20"/>
              </w:rPr>
            </w:pPr>
            <w:r>
              <w:rPr>
                <w:rFonts w:ascii="Arial"/>
                <w:spacing w:val="-1"/>
                <w:sz w:val="20"/>
              </w:rPr>
              <w:t>(654,947)</w:t>
            </w:r>
          </w:p>
        </w:tc>
      </w:tr>
      <w:tr>
        <w:trPr>
          <w:trHeight w:val="276" w:hRule="exact"/>
        </w:trPr>
        <w:tc>
          <w:tcPr>
            <w:tcW w:w="609" w:type="dxa"/>
            <w:tcBorders>
              <w:top w:val="nil" w:sz="6" w:space="0" w:color="auto"/>
              <w:left w:val="nil" w:sz="6" w:space="0" w:color="auto"/>
              <w:bottom w:val="nil" w:sz="6" w:space="0" w:color="auto"/>
              <w:right w:val="single" w:sz="4" w:space="0" w:color="000000"/>
            </w:tcBorders>
          </w:tcPr>
          <w:p>
            <w:pPr/>
          </w:p>
        </w:tc>
        <w:tc>
          <w:tcPr>
            <w:tcW w:w="3707" w:type="dxa"/>
            <w:tcBorders>
              <w:top w:val="single" w:sz="4" w:space="0" w:color="000000"/>
              <w:left w:val="single" w:sz="4" w:space="0" w:color="000000"/>
              <w:bottom w:val="nil" w:sz="6" w:space="0" w:color="auto"/>
              <w:right w:val="nil" w:sz="6" w:space="0" w:color="auto"/>
            </w:tcBorders>
          </w:tcPr>
          <w:p>
            <w:pPr>
              <w:pStyle w:val="TableParagraph"/>
              <w:tabs>
                <w:tab w:pos="2617" w:val="left" w:leader="none"/>
              </w:tabs>
              <w:spacing w:line="257" w:lineRule="exact"/>
              <w:ind w:right="324"/>
              <w:jc w:val="right"/>
              <w:rPr>
                <w:rFonts w:ascii="Arial" w:hAnsi="Arial" w:cs="Arial" w:eastAsia="Arial" w:hint="default"/>
                <w:sz w:val="20"/>
                <w:szCs w:val="20"/>
              </w:rPr>
            </w:pPr>
            <w:r>
              <w:rPr>
                <w:rFonts w:ascii="宋体" w:hAnsi="宋体" w:cs="宋体" w:eastAsia="宋体" w:hint="default"/>
                <w:spacing w:val="-1"/>
                <w:position w:val="1"/>
                <w:sz w:val="20"/>
                <w:szCs w:val="20"/>
              </w:rPr>
              <w:t>房屋及建筑物</w:t>
              <w:tab/>
            </w:r>
            <w:r>
              <w:rPr>
                <w:rFonts w:ascii="Arial" w:hAnsi="Arial" w:cs="Arial" w:eastAsia="Arial" w:hint="default"/>
                <w:spacing w:val="-1"/>
                <w:sz w:val="20"/>
                <w:szCs w:val="20"/>
              </w:rPr>
              <w:t>(188,</w:t>
            </w:r>
          </w:p>
        </w:tc>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4"/>
              <w:jc w:val="right"/>
              <w:rPr>
                <w:rFonts w:ascii="Arial" w:hAnsi="Arial" w:cs="Arial" w:eastAsia="Arial" w:hint="default"/>
                <w:sz w:val="20"/>
                <w:szCs w:val="20"/>
              </w:rPr>
            </w:pPr>
            <w:r>
              <w:rPr>
                <w:rFonts w:ascii="Arial"/>
                <w:spacing w:val="-1"/>
                <w:sz w:val="20"/>
              </w:rPr>
              <w:t>(97,297)</w:t>
            </w: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312"/>
              <w:jc w:val="right"/>
              <w:rPr>
                <w:rFonts w:ascii="Arial" w:hAnsi="Arial" w:cs="Arial" w:eastAsia="Arial" w:hint="default"/>
                <w:sz w:val="20"/>
                <w:szCs w:val="20"/>
              </w:rPr>
            </w:pPr>
            <w:r>
              <w:rPr>
                <w:rFonts w:ascii="Arial"/>
                <w:spacing w:val="-1"/>
                <w:sz w:val="20"/>
              </w:rPr>
              <w:t>(4,168)</w:t>
            </w: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99"/>
              <w:jc w:val="right"/>
              <w:rPr>
                <w:rFonts w:ascii="Arial" w:hAnsi="Arial" w:cs="Arial" w:eastAsia="Arial" w:hint="default"/>
                <w:sz w:val="20"/>
                <w:szCs w:val="20"/>
              </w:rPr>
            </w:pPr>
            <w:r>
              <w:rPr>
                <w:rFonts w:ascii="Arial"/>
                <w:w w:val="100"/>
                <w:sz w:val="20"/>
              </w:rPr>
              <w:t>-</w:t>
            </w:r>
          </w:p>
        </w:tc>
        <w:tc>
          <w:tcPr>
            <w:tcW w:w="282" w:type="dxa"/>
            <w:tcBorders>
              <w:top w:val="single" w:sz="4" w:space="0" w:color="000000"/>
              <w:left w:val="nil" w:sz="6" w:space="0" w:color="auto"/>
              <w:bottom w:val="nil" w:sz="6" w:space="0" w:color="auto"/>
              <w:right w:val="nil" w:sz="6" w:space="0" w:color="auto"/>
            </w:tcBorders>
          </w:tcPr>
          <w:p>
            <w:pPr/>
          </w:p>
        </w:tc>
        <w:tc>
          <w:tcPr>
            <w:tcW w:w="161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90"/>
              <w:jc w:val="right"/>
              <w:rPr>
                <w:rFonts w:ascii="Arial" w:hAnsi="Arial" w:cs="Arial" w:eastAsia="Arial" w:hint="default"/>
                <w:sz w:val="20"/>
                <w:szCs w:val="20"/>
              </w:rPr>
            </w:pPr>
            <w:r>
              <w:rPr>
                <w:rFonts w:ascii="Arial"/>
                <w:w w:val="100"/>
                <w:sz w:val="20"/>
              </w:rPr>
              <w:t>-</w:t>
            </w:r>
          </w:p>
        </w:tc>
        <w:tc>
          <w:tcPr>
            <w:tcW w:w="1440" w:type="dxa"/>
            <w:tcBorders>
              <w:top w:val="single" w:sz="4" w:space="0" w:color="000000"/>
              <w:left w:val="nil" w:sz="6" w:space="0" w:color="auto"/>
              <w:bottom w:val="nil" w:sz="6" w:space="0" w:color="auto"/>
              <w:right w:val="nil" w:sz="6" w:space="0" w:color="auto"/>
            </w:tcBorders>
          </w:tcPr>
          <w:p>
            <w:pPr/>
          </w:p>
        </w:tc>
        <w:tc>
          <w:tcPr>
            <w:tcW w:w="1156" w:type="dxa"/>
            <w:tcBorders>
              <w:top w:val="single" w:sz="4" w:space="0" w:color="000000"/>
              <w:left w:val="nil" w:sz="6" w:space="0" w:color="auto"/>
              <w:bottom w:val="nil" w:sz="6" w:space="0" w:color="auto"/>
              <w:right w:val="nil" w:sz="6" w:space="0" w:color="auto"/>
            </w:tcBorders>
          </w:tcPr>
          <w:p>
            <w:pPr/>
          </w:p>
        </w:tc>
        <w:tc>
          <w:tcPr>
            <w:tcW w:w="191" w:type="dxa"/>
            <w:tcBorders>
              <w:top w:val="single" w:sz="4" w:space="0" w:color="000000"/>
              <w:left w:val="nil" w:sz="6" w:space="0" w:color="auto"/>
              <w:bottom w:val="nil" w:sz="6" w:space="0" w:color="auto"/>
              <w:right w:val="nil" w:sz="6" w:space="0" w:color="auto"/>
            </w:tcBorders>
          </w:tcPr>
          <w:p>
            <w:pPr/>
          </w:p>
        </w:tc>
        <w:tc>
          <w:tcPr>
            <w:tcW w:w="2416" w:type="dxa"/>
            <w:tcBorders>
              <w:top w:val="single" w:sz="4" w:space="0" w:color="000000"/>
              <w:left w:val="nil" w:sz="6" w:space="0" w:color="auto"/>
              <w:bottom w:val="nil" w:sz="6" w:space="0" w:color="auto"/>
              <w:right w:val="single" w:sz="4" w:space="0" w:color="000000"/>
            </w:tcBorders>
          </w:tcPr>
          <w:p>
            <w:pPr>
              <w:pStyle w:val="TableParagraph"/>
              <w:spacing w:line="240" w:lineRule="auto" w:before="27"/>
              <w:ind w:right="130"/>
              <w:jc w:val="right"/>
              <w:rPr>
                <w:rFonts w:ascii="Arial" w:hAnsi="Arial" w:cs="Arial" w:eastAsia="Arial" w:hint="default"/>
                <w:sz w:val="20"/>
                <w:szCs w:val="20"/>
              </w:rPr>
            </w:pPr>
            <w:r>
              <w:rPr>
                <w:rFonts w:ascii="Arial"/>
                <w:spacing w:val="-1"/>
                <w:sz w:val="20"/>
              </w:rPr>
              <w:t>(279,338)</w:t>
            </w:r>
          </w:p>
        </w:tc>
      </w:tr>
      <w:tr>
        <w:trPr>
          <w:trHeight w:val="268" w:hRule="exact"/>
        </w:trPr>
        <w:tc>
          <w:tcPr>
            <w:tcW w:w="609" w:type="dxa"/>
            <w:tcBorders>
              <w:top w:val="nil" w:sz="6" w:space="0" w:color="auto"/>
              <w:left w:val="nil" w:sz="6" w:space="0" w:color="auto"/>
              <w:bottom w:val="nil" w:sz="6" w:space="0" w:color="auto"/>
              <w:right w:val="single" w:sz="4" w:space="0" w:color="000000"/>
            </w:tcBorders>
          </w:tcPr>
          <w:p>
            <w:pPr/>
          </w:p>
        </w:tc>
        <w:tc>
          <w:tcPr>
            <w:tcW w:w="3707" w:type="dxa"/>
            <w:tcBorders>
              <w:top w:val="nil" w:sz="6" w:space="0" w:color="auto"/>
              <w:left w:val="single" w:sz="4" w:space="0" w:color="000000"/>
              <w:bottom w:val="nil" w:sz="6" w:space="0" w:color="auto"/>
              <w:right w:val="nil" w:sz="6" w:space="0" w:color="auto"/>
            </w:tcBorders>
          </w:tcPr>
          <w:p>
            <w:pPr>
              <w:pStyle w:val="TableParagraph"/>
              <w:tabs>
                <w:tab w:pos="2839" w:val="left" w:leader="none"/>
              </w:tabs>
              <w:spacing w:line="246" w:lineRule="exact"/>
              <w:ind w:right="323"/>
              <w:jc w:val="right"/>
              <w:rPr>
                <w:rFonts w:ascii="Arial" w:hAnsi="Arial" w:cs="Arial" w:eastAsia="Arial" w:hint="default"/>
                <w:sz w:val="20"/>
                <w:szCs w:val="20"/>
              </w:rPr>
            </w:pPr>
            <w:r>
              <w:rPr>
                <w:rFonts w:ascii="宋体" w:hAnsi="宋体" w:cs="宋体" w:eastAsia="宋体" w:hint="default"/>
                <w:position w:val="1"/>
                <w:sz w:val="20"/>
                <w:szCs w:val="20"/>
              </w:rPr>
              <w:t>机器设备</w:t>
              <w:tab/>
            </w:r>
            <w:r>
              <w:rPr>
                <w:rFonts w:ascii="Arial" w:hAnsi="Arial" w:cs="Arial" w:eastAsia="Arial" w:hint="default"/>
                <w:sz w:val="20"/>
                <w:szCs w:val="20"/>
              </w:rPr>
              <w:t>(4,</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Arial" w:hAnsi="Arial" w:cs="Arial" w:eastAsia="Arial" w:hint="default"/>
                <w:sz w:val="20"/>
                <w:szCs w:val="20"/>
              </w:rPr>
            </w:pPr>
            <w:r>
              <w:rPr>
                <w:rFonts w:ascii="Arial"/>
                <w:spacing w:val="-1"/>
                <w:sz w:val="20"/>
              </w:rPr>
              <w:t>(2,721)</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80"/>
              <w:jc w:val="right"/>
              <w:rPr>
                <w:rFonts w:ascii="Arial" w:hAnsi="Arial" w:cs="Arial" w:eastAsia="Arial" w:hint="default"/>
                <w:sz w:val="20"/>
                <w:szCs w:val="20"/>
              </w:rPr>
            </w:pPr>
            <w:r>
              <w:rPr>
                <w:rFonts w:ascii="Arial"/>
                <w:w w:val="100"/>
                <w:sz w:val="20"/>
              </w:rPr>
              <w:t>-</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Arial" w:hAnsi="Arial" w:cs="Arial" w:eastAsia="Arial" w:hint="default"/>
                <w:sz w:val="20"/>
                <w:szCs w:val="20"/>
              </w:rPr>
            </w:pPr>
            <w:r>
              <w:rPr>
                <w:rFonts w:ascii="Arial"/>
                <w:w w:val="100"/>
                <w:sz w:val="20"/>
              </w:rPr>
              <w:t>-</w:t>
            </w:r>
          </w:p>
        </w:tc>
        <w:tc>
          <w:tcPr>
            <w:tcW w:w="282"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90"/>
              <w:jc w:val="right"/>
              <w:rPr>
                <w:rFonts w:ascii="Arial" w:hAnsi="Arial" w:cs="Arial" w:eastAsia="Arial" w:hint="default"/>
                <w:sz w:val="20"/>
                <w:szCs w:val="20"/>
              </w:rPr>
            </w:pPr>
            <w:r>
              <w:rPr>
                <w:rFonts w:ascii="Arial"/>
                <w:sz w:val="20"/>
              </w:rPr>
              <w:t>42</w:t>
            </w:r>
          </w:p>
        </w:tc>
        <w:tc>
          <w:tcPr>
            <w:tcW w:w="1440"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2416"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right="130"/>
              <w:jc w:val="right"/>
              <w:rPr>
                <w:rFonts w:ascii="Arial" w:hAnsi="Arial" w:cs="Arial" w:eastAsia="Arial" w:hint="default"/>
                <w:sz w:val="20"/>
                <w:szCs w:val="20"/>
              </w:rPr>
            </w:pPr>
            <w:r>
              <w:rPr>
                <w:rFonts w:ascii="Arial"/>
                <w:spacing w:val="-1"/>
                <w:sz w:val="20"/>
              </w:rPr>
              <w:t>(6,874)</w:t>
            </w:r>
          </w:p>
        </w:tc>
      </w:tr>
      <w:tr>
        <w:trPr>
          <w:trHeight w:val="276" w:hRule="exact"/>
        </w:trPr>
        <w:tc>
          <w:tcPr>
            <w:tcW w:w="609" w:type="dxa"/>
            <w:tcBorders>
              <w:top w:val="nil" w:sz="6" w:space="0" w:color="auto"/>
              <w:left w:val="nil" w:sz="6" w:space="0" w:color="auto"/>
              <w:bottom w:val="nil" w:sz="6" w:space="0" w:color="auto"/>
              <w:right w:val="single" w:sz="4" w:space="0" w:color="000000"/>
            </w:tcBorders>
          </w:tcPr>
          <w:p>
            <w:pPr/>
          </w:p>
        </w:tc>
        <w:tc>
          <w:tcPr>
            <w:tcW w:w="3707" w:type="dxa"/>
            <w:tcBorders>
              <w:top w:val="nil" w:sz="6" w:space="0" w:color="auto"/>
              <w:left w:val="single" w:sz="4" w:space="0" w:color="000000"/>
              <w:bottom w:val="nil" w:sz="6" w:space="0" w:color="auto"/>
              <w:right w:val="nil" w:sz="6" w:space="0" w:color="auto"/>
            </w:tcBorders>
          </w:tcPr>
          <w:p>
            <w:pPr>
              <w:pStyle w:val="TableParagraph"/>
              <w:tabs>
                <w:tab w:pos="2727" w:val="left" w:leader="none"/>
              </w:tabs>
              <w:spacing w:line="254" w:lineRule="exact"/>
              <w:ind w:right="323"/>
              <w:jc w:val="right"/>
              <w:rPr>
                <w:rFonts w:ascii="Arial" w:hAnsi="Arial" w:cs="Arial" w:eastAsia="Arial" w:hint="default"/>
                <w:sz w:val="20"/>
                <w:szCs w:val="20"/>
              </w:rPr>
            </w:pPr>
            <w:r>
              <w:rPr>
                <w:rFonts w:ascii="宋体" w:hAnsi="宋体" w:cs="宋体" w:eastAsia="宋体" w:hint="default"/>
                <w:position w:val="1"/>
                <w:sz w:val="20"/>
                <w:szCs w:val="20"/>
              </w:rPr>
              <w:t>运输工具</w:t>
              <w:tab/>
            </w:r>
            <w:r>
              <w:rPr>
                <w:rFonts w:ascii="Arial" w:hAnsi="Arial" w:cs="Arial" w:eastAsia="Arial" w:hint="default"/>
                <w:sz w:val="20"/>
                <w:szCs w:val="20"/>
              </w:rPr>
              <w:t>(38,</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4"/>
              <w:jc w:val="right"/>
              <w:rPr>
                <w:rFonts w:ascii="Arial" w:hAnsi="Arial" w:cs="Arial" w:eastAsia="Arial" w:hint="default"/>
                <w:sz w:val="20"/>
                <w:szCs w:val="20"/>
              </w:rPr>
            </w:pPr>
            <w:r>
              <w:rPr>
                <w:rFonts w:ascii="Arial"/>
                <w:spacing w:val="-1"/>
                <w:sz w:val="20"/>
              </w:rPr>
              <w:t>(15,263)</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80"/>
              <w:jc w:val="right"/>
              <w:rPr>
                <w:rFonts w:ascii="Arial" w:hAnsi="Arial" w:cs="Arial" w:eastAsia="Arial" w:hint="default"/>
                <w:sz w:val="20"/>
                <w:szCs w:val="20"/>
              </w:rPr>
            </w:pPr>
            <w:r>
              <w:rPr>
                <w:rFonts w:ascii="Arial"/>
                <w:w w:val="100"/>
                <w:sz w:val="20"/>
              </w:rPr>
              <w:t>-</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9"/>
              <w:jc w:val="right"/>
              <w:rPr>
                <w:rFonts w:ascii="Arial" w:hAnsi="Arial" w:cs="Arial" w:eastAsia="Arial" w:hint="default"/>
                <w:sz w:val="20"/>
                <w:szCs w:val="20"/>
              </w:rPr>
            </w:pPr>
            <w:r>
              <w:rPr>
                <w:rFonts w:ascii="Arial"/>
                <w:w w:val="100"/>
                <w:sz w:val="20"/>
              </w:rPr>
              <w:t>-</w:t>
            </w:r>
          </w:p>
        </w:tc>
        <w:tc>
          <w:tcPr>
            <w:tcW w:w="282"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90"/>
              <w:jc w:val="right"/>
              <w:rPr>
                <w:rFonts w:ascii="Arial" w:hAnsi="Arial" w:cs="Arial" w:eastAsia="Arial" w:hint="default"/>
                <w:sz w:val="20"/>
                <w:szCs w:val="20"/>
              </w:rPr>
            </w:pPr>
            <w:r>
              <w:rPr>
                <w:rFonts w:ascii="Arial"/>
                <w:sz w:val="20"/>
              </w:rPr>
              <w:t>6,097</w:t>
            </w:r>
          </w:p>
        </w:tc>
        <w:tc>
          <w:tcPr>
            <w:tcW w:w="1440"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2416"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right="130"/>
              <w:jc w:val="right"/>
              <w:rPr>
                <w:rFonts w:ascii="Arial" w:hAnsi="Arial" w:cs="Arial" w:eastAsia="Arial" w:hint="default"/>
                <w:sz w:val="20"/>
                <w:szCs w:val="20"/>
              </w:rPr>
            </w:pPr>
            <w:r>
              <w:rPr>
                <w:rFonts w:ascii="Arial"/>
                <w:spacing w:val="-1"/>
                <w:sz w:val="20"/>
              </w:rPr>
              <w:t>(47,952)</w:t>
            </w:r>
          </w:p>
        </w:tc>
      </w:tr>
      <w:tr>
        <w:trPr>
          <w:trHeight w:val="276" w:hRule="exact"/>
        </w:trPr>
        <w:tc>
          <w:tcPr>
            <w:tcW w:w="609" w:type="dxa"/>
            <w:tcBorders>
              <w:top w:val="nil" w:sz="6" w:space="0" w:color="auto"/>
              <w:left w:val="nil" w:sz="6" w:space="0" w:color="auto"/>
              <w:bottom w:val="nil" w:sz="6" w:space="0" w:color="auto"/>
              <w:right w:val="single" w:sz="4" w:space="0" w:color="000000"/>
            </w:tcBorders>
          </w:tcPr>
          <w:p>
            <w:pPr/>
          </w:p>
        </w:tc>
        <w:tc>
          <w:tcPr>
            <w:tcW w:w="3707" w:type="dxa"/>
            <w:tcBorders>
              <w:top w:val="nil" w:sz="6" w:space="0" w:color="auto"/>
              <w:left w:val="single" w:sz="4" w:space="0" w:color="000000"/>
              <w:bottom w:val="nil" w:sz="6" w:space="0" w:color="auto"/>
              <w:right w:val="nil" w:sz="6" w:space="0" w:color="auto"/>
            </w:tcBorders>
          </w:tcPr>
          <w:p>
            <w:pPr>
              <w:pStyle w:val="TableParagraph"/>
              <w:tabs>
                <w:tab w:pos="2617" w:val="left" w:leader="none"/>
              </w:tabs>
              <w:spacing w:line="254" w:lineRule="exact"/>
              <w:ind w:right="324"/>
              <w:jc w:val="right"/>
              <w:rPr>
                <w:rFonts w:ascii="Arial" w:hAnsi="Arial" w:cs="Arial" w:eastAsia="Arial" w:hint="default"/>
                <w:sz w:val="20"/>
                <w:szCs w:val="20"/>
              </w:rPr>
            </w:pPr>
            <w:r>
              <w:rPr>
                <w:rFonts w:ascii="宋体" w:hAnsi="宋体" w:cs="宋体" w:eastAsia="宋体" w:hint="default"/>
                <w:position w:val="1"/>
                <w:sz w:val="20"/>
                <w:szCs w:val="20"/>
              </w:rPr>
              <w:t>电子设备</w:t>
              <w:tab/>
            </w:r>
            <w:r>
              <w:rPr>
                <w:rFonts w:ascii="Arial" w:hAnsi="Arial" w:cs="Arial" w:eastAsia="Arial" w:hint="default"/>
                <w:spacing w:val="-1"/>
                <w:sz w:val="20"/>
                <w:szCs w:val="20"/>
              </w:rPr>
              <w:t>(250,</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4"/>
              <w:jc w:val="right"/>
              <w:rPr>
                <w:rFonts w:ascii="Arial" w:hAnsi="Arial" w:cs="Arial" w:eastAsia="Arial" w:hint="default"/>
                <w:sz w:val="20"/>
                <w:szCs w:val="20"/>
              </w:rPr>
            </w:pPr>
            <w:r>
              <w:rPr>
                <w:rFonts w:ascii="Arial"/>
                <w:spacing w:val="-1"/>
                <w:sz w:val="20"/>
              </w:rPr>
              <w:t>(68,789)</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80"/>
              <w:jc w:val="right"/>
              <w:rPr>
                <w:rFonts w:ascii="Arial" w:hAnsi="Arial" w:cs="Arial" w:eastAsia="Arial" w:hint="default"/>
                <w:sz w:val="20"/>
                <w:szCs w:val="20"/>
              </w:rPr>
            </w:pPr>
            <w:r>
              <w:rPr>
                <w:rFonts w:ascii="Arial"/>
                <w:w w:val="100"/>
                <w:sz w:val="20"/>
              </w:rPr>
              <w:t>-</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9"/>
              <w:jc w:val="right"/>
              <w:rPr>
                <w:rFonts w:ascii="Arial" w:hAnsi="Arial" w:cs="Arial" w:eastAsia="Arial" w:hint="default"/>
                <w:sz w:val="20"/>
                <w:szCs w:val="20"/>
              </w:rPr>
            </w:pPr>
            <w:r>
              <w:rPr>
                <w:rFonts w:ascii="Arial"/>
                <w:w w:val="100"/>
                <w:sz w:val="20"/>
              </w:rPr>
              <w:t>-</w:t>
            </w:r>
          </w:p>
        </w:tc>
        <w:tc>
          <w:tcPr>
            <w:tcW w:w="282"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90"/>
              <w:jc w:val="right"/>
              <w:rPr>
                <w:rFonts w:ascii="Arial" w:hAnsi="Arial" w:cs="Arial" w:eastAsia="Arial" w:hint="default"/>
                <w:sz w:val="20"/>
                <w:szCs w:val="20"/>
              </w:rPr>
            </w:pPr>
            <w:r>
              <w:rPr>
                <w:rFonts w:ascii="Arial"/>
                <w:sz w:val="20"/>
              </w:rPr>
              <w:t>30,712</w:t>
            </w:r>
          </w:p>
        </w:tc>
        <w:tc>
          <w:tcPr>
            <w:tcW w:w="1440"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2416"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right="130"/>
              <w:jc w:val="right"/>
              <w:rPr>
                <w:rFonts w:ascii="Arial" w:hAnsi="Arial" w:cs="Arial" w:eastAsia="Arial" w:hint="default"/>
                <w:sz w:val="20"/>
                <w:szCs w:val="20"/>
              </w:rPr>
            </w:pPr>
            <w:r>
              <w:rPr>
                <w:rFonts w:ascii="Arial"/>
                <w:spacing w:val="-1"/>
                <w:sz w:val="20"/>
              </w:rPr>
              <w:t>(288,777)</w:t>
            </w:r>
          </w:p>
        </w:tc>
      </w:tr>
      <w:tr>
        <w:trPr>
          <w:trHeight w:val="262" w:hRule="exact"/>
        </w:trPr>
        <w:tc>
          <w:tcPr>
            <w:tcW w:w="609" w:type="dxa"/>
            <w:tcBorders>
              <w:top w:val="nil" w:sz="6" w:space="0" w:color="auto"/>
              <w:left w:val="nil" w:sz="6" w:space="0" w:color="auto"/>
              <w:bottom w:val="nil" w:sz="6" w:space="0" w:color="auto"/>
              <w:right w:val="single" w:sz="4" w:space="0" w:color="000000"/>
            </w:tcBorders>
          </w:tcPr>
          <w:p>
            <w:pPr/>
          </w:p>
        </w:tc>
        <w:tc>
          <w:tcPr>
            <w:tcW w:w="3707" w:type="dxa"/>
            <w:tcBorders>
              <w:top w:val="nil" w:sz="6" w:space="0" w:color="auto"/>
              <w:left w:val="single" w:sz="4" w:space="0" w:color="000000"/>
              <w:bottom w:val="single" w:sz="4" w:space="0" w:color="000000"/>
              <w:right w:val="nil" w:sz="6" w:space="0" w:color="auto"/>
            </w:tcBorders>
          </w:tcPr>
          <w:p>
            <w:pPr>
              <w:pStyle w:val="TableParagraph"/>
              <w:tabs>
                <w:tab w:pos="2727" w:val="left" w:leader="none"/>
              </w:tabs>
              <w:spacing w:line="254" w:lineRule="exact"/>
              <w:ind w:right="323"/>
              <w:jc w:val="right"/>
              <w:rPr>
                <w:rFonts w:ascii="Arial" w:hAnsi="Arial" w:cs="Arial" w:eastAsia="Arial" w:hint="default"/>
                <w:sz w:val="20"/>
                <w:szCs w:val="20"/>
              </w:rPr>
            </w:pPr>
            <w:r>
              <w:rPr>
                <w:rFonts w:ascii="宋体" w:hAnsi="宋体" w:cs="宋体" w:eastAsia="宋体" w:hint="default"/>
                <w:position w:val="1"/>
                <w:sz w:val="20"/>
                <w:szCs w:val="20"/>
              </w:rPr>
              <w:t>其他设备</w:t>
              <w:tab/>
            </w:r>
            <w:r>
              <w:rPr>
                <w:rFonts w:ascii="Arial" w:hAnsi="Arial" w:cs="Arial" w:eastAsia="Arial" w:hint="default"/>
                <w:sz w:val="20"/>
                <w:szCs w:val="20"/>
              </w:rPr>
              <w:t>(19,</w:t>
            </w: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04"/>
              <w:jc w:val="right"/>
              <w:rPr>
                <w:rFonts w:ascii="Arial" w:hAnsi="Arial" w:cs="Arial" w:eastAsia="Arial" w:hint="default"/>
                <w:sz w:val="20"/>
                <w:szCs w:val="20"/>
              </w:rPr>
            </w:pPr>
            <w:r>
              <w:rPr>
                <w:rFonts w:ascii="Arial"/>
                <w:spacing w:val="-1"/>
                <w:sz w:val="20"/>
              </w:rPr>
              <w:t>(12,466)</w:t>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379"/>
              <w:jc w:val="right"/>
              <w:rPr>
                <w:rFonts w:ascii="Arial" w:hAnsi="Arial" w:cs="Arial" w:eastAsia="Arial" w:hint="default"/>
                <w:sz w:val="20"/>
                <w:szCs w:val="20"/>
              </w:rPr>
            </w:pPr>
            <w:r>
              <w:rPr>
                <w:rFonts w:ascii="Arial"/>
                <w:w w:val="100"/>
                <w:sz w:val="20"/>
              </w:rPr>
              <w:t>-</w:t>
            </w: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99"/>
              <w:jc w:val="right"/>
              <w:rPr>
                <w:rFonts w:ascii="Arial" w:hAnsi="Arial" w:cs="Arial" w:eastAsia="Arial" w:hint="default"/>
                <w:sz w:val="20"/>
                <w:szCs w:val="20"/>
              </w:rPr>
            </w:pPr>
            <w:r>
              <w:rPr>
                <w:rFonts w:ascii="Arial"/>
                <w:w w:val="100"/>
                <w:sz w:val="20"/>
              </w:rPr>
              <w:t>-</w:t>
            </w:r>
          </w:p>
        </w:tc>
        <w:tc>
          <w:tcPr>
            <w:tcW w:w="282" w:type="dxa"/>
            <w:tcBorders>
              <w:top w:val="nil" w:sz="6" w:space="0" w:color="auto"/>
              <w:left w:val="nil" w:sz="6" w:space="0" w:color="auto"/>
              <w:bottom w:val="single" w:sz="4" w:space="0" w:color="000000"/>
              <w:right w:val="nil" w:sz="6" w:space="0" w:color="auto"/>
            </w:tcBorders>
          </w:tcPr>
          <w:p>
            <w:pP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290"/>
              <w:jc w:val="right"/>
              <w:rPr>
                <w:rFonts w:ascii="Arial" w:hAnsi="Arial" w:cs="Arial" w:eastAsia="Arial" w:hint="default"/>
                <w:sz w:val="20"/>
                <w:szCs w:val="20"/>
              </w:rPr>
            </w:pPr>
            <w:r>
              <w:rPr>
                <w:rFonts w:ascii="Arial"/>
                <w:spacing w:val="-11"/>
                <w:sz w:val="20"/>
              </w:rPr>
              <w:t>111</w:t>
            </w:r>
          </w:p>
        </w:tc>
        <w:tc>
          <w:tcPr>
            <w:tcW w:w="1440" w:type="dxa"/>
            <w:tcBorders>
              <w:top w:val="nil" w:sz="6" w:space="0" w:color="auto"/>
              <w:left w:val="nil" w:sz="6" w:space="0" w:color="auto"/>
              <w:bottom w:val="single" w:sz="4" w:space="0" w:color="000000"/>
              <w:right w:val="nil" w:sz="6" w:space="0" w:color="auto"/>
            </w:tcBorders>
          </w:tcPr>
          <w:p>
            <w:pPr/>
          </w:p>
        </w:tc>
        <w:tc>
          <w:tcPr>
            <w:tcW w:w="1156" w:type="dxa"/>
            <w:tcBorders>
              <w:top w:val="nil" w:sz="6" w:space="0" w:color="auto"/>
              <w:left w:val="nil" w:sz="6" w:space="0" w:color="auto"/>
              <w:bottom w:val="single" w:sz="4" w:space="0" w:color="000000"/>
              <w:right w:val="nil" w:sz="6" w:space="0" w:color="auto"/>
            </w:tcBorders>
          </w:tcPr>
          <w:p>
            <w:pPr/>
          </w:p>
        </w:tc>
        <w:tc>
          <w:tcPr>
            <w:tcW w:w="191" w:type="dxa"/>
            <w:tcBorders>
              <w:top w:val="nil" w:sz="6" w:space="0" w:color="auto"/>
              <w:left w:val="nil" w:sz="6" w:space="0" w:color="auto"/>
              <w:bottom w:val="single" w:sz="4" w:space="0" w:color="000000"/>
              <w:right w:val="nil" w:sz="6" w:space="0" w:color="auto"/>
            </w:tcBorders>
          </w:tcPr>
          <w:p>
            <w:pPr/>
          </w:p>
        </w:tc>
        <w:tc>
          <w:tcPr>
            <w:tcW w:w="2416" w:type="dxa"/>
            <w:tcBorders>
              <w:top w:val="nil" w:sz="6" w:space="0" w:color="auto"/>
              <w:left w:val="nil" w:sz="6" w:space="0" w:color="auto"/>
              <w:bottom w:val="single" w:sz="4" w:space="0" w:color="000000"/>
              <w:right w:val="single" w:sz="4" w:space="0" w:color="000000"/>
            </w:tcBorders>
          </w:tcPr>
          <w:p>
            <w:pPr>
              <w:pStyle w:val="TableParagraph"/>
              <w:spacing w:line="240" w:lineRule="auto" w:before="24"/>
              <w:ind w:right="130"/>
              <w:jc w:val="right"/>
              <w:rPr>
                <w:rFonts w:ascii="Arial" w:hAnsi="Arial" w:cs="Arial" w:eastAsia="Arial" w:hint="default"/>
                <w:sz w:val="20"/>
                <w:szCs w:val="20"/>
              </w:rPr>
            </w:pPr>
            <w:r>
              <w:rPr>
                <w:rFonts w:ascii="Arial"/>
                <w:spacing w:val="-1"/>
                <w:sz w:val="20"/>
              </w:rPr>
              <w:t>(32,006)</w:t>
            </w:r>
          </w:p>
        </w:tc>
      </w:tr>
    </w:tbl>
    <w:p>
      <w:pPr>
        <w:spacing w:line="240" w:lineRule="auto" w:before="9"/>
        <w:rPr>
          <w:rFonts w:ascii="Arial" w:hAnsi="Arial" w:cs="Arial" w:eastAsia="Arial" w:hint="default"/>
          <w:sz w:val="18"/>
          <w:szCs w:val="18"/>
        </w:rPr>
      </w:pPr>
    </w:p>
    <w:p>
      <w:pPr>
        <w:tabs>
          <w:tab w:pos="3228" w:val="left" w:leader="none"/>
          <w:tab w:pos="13797" w:val="left" w:leader="none"/>
        </w:tabs>
        <w:spacing w:before="42"/>
        <w:ind w:left="514" w:right="0" w:firstLine="0"/>
        <w:jc w:val="center"/>
        <w:rPr>
          <w:rFonts w:ascii="Arial" w:hAnsi="Arial" w:cs="Arial" w:eastAsia="Arial" w:hint="default"/>
          <w:sz w:val="20"/>
          <w:szCs w:val="20"/>
        </w:rPr>
      </w:pPr>
      <w:r>
        <w:rPr/>
        <w:pict>
          <v:group style="position:absolute;margin-left:84.470993pt;margin-top:16.319384pt;width:725.3pt;height:70.5pt;mso-position-horizontal-relative:page;mso-position-vertical-relative:paragraph;z-index:-1003792" coordorigin="1689,326" coordsize="14506,1410">
            <v:group style="position:absolute;left:1694;top:336;width:1881;height:2" coordorigin="1694,336" coordsize="1881,2">
              <v:shape style="position:absolute;left:1694;top:336;width:1881;height:2" coordorigin="1694,336" coordsize="1881,0" path="m1694,336l3575,336e" filled="false" stroked="true" strokeweight=".48001pt" strokecolor="#000000">
                <v:path arrowok="t"/>
              </v:shape>
            </v:group>
            <v:group style="position:absolute;left:3575;top:336;width:1550;height:2" coordorigin="3575,336" coordsize="1550,2">
              <v:shape style="position:absolute;left:3575;top:336;width:1550;height:2" coordorigin="3575,336" coordsize="1550,0" path="m3575,336l5124,336e" filled="false" stroked="true" strokeweight=".48pt" strokecolor="#000000">
                <v:path arrowok="t"/>
              </v:shape>
            </v:group>
            <v:group style="position:absolute;left:5124;top:336;width:11067;height:2" coordorigin="5124,336" coordsize="11067,2">
              <v:shape style="position:absolute;left:5124;top:336;width:11067;height:2" coordorigin="5124,336" coordsize="11067,0" path="m5124,336l16190,336e" filled="false" stroked="true" strokeweight=".48001pt" strokecolor="#000000">
                <v:path arrowok="t"/>
              </v:shape>
            </v:group>
            <v:group style="position:absolute;left:1701;top:341;width:2;height:276" coordorigin="1701,341" coordsize="2,276">
              <v:shape style="position:absolute;left:1701;top:341;width:2;height:276" coordorigin="1701,341" coordsize="0,276" path="m1701,341l1701,617e" filled="false" stroked="true" strokeweight=".48001pt" strokecolor="#000000">
                <v:path arrowok="t"/>
              </v:shape>
            </v:group>
            <v:group style="position:absolute;left:1701;top:617;width:2;height:276" coordorigin="1701,617" coordsize="2,276">
              <v:shape style="position:absolute;left:1701;top:617;width:2;height:276" coordorigin="1701,617" coordsize="0,276" path="m1701,617l1701,893e" filled="false" stroked="true" strokeweight=".48001pt" strokecolor="#000000">
                <v:path arrowok="t"/>
              </v:shape>
            </v:group>
            <v:group style="position:absolute;left:1701;top:893;width:2;height:276" coordorigin="1701,893" coordsize="2,276">
              <v:shape style="position:absolute;left:1701;top:893;width:2;height:276" coordorigin="1701,893" coordsize="0,276" path="m1701,893l1701,1169e" filled="false" stroked="true" strokeweight=".48001pt" strokecolor="#000000">
                <v:path arrowok="t"/>
              </v:shape>
            </v:group>
            <v:group style="position:absolute;left:1701;top:1169;width:2;height:276" coordorigin="1701,1169" coordsize="2,276">
              <v:shape style="position:absolute;left:1701;top:1169;width:2;height:276" coordorigin="1701,1169" coordsize="0,276" path="m1701,1169l1701,1445e" filled="false" stroked="true" strokeweight=".48001pt" strokecolor="#000000">
                <v:path arrowok="t"/>
              </v:shape>
            </v:group>
            <v:group style="position:absolute;left:1701;top:1445;width:2;height:287" coordorigin="1701,1445" coordsize="2,287">
              <v:shape style="position:absolute;left:1701;top:1445;width:2;height:287" coordorigin="1701,1445" coordsize="0,287" path="m1701,1445l1701,1732e" filled="false" stroked="true" strokeweight=".48001pt" strokecolor="#000000">
                <v:path arrowok="t"/>
              </v:shape>
            </v:group>
            <v:group style="position:absolute;left:1697;top:1727;width:1876;height:2" coordorigin="1697,1727" coordsize="1876,2">
              <v:shape style="position:absolute;left:1697;top:1727;width:1876;height:2" coordorigin="1697,1727" coordsize="1876,0" path="m1697,1727l3572,1727e" filled="false" stroked="true" strokeweight=".47998pt" strokecolor="#000000">
                <v:path arrowok="t"/>
              </v:shape>
            </v:group>
            <v:group style="position:absolute;left:3558;top:1727;width:10;height:2" coordorigin="3558,1727" coordsize="10,2">
              <v:shape style="position:absolute;left:3558;top:1727;width:10;height:2" coordorigin="3558,1727" coordsize="10,0" path="m3558,1727l3567,1727e" filled="false" stroked="true" strokeweight=".47998pt" strokecolor="#000000">
                <v:path arrowok="t"/>
              </v:shape>
            </v:group>
            <v:group style="position:absolute;left:3567;top:1727;width:1564;height:2" coordorigin="3567,1727" coordsize="1564,2">
              <v:shape style="position:absolute;left:3567;top:1727;width:1564;height:2" coordorigin="3567,1727" coordsize="1564,0" path="m3567,1727l5131,1727e" filled="false" stroked="true" strokeweight=".48pt" strokecolor="#000000">
                <v:path arrowok="t"/>
              </v:shape>
            </v:group>
            <v:group style="position:absolute;left:5117;top:1727;width:299;height:2" coordorigin="5117,1727" coordsize="299,2">
              <v:shape style="position:absolute;left:5117;top:1727;width:299;height:2" coordorigin="5117,1727" coordsize="299,0" path="m5117,1727l5415,1727e" filled="false" stroked="true" strokeweight=".47998pt" strokecolor="#000000">
                <v:path arrowok="t"/>
              </v:shape>
            </v:group>
            <v:group style="position:absolute;left:5401;top:1727;width:1149;height:2" coordorigin="5401,1727" coordsize="1149,2">
              <v:shape style="position:absolute;left:5401;top:1727;width:1149;height:2" coordorigin="5401,1727" coordsize="1149,0" path="m5401,1727l6549,1727e" filled="false" stroked="true" strokeweight=".47998pt" strokecolor="#000000">
                <v:path arrowok="t"/>
              </v:shape>
            </v:group>
            <v:group style="position:absolute;left:6535;top:1727;width:1432;height:2" coordorigin="6535,1727" coordsize="1432,2">
              <v:shape style="position:absolute;left:6535;top:1727;width:1432;height:2" coordorigin="6535,1727" coordsize="1432,0" path="m6535,1727l7967,1727e" filled="false" stroked="true" strokeweight=".47998pt" strokecolor="#000000">
                <v:path arrowok="t"/>
              </v:shape>
            </v:group>
            <v:group style="position:absolute;left:7952;top:1727;width:1149;height:2" coordorigin="7952,1727" coordsize="1149,2">
              <v:shape style="position:absolute;left:7952;top:1727;width:1149;height:2" coordorigin="7952,1727" coordsize="1149,0" path="m7952,1727l9101,1727e" filled="false" stroked="true" strokeweight=".47998pt" strokecolor="#000000">
                <v:path arrowok="t"/>
              </v:shape>
            </v:group>
            <v:group style="position:absolute;left:9086;top:1727;width:297;height:2" coordorigin="9086,1727" coordsize="297,2">
              <v:shape style="position:absolute;left:9086;top:1727;width:297;height:2" coordorigin="9086,1727" coordsize="297,0" path="m9086,1727l9383,1727e" filled="false" stroked="true" strokeweight=".47998pt" strokecolor="#000000">
                <v:path arrowok="t"/>
              </v:shape>
            </v:group>
            <v:group style="position:absolute;left:9368;top:1727;width:1433;height:2" coordorigin="9368,1727" coordsize="1433,2">
              <v:shape style="position:absolute;left:9368;top:1727;width:1433;height:2" coordorigin="9368,1727" coordsize="1433,0" path="m9368,1727l10801,1727e" filled="false" stroked="true" strokeweight=".47998pt" strokecolor="#000000">
                <v:path arrowok="t"/>
              </v:shape>
            </v:group>
            <v:group style="position:absolute;left:10787;top:1727;width:298;height:2" coordorigin="10787,1727" coordsize="298,2">
              <v:shape style="position:absolute;left:10787;top:1727;width:298;height:2" coordorigin="10787,1727" coordsize="298,0" path="m10787,1727l11084,1727e" filled="false" stroked="true" strokeweight=".47998pt" strokecolor="#000000">
                <v:path arrowok="t"/>
              </v:shape>
            </v:group>
            <v:group style="position:absolute;left:11070;top:1727;width:1433;height:2" coordorigin="11070,1727" coordsize="1433,2">
              <v:shape style="position:absolute;left:11070;top:1727;width:1433;height:2" coordorigin="11070,1727" coordsize="1433,0" path="m11070,1727l12503,1727e" filled="false" stroked="true" strokeweight=".47998pt" strokecolor="#000000">
                <v:path arrowok="t"/>
              </v:shape>
            </v:group>
            <v:group style="position:absolute;left:12488;top:1727;width:298;height:2" coordorigin="12488,1727" coordsize="298,2">
              <v:shape style="position:absolute;left:12488;top:1727;width:298;height:2" coordorigin="12488,1727" coordsize="298,0" path="m12488,1727l12786,1727e" filled="false" stroked="true" strokeweight=".47998pt" strokecolor="#000000">
                <v:path arrowok="t"/>
              </v:shape>
            </v:group>
            <v:group style="position:absolute;left:12771;top:1727;width:1008;height:2" coordorigin="12771,1727" coordsize="1008,2">
              <v:shape style="position:absolute;left:12771;top:1727;width:1008;height:2" coordorigin="12771,1727" coordsize="1008,0" path="m12771,1727l13779,1727e" filled="false" stroked="true" strokeweight=".47998pt" strokecolor="#000000">
                <v:path arrowok="t"/>
              </v:shape>
            </v:group>
            <v:group style="position:absolute;left:13765;top:1727;width:298;height:2" coordorigin="13765,1727" coordsize="298,2">
              <v:shape style="position:absolute;left:13765;top:1727;width:298;height:2" coordorigin="13765,1727" coordsize="298,0" path="m13765,1727l14063,1727e" filled="false" stroked="true" strokeweight=".47998pt" strokecolor="#000000">
                <v:path arrowok="t"/>
              </v:shape>
            </v:group>
            <v:group style="position:absolute;left:14048;top:1727;width:2135;height:2" coordorigin="14048,1727" coordsize="2135,2">
              <v:shape style="position:absolute;left:14048;top:1727;width:2135;height:2" coordorigin="14048,1727" coordsize="2135,0" path="m14048,1727l16183,1727e" filled="false" stroked="true" strokeweight=".47998pt" strokecolor="#000000">
                <v:path arrowok="t"/>
              </v:shape>
            </v:group>
            <v:group style="position:absolute;left:16188;top:331;width:2;height:1401" coordorigin="16188,331" coordsize="2,1401">
              <v:shape style="position:absolute;left:16188;top:331;width:2;height:1401" coordorigin="16188,331" coordsize="0,1401" path="m16188,331l16188,1732e" filled="false" stroked="true" strokeweight=".47998pt" strokecolor="#000000">
                <v:path arrowok="t"/>
              </v:shape>
            </v:group>
            <w10:wrap type="none"/>
          </v:group>
        </w:pict>
      </w:r>
      <w:r>
        <w:rPr>
          <w:rFonts w:ascii="宋体" w:hAnsi="宋体" w:cs="宋体" w:eastAsia="宋体" w:hint="default"/>
          <w:spacing w:val="-1"/>
          <w:position w:val="1"/>
          <w:sz w:val="20"/>
          <w:szCs w:val="20"/>
        </w:rPr>
        <w:t>账面净值合计</w:t>
        <w:tab/>
      </w:r>
      <w:r>
        <w:rPr>
          <w:rFonts w:ascii="Arial" w:hAnsi="Arial" w:cs="Arial" w:eastAsia="Arial" w:hint="default"/>
          <w:sz w:val="20"/>
          <w:szCs w:val="20"/>
        </w:rPr>
        <w:t>2,895,</w:t>
        <w:tab/>
      </w:r>
      <w:r>
        <w:rPr>
          <w:rFonts w:ascii="Arial" w:hAnsi="Arial" w:cs="Arial" w:eastAsia="Arial" w:hint="default"/>
          <w:spacing w:val="-1"/>
          <w:sz w:val="20"/>
          <w:szCs w:val="20"/>
        </w:rPr>
        <w:t>3,914,317</w:t>
      </w:r>
    </w:p>
    <w:p>
      <w:pPr>
        <w:tabs>
          <w:tab w:pos="3228" w:val="left" w:leader="none"/>
          <w:tab w:pos="13797" w:val="left" w:leader="none"/>
        </w:tabs>
        <w:spacing w:line="280" w:lineRule="exact" w:before="1"/>
        <w:ind w:left="712" w:right="0" w:firstLine="0"/>
        <w:jc w:val="center"/>
        <w:rPr>
          <w:rFonts w:ascii="Arial" w:hAnsi="Arial" w:cs="Arial" w:eastAsia="Arial" w:hint="default"/>
          <w:sz w:val="20"/>
          <w:szCs w:val="20"/>
        </w:rPr>
      </w:pPr>
      <w:r>
        <w:rPr>
          <w:rFonts w:ascii="宋体" w:hAnsi="宋体" w:cs="宋体" w:eastAsia="宋体" w:hint="default"/>
          <w:spacing w:val="-1"/>
          <w:position w:val="1"/>
          <w:sz w:val="20"/>
          <w:szCs w:val="20"/>
        </w:rPr>
        <w:t>房屋及建筑物</w:t>
        <w:tab/>
      </w:r>
      <w:r>
        <w:rPr>
          <w:rFonts w:ascii="Arial" w:hAnsi="Arial" w:cs="Arial" w:eastAsia="Arial" w:hint="default"/>
          <w:sz w:val="20"/>
          <w:szCs w:val="20"/>
        </w:rPr>
        <w:t>2,645,</w:t>
        <w:tab/>
      </w:r>
      <w:r>
        <w:rPr>
          <w:rFonts w:ascii="Arial" w:hAnsi="Arial" w:cs="Arial" w:eastAsia="Arial" w:hint="default"/>
          <w:spacing w:val="-1"/>
          <w:sz w:val="20"/>
          <w:szCs w:val="20"/>
        </w:rPr>
        <w:t>3,501,807</w:t>
      </w:r>
    </w:p>
    <w:p>
      <w:pPr>
        <w:tabs>
          <w:tab w:pos="3505" w:val="left" w:leader="none"/>
          <w:tab w:pos="14074" w:val="left" w:leader="none"/>
        </w:tabs>
        <w:spacing w:line="275" w:lineRule="exact" w:before="0"/>
        <w:ind w:left="712" w:right="0" w:firstLine="0"/>
        <w:jc w:val="center"/>
        <w:rPr>
          <w:rFonts w:ascii="Arial" w:hAnsi="Arial" w:cs="Arial" w:eastAsia="Arial" w:hint="default"/>
          <w:sz w:val="20"/>
          <w:szCs w:val="20"/>
        </w:rPr>
      </w:pPr>
      <w:r>
        <w:rPr>
          <w:rFonts w:ascii="宋体" w:hAnsi="宋体" w:cs="宋体" w:eastAsia="宋体" w:hint="default"/>
          <w:position w:val="1"/>
          <w:sz w:val="20"/>
          <w:szCs w:val="20"/>
        </w:rPr>
        <w:t>机器设备</w:t>
        <w:tab/>
      </w:r>
      <w:r>
        <w:rPr>
          <w:rFonts w:ascii="Arial" w:hAnsi="Arial" w:cs="Arial" w:eastAsia="Arial" w:hint="default"/>
          <w:sz w:val="20"/>
          <w:szCs w:val="20"/>
        </w:rPr>
        <w:t>16,</w:t>
        <w:tab/>
        <w:t>24,390</w:t>
      </w:r>
    </w:p>
    <w:p>
      <w:pPr>
        <w:tabs>
          <w:tab w:pos="3505" w:val="left" w:leader="none"/>
          <w:tab w:pos="14074" w:val="left" w:leader="none"/>
        </w:tabs>
        <w:spacing w:line="276" w:lineRule="exact" w:before="0"/>
        <w:ind w:left="712" w:right="0" w:firstLine="0"/>
        <w:jc w:val="center"/>
        <w:rPr>
          <w:rFonts w:ascii="Arial" w:hAnsi="Arial" w:cs="Arial" w:eastAsia="Arial" w:hint="default"/>
          <w:sz w:val="20"/>
          <w:szCs w:val="20"/>
        </w:rPr>
      </w:pPr>
      <w:r>
        <w:rPr>
          <w:rFonts w:ascii="宋体" w:hAnsi="宋体" w:cs="宋体" w:eastAsia="宋体" w:hint="default"/>
          <w:position w:val="1"/>
          <w:sz w:val="20"/>
          <w:szCs w:val="20"/>
        </w:rPr>
        <w:t>运输工具</w:t>
        <w:tab/>
      </w:r>
      <w:r>
        <w:rPr>
          <w:rFonts w:ascii="Arial" w:hAnsi="Arial" w:cs="Arial" w:eastAsia="Arial" w:hint="default"/>
          <w:sz w:val="20"/>
          <w:szCs w:val="20"/>
        </w:rPr>
        <w:t>37,</w:t>
        <w:tab/>
        <w:t>60,829</w:t>
      </w:r>
    </w:p>
    <w:p>
      <w:pPr>
        <w:tabs>
          <w:tab w:pos="3395" w:val="left" w:leader="none"/>
          <w:tab w:pos="13963" w:val="left" w:leader="none"/>
        </w:tabs>
        <w:spacing w:line="276" w:lineRule="exact" w:before="0"/>
        <w:ind w:left="712" w:right="0" w:firstLine="0"/>
        <w:jc w:val="center"/>
        <w:rPr>
          <w:rFonts w:ascii="Arial" w:hAnsi="Arial" w:cs="Arial" w:eastAsia="Arial" w:hint="default"/>
          <w:sz w:val="20"/>
          <w:szCs w:val="20"/>
        </w:rPr>
      </w:pPr>
      <w:r>
        <w:rPr>
          <w:rFonts w:ascii="宋体" w:hAnsi="宋体" w:cs="宋体" w:eastAsia="宋体" w:hint="default"/>
          <w:position w:val="1"/>
          <w:sz w:val="20"/>
          <w:szCs w:val="20"/>
        </w:rPr>
        <w:t>电子设备</w:t>
        <w:tab/>
      </w:r>
      <w:r>
        <w:rPr>
          <w:rFonts w:ascii="Arial" w:hAnsi="Arial" w:cs="Arial" w:eastAsia="Arial" w:hint="default"/>
          <w:sz w:val="20"/>
          <w:szCs w:val="20"/>
        </w:rPr>
        <w:t>168,</w:t>
        <w:tab/>
        <w:t>214,729</w:t>
      </w:r>
    </w:p>
    <w:p>
      <w:pPr>
        <w:tabs>
          <w:tab w:pos="3505" w:val="left" w:leader="none"/>
          <w:tab w:pos="13978" w:val="left" w:leader="none"/>
        </w:tabs>
        <w:spacing w:line="281" w:lineRule="exact" w:before="0"/>
        <w:ind w:left="712" w:right="0" w:firstLine="0"/>
        <w:jc w:val="center"/>
        <w:rPr>
          <w:rFonts w:ascii="Arial" w:hAnsi="Arial" w:cs="Arial" w:eastAsia="Arial" w:hint="default"/>
          <w:sz w:val="20"/>
          <w:szCs w:val="20"/>
        </w:rPr>
      </w:pPr>
      <w:r>
        <w:rPr>
          <w:rFonts w:ascii="宋体" w:hAnsi="宋体" w:cs="宋体" w:eastAsia="宋体" w:hint="default"/>
          <w:position w:val="1"/>
          <w:sz w:val="20"/>
          <w:szCs w:val="20"/>
        </w:rPr>
        <w:t>其他设备</w:t>
        <w:tab/>
      </w:r>
      <w:r>
        <w:rPr>
          <w:rFonts w:ascii="Arial" w:hAnsi="Arial" w:cs="Arial" w:eastAsia="Arial" w:hint="default"/>
          <w:sz w:val="20"/>
          <w:szCs w:val="20"/>
        </w:rPr>
        <w:t>27,</w:t>
        <w:tab/>
      </w:r>
      <w:r>
        <w:rPr>
          <w:rFonts w:ascii="Arial" w:hAnsi="Arial" w:cs="Arial" w:eastAsia="Arial" w:hint="default"/>
          <w:spacing w:val="-3"/>
          <w:sz w:val="20"/>
          <w:szCs w:val="20"/>
        </w:rPr>
        <w:t>112,562</w:t>
      </w:r>
    </w:p>
    <w:p>
      <w:pPr>
        <w:spacing w:before="144"/>
        <w:ind w:left="514" w:right="661" w:firstLine="0"/>
        <w:jc w:val="center"/>
        <w:rPr>
          <w:rFonts w:ascii="Arial" w:hAnsi="Arial" w:cs="Arial" w:eastAsia="Arial" w:hint="default"/>
          <w:sz w:val="18"/>
          <w:szCs w:val="18"/>
        </w:rPr>
      </w:pPr>
      <w:r>
        <w:rPr>
          <w:rFonts w:ascii="Arial"/>
          <w:sz w:val="18"/>
        </w:rPr>
        <w:t>- 159</w:t>
      </w:r>
      <w:r>
        <w:rPr>
          <w:rFonts w:ascii="Arial"/>
          <w:spacing w:val="-3"/>
          <w:sz w:val="18"/>
        </w:rPr>
        <w:t> </w:t>
      </w:r>
      <w:r>
        <w:rPr>
          <w:rFonts w:ascii="Arial"/>
          <w:sz w:val="18"/>
        </w:rPr>
        <w:t>-</w:t>
      </w:r>
    </w:p>
    <w:p>
      <w:pPr>
        <w:spacing w:after="0"/>
        <w:jc w:val="center"/>
        <w:rPr>
          <w:rFonts w:ascii="Arial" w:hAnsi="Arial" w:cs="Arial" w:eastAsia="Arial" w:hint="default"/>
          <w:sz w:val="18"/>
          <w:szCs w:val="18"/>
        </w:rPr>
        <w:sectPr>
          <w:headerReference w:type="default" r:id="rId62"/>
          <w:footerReference w:type="default" r:id="rId63"/>
          <w:pgSz w:w="16840" w:h="11910" w:orient="landscape"/>
          <w:pgMar w:header="0" w:footer="0" w:top="1100" w:bottom="280" w:left="980" w:right="540"/>
        </w:sectPr>
      </w:pPr>
    </w:p>
    <w:p>
      <w:pPr>
        <w:spacing w:line="240" w:lineRule="auto" w:before="4"/>
        <w:rPr>
          <w:rFonts w:ascii="Arial" w:hAnsi="Arial" w:cs="Arial" w:eastAsia="Arial" w:hint="default"/>
          <w:sz w:val="15"/>
          <w:szCs w:val="15"/>
        </w:rPr>
      </w:pPr>
    </w:p>
    <w:p>
      <w:pPr>
        <w:pStyle w:val="Heading2"/>
        <w:tabs>
          <w:tab w:pos="814" w:val="left" w:leader="none"/>
        </w:tabs>
        <w:spacing w:line="240" w:lineRule="auto"/>
        <w:ind w:left="102" w:right="104"/>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4" w:val="left" w:leader="none"/>
        </w:tabs>
        <w:spacing w:before="0"/>
        <w:ind w:left="102" w:right="104" w:firstLine="0"/>
        <w:jc w:val="left"/>
        <w:rPr>
          <w:rFonts w:ascii="Arial" w:hAnsi="Arial" w:cs="Arial" w:eastAsia="Arial" w:hint="default"/>
          <w:sz w:val="24"/>
          <w:szCs w:val="24"/>
        </w:rPr>
      </w:pPr>
      <w:r>
        <w:rPr>
          <w:rFonts w:ascii="Arial" w:hAnsi="Arial" w:cs="Arial" w:eastAsia="Arial" w:hint="default"/>
          <w:w w:val="95"/>
          <w:position w:val="2"/>
          <w:sz w:val="24"/>
          <w:szCs w:val="24"/>
        </w:rPr>
        <w:t>(13)</w:t>
        <w:tab/>
      </w:r>
      <w:r>
        <w:rPr>
          <w:rFonts w:ascii="宋体" w:hAnsi="宋体" w:cs="宋体" w:eastAsia="宋体" w:hint="default"/>
          <w:b/>
          <w:bCs/>
          <w:sz w:val="24"/>
          <w:szCs w:val="24"/>
        </w:rPr>
        <w:t>固定资产</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spacing w:line="240" w:lineRule="auto"/>
        <w:ind w:left="814" w:right="0"/>
        <w:jc w:val="left"/>
      </w:pPr>
      <w:r>
        <w:rPr/>
        <w:t>于</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日及</w:t>
      </w:r>
      <w:r>
        <w:rPr>
          <w:spacing w:val="-61"/>
        </w:rPr>
        <w:t> </w:t>
      </w:r>
      <w:r>
        <w:rPr>
          <w:rFonts w:ascii="Arial" w:hAnsi="Arial" w:cs="Arial" w:eastAsia="Arial" w:hint="default"/>
        </w:rPr>
        <w:t>2009</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4"/>
        </w:rPr>
        <w:t>日，无房屋及建筑物作为短期借款的抵押物。</w:t>
      </w:r>
    </w:p>
    <w:p>
      <w:pPr>
        <w:spacing w:line="240" w:lineRule="auto" w:before="8"/>
        <w:rPr>
          <w:rFonts w:ascii="宋体" w:hAnsi="宋体" w:cs="宋体" w:eastAsia="宋体" w:hint="default"/>
          <w:sz w:val="19"/>
          <w:szCs w:val="19"/>
        </w:rPr>
      </w:pPr>
    </w:p>
    <w:p>
      <w:pPr>
        <w:pStyle w:val="BodyText"/>
        <w:spacing w:line="322" w:lineRule="exact"/>
        <w:ind w:left="814" w:right="0"/>
        <w:jc w:val="left"/>
      </w:pPr>
      <w:r>
        <w:rPr>
          <w:rFonts w:ascii="Arial" w:hAnsi="Arial" w:cs="Arial" w:eastAsia="Arial" w:hint="default"/>
          <w:spacing w:val="-1"/>
          <w:w w:val="99"/>
        </w:rPr>
        <w:t>201</w:t>
      </w:r>
      <w:r>
        <w:rPr>
          <w:rFonts w:ascii="Arial" w:hAnsi="Arial" w:cs="Arial" w:eastAsia="Arial" w:hint="default"/>
          <w:w w:val="99"/>
        </w:rPr>
        <w:t>0</w:t>
      </w:r>
      <w:r>
        <w:rPr>
          <w:rFonts w:ascii="Arial" w:hAnsi="Arial" w:cs="Arial" w:eastAsia="Arial" w:hint="default"/>
          <w:spacing w:val="-24"/>
        </w:rPr>
        <w:t> </w:t>
      </w:r>
      <w:r>
        <w:rPr/>
        <w:t>年度固定资产计提的折旧金额约人民币</w:t>
      </w:r>
      <w:r>
        <w:rPr>
          <w:spacing w:val="-77"/>
        </w:rPr>
        <w:t> </w:t>
      </w:r>
      <w:r>
        <w:rPr>
          <w:rFonts w:ascii="Arial" w:hAnsi="Arial" w:cs="Arial" w:eastAsia="Arial" w:hint="default"/>
          <w:spacing w:val="-1"/>
          <w:w w:val="99"/>
        </w:rPr>
        <w:t>1.9</w:t>
      </w:r>
      <w:r>
        <w:rPr>
          <w:rFonts w:ascii="Arial" w:hAnsi="Arial" w:cs="Arial" w:eastAsia="Arial" w:hint="default"/>
          <w:w w:val="99"/>
        </w:rPr>
        <w:t>7</w:t>
      </w:r>
      <w:r>
        <w:rPr>
          <w:rFonts w:ascii="Arial" w:hAnsi="Arial" w:cs="Arial" w:eastAsia="Arial" w:hint="default"/>
          <w:spacing w:val="-24"/>
        </w:rPr>
        <w:t> </w:t>
      </w:r>
      <w:r>
        <w:rPr>
          <w:spacing w:val="1"/>
        </w:rPr>
        <w:t>亿</w:t>
      </w:r>
      <w:r>
        <w:rPr/>
        <w:t>元</w:t>
      </w:r>
      <w:r>
        <w:rPr>
          <w:rFonts w:ascii="Arial" w:hAnsi="Arial" w:cs="Arial" w:eastAsia="Arial" w:hint="default"/>
          <w:spacing w:val="-1"/>
          <w:w w:val="99"/>
        </w:rPr>
        <w:t>(200</w:t>
      </w:r>
      <w:r>
        <w:rPr>
          <w:rFonts w:ascii="Arial" w:hAnsi="Arial" w:cs="Arial" w:eastAsia="Arial" w:hint="default"/>
          <w:w w:val="99"/>
        </w:rPr>
        <w:t>9</w:t>
      </w:r>
      <w:r>
        <w:rPr>
          <w:rFonts w:ascii="Arial" w:hAnsi="Arial" w:cs="Arial" w:eastAsia="Arial" w:hint="default"/>
          <w:spacing w:val="-24"/>
        </w:rPr>
        <w:t> </w:t>
      </w:r>
      <w:r>
        <w:rPr/>
        <w:t>年度</w:t>
      </w:r>
      <w:r>
        <w:rPr>
          <w:spacing w:val="-120"/>
        </w:rPr>
        <w:t>：</w:t>
      </w:r>
      <w:r>
        <w:rPr/>
        <w:t>约人民币</w:t>
      </w:r>
      <w:r>
        <w:rPr>
          <w:spacing w:val="-77"/>
        </w:rPr>
        <w:t> </w:t>
      </w:r>
      <w:r>
        <w:rPr>
          <w:rFonts w:ascii="Arial" w:hAnsi="Arial" w:cs="Arial" w:eastAsia="Arial" w:hint="default"/>
          <w:spacing w:val="-1"/>
          <w:w w:val="99"/>
        </w:rPr>
        <w:t>1.8</w:t>
      </w:r>
      <w:r>
        <w:rPr>
          <w:rFonts w:ascii="Arial" w:hAnsi="Arial" w:cs="Arial" w:eastAsia="Arial" w:hint="default"/>
          <w:w w:val="99"/>
        </w:rPr>
        <w:t>6</w:t>
      </w:r>
      <w:r>
        <w:rPr>
          <w:rFonts w:ascii="Arial" w:hAnsi="Arial" w:cs="Arial" w:eastAsia="Arial" w:hint="default"/>
          <w:spacing w:val="-24"/>
        </w:rPr>
        <w:t> </w:t>
      </w:r>
      <w:r>
        <w:rPr>
          <w:spacing w:val="1"/>
        </w:rPr>
        <w:t>亿</w:t>
      </w:r>
      <w:r>
        <w:rPr/>
        <w:t>元</w:t>
      </w:r>
      <w:r>
        <w:rPr>
          <w:rFonts w:ascii="Arial" w:hAnsi="Arial" w:cs="Arial" w:eastAsia="Arial" w:hint="default"/>
        </w:rPr>
        <w:t>)</w:t>
      </w:r>
      <w:r>
        <w:rPr/>
        <w:t>，</w:t>
      </w:r>
    </w:p>
    <w:p>
      <w:pPr>
        <w:pStyle w:val="BodyText"/>
        <w:spacing w:line="312" w:lineRule="exact"/>
        <w:ind w:left="814" w:right="104"/>
        <w:jc w:val="left"/>
      </w:pPr>
      <w:r>
        <w:rPr/>
        <w:t>其中计入销售费用及管理费用的折旧费用分别约人民币</w:t>
      </w:r>
      <w:r>
        <w:rPr>
          <w:spacing w:val="-57"/>
        </w:rPr>
        <w:t> </w:t>
      </w:r>
      <w:r>
        <w:rPr>
          <w:rFonts w:ascii="Arial" w:hAnsi="Arial" w:cs="Arial" w:eastAsia="Arial" w:hint="default"/>
        </w:rPr>
        <w:t>9,708</w:t>
      </w:r>
      <w:r>
        <w:rPr>
          <w:rFonts w:ascii="Arial" w:hAnsi="Arial" w:cs="Arial" w:eastAsia="Arial" w:hint="default"/>
          <w:spacing w:val="-4"/>
        </w:rPr>
        <w:t> </w:t>
      </w:r>
      <w:r>
        <w:rPr/>
        <w:t>万元及人民币</w:t>
      </w:r>
      <w:r>
        <w:rPr>
          <w:spacing w:val="-57"/>
        </w:rPr>
        <w:t> </w:t>
      </w:r>
      <w:r>
        <w:rPr>
          <w:rFonts w:ascii="Arial" w:hAnsi="Arial" w:cs="Arial" w:eastAsia="Arial" w:hint="default"/>
        </w:rPr>
        <w:t>9,946</w:t>
      </w:r>
      <w:r>
        <w:rPr>
          <w:rFonts w:ascii="Arial" w:hAnsi="Arial" w:cs="Arial" w:eastAsia="Arial" w:hint="default"/>
          <w:spacing w:val="-4"/>
        </w:rPr>
        <w:t> </w:t>
      </w:r>
      <w:r>
        <w:rPr/>
        <w:t>万元</w:t>
      </w:r>
    </w:p>
    <w:p>
      <w:pPr>
        <w:pStyle w:val="BodyText"/>
        <w:spacing w:line="322" w:lineRule="exact"/>
        <w:ind w:left="814" w:right="104"/>
        <w:jc w:val="left"/>
      </w:pPr>
      <w:r>
        <w:rPr>
          <w:rFonts w:ascii="Arial" w:hAnsi="Arial" w:cs="Arial" w:eastAsia="Arial" w:hint="default"/>
        </w:rPr>
        <w:t>(2009</w:t>
      </w:r>
      <w:r>
        <w:rPr>
          <w:rFonts w:ascii="Arial" w:hAnsi="Arial" w:cs="Arial" w:eastAsia="Arial" w:hint="default"/>
          <w:spacing w:val="-10"/>
        </w:rPr>
        <w:t> </w:t>
      </w:r>
      <w:r>
        <w:rPr/>
        <w:t>年：约人民币</w:t>
      </w:r>
      <w:r>
        <w:rPr>
          <w:spacing w:val="-63"/>
        </w:rPr>
        <w:t> </w:t>
      </w:r>
      <w:r>
        <w:rPr>
          <w:rFonts w:ascii="Arial" w:hAnsi="Arial" w:cs="Arial" w:eastAsia="Arial" w:hint="default"/>
        </w:rPr>
        <w:t>8,593</w:t>
      </w:r>
      <w:r>
        <w:rPr>
          <w:rFonts w:ascii="Arial" w:hAnsi="Arial" w:cs="Arial" w:eastAsia="Arial" w:hint="default"/>
          <w:spacing w:val="-10"/>
        </w:rPr>
        <w:t> </w:t>
      </w:r>
      <w:r>
        <w:rPr/>
        <w:t>万元及约人民币</w:t>
      </w:r>
      <w:r>
        <w:rPr>
          <w:spacing w:val="-63"/>
        </w:rPr>
        <w:t> </w:t>
      </w:r>
      <w:r>
        <w:rPr>
          <w:rFonts w:ascii="Arial" w:hAnsi="Arial" w:cs="Arial" w:eastAsia="Arial" w:hint="default"/>
        </w:rPr>
        <w:t>10,036</w:t>
      </w:r>
      <w:r>
        <w:rPr>
          <w:rFonts w:ascii="Arial" w:hAnsi="Arial" w:cs="Arial" w:eastAsia="Arial" w:hint="default"/>
          <w:spacing w:val="-10"/>
        </w:rPr>
        <w:t> </w:t>
      </w:r>
      <w:r>
        <w:rPr/>
        <w:t>万元</w:t>
      </w:r>
      <w:r>
        <w:rPr>
          <w:rFonts w:ascii="Arial" w:hAnsi="Arial" w:cs="Arial" w:eastAsia="Arial" w:hint="default"/>
        </w:rPr>
        <w:t>)</w:t>
      </w:r>
      <w:r>
        <w:rPr/>
        <w:t>。</w:t>
      </w:r>
    </w:p>
    <w:p>
      <w:pPr>
        <w:spacing w:line="240" w:lineRule="auto" w:before="8"/>
        <w:rPr>
          <w:rFonts w:ascii="宋体" w:hAnsi="宋体" w:cs="宋体" w:eastAsia="宋体" w:hint="default"/>
          <w:sz w:val="19"/>
          <w:szCs w:val="19"/>
        </w:rPr>
      </w:pPr>
    </w:p>
    <w:p>
      <w:pPr>
        <w:pStyle w:val="BodyText"/>
        <w:spacing w:line="322" w:lineRule="exact"/>
        <w:ind w:left="814" w:right="104"/>
        <w:jc w:val="left"/>
      </w:pPr>
      <w:r>
        <w:rPr>
          <w:rFonts w:ascii="Arial" w:hAnsi="Arial" w:cs="Arial" w:eastAsia="Arial" w:hint="default"/>
        </w:rPr>
        <w:t>2010  </w:t>
      </w:r>
      <w:r>
        <w:rPr/>
        <w:t>年度由在建工程转入固定资产的原价约人民币 </w:t>
      </w:r>
      <w:r>
        <w:rPr>
          <w:rFonts w:ascii="Arial" w:hAnsi="Arial" w:cs="Arial" w:eastAsia="Arial" w:hint="default"/>
        </w:rPr>
        <w:t>5.52  </w:t>
      </w:r>
      <w:r>
        <w:rPr/>
        <w:t>亿元</w:t>
      </w:r>
      <w:r>
        <w:rPr>
          <w:rFonts w:ascii="Arial" w:hAnsi="Arial" w:cs="Arial" w:eastAsia="Arial" w:hint="default"/>
        </w:rPr>
        <w:t>(2009 </w:t>
      </w:r>
      <w:r>
        <w:rPr>
          <w:rFonts w:ascii="Arial" w:hAnsi="Arial" w:cs="Arial" w:eastAsia="Arial" w:hint="default"/>
          <w:spacing w:val="20"/>
        </w:rPr>
        <w:t> </w:t>
      </w:r>
      <w:r>
        <w:rPr/>
        <w:t>年度：约人民币</w:t>
      </w:r>
    </w:p>
    <w:p>
      <w:pPr>
        <w:pStyle w:val="BodyText"/>
        <w:spacing w:line="322" w:lineRule="exact"/>
        <w:ind w:left="814" w:right="104"/>
        <w:jc w:val="left"/>
      </w:pPr>
      <w:r>
        <w:rPr>
          <w:rFonts w:ascii="Arial" w:hAnsi="Arial" w:cs="Arial" w:eastAsia="Arial" w:hint="default"/>
        </w:rPr>
        <w:t>3,458</w:t>
      </w:r>
      <w:r>
        <w:rPr>
          <w:rFonts w:ascii="Arial" w:hAnsi="Arial" w:cs="Arial" w:eastAsia="Arial" w:hint="default"/>
          <w:spacing w:val="-12"/>
        </w:rPr>
        <w:t> </w:t>
      </w:r>
      <w:r>
        <w:rPr/>
        <w:t>万元</w:t>
      </w:r>
      <w:r>
        <w:rPr>
          <w:rFonts w:ascii="Arial" w:hAnsi="Arial" w:cs="Arial" w:eastAsia="Arial" w:hint="default"/>
        </w:rPr>
        <w:t>)</w:t>
      </w:r>
      <w:r>
        <w:rPr/>
        <w:t>。</w:t>
      </w:r>
    </w:p>
    <w:p>
      <w:pPr>
        <w:spacing w:line="240" w:lineRule="auto" w:before="8"/>
        <w:rPr>
          <w:rFonts w:ascii="宋体" w:hAnsi="宋体" w:cs="宋体" w:eastAsia="宋体" w:hint="default"/>
          <w:sz w:val="19"/>
          <w:szCs w:val="19"/>
        </w:rPr>
      </w:pPr>
    </w:p>
    <w:p>
      <w:pPr>
        <w:pStyle w:val="BodyText"/>
        <w:tabs>
          <w:tab w:pos="814" w:val="left" w:leader="none"/>
        </w:tabs>
        <w:spacing w:line="240" w:lineRule="auto"/>
        <w:ind w:left="101" w:right="104"/>
        <w:jc w:val="left"/>
      </w:pPr>
      <w:r>
        <w:rPr>
          <w:rFonts w:ascii="Arial" w:hAnsi="Arial" w:cs="Arial" w:eastAsia="Arial" w:hint="default"/>
          <w:w w:val="95"/>
          <w:position w:val="2"/>
        </w:rPr>
        <w:t>(a)</w:t>
        <w:tab/>
      </w:r>
      <w:r>
        <w:rPr/>
        <w:t>于</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日和</w:t>
      </w:r>
      <w:r>
        <w:rPr>
          <w:spacing w:val="-61"/>
        </w:rPr>
        <w:t> </w:t>
      </w:r>
      <w:r>
        <w:rPr>
          <w:rFonts w:ascii="Arial" w:hAnsi="Arial" w:cs="Arial" w:eastAsia="Arial" w:hint="default"/>
        </w:rPr>
        <w:t>2009</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日，本集团无重大暂时闲置的固定资产。</w:t>
      </w:r>
    </w:p>
    <w:p>
      <w:pPr>
        <w:spacing w:line="240" w:lineRule="auto" w:before="8"/>
        <w:rPr>
          <w:rFonts w:ascii="宋体" w:hAnsi="宋体" w:cs="宋体" w:eastAsia="宋体" w:hint="default"/>
          <w:sz w:val="19"/>
          <w:szCs w:val="19"/>
        </w:rPr>
      </w:pPr>
    </w:p>
    <w:p>
      <w:pPr>
        <w:pStyle w:val="BodyText"/>
        <w:tabs>
          <w:tab w:pos="814" w:val="left" w:leader="none"/>
        </w:tabs>
        <w:spacing w:line="240" w:lineRule="auto"/>
        <w:ind w:left="101" w:right="104"/>
        <w:jc w:val="left"/>
      </w:pPr>
      <w:r>
        <w:rPr>
          <w:rFonts w:ascii="Arial" w:hAnsi="Arial" w:cs="Arial" w:eastAsia="Arial" w:hint="default"/>
          <w:w w:val="95"/>
          <w:position w:val="2"/>
        </w:rPr>
        <w:t>(b)</w:t>
        <w:tab/>
      </w:r>
      <w:r>
        <w:rPr/>
        <w:t>未办妥产权证书的固定资产</w:t>
      </w:r>
    </w:p>
    <w:p>
      <w:pPr>
        <w:spacing w:line="240" w:lineRule="auto" w:before="12"/>
        <w:rPr>
          <w:rFonts w:ascii="宋体" w:hAnsi="宋体" w:cs="宋体" w:eastAsia="宋体" w:hint="default"/>
          <w:sz w:val="20"/>
          <w:szCs w:val="20"/>
        </w:rPr>
      </w:pPr>
    </w:p>
    <w:p>
      <w:pPr>
        <w:pStyle w:val="BodyText"/>
        <w:spacing w:line="322" w:lineRule="exact"/>
        <w:ind w:left="814" w:right="104"/>
        <w:jc w:val="left"/>
      </w:pPr>
      <w:r>
        <w:rPr/>
        <w:t>于</w:t>
      </w:r>
      <w:r>
        <w:rPr>
          <w:spacing w:val="-60"/>
        </w:rPr>
        <w:t> </w:t>
      </w:r>
      <w:r>
        <w:rPr>
          <w:rFonts w:ascii="Arial" w:hAnsi="Arial" w:cs="Arial" w:eastAsia="Arial" w:hint="default"/>
          <w:spacing w:val="-1"/>
          <w:w w:val="99"/>
        </w:rPr>
        <w:t>201</w:t>
      </w:r>
      <w:r>
        <w:rPr>
          <w:rFonts w:ascii="Arial" w:hAnsi="Arial" w:cs="Arial" w:eastAsia="Arial" w:hint="default"/>
          <w:w w:val="99"/>
        </w:rPr>
        <w:t>0</w:t>
      </w:r>
      <w:r>
        <w:rPr>
          <w:rFonts w:ascii="Arial" w:hAnsi="Arial" w:cs="Arial" w:eastAsia="Arial" w:hint="default"/>
          <w:spacing w:val="-7"/>
        </w:rPr>
        <w:t> </w:t>
      </w:r>
      <w:r>
        <w:rPr/>
        <w:t>年</w:t>
      </w:r>
      <w:r>
        <w:rPr>
          <w:spacing w:val="-59"/>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7"/>
        </w:rPr>
        <w:t> </w:t>
      </w:r>
      <w:r>
        <w:rPr/>
        <w:t>月</w:t>
      </w:r>
      <w:r>
        <w:rPr>
          <w:spacing w:val="-60"/>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7"/>
        </w:rPr>
        <w:t> </w:t>
      </w:r>
      <w:r>
        <w:rPr>
          <w:spacing w:val="1"/>
        </w:rPr>
        <w:t>日</w:t>
      </w:r>
      <w:r>
        <w:rPr>
          <w:spacing w:val="-99"/>
        </w:rPr>
        <w:t>，</w:t>
      </w:r>
      <w:r>
        <w:rPr/>
        <w:t>账面价值约人民币</w:t>
      </w:r>
      <w:r>
        <w:rPr>
          <w:spacing w:val="-60"/>
        </w:rPr>
        <w:t> </w:t>
      </w:r>
      <w:r>
        <w:rPr>
          <w:rFonts w:ascii="Arial" w:hAnsi="Arial" w:cs="Arial" w:eastAsia="Arial" w:hint="default"/>
          <w:spacing w:val="-1"/>
          <w:w w:val="99"/>
        </w:rPr>
        <w:t>6.5</w:t>
      </w:r>
      <w:r>
        <w:rPr>
          <w:rFonts w:ascii="Arial" w:hAnsi="Arial" w:cs="Arial" w:eastAsia="Arial" w:hint="default"/>
          <w:w w:val="99"/>
        </w:rPr>
        <w:t>2</w:t>
      </w:r>
      <w:r>
        <w:rPr>
          <w:rFonts w:ascii="Arial" w:hAnsi="Arial" w:cs="Arial" w:eastAsia="Arial" w:hint="default"/>
          <w:spacing w:val="-7"/>
        </w:rPr>
        <w:t> </w:t>
      </w:r>
      <w:r>
        <w:rPr/>
        <w:t>亿元</w:t>
      </w:r>
      <w:r>
        <w:rPr>
          <w:rFonts w:ascii="Arial" w:hAnsi="Arial" w:cs="Arial" w:eastAsia="Arial" w:hint="default"/>
        </w:rPr>
        <w:t>(</w:t>
      </w:r>
      <w:r>
        <w:rPr/>
        <w:t>原价约人民币</w:t>
      </w:r>
      <w:r>
        <w:rPr>
          <w:spacing w:val="-60"/>
        </w:rPr>
        <w:t> </w:t>
      </w:r>
      <w:r>
        <w:rPr>
          <w:rFonts w:ascii="Arial" w:hAnsi="Arial" w:cs="Arial" w:eastAsia="Arial" w:hint="default"/>
          <w:spacing w:val="-1"/>
          <w:w w:val="99"/>
        </w:rPr>
        <w:t>6.7</w:t>
      </w:r>
      <w:r>
        <w:rPr>
          <w:rFonts w:ascii="Arial" w:hAnsi="Arial" w:cs="Arial" w:eastAsia="Arial" w:hint="default"/>
          <w:w w:val="99"/>
        </w:rPr>
        <w:t>5</w:t>
      </w:r>
      <w:r>
        <w:rPr>
          <w:rFonts w:ascii="Arial" w:hAnsi="Arial" w:cs="Arial" w:eastAsia="Arial" w:hint="default"/>
          <w:spacing w:val="-7"/>
        </w:rPr>
        <w:t> </w:t>
      </w:r>
      <w:r>
        <w:rPr/>
        <w:t>亿元</w:t>
      </w:r>
      <w:r>
        <w:rPr>
          <w:rFonts w:ascii="Arial" w:hAnsi="Arial" w:cs="Arial" w:eastAsia="Arial" w:hint="default"/>
        </w:rPr>
        <w:t>)</w:t>
      </w:r>
      <w:r>
        <w:rPr/>
        <w:t>的房屋及</w:t>
      </w:r>
    </w:p>
    <w:p>
      <w:pPr>
        <w:pStyle w:val="BodyText"/>
        <w:spacing w:line="312" w:lineRule="exact" w:before="21"/>
        <w:ind w:left="814" w:right="223"/>
        <w:jc w:val="left"/>
      </w:pPr>
      <w:r>
        <w:rPr/>
        <w:t>建筑物</w:t>
      </w:r>
      <w:r>
        <w:rPr>
          <w:rFonts w:ascii="Arial" w:hAnsi="Arial" w:cs="Arial" w:eastAsia="Arial" w:hint="default"/>
        </w:rPr>
        <w:t>(2009</w:t>
      </w:r>
      <w:r>
        <w:rPr>
          <w:rFonts w:ascii="Arial" w:hAnsi="Arial" w:cs="Arial" w:eastAsia="Arial" w:hint="default"/>
          <w:spacing w:val="-10"/>
        </w:rPr>
        <w:t> </w:t>
      </w:r>
      <w:r>
        <w:rPr/>
        <w:t>年</w:t>
      </w:r>
      <w:r>
        <w:rPr>
          <w:spacing w:val="-63"/>
        </w:rPr>
        <w:t> </w:t>
      </w:r>
      <w:r>
        <w:rPr>
          <w:rFonts w:ascii="Arial" w:hAnsi="Arial" w:cs="Arial" w:eastAsia="Arial" w:hint="default"/>
        </w:rPr>
        <w:t>12</w:t>
      </w:r>
      <w:r>
        <w:rPr>
          <w:rFonts w:ascii="Arial" w:hAnsi="Arial" w:cs="Arial" w:eastAsia="Arial" w:hint="default"/>
          <w:spacing w:val="-10"/>
        </w:rPr>
        <w:t> </w:t>
      </w:r>
      <w:r>
        <w:rPr/>
        <w:t>月</w:t>
      </w:r>
      <w:r>
        <w:rPr>
          <w:spacing w:val="-62"/>
        </w:rPr>
        <w:t> </w:t>
      </w:r>
      <w:r>
        <w:rPr>
          <w:rFonts w:ascii="Arial" w:hAnsi="Arial" w:cs="Arial" w:eastAsia="Arial" w:hint="default"/>
        </w:rPr>
        <w:t>31</w:t>
      </w:r>
      <w:r>
        <w:rPr>
          <w:rFonts w:ascii="Arial" w:hAnsi="Arial" w:cs="Arial" w:eastAsia="Arial" w:hint="default"/>
          <w:spacing w:val="-10"/>
        </w:rPr>
        <w:t> </w:t>
      </w:r>
      <w:r>
        <w:rPr/>
        <w:t>日：账面价值约人民币</w:t>
      </w:r>
      <w:r>
        <w:rPr>
          <w:spacing w:val="-63"/>
        </w:rPr>
        <w:t> </w:t>
      </w:r>
      <w:r>
        <w:rPr>
          <w:rFonts w:ascii="Arial" w:hAnsi="Arial" w:cs="Arial" w:eastAsia="Arial" w:hint="default"/>
        </w:rPr>
        <w:t>1.89</w:t>
      </w:r>
      <w:r>
        <w:rPr>
          <w:rFonts w:ascii="Arial" w:hAnsi="Arial" w:cs="Arial" w:eastAsia="Arial" w:hint="default"/>
          <w:spacing w:val="-10"/>
        </w:rPr>
        <w:t> </w:t>
      </w:r>
      <w:r>
        <w:rPr>
          <w:spacing w:val="-3"/>
        </w:rPr>
        <w:t>亿元、原价约人民币</w:t>
      </w:r>
      <w:r>
        <w:rPr>
          <w:spacing w:val="-63"/>
        </w:rPr>
        <w:t> </w:t>
      </w:r>
      <w:r>
        <w:rPr>
          <w:rFonts w:ascii="Arial" w:hAnsi="Arial" w:cs="Arial" w:eastAsia="Arial" w:hint="default"/>
        </w:rPr>
        <w:t>2.03</w:t>
      </w:r>
      <w:r>
        <w:rPr>
          <w:rFonts w:ascii="Arial" w:hAnsi="Arial" w:cs="Arial" w:eastAsia="Arial" w:hint="default"/>
          <w:spacing w:val="-10"/>
        </w:rPr>
        <w:t> </w:t>
      </w:r>
      <w:r>
        <w:rPr/>
        <w:t>亿元</w:t>
      </w:r>
      <w:r>
        <w:rPr>
          <w:rFonts w:ascii="Arial" w:hAnsi="Arial" w:cs="Arial" w:eastAsia="Arial" w:hint="default"/>
        </w:rPr>
        <w:t>)</w:t>
      </w:r>
      <w:r>
        <w:rPr/>
        <w:t>尚 未办妥房屋权证：</w:t>
      </w:r>
    </w:p>
    <w:p>
      <w:pPr>
        <w:spacing w:line="240" w:lineRule="auto" w:before="10"/>
        <w:rPr>
          <w:rFonts w:ascii="宋体" w:hAnsi="宋体" w:cs="宋体" w:eastAsia="宋体" w:hint="default"/>
          <w:sz w:val="18"/>
          <w:szCs w:val="18"/>
        </w:rPr>
      </w:pPr>
    </w:p>
    <w:p>
      <w:pPr>
        <w:pStyle w:val="BodyText"/>
        <w:tabs>
          <w:tab w:pos="7557" w:val="left" w:leader="none"/>
        </w:tabs>
        <w:spacing w:line="313" w:lineRule="exact"/>
        <w:ind w:left="4108" w:right="104"/>
        <w:jc w:val="left"/>
      </w:pPr>
      <w:r>
        <w:rPr/>
        <w:t>未办妥产权证书原因</w:t>
        <w:tab/>
        <w:t>预计办结产权证书时间</w:t>
      </w:r>
    </w:p>
    <w:p>
      <w:pPr>
        <w:pStyle w:val="BodyText"/>
        <w:tabs>
          <w:tab w:pos="4108" w:val="left" w:leader="none"/>
          <w:tab w:pos="8901" w:val="left" w:leader="none"/>
        </w:tabs>
        <w:spacing w:line="330" w:lineRule="exact"/>
        <w:ind w:left="814" w:right="104"/>
        <w:jc w:val="left"/>
      </w:pPr>
      <w:r>
        <w:rPr/>
        <w:t>房屋及建筑物</w:t>
        <w:tab/>
        <w:t>正在手续办理过程中</w:t>
        <w:tab/>
      </w:r>
      <w:r>
        <w:rPr>
          <w:rFonts w:ascii="Arial" w:hAnsi="Arial" w:cs="Arial" w:eastAsia="Arial" w:hint="default"/>
          <w:spacing w:val="-6"/>
        </w:rPr>
        <w:t>2011</w:t>
      </w:r>
      <w:r>
        <w:rPr>
          <w:rFonts w:ascii="Arial" w:hAnsi="Arial" w:cs="Arial" w:eastAsia="Arial" w:hint="default"/>
          <w:spacing w:val="-5"/>
        </w:rPr>
        <w:t> </w:t>
      </w:r>
      <w:r>
        <w:rPr/>
        <w:t>年内</w:t>
      </w:r>
    </w:p>
    <w:p>
      <w:pPr>
        <w:spacing w:after="0" w:line="330" w:lineRule="exact"/>
        <w:jc w:val="left"/>
        <w:sectPr>
          <w:footerReference w:type="default" r:id="rId64"/>
          <w:pgSz w:w="11910" w:h="16840"/>
          <w:pgMar w:footer="947" w:header="0" w:top="3020" w:bottom="1140" w:left="1020" w:right="700"/>
          <w:pgNumType w:start="160"/>
        </w:sectPr>
      </w:pPr>
    </w:p>
    <w:p>
      <w:pPr>
        <w:spacing w:line="240" w:lineRule="auto" w:before="6"/>
        <w:rPr>
          <w:rFonts w:ascii="宋体" w:hAnsi="宋体" w:cs="宋体" w:eastAsia="宋体" w:hint="default"/>
          <w:sz w:val="13"/>
          <w:szCs w:val="13"/>
        </w:rPr>
      </w:pPr>
    </w:p>
    <w:p>
      <w:pPr>
        <w:pStyle w:val="Heading2"/>
        <w:tabs>
          <w:tab w:pos="814" w:val="left" w:leader="none"/>
        </w:tabs>
        <w:spacing w:line="240" w:lineRule="auto"/>
        <w:ind w:left="102" w:right="104"/>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796" w:val="left" w:leader="none"/>
        </w:tabs>
        <w:spacing w:before="0"/>
        <w:ind w:left="102"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(14)</w:t>
        <w:tab/>
      </w:r>
      <w:r>
        <w:rPr>
          <w:rFonts w:ascii="宋体" w:hAnsi="宋体" w:cs="宋体" w:eastAsia="宋体" w:hint="default"/>
          <w:b/>
          <w:bCs/>
          <w:sz w:val="24"/>
          <w:szCs w:val="24"/>
        </w:rPr>
        <w:t>在建工程</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tabs>
          <w:tab w:pos="6405" w:val="left" w:leader="none"/>
        </w:tabs>
        <w:spacing w:before="0"/>
        <w:ind w:left="2601" w:right="0" w:firstLine="0"/>
        <w:jc w:val="center"/>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tabs>
          <w:tab w:pos="3965" w:val="left" w:leader="none"/>
          <w:tab w:pos="5241" w:val="left" w:leader="none"/>
          <w:tab w:pos="6657" w:val="left" w:leader="none"/>
          <w:tab w:pos="7886" w:val="left" w:leader="none"/>
          <w:tab w:pos="9161" w:val="left" w:leader="none"/>
        </w:tabs>
        <w:spacing w:before="14"/>
        <w:ind w:left="2689" w:right="0" w:firstLine="0"/>
        <w:jc w:val="center"/>
        <w:rPr>
          <w:rFonts w:ascii="宋体" w:hAnsi="宋体" w:cs="宋体" w:eastAsia="宋体" w:hint="default"/>
          <w:sz w:val="20"/>
          <w:szCs w:val="20"/>
        </w:rPr>
      </w:pPr>
      <w:r>
        <w:rPr/>
        <w:pict>
          <v:group style="position:absolute;margin-left:186.869995pt;margin-top:.800347pt;width:176.5pt;height:1.5pt;mso-position-horizontal-relative:page;mso-position-vertical-relative:paragraph;z-index:-1003744" coordorigin="3737,16" coordsize="3530,30">
            <v:group style="position:absolute;left:3752;top:31;width:2536;height:2" coordorigin="3752,31" coordsize="2536,2">
              <v:shape style="position:absolute;left:3752;top:31;width:2536;height:2" coordorigin="3752,31" coordsize="2536,0" path="m3752,31l6288,31e" filled="false" stroked="true" strokeweight="1.5pt" strokecolor="#000000">
                <v:path arrowok="t"/>
              </v:shape>
            </v:group>
            <v:group style="position:absolute;left:6288;top:31;width:964;height:2" coordorigin="6288,31" coordsize="964,2">
              <v:shape style="position:absolute;left:6288;top:31;width:964;height:2" coordorigin="6288,31" coordsize="964,0" path="m6288,31l7252,31e" filled="false" stroked="true" strokeweight="1.5pt" strokecolor="#000000">
                <v:path arrowok="t"/>
              </v:shape>
            </v:group>
            <w10:wrap type="none"/>
          </v:group>
        </w:pict>
      </w:r>
      <w:r>
        <w:rPr/>
        <w:pict>
          <v:group style="position:absolute;margin-left:376.679993pt;margin-top:1.550347pt;width:177.25pt;height:.1pt;mso-position-horizontal-relative:page;mso-position-vertical-relative:paragraph;z-index:-1003720" coordorigin="7534,31" coordsize="3545,2">
            <v:shape style="position:absolute;left:7534;top:31;width:3545;height:2" coordorigin="7534,31" coordsize="3545,0" path="m7534,31l11078,31e" filled="false" stroked="true" strokeweight="1.5pt" strokecolor="#000000">
              <v:path arrowok="t"/>
            </v:shape>
            <w10:wrap type="none"/>
          </v:group>
        </w:pict>
      </w:r>
      <w:r>
        <w:rPr>
          <w:rFonts w:ascii="宋体" w:hAnsi="宋体" w:cs="宋体" w:eastAsia="宋体" w:hint="default"/>
          <w:sz w:val="20"/>
          <w:szCs w:val="20"/>
        </w:rPr>
        <w:t>账面余额</w:t>
        <w:tab/>
        <w:t>减值准备</w:t>
        <w:tab/>
        <w:t>账面价值</w:t>
        <w:tab/>
        <w:t>账面余额</w:t>
        <w:tab/>
        <w:t>减值准备</w:t>
        <w:tab/>
        <w:t>账面价值</w:t>
      </w:r>
    </w:p>
    <w:p>
      <w:pPr>
        <w:spacing w:line="240" w:lineRule="auto" w:before="0"/>
        <w:rPr>
          <w:rFonts w:ascii="宋体" w:hAnsi="宋体" w:cs="宋体" w:eastAsia="宋体" w:hint="default"/>
          <w:sz w:val="16"/>
          <w:szCs w:val="16"/>
        </w:rPr>
      </w:pPr>
    </w:p>
    <w:tbl>
      <w:tblPr>
        <w:tblW w:w="0" w:type="auto"/>
        <w:jc w:val="left"/>
        <w:tblInd w:w="779" w:type="dxa"/>
        <w:tblLayout w:type="fixed"/>
        <w:tblCellMar>
          <w:top w:w="0" w:type="dxa"/>
          <w:left w:w="0" w:type="dxa"/>
          <w:bottom w:w="0" w:type="dxa"/>
          <w:right w:w="0" w:type="dxa"/>
        </w:tblCellMar>
        <w:tblLook w:val="01E0"/>
      </w:tblPr>
      <w:tblGrid>
        <w:gridCol w:w="1798"/>
        <w:gridCol w:w="1557"/>
        <w:gridCol w:w="2283"/>
        <w:gridCol w:w="1627"/>
        <w:gridCol w:w="1967"/>
      </w:tblGrid>
      <w:tr>
        <w:trPr>
          <w:trHeight w:val="347"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徐庄总部</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31"/>
              <w:jc w:val="right"/>
              <w:rPr>
                <w:rFonts w:ascii="Arial" w:hAnsi="Arial" w:cs="Arial" w:eastAsia="Arial" w:hint="default"/>
                <w:sz w:val="20"/>
                <w:szCs w:val="20"/>
              </w:rPr>
            </w:pPr>
            <w:r>
              <w:rPr>
                <w:rFonts w:ascii="Arial"/>
                <w:spacing w:val="-1"/>
                <w:sz w:val="20"/>
              </w:rPr>
              <w:t>1,243,968</w:t>
            </w:r>
          </w:p>
        </w:tc>
        <w:tc>
          <w:tcPr>
            <w:tcW w:w="2283" w:type="dxa"/>
            <w:tcBorders>
              <w:top w:val="nil" w:sz="6" w:space="0" w:color="auto"/>
              <w:left w:val="nil" w:sz="6" w:space="0" w:color="auto"/>
              <w:bottom w:val="nil" w:sz="6" w:space="0" w:color="auto"/>
              <w:right w:val="nil" w:sz="6" w:space="0" w:color="auto"/>
            </w:tcBorders>
          </w:tcPr>
          <w:p>
            <w:pPr>
              <w:pStyle w:val="TableParagraph"/>
              <w:tabs>
                <w:tab w:pos="593" w:val="left" w:leader="none"/>
              </w:tabs>
              <w:spacing w:line="240" w:lineRule="auto" w:before="98"/>
              <w:ind w:right="262"/>
              <w:jc w:val="right"/>
              <w:rPr>
                <w:rFonts w:ascii="Arial" w:hAnsi="Arial" w:cs="Arial" w:eastAsia="Arial" w:hint="default"/>
                <w:sz w:val="20"/>
                <w:szCs w:val="20"/>
              </w:rPr>
            </w:pPr>
            <w:r>
              <w:rPr>
                <w:rFonts w:ascii="Arial"/>
                <w:sz w:val="20"/>
              </w:rPr>
              <w:t>-</w:t>
              <w:tab/>
            </w:r>
            <w:r>
              <w:rPr>
                <w:rFonts w:ascii="Arial"/>
                <w:spacing w:val="-1"/>
                <w:sz w:val="20"/>
              </w:rPr>
              <w:t>1,243,968</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37"/>
              <w:jc w:val="right"/>
              <w:rPr>
                <w:rFonts w:ascii="Arial" w:hAnsi="Arial" w:cs="Arial" w:eastAsia="Arial" w:hint="default"/>
                <w:sz w:val="20"/>
                <w:szCs w:val="20"/>
              </w:rPr>
            </w:pPr>
            <w:r>
              <w:rPr>
                <w:rFonts w:ascii="Arial"/>
                <w:spacing w:val="-1"/>
                <w:sz w:val="20"/>
              </w:rPr>
              <w:t>205,590</w:t>
            </w:r>
          </w:p>
        </w:tc>
        <w:tc>
          <w:tcPr>
            <w:tcW w:w="1967" w:type="dxa"/>
            <w:tcBorders>
              <w:top w:val="nil" w:sz="6" w:space="0" w:color="auto"/>
              <w:left w:val="nil" w:sz="6" w:space="0" w:color="auto"/>
              <w:bottom w:val="nil" w:sz="6" w:space="0" w:color="auto"/>
              <w:right w:val="nil" w:sz="6" w:space="0" w:color="auto"/>
            </w:tcBorders>
          </w:tcPr>
          <w:p>
            <w:pPr>
              <w:pStyle w:val="TableParagraph"/>
              <w:tabs>
                <w:tab w:pos="568" w:val="left" w:leader="none"/>
              </w:tabs>
              <w:spacing w:line="240" w:lineRule="auto" w:before="98"/>
              <w:ind w:right="33"/>
              <w:jc w:val="right"/>
              <w:rPr>
                <w:rFonts w:ascii="Arial" w:hAnsi="Arial" w:cs="Arial" w:eastAsia="Arial" w:hint="default"/>
                <w:sz w:val="20"/>
                <w:szCs w:val="20"/>
              </w:rPr>
            </w:pPr>
            <w:r>
              <w:rPr>
                <w:rFonts w:ascii="Arial"/>
                <w:sz w:val="20"/>
              </w:rPr>
              <w:t>-</w:t>
              <w:tab/>
            </w:r>
            <w:r>
              <w:rPr>
                <w:rFonts w:ascii="Arial"/>
                <w:spacing w:val="-1"/>
                <w:sz w:val="20"/>
              </w:rPr>
              <w:t>205,590</w:t>
            </w:r>
          </w:p>
        </w:tc>
      </w:tr>
      <w:tr>
        <w:trPr>
          <w:trHeight w:val="270"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北京物流基地</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31"/>
              <w:jc w:val="right"/>
              <w:rPr>
                <w:rFonts w:ascii="Arial" w:hAnsi="Arial" w:cs="Arial" w:eastAsia="Arial" w:hint="default"/>
                <w:sz w:val="20"/>
                <w:szCs w:val="20"/>
              </w:rPr>
            </w:pPr>
            <w:r>
              <w:rPr>
                <w:rFonts w:ascii="Arial"/>
                <w:sz w:val="20"/>
              </w:rPr>
              <w:t>77,171</w:t>
            </w:r>
          </w:p>
        </w:tc>
        <w:tc>
          <w:tcPr>
            <w:tcW w:w="2283" w:type="dxa"/>
            <w:tcBorders>
              <w:top w:val="nil" w:sz="6" w:space="0" w:color="auto"/>
              <w:left w:val="nil" w:sz="6" w:space="0" w:color="auto"/>
              <w:bottom w:val="nil" w:sz="6" w:space="0" w:color="auto"/>
              <w:right w:val="nil" w:sz="6" w:space="0" w:color="auto"/>
            </w:tcBorders>
          </w:tcPr>
          <w:p>
            <w:pPr>
              <w:pStyle w:val="TableParagraph"/>
              <w:tabs>
                <w:tab w:pos="871" w:val="left" w:leader="none"/>
              </w:tabs>
              <w:spacing w:line="240" w:lineRule="auto" w:before="21"/>
              <w:ind w:right="262"/>
              <w:jc w:val="right"/>
              <w:rPr>
                <w:rFonts w:ascii="Arial" w:hAnsi="Arial" w:cs="Arial" w:eastAsia="Arial" w:hint="default"/>
                <w:sz w:val="20"/>
                <w:szCs w:val="20"/>
              </w:rPr>
            </w:pPr>
            <w:r>
              <w:rPr>
                <w:rFonts w:ascii="Arial"/>
                <w:sz w:val="20"/>
              </w:rPr>
              <w:t>-</w:t>
              <w:tab/>
              <w:t>77,171</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37"/>
              <w:jc w:val="right"/>
              <w:rPr>
                <w:rFonts w:ascii="Arial" w:hAnsi="Arial" w:cs="Arial" w:eastAsia="Arial" w:hint="default"/>
                <w:sz w:val="20"/>
                <w:szCs w:val="20"/>
              </w:rPr>
            </w:pPr>
            <w:r>
              <w:rPr>
                <w:rFonts w:ascii="Arial"/>
                <w:sz w:val="20"/>
              </w:rPr>
              <w:t>69,824</w:t>
            </w:r>
          </w:p>
        </w:tc>
        <w:tc>
          <w:tcPr>
            <w:tcW w:w="1967" w:type="dxa"/>
            <w:tcBorders>
              <w:top w:val="nil" w:sz="6" w:space="0" w:color="auto"/>
              <w:left w:val="nil" w:sz="6" w:space="0" w:color="auto"/>
              <w:bottom w:val="nil" w:sz="6" w:space="0" w:color="auto"/>
              <w:right w:val="nil" w:sz="6" w:space="0" w:color="auto"/>
            </w:tcBorders>
          </w:tcPr>
          <w:p>
            <w:pPr>
              <w:pStyle w:val="TableParagraph"/>
              <w:tabs>
                <w:tab w:pos="678" w:val="left" w:leader="none"/>
              </w:tabs>
              <w:spacing w:line="240" w:lineRule="auto" w:before="21"/>
              <w:ind w:right="33"/>
              <w:jc w:val="right"/>
              <w:rPr>
                <w:rFonts w:ascii="Arial" w:hAnsi="Arial" w:cs="Arial" w:eastAsia="Arial" w:hint="default"/>
                <w:sz w:val="20"/>
                <w:szCs w:val="20"/>
              </w:rPr>
            </w:pPr>
            <w:r>
              <w:rPr>
                <w:rFonts w:ascii="Arial"/>
                <w:sz w:val="20"/>
              </w:rPr>
              <w:t>-</w:t>
              <w:tab/>
              <w:t>69,824</w:t>
            </w:r>
          </w:p>
        </w:tc>
      </w:tr>
      <w:tr>
        <w:trPr>
          <w:trHeight w:val="270"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江苏物流中心</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31"/>
              <w:jc w:val="right"/>
              <w:rPr>
                <w:rFonts w:ascii="Arial" w:hAnsi="Arial" w:cs="Arial" w:eastAsia="Arial" w:hint="default"/>
                <w:sz w:val="20"/>
                <w:szCs w:val="20"/>
              </w:rPr>
            </w:pPr>
            <w:r>
              <w:rPr>
                <w:rFonts w:ascii="Arial"/>
                <w:sz w:val="20"/>
              </w:rPr>
              <w:t>8,698</w:t>
            </w:r>
          </w:p>
        </w:tc>
        <w:tc>
          <w:tcPr>
            <w:tcW w:w="2283" w:type="dxa"/>
            <w:tcBorders>
              <w:top w:val="nil" w:sz="6" w:space="0" w:color="auto"/>
              <w:left w:val="nil" w:sz="6" w:space="0" w:color="auto"/>
              <w:bottom w:val="nil" w:sz="6" w:space="0" w:color="auto"/>
              <w:right w:val="nil" w:sz="6" w:space="0" w:color="auto"/>
            </w:tcBorders>
          </w:tcPr>
          <w:p>
            <w:pPr>
              <w:pStyle w:val="TableParagraph"/>
              <w:tabs>
                <w:tab w:pos="982" w:val="left" w:leader="none"/>
              </w:tabs>
              <w:spacing w:line="240" w:lineRule="auto" w:before="21"/>
              <w:ind w:right="262"/>
              <w:jc w:val="right"/>
              <w:rPr>
                <w:rFonts w:ascii="Arial" w:hAnsi="Arial" w:cs="Arial" w:eastAsia="Arial" w:hint="default"/>
                <w:sz w:val="20"/>
                <w:szCs w:val="20"/>
              </w:rPr>
            </w:pPr>
            <w:r>
              <w:rPr>
                <w:rFonts w:ascii="Arial"/>
                <w:sz w:val="20"/>
              </w:rPr>
              <w:t>-</w:t>
              <w:tab/>
              <w:t>8,698</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37"/>
              <w:jc w:val="right"/>
              <w:rPr>
                <w:rFonts w:ascii="Arial" w:hAnsi="Arial" w:cs="Arial" w:eastAsia="Arial" w:hint="default"/>
                <w:sz w:val="20"/>
                <w:szCs w:val="20"/>
              </w:rPr>
            </w:pPr>
            <w:r>
              <w:rPr>
                <w:rFonts w:ascii="Arial"/>
                <w:sz w:val="20"/>
              </w:rPr>
              <w:t>60,449</w:t>
            </w:r>
          </w:p>
        </w:tc>
        <w:tc>
          <w:tcPr>
            <w:tcW w:w="1967" w:type="dxa"/>
            <w:tcBorders>
              <w:top w:val="nil" w:sz="6" w:space="0" w:color="auto"/>
              <w:left w:val="nil" w:sz="6" w:space="0" w:color="auto"/>
              <w:bottom w:val="nil" w:sz="6" w:space="0" w:color="auto"/>
              <w:right w:val="nil" w:sz="6" w:space="0" w:color="auto"/>
            </w:tcBorders>
          </w:tcPr>
          <w:p>
            <w:pPr>
              <w:pStyle w:val="TableParagraph"/>
              <w:tabs>
                <w:tab w:pos="678" w:val="left" w:leader="none"/>
              </w:tabs>
              <w:spacing w:line="240" w:lineRule="auto" w:before="21"/>
              <w:ind w:right="33"/>
              <w:jc w:val="right"/>
              <w:rPr>
                <w:rFonts w:ascii="Arial" w:hAnsi="Arial" w:cs="Arial" w:eastAsia="Arial" w:hint="default"/>
                <w:sz w:val="20"/>
                <w:szCs w:val="20"/>
              </w:rPr>
            </w:pPr>
            <w:r>
              <w:rPr>
                <w:rFonts w:ascii="Arial"/>
                <w:sz w:val="20"/>
              </w:rPr>
              <w:t>-</w:t>
              <w:tab/>
              <w:t>60,449</w:t>
            </w:r>
          </w:p>
        </w:tc>
      </w:tr>
      <w:tr>
        <w:trPr>
          <w:trHeight w:val="270"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沈阳苏宁物流中心</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32"/>
              <w:jc w:val="right"/>
              <w:rPr>
                <w:rFonts w:ascii="Arial" w:hAnsi="Arial" w:cs="Arial" w:eastAsia="Arial" w:hint="default"/>
                <w:sz w:val="20"/>
                <w:szCs w:val="20"/>
              </w:rPr>
            </w:pPr>
            <w:r>
              <w:rPr>
                <w:rFonts w:ascii="Arial"/>
                <w:w w:val="100"/>
                <w:sz w:val="20"/>
              </w:rPr>
              <w:t>-</w:t>
            </w:r>
          </w:p>
        </w:tc>
        <w:tc>
          <w:tcPr>
            <w:tcW w:w="2283" w:type="dxa"/>
            <w:tcBorders>
              <w:top w:val="nil" w:sz="6" w:space="0" w:color="auto"/>
              <w:left w:val="nil" w:sz="6" w:space="0" w:color="auto"/>
              <w:bottom w:val="nil" w:sz="6" w:space="0" w:color="auto"/>
              <w:right w:val="nil" w:sz="6" w:space="0" w:color="auto"/>
            </w:tcBorders>
          </w:tcPr>
          <w:p>
            <w:pPr>
              <w:pStyle w:val="TableParagraph"/>
              <w:tabs>
                <w:tab w:pos="1417" w:val="left" w:leader="none"/>
              </w:tabs>
              <w:spacing w:line="240" w:lineRule="auto" w:before="21"/>
              <w:ind w:right="263"/>
              <w:jc w:val="right"/>
              <w:rPr>
                <w:rFonts w:ascii="Arial" w:hAnsi="Arial" w:cs="Arial" w:eastAsia="Arial" w:hint="default"/>
                <w:sz w:val="20"/>
                <w:szCs w:val="20"/>
              </w:rPr>
            </w:pPr>
            <w:r>
              <w:rPr>
                <w:rFonts w:ascii="Arial"/>
                <w:sz w:val="20"/>
              </w:rPr>
              <w:t>-</w:t>
              <w:tab/>
              <w:t>-</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38"/>
              <w:jc w:val="right"/>
              <w:rPr>
                <w:rFonts w:ascii="Arial" w:hAnsi="Arial" w:cs="Arial" w:eastAsia="Arial" w:hint="default"/>
                <w:sz w:val="20"/>
                <w:szCs w:val="20"/>
              </w:rPr>
            </w:pPr>
            <w:r>
              <w:rPr>
                <w:rFonts w:ascii="Arial"/>
                <w:sz w:val="20"/>
              </w:rPr>
              <w:t>36,231</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20"/>
                <w:szCs w:val="20"/>
              </w:rPr>
            </w:pPr>
            <w:r>
              <w:rPr>
                <w:rFonts w:ascii="Arial"/>
                <w:sz w:val="20"/>
              </w:rPr>
              <w:t>36,231</w:t>
            </w:r>
          </w:p>
        </w:tc>
      </w:tr>
      <w:tr>
        <w:trPr>
          <w:trHeight w:val="270"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威海店项目</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32"/>
              <w:jc w:val="right"/>
              <w:rPr>
                <w:rFonts w:ascii="Arial" w:hAnsi="Arial" w:cs="Arial" w:eastAsia="Arial" w:hint="default"/>
                <w:sz w:val="20"/>
                <w:szCs w:val="20"/>
              </w:rPr>
            </w:pPr>
            <w:r>
              <w:rPr>
                <w:rFonts w:ascii="Arial"/>
                <w:w w:val="100"/>
                <w:sz w:val="20"/>
              </w:rPr>
              <w:t>-</w:t>
            </w:r>
          </w:p>
        </w:tc>
        <w:tc>
          <w:tcPr>
            <w:tcW w:w="2283" w:type="dxa"/>
            <w:tcBorders>
              <w:top w:val="nil" w:sz="6" w:space="0" w:color="auto"/>
              <w:left w:val="nil" w:sz="6" w:space="0" w:color="auto"/>
              <w:bottom w:val="nil" w:sz="6" w:space="0" w:color="auto"/>
              <w:right w:val="nil" w:sz="6" w:space="0" w:color="auto"/>
            </w:tcBorders>
          </w:tcPr>
          <w:p>
            <w:pPr>
              <w:pStyle w:val="TableParagraph"/>
              <w:tabs>
                <w:tab w:pos="1417" w:val="left" w:leader="none"/>
              </w:tabs>
              <w:spacing w:line="240" w:lineRule="auto" w:before="21"/>
              <w:ind w:right="263"/>
              <w:jc w:val="right"/>
              <w:rPr>
                <w:rFonts w:ascii="Arial" w:hAnsi="Arial" w:cs="Arial" w:eastAsia="Arial" w:hint="default"/>
                <w:sz w:val="20"/>
                <w:szCs w:val="20"/>
              </w:rPr>
            </w:pPr>
            <w:r>
              <w:rPr>
                <w:rFonts w:ascii="Arial"/>
                <w:sz w:val="20"/>
              </w:rPr>
              <w:t>-</w:t>
              <w:tab/>
              <w:t>-</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37"/>
              <w:jc w:val="right"/>
              <w:rPr>
                <w:rFonts w:ascii="Arial" w:hAnsi="Arial" w:cs="Arial" w:eastAsia="Arial" w:hint="default"/>
                <w:sz w:val="20"/>
                <w:szCs w:val="20"/>
              </w:rPr>
            </w:pPr>
            <w:r>
              <w:rPr>
                <w:rFonts w:ascii="Arial"/>
                <w:sz w:val="20"/>
              </w:rPr>
              <w:t>34,077</w:t>
            </w:r>
          </w:p>
        </w:tc>
        <w:tc>
          <w:tcPr>
            <w:tcW w:w="1967" w:type="dxa"/>
            <w:tcBorders>
              <w:top w:val="nil" w:sz="6" w:space="0" w:color="auto"/>
              <w:left w:val="nil" w:sz="6" w:space="0" w:color="auto"/>
              <w:bottom w:val="nil" w:sz="6" w:space="0" w:color="auto"/>
              <w:right w:val="nil" w:sz="6" w:space="0" w:color="auto"/>
            </w:tcBorders>
          </w:tcPr>
          <w:p>
            <w:pPr>
              <w:pStyle w:val="TableParagraph"/>
              <w:tabs>
                <w:tab w:pos="678" w:val="left" w:leader="none"/>
              </w:tabs>
              <w:spacing w:line="240" w:lineRule="auto" w:before="21"/>
              <w:ind w:right="33"/>
              <w:jc w:val="right"/>
              <w:rPr>
                <w:rFonts w:ascii="Arial" w:hAnsi="Arial" w:cs="Arial" w:eastAsia="Arial" w:hint="default"/>
                <w:sz w:val="20"/>
                <w:szCs w:val="20"/>
              </w:rPr>
            </w:pPr>
            <w:r>
              <w:rPr>
                <w:rFonts w:ascii="Arial"/>
                <w:sz w:val="20"/>
              </w:rPr>
              <w:t>-</w:t>
              <w:tab/>
              <w:t>34,077</w:t>
            </w:r>
          </w:p>
        </w:tc>
      </w:tr>
      <w:tr>
        <w:trPr>
          <w:trHeight w:val="258"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38" w:lineRule="exact"/>
              <w:ind w:left="35" w:right="0"/>
              <w:jc w:val="left"/>
              <w:rPr>
                <w:rFonts w:ascii="Arial" w:hAnsi="Arial" w:cs="Arial" w:eastAsia="Arial" w:hint="default"/>
                <w:sz w:val="20"/>
                <w:szCs w:val="20"/>
              </w:rPr>
            </w:pPr>
            <w:r>
              <w:rPr>
                <w:rFonts w:ascii="宋体" w:hAnsi="宋体" w:cs="宋体" w:eastAsia="宋体" w:hint="default"/>
                <w:spacing w:val="18"/>
                <w:sz w:val="20"/>
                <w:szCs w:val="20"/>
              </w:rPr>
              <w:t>大连苏宁购置店</w:t>
            </w:r>
            <w:r>
              <w:rPr>
                <w:rFonts w:ascii="Arial" w:hAnsi="Arial" w:cs="Arial" w:eastAsia="Arial" w:hint="default"/>
                <w:spacing w:val="18"/>
                <w:sz w:val="20"/>
                <w:szCs w:val="20"/>
              </w:rPr>
              <w:t>-</w:t>
            </w:r>
          </w:p>
        </w:tc>
        <w:tc>
          <w:tcPr>
            <w:tcW w:w="1557"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
        </w:tc>
      </w:tr>
      <w:tr>
        <w:trPr>
          <w:trHeight w:val="254"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25" w:lineRule="exact"/>
              <w:ind w:left="252" w:right="0"/>
              <w:jc w:val="left"/>
              <w:rPr>
                <w:rFonts w:ascii="宋体" w:hAnsi="宋体" w:cs="宋体" w:eastAsia="宋体" w:hint="default"/>
                <w:sz w:val="20"/>
                <w:szCs w:val="20"/>
              </w:rPr>
            </w:pPr>
            <w:r>
              <w:rPr>
                <w:rFonts w:ascii="宋体" w:hAnsi="宋体" w:cs="宋体" w:eastAsia="宋体" w:hint="default"/>
                <w:sz w:val="20"/>
                <w:szCs w:val="20"/>
              </w:rPr>
              <w:t>胜利广场</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31"/>
              <w:jc w:val="right"/>
              <w:rPr>
                <w:rFonts w:ascii="Arial" w:hAnsi="Arial" w:cs="Arial" w:eastAsia="Arial" w:hint="default"/>
                <w:sz w:val="20"/>
                <w:szCs w:val="20"/>
              </w:rPr>
            </w:pPr>
            <w:r>
              <w:rPr>
                <w:rFonts w:ascii="Arial"/>
                <w:spacing w:val="-1"/>
                <w:sz w:val="20"/>
              </w:rPr>
              <w:t>219,527</w:t>
            </w:r>
          </w:p>
        </w:tc>
        <w:tc>
          <w:tcPr>
            <w:tcW w:w="2283" w:type="dxa"/>
            <w:tcBorders>
              <w:top w:val="nil" w:sz="6" w:space="0" w:color="auto"/>
              <w:left w:val="nil" w:sz="6" w:space="0" w:color="auto"/>
              <w:bottom w:val="nil" w:sz="6" w:space="0" w:color="auto"/>
              <w:right w:val="nil" w:sz="6" w:space="0" w:color="auto"/>
            </w:tcBorders>
          </w:tcPr>
          <w:p>
            <w:pPr>
              <w:pStyle w:val="TableParagraph"/>
              <w:tabs>
                <w:tab w:pos="760" w:val="left" w:leader="none"/>
              </w:tabs>
              <w:spacing w:line="240" w:lineRule="auto" w:before="23"/>
              <w:ind w:right="262"/>
              <w:jc w:val="right"/>
              <w:rPr>
                <w:rFonts w:ascii="Arial" w:hAnsi="Arial" w:cs="Arial" w:eastAsia="Arial" w:hint="default"/>
                <w:sz w:val="20"/>
                <w:szCs w:val="20"/>
              </w:rPr>
            </w:pPr>
            <w:r>
              <w:rPr>
                <w:rFonts w:ascii="Arial"/>
                <w:sz w:val="20"/>
              </w:rPr>
              <w:t>-</w:t>
              <w:tab/>
            </w:r>
            <w:r>
              <w:rPr>
                <w:rFonts w:ascii="Arial"/>
                <w:spacing w:val="-1"/>
                <w:sz w:val="20"/>
              </w:rPr>
              <w:t>219,527</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37"/>
              <w:jc w:val="right"/>
              <w:rPr>
                <w:rFonts w:ascii="Arial" w:hAnsi="Arial" w:cs="Arial" w:eastAsia="Arial" w:hint="default"/>
                <w:sz w:val="20"/>
                <w:szCs w:val="20"/>
              </w:rPr>
            </w:pPr>
            <w:r>
              <w:rPr>
                <w:rFonts w:ascii="Arial"/>
                <w:w w:val="100"/>
                <w:sz w:val="20"/>
              </w:rPr>
              <w:t>-</w:t>
            </w:r>
          </w:p>
        </w:tc>
        <w:tc>
          <w:tcPr>
            <w:tcW w:w="1967" w:type="dxa"/>
            <w:tcBorders>
              <w:top w:val="nil" w:sz="6" w:space="0" w:color="auto"/>
              <w:left w:val="nil" w:sz="6" w:space="0" w:color="auto"/>
              <w:bottom w:val="nil" w:sz="6" w:space="0" w:color="auto"/>
              <w:right w:val="nil" w:sz="6" w:space="0" w:color="auto"/>
            </w:tcBorders>
          </w:tcPr>
          <w:p>
            <w:pPr>
              <w:pStyle w:val="TableParagraph"/>
              <w:tabs>
                <w:tab w:pos="1224" w:val="left" w:leader="none"/>
              </w:tabs>
              <w:spacing w:line="240" w:lineRule="auto" w:before="23"/>
              <w:ind w:right="33"/>
              <w:jc w:val="right"/>
              <w:rPr>
                <w:rFonts w:ascii="Arial" w:hAnsi="Arial" w:cs="Arial" w:eastAsia="Arial" w:hint="default"/>
                <w:sz w:val="20"/>
                <w:szCs w:val="20"/>
              </w:rPr>
            </w:pPr>
            <w:r>
              <w:rPr>
                <w:rFonts w:ascii="Arial"/>
                <w:sz w:val="20"/>
              </w:rPr>
              <w:t>-</w:t>
              <w:tab/>
              <w:t>-</w:t>
            </w:r>
          </w:p>
        </w:tc>
      </w:tr>
    </w:tbl>
    <w:p>
      <w:pPr>
        <w:spacing w:line="248" w:lineRule="exact" w:before="0"/>
        <w:ind w:left="814" w:right="104" w:firstLine="0"/>
        <w:jc w:val="left"/>
        <w:rPr>
          <w:rFonts w:ascii="Arial" w:hAnsi="Arial" w:cs="Arial" w:eastAsia="Arial" w:hint="default"/>
          <w:sz w:val="20"/>
          <w:szCs w:val="20"/>
        </w:rPr>
      </w:pPr>
      <w:r>
        <w:rPr>
          <w:rFonts w:ascii="宋体" w:hAnsi="宋体" w:cs="宋体" w:eastAsia="宋体" w:hint="default"/>
          <w:spacing w:val="18"/>
          <w:sz w:val="20"/>
          <w:szCs w:val="20"/>
        </w:rPr>
        <w:t>大同苏宁购置店</w:t>
      </w:r>
      <w:r>
        <w:rPr>
          <w:rFonts w:ascii="Arial" w:hAnsi="Arial" w:cs="Arial" w:eastAsia="Arial" w:hint="default"/>
          <w:spacing w:val="18"/>
          <w:sz w:val="20"/>
          <w:szCs w:val="20"/>
        </w:rPr>
        <w:t>-</w:t>
      </w:r>
    </w:p>
    <w:p>
      <w:pPr>
        <w:tabs>
          <w:tab w:pos="2877" w:val="left" w:leader="none"/>
          <w:tab w:pos="4669" w:val="left" w:leader="none"/>
          <w:tab w:pos="5430" w:val="left" w:leader="none"/>
          <w:tab w:pos="7338" w:val="left" w:leader="none"/>
          <w:tab w:pos="8684" w:val="left" w:leader="none"/>
          <w:tab w:pos="9909" w:val="left" w:leader="none"/>
        </w:tabs>
        <w:spacing w:line="270" w:lineRule="exact" w:before="0"/>
        <w:ind w:left="1031" w:right="104" w:firstLine="0"/>
        <w:jc w:val="left"/>
        <w:rPr>
          <w:rFonts w:ascii="Arial" w:hAnsi="Arial" w:cs="Arial" w:eastAsia="Arial" w:hint="default"/>
          <w:sz w:val="20"/>
          <w:szCs w:val="20"/>
        </w:rPr>
      </w:pPr>
      <w:r>
        <w:rPr>
          <w:rFonts w:ascii="宋体" w:hAnsi="宋体" w:cs="宋体" w:eastAsia="宋体" w:hint="default"/>
          <w:position w:val="1"/>
          <w:sz w:val="20"/>
          <w:szCs w:val="20"/>
        </w:rPr>
        <w:t>金帝商厦</w:t>
        <w:tab/>
      </w:r>
      <w:r>
        <w:rPr>
          <w:rFonts w:ascii="Arial" w:hAnsi="Arial" w:cs="Arial" w:eastAsia="Arial" w:hint="default"/>
          <w:spacing w:val="-1"/>
          <w:sz w:val="20"/>
          <w:szCs w:val="20"/>
        </w:rPr>
        <w:t>183,346</w:t>
        <w:tab/>
      </w:r>
      <w:r>
        <w:rPr>
          <w:rFonts w:ascii="Arial" w:hAnsi="Arial" w:cs="Arial" w:eastAsia="Arial" w:hint="default"/>
          <w:sz w:val="20"/>
          <w:szCs w:val="20"/>
        </w:rPr>
        <w:t>-</w:t>
        <w:tab/>
      </w:r>
      <w:r>
        <w:rPr>
          <w:rFonts w:ascii="Arial" w:hAnsi="Arial" w:cs="Arial" w:eastAsia="Arial" w:hint="default"/>
          <w:spacing w:val="-1"/>
          <w:sz w:val="20"/>
          <w:szCs w:val="20"/>
        </w:rPr>
        <w:t>183,346</w:t>
        <w:tab/>
      </w:r>
      <w:r>
        <w:rPr>
          <w:rFonts w:ascii="Arial" w:hAnsi="Arial" w:cs="Arial" w:eastAsia="Arial" w:hint="default"/>
          <w:sz w:val="20"/>
          <w:szCs w:val="20"/>
        </w:rPr>
        <w:t>-</w:t>
        <w:tab/>
        <w:t>-</w:t>
        <w:tab/>
        <w:t>-</w:t>
      </w:r>
    </w:p>
    <w:p>
      <w:pPr>
        <w:spacing w:line="252" w:lineRule="exact" w:before="0"/>
        <w:ind w:left="814" w:right="104" w:firstLine="0"/>
        <w:jc w:val="left"/>
        <w:rPr>
          <w:rFonts w:ascii="宋体" w:hAnsi="宋体" w:cs="宋体" w:eastAsia="宋体" w:hint="default"/>
          <w:sz w:val="20"/>
          <w:szCs w:val="20"/>
        </w:rPr>
      </w:pPr>
      <w:r>
        <w:rPr>
          <w:rFonts w:ascii="宋体" w:hAnsi="宋体" w:cs="宋体" w:eastAsia="宋体" w:hint="default"/>
          <w:spacing w:val="2"/>
          <w:sz w:val="20"/>
          <w:szCs w:val="20"/>
        </w:rPr>
        <w:t>刘家窑芳群公寓商</w:t>
      </w:r>
    </w:p>
    <w:p>
      <w:pPr>
        <w:spacing w:line="240" w:lineRule="auto" w:before="1"/>
        <w:rPr>
          <w:rFonts w:ascii="宋体" w:hAnsi="宋体" w:cs="宋体" w:eastAsia="宋体" w:hint="default"/>
          <w:sz w:val="3"/>
          <w:szCs w:val="3"/>
        </w:rPr>
      </w:pPr>
    </w:p>
    <w:tbl>
      <w:tblPr>
        <w:tblW w:w="0" w:type="auto"/>
        <w:jc w:val="left"/>
        <w:tblInd w:w="779" w:type="dxa"/>
        <w:tblLayout w:type="fixed"/>
        <w:tblCellMar>
          <w:top w:w="0" w:type="dxa"/>
          <w:left w:w="0" w:type="dxa"/>
          <w:bottom w:w="0" w:type="dxa"/>
          <w:right w:w="0" w:type="dxa"/>
        </w:tblCellMar>
        <w:tblLook w:val="01E0"/>
      </w:tblPr>
      <w:tblGrid>
        <w:gridCol w:w="1765"/>
        <w:gridCol w:w="1134"/>
        <w:gridCol w:w="281"/>
        <w:gridCol w:w="2272"/>
        <w:gridCol w:w="278"/>
        <w:gridCol w:w="1138"/>
        <w:gridCol w:w="281"/>
        <w:gridCol w:w="757"/>
        <w:gridCol w:w="1373"/>
      </w:tblGrid>
      <w:tr>
        <w:trPr>
          <w:trHeight w:val="267" w:hRule="exact"/>
        </w:trPr>
        <w:tc>
          <w:tcPr>
            <w:tcW w:w="1765" w:type="dxa"/>
            <w:tcBorders>
              <w:top w:val="nil" w:sz="6" w:space="0" w:color="auto"/>
              <w:left w:val="nil" w:sz="6" w:space="0" w:color="auto"/>
              <w:bottom w:val="nil" w:sz="6" w:space="0" w:color="auto"/>
              <w:right w:val="nil" w:sz="6" w:space="0" w:color="auto"/>
            </w:tcBorders>
          </w:tcPr>
          <w:p>
            <w:pPr>
              <w:pStyle w:val="TableParagraph"/>
              <w:spacing w:line="220" w:lineRule="exact"/>
              <w:ind w:left="252" w:right="0"/>
              <w:jc w:val="left"/>
              <w:rPr>
                <w:rFonts w:ascii="宋体" w:hAnsi="宋体" w:cs="宋体" w:eastAsia="宋体" w:hint="default"/>
                <w:sz w:val="20"/>
                <w:szCs w:val="20"/>
              </w:rPr>
            </w:pPr>
            <w:r>
              <w:rPr>
                <w:rFonts w:ascii="宋体" w:hAnsi="宋体" w:cs="宋体" w:eastAsia="宋体" w:hint="default"/>
                <w:sz w:val="20"/>
                <w:szCs w:val="20"/>
              </w:rPr>
              <w:t>场物业</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5"/>
              <w:jc w:val="right"/>
              <w:rPr>
                <w:rFonts w:ascii="Arial" w:hAnsi="Arial" w:cs="Arial" w:eastAsia="Arial" w:hint="default"/>
                <w:sz w:val="20"/>
                <w:szCs w:val="20"/>
              </w:rPr>
            </w:pPr>
            <w:r>
              <w:rPr>
                <w:rFonts w:ascii="Arial"/>
                <w:sz w:val="20"/>
              </w:rPr>
              <w:t>99,733</w:t>
            </w:r>
          </w:p>
        </w:tc>
        <w:tc>
          <w:tcPr>
            <w:tcW w:w="281"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tabs>
                <w:tab w:pos="871" w:val="left" w:leader="none"/>
              </w:tabs>
              <w:spacing w:line="240" w:lineRule="auto" w:before="18"/>
              <w:ind w:right="75"/>
              <w:jc w:val="right"/>
              <w:rPr>
                <w:rFonts w:ascii="Arial" w:hAnsi="Arial" w:cs="Arial" w:eastAsia="Arial" w:hint="default"/>
                <w:sz w:val="20"/>
                <w:szCs w:val="20"/>
              </w:rPr>
            </w:pPr>
            <w:r>
              <w:rPr>
                <w:rFonts w:ascii="Arial"/>
                <w:sz w:val="20"/>
              </w:rPr>
              <w:t>-</w:t>
              <w:tab/>
              <w:t>99,733</w:t>
            </w:r>
          </w:p>
        </w:tc>
        <w:tc>
          <w:tcPr>
            <w:tcW w:w="278"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9"/>
              <w:jc w:val="right"/>
              <w:rPr>
                <w:rFonts w:ascii="Arial" w:hAnsi="Arial" w:cs="Arial" w:eastAsia="Arial" w:hint="default"/>
                <w:sz w:val="20"/>
                <w:szCs w:val="20"/>
              </w:rPr>
            </w:pPr>
            <w:r>
              <w:rPr>
                <w:rFonts w:ascii="Arial"/>
                <w:w w:val="100"/>
                <w:sz w:val="20"/>
              </w:rPr>
              <w:t>-</w:t>
            </w:r>
          </w:p>
        </w:tc>
        <w:tc>
          <w:tcPr>
            <w:tcW w:w="281"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tabs>
                <w:tab w:pos="1225" w:val="left" w:leader="none"/>
              </w:tabs>
              <w:spacing w:line="240" w:lineRule="auto" w:before="18"/>
              <w:ind w:right="0"/>
              <w:jc w:val="left"/>
              <w:rPr>
                <w:rFonts w:ascii="Arial" w:hAnsi="Arial" w:cs="Arial" w:eastAsia="Arial" w:hint="default"/>
                <w:sz w:val="20"/>
                <w:szCs w:val="20"/>
              </w:rPr>
            </w:pPr>
            <w:r>
              <w:rPr>
                <w:rFonts w:ascii="Arial"/>
                <w:sz w:val="20"/>
              </w:rPr>
              <w:t>-</w:t>
              <w:tab/>
              <w:t>-</w:t>
            </w:r>
          </w:p>
        </w:tc>
      </w:tr>
      <w:tr>
        <w:trPr>
          <w:trHeight w:val="270" w:hRule="exact"/>
        </w:trPr>
        <w:tc>
          <w:tcPr>
            <w:tcW w:w="176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成都物流基地工程</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5"/>
              <w:jc w:val="right"/>
              <w:rPr>
                <w:rFonts w:ascii="Arial" w:hAnsi="Arial" w:cs="Arial" w:eastAsia="Arial" w:hint="default"/>
                <w:sz w:val="20"/>
                <w:szCs w:val="20"/>
              </w:rPr>
            </w:pPr>
            <w:r>
              <w:rPr>
                <w:rFonts w:ascii="Arial"/>
                <w:sz w:val="20"/>
              </w:rPr>
              <w:t>64,572</w:t>
            </w:r>
          </w:p>
        </w:tc>
        <w:tc>
          <w:tcPr>
            <w:tcW w:w="281"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tabs>
                <w:tab w:pos="871" w:val="left" w:leader="none"/>
              </w:tabs>
              <w:spacing w:line="240" w:lineRule="auto" w:before="21"/>
              <w:ind w:right="75"/>
              <w:jc w:val="right"/>
              <w:rPr>
                <w:rFonts w:ascii="Arial" w:hAnsi="Arial" w:cs="Arial" w:eastAsia="Arial" w:hint="default"/>
                <w:sz w:val="20"/>
                <w:szCs w:val="20"/>
              </w:rPr>
            </w:pPr>
            <w:r>
              <w:rPr>
                <w:rFonts w:ascii="Arial"/>
                <w:sz w:val="20"/>
              </w:rPr>
              <w:t>-</w:t>
              <w:tab/>
              <w:t>64,572</w:t>
            </w:r>
          </w:p>
        </w:tc>
        <w:tc>
          <w:tcPr>
            <w:tcW w:w="278"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9"/>
              <w:jc w:val="right"/>
              <w:rPr>
                <w:rFonts w:ascii="Arial" w:hAnsi="Arial" w:cs="Arial" w:eastAsia="Arial" w:hint="default"/>
                <w:sz w:val="20"/>
                <w:szCs w:val="20"/>
              </w:rPr>
            </w:pPr>
            <w:r>
              <w:rPr>
                <w:rFonts w:ascii="Arial"/>
                <w:w w:val="100"/>
                <w:sz w:val="20"/>
              </w:rPr>
              <w:t>-</w:t>
            </w:r>
          </w:p>
        </w:tc>
        <w:tc>
          <w:tcPr>
            <w:tcW w:w="281"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tabs>
                <w:tab w:pos="1225" w:val="left" w:leader="none"/>
              </w:tabs>
              <w:spacing w:line="240" w:lineRule="auto" w:before="21"/>
              <w:ind w:right="0"/>
              <w:jc w:val="left"/>
              <w:rPr>
                <w:rFonts w:ascii="Arial" w:hAnsi="Arial" w:cs="Arial" w:eastAsia="Arial" w:hint="default"/>
                <w:sz w:val="20"/>
                <w:szCs w:val="20"/>
              </w:rPr>
            </w:pPr>
            <w:r>
              <w:rPr>
                <w:rFonts w:ascii="Arial"/>
                <w:sz w:val="20"/>
              </w:rPr>
              <w:t>-</w:t>
              <w:tab/>
              <w:t>-</w:t>
            </w:r>
          </w:p>
        </w:tc>
      </w:tr>
      <w:tr>
        <w:trPr>
          <w:trHeight w:val="270" w:hRule="exact"/>
        </w:trPr>
        <w:tc>
          <w:tcPr>
            <w:tcW w:w="176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无锡物流基地工程</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5"/>
              <w:jc w:val="right"/>
              <w:rPr>
                <w:rFonts w:ascii="Arial" w:hAnsi="Arial" w:cs="Arial" w:eastAsia="Arial" w:hint="default"/>
                <w:sz w:val="20"/>
                <w:szCs w:val="20"/>
              </w:rPr>
            </w:pPr>
            <w:r>
              <w:rPr>
                <w:rFonts w:ascii="Arial"/>
                <w:spacing w:val="-3"/>
                <w:sz w:val="20"/>
              </w:rPr>
              <w:t>59,011</w:t>
            </w:r>
          </w:p>
        </w:tc>
        <w:tc>
          <w:tcPr>
            <w:tcW w:w="281"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tabs>
                <w:tab w:pos="886" w:val="left" w:leader="none"/>
              </w:tabs>
              <w:spacing w:line="240" w:lineRule="auto" w:before="21"/>
              <w:ind w:right="75"/>
              <w:jc w:val="right"/>
              <w:rPr>
                <w:rFonts w:ascii="Arial" w:hAnsi="Arial" w:cs="Arial" w:eastAsia="Arial" w:hint="default"/>
                <w:sz w:val="20"/>
                <w:szCs w:val="20"/>
              </w:rPr>
            </w:pPr>
            <w:r>
              <w:rPr>
                <w:rFonts w:ascii="Arial"/>
                <w:sz w:val="20"/>
              </w:rPr>
              <w:t>-</w:t>
              <w:tab/>
            </w:r>
            <w:r>
              <w:rPr>
                <w:rFonts w:ascii="Arial"/>
                <w:spacing w:val="-3"/>
                <w:sz w:val="20"/>
              </w:rPr>
              <w:t>59,011</w:t>
            </w:r>
          </w:p>
        </w:tc>
        <w:tc>
          <w:tcPr>
            <w:tcW w:w="278"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9"/>
              <w:jc w:val="right"/>
              <w:rPr>
                <w:rFonts w:ascii="Arial" w:hAnsi="Arial" w:cs="Arial" w:eastAsia="Arial" w:hint="default"/>
                <w:sz w:val="20"/>
                <w:szCs w:val="20"/>
              </w:rPr>
            </w:pPr>
            <w:r>
              <w:rPr>
                <w:rFonts w:ascii="Arial"/>
                <w:w w:val="100"/>
                <w:sz w:val="20"/>
              </w:rPr>
              <w:t>-</w:t>
            </w:r>
          </w:p>
        </w:tc>
        <w:tc>
          <w:tcPr>
            <w:tcW w:w="281"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tabs>
                <w:tab w:pos="1225" w:val="left" w:leader="none"/>
              </w:tabs>
              <w:spacing w:line="240" w:lineRule="auto" w:before="21"/>
              <w:ind w:right="0"/>
              <w:jc w:val="left"/>
              <w:rPr>
                <w:rFonts w:ascii="Arial" w:hAnsi="Arial" w:cs="Arial" w:eastAsia="Arial" w:hint="default"/>
                <w:sz w:val="20"/>
                <w:szCs w:val="20"/>
              </w:rPr>
            </w:pPr>
            <w:r>
              <w:rPr>
                <w:rFonts w:ascii="Arial"/>
                <w:sz w:val="20"/>
              </w:rPr>
              <w:t>-</w:t>
              <w:tab/>
              <w:t>-</w:t>
            </w:r>
          </w:p>
        </w:tc>
      </w:tr>
      <w:tr>
        <w:trPr>
          <w:trHeight w:val="270" w:hRule="exact"/>
        </w:trPr>
        <w:tc>
          <w:tcPr>
            <w:tcW w:w="176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天津物流基地工程</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5"/>
              <w:jc w:val="right"/>
              <w:rPr>
                <w:rFonts w:ascii="Arial" w:hAnsi="Arial" w:cs="Arial" w:eastAsia="Arial" w:hint="default"/>
                <w:sz w:val="20"/>
                <w:szCs w:val="20"/>
              </w:rPr>
            </w:pPr>
            <w:r>
              <w:rPr>
                <w:rFonts w:ascii="Arial"/>
                <w:sz w:val="20"/>
              </w:rPr>
              <w:t>48,997</w:t>
            </w:r>
          </w:p>
        </w:tc>
        <w:tc>
          <w:tcPr>
            <w:tcW w:w="281"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tabs>
                <w:tab w:pos="871" w:val="left" w:leader="none"/>
              </w:tabs>
              <w:spacing w:line="240" w:lineRule="auto" w:before="21"/>
              <w:ind w:right="75"/>
              <w:jc w:val="right"/>
              <w:rPr>
                <w:rFonts w:ascii="Arial" w:hAnsi="Arial" w:cs="Arial" w:eastAsia="Arial" w:hint="default"/>
                <w:sz w:val="20"/>
                <w:szCs w:val="20"/>
              </w:rPr>
            </w:pPr>
            <w:r>
              <w:rPr>
                <w:rFonts w:ascii="Arial"/>
                <w:sz w:val="20"/>
              </w:rPr>
              <w:t>-</w:t>
              <w:tab/>
              <w:t>48,997</w:t>
            </w:r>
          </w:p>
        </w:tc>
        <w:tc>
          <w:tcPr>
            <w:tcW w:w="278"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9"/>
              <w:jc w:val="right"/>
              <w:rPr>
                <w:rFonts w:ascii="Arial" w:hAnsi="Arial" w:cs="Arial" w:eastAsia="Arial" w:hint="default"/>
                <w:sz w:val="20"/>
                <w:szCs w:val="20"/>
              </w:rPr>
            </w:pPr>
            <w:r>
              <w:rPr>
                <w:rFonts w:ascii="Arial"/>
                <w:w w:val="100"/>
                <w:sz w:val="20"/>
              </w:rPr>
              <w:t>-</w:t>
            </w:r>
          </w:p>
        </w:tc>
        <w:tc>
          <w:tcPr>
            <w:tcW w:w="281"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tabs>
                <w:tab w:pos="1225" w:val="left" w:leader="none"/>
              </w:tabs>
              <w:spacing w:line="240" w:lineRule="auto" w:before="21"/>
              <w:ind w:right="0"/>
              <w:jc w:val="left"/>
              <w:rPr>
                <w:rFonts w:ascii="Arial" w:hAnsi="Arial" w:cs="Arial" w:eastAsia="Arial" w:hint="default"/>
                <w:sz w:val="20"/>
                <w:szCs w:val="20"/>
              </w:rPr>
            </w:pPr>
            <w:r>
              <w:rPr>
                <w:rFonts w:ascii="Arial"/>
                <w:sz w:val="20"/>
              </w:rPr>
              <w:t>-</w:t>
              <w:tab/>
              <w:t>-</w:t>
            </w:r>
          </w:p>
        </w:tc>
      </w:tr>
      <w:tr>
        <w:trPr>
          <w:trHeight w:val="270" w:hRule="exact"/>
        </w:trPr>
        <w:tc>
          <w:tcPr>
            <w:tcW w:w="176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合肥物流基地工程</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5"/>
              <w:jc w:val="right"/>
              <w:rPr>
                <w:rFonts w:ascii="Arial" w:hAnsi="Arial" w:cs="Arial" w:eastAsia="Arial" w:hint="default"/>
                <w:sz w:val="20"/>
                <w:szCs w:val="20"/>
              </w:rPr>
            </w:pPr>
            <w:r>
              <w:rPr>
                <w:rFonts w:ascii="Arial"/>
                <w:sz w:val="20"/>
              </w:rPr>
              <w:t>29,397</w:t>
            </w:r>
          </w:p>
        </w:tc>
        <w:tc>
          <w:tcPr>
            <w:tcW w:w="281"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tabs>
                <w:tab w:pos="871" w:val="left" w:leader="none"/>
              </w:tabs>
              <w:spacing w:line="240" w:lineRule="auto" w:before="21"/>
              <w:ind w:right="75"/>
              <w:jc w:val="right"/>
              <w:rPr>
                <w:rFonts w:ascii="Arial" w:hAnsi="Arial" w:cs="Arial" w:eastAsia="Arial" w:hint="default"/>
                <w:sz w:val="20"/>
                <w:szCs w:val="20"/>
              </w:rPr>
            </w:pPr>
            <w:r>
              <w:rPr>
                <w:rFonts w:ascii="Arial"/>
                <w:sz w:val="20"/>
              </w:rPr>
              <w:t>-</w:t>
              <w:tab/>
              <w:t>29,397</w:t>
            </w:r>
          </w:p>
        </w:tc>
        <w:tc>
          <w:tcPr>
            <w:tcW w:w="278"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9"/>
              <w:jc w:val="right"/>
              <w:rPr>
                <w:rFonts w:ascii="Arial" w:hAnsi="Arial" w:cs="Arial" w:eastAsia="Arial" w:hint="default"/>
                <w:sz w:val="20"/>
                <w:szCs w:val="20"/>
              </w:rPr>
            </w:pPr>
            <w:r>
              <w:rPr>
                <w:rFonts w:ascii="Arial"/>
                <w:w w:val="100"/>
                <w:sz w:val="20"/>
              </w:rPr>
              <w:t>-</w:t>
            </w:r>
          </w:p>
        </w:tc>
        <w:tc>
          <w:tcPr>
            <w:tcW w:w="281"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tabs>
                <w:tab w:pos="1225" w:val="left" w:leader="none"/>
              </w:tabs>
              <w:spacing w:line="240" w:lineRule="auto" w:before="21"/>
              <w:ind w:right="0"/>
              <w:jc w:val="left"/>
              <w:rPr>
                <w:rFonts w:ascii="Arial" w:hAnsi="Arial" w:cs="Arial" w:eastAsia="Arial" w:hint="default"/>
                <w:sz w:val="20"/>
                <w:szCs w:val="20"/>
              </w:rPr>
            </w:pPr>
            <w:r>
              <w:rPr>
                <w:rFonts w:ascii="Arial"/>
                <w:sz w:val="20"/>
              </w:rPr>
              <w:t>-</w:t>
              <w:tab/>
              <w:t>-</w:t>
            </w:r>
          </w:p>
        </w:tc>
      </w:tr>
      <w:tr>
        <w:trPr>
          <w:trHeight w:val="270" w:hRule="exact"/>
        </w:trPr>
        <w:tc>
          <w:tcPr>
            <w:tcW w:w="176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大厂电器广场项目</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5"/>
              <w:jc w:val="right"/>
              <w:rPr>
                <w:rFonts w:ascii="Arial" w:hAnsi="Arial" w:cs="Arial" w:eastAsia="Arial" w:hint="default"/>
                <w:sz w:val="20"/>
                <w:szCs w:val="20"/>
              </w:rPr>
            </w:pPr>
            <w:r>
              <w:rPr>
                <w:rFonts w:ascii="Arial"/>
                <w:sz w:val="20"/>
              </w:rPr>
              <w:t>15,441</w:t>
            </w:r>
          </w:p>
        </w:tc>
        <w:tc>
          <w:tcPr>
            <w:tcW w:w="281"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tabs>
                <w:tab w:pos="871" w:val="left" w:leader="none"/>
              </w:tabs>
              <w:spacing w:line="240" w:lineRule="auto" w:before="21"/>
              <w:ind w:right="75"/>
              <w:jc w:val="right"/>
              <w:rPr>
                <w:rFonts w:ascii="Arial" w:hAnsi="Arial" w:cs="Arial" w:eastAsia="Arial" w:hint="default"/>
                <w:sz w:val="20"/>
                <w:szCs w:val="20"/>
              </w:rPr>
            </w:pPr>
            <w:r>
              <w:rPr>
                <w:rFonts w:ascii="Arial"/>
                <w:sz w:val="20"/>
              </w:rPr>
              <w:t>-</w:t>
              <w:tab/>
              <w:t>15,441</w:t>
            </w:r>
          </w:p>
        </w:tc>
        <w:tc>
          <w:tcPr>
            <w:tcW w:w="278"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9"/>
              <w:jc w:val="right"/>
              <w:rPr>
                <w:rFonts w:ascii="Arial" w:hAnsi="Arial" w:cs="Arial" w:eastAsia="Arial" w:hint="default"/>
                <w:sz w:val="20"/>
                <w:szCs w:val="20"/>
              </w:rPr>
            </w:pPr>
            <w:r>
              <w:rPr>
                <w:rFonts w:ascii="Arial"/>
                <w:w w:val="100"/>
                <w:sz w:val="20"/>
              </w:rPr>
              <w:t>-</w:t>
            </w:r>
          </w:p>
        </w:tc>
        <w:tc>
          <w:tcPr>
            <w:tcW w:w="281"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tabs>
                <w:tab w:pos="1225" w:val="left" w:leader="none"/>
              </w:tabs>
              <w:spacing w:line="240" w:lineRule="auto" w:before="21"/>
              <w:ind w:right="0"/>
              <w:jc w:val="left"/>
              <w:rPr>
                <w:rFonts w:ascii="Arial" w:hAnsi="Arial" w:cs="Arial" w:eastAsia="Arial" w:hint="default"/>
                <w:sz w:val="20"/>
                <w:szCs w:val="20"/>
              </w:rPr>
            </w:pPr>
            <w:r>
              <w:rPr>
                <w:rFonts w:ascii="Arial"/>
                <w:sz w:val="20"/>
              </w:rPr>
              <w:t>-</w:t>
              <w:tab/>
              <w:t>-</w:t>
            </w:r>
          </w:p>
        </w:tc>
      </w:tr>
      <w:tr>
        <w:trPr>
          <w:trHeight w:val="270" w:hRule="exact"/>
        </w:trPr>
        <w:tc>
          <w:tcPr>
            <w:tcW w:w="176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青岛物流基地工程</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5"/>
              <w:jc w:val="right"/>
              <w:rPr>
                <w:rFonts w:ascii="Arial" w:hAnsi="Arial" w:cs="Arial" w:eastAsia="Arial" w:hint="default"/>
                <w:sz w:val="20"/>
                <w:szCs w:val="20"/>
              </w:rPr>
            </w:pPr>
            <w:r>
              <w:rPr>
                <w:rFonts w:ascii="Arial"/>
                <w:sz w:val="20"/>
              </w:rPr>
              <w:t>3,349</w:t>
            </w:r>
          </w:p>
        </w:tc>
        <w:tc>
          <w:tcPr>
            <w:tcW w:w="281"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tabs>
                <w:tab w:pos="982" w:val="left" w:leader="none"/>
              </w:tabs>
              <w:spacing w:line="240" w:lineRule="auto" w:before="21"/>
              <w:ind w:right="76"/>
              <w:jc w:val="right"/>
              <w:rPr>
                <w:rFonts w:ascii="Arial" w:hAnsi="Arial" w:cs="Arial" w:eastAsia="Arial" w:hint="default"/>
                <w:sz w:val="20"/>
                <w:szCs w:val="20"/>
              </w:rPr>
            </w:pPr>
            <w:r>
              <w:rPr>
                <w:rFonts w:ascii="Arial"/>
                <w:sz w:val="20"/>
              </w:rPr>
              <w:t>-</w:t>
              <w:tab/>
              <w:t>3,349</w:t>
            </w:r>
          </w:p>
        </w:tc>
        <w:tc>
          <w:tcPr>
            <w:tcW w:w="278"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9"/>
              <w:jc w:val="right"/>
              <w:rPr>
                <w:rFonts w:ascii="Arial" w:hAnsi="Arial" w:cs="Arial" w:eastAsia="Arial" w:hint="default"/>
                <w:sz w:val="20"/>
                <w:szCs w:val="20"/>
              </w:rPr>
            </w:pPr>
            <w:r>
              <w:rPr>
                <w:rFonts w:ascii="Arial"/>
                <w:w w:val="100"/>
                <w:sz w:val="20"/>
              </w:rPr>
              <w:t>-</w:t>
            </w:r>
          </w:p>
        </w:tc>
        <w:tc>
          <w:tcPr>
            <w:tcW w:w="281"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tabs>
                <w:tab w:pos="1225" w:val="left" w:leader="none"/>
              </w:tabs>
              <w:spacing w:line="240" w:lineRule="auto" w:before="21"/>
              <w:ind w:right="0"/>
              <w:jc w:val="left"/>
              <w:rPr>
                <w:rFonts w:ascii="Arial" w:hAnsi="Arial" w:cs="Arial" w:eastAsia="Arial" w:hint="default"/>
                <w:sz w:val="20"/>
                <w:szCs w:val="20"/>
              </w:rPr>
            </w:pPr>
            <w:r>
              <w:rPr>
                <w:rFonts w:ascii="Arial"/>
                <w:sz w:val="20"/>
              </w:rPr>
              <w:t>-</w:t>
              <w:tab/>
              <w:t>-</w:t>
            </w:r>
          </w:p>
        </w:tc>
      </w:tr>
      <w:tr>
        <w:trPr>
          <w:trHeight w:val="499" w:hRule="exact"/>
        </w:trPr>
        <w:tc>
          <w:tcPr>
            <w:tcW w:w="176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其他工程</w:t>
            </w: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75"/>
              <w:jc w:val="right"/>
              <w:rPr>
                <w:rFonts w:ascii="Arial" w:hAnsi="Arial" w:cs="Arial" w:eastAsia="Arial" w:hint="default"/>
                <w:sz w:val="20"/>
                <w:szCs w:val="20"/>
              </w:rPr>
            </w:pPr>
            <w:r>
              <w:rPr>
                <w:rFonts w:ascii="Arial"/>
                <w:sz w:val="20"/>
              </w:rPr>
              <w:t>8,542</w:t>
            </w:r>
          </w:p>
        </w:tc>
        <w:tc>
          <w:tcPr>
            <w:tcW w:w="281"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single" w:sz="4" w:space="0" w:color="000000"/>
              <w:right w:val="nil" w:sz="6" w:space="0" w:color="auto"/>
            </w:tcBorders>
          </w:tcPr>
          <w:p>
            <w:pPr>
              <w:pStyle w:val="TableParagraph"/>
              <w:tabs>
                <w:tab w:pos="982" w:val="left" w:leader="none"/>
              </w:tabs>
              <w:spacing w:line="240" w:lineRule="auto" w:before="21"/>
              <w:ind w:right="75"/>
              <w:jc w:val="right"/>
              <w:rPr>
                <w:rFonts w:ascii="Arial" w:hAnsi="Arial" w:cs="Arial" w:eastAsia="Arial" w:hint="default"/>
                <w:sz w:val="20"/>
                <w:szCs w:val="20"/>
              </w:rPr>
            </w:pPr>
            <w:r>
              <w:rPr>
                <w:rFonts w:ascii="Arial"/>
                <w:sz w:val="20"/>
              </w:rPr>
              <w:t>-</w:t>
              <w:tab/>
              <w:t>8,542</w:t>
            </w:r>
          </w:p>
        </w:tc>
        <w:tc>
          <w:tcPr>
            <w:tcW w:w="278"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239"/>
              <w:jc w:val="right"/>
              <w:rPr>
                <w:rFonts w:ascii="Arial" w:hAnsi="Arial" w:cs="Arial" w:eastAsia="Arial" w:hint="default"/>
                <w:sz w:val="20"/>
                <w:szCs w:val="20"/>
              </w:rPr>
            </w:pPr>
            <w:r>
              <w:rPr>
                <w:rFonts w:ascii="Arial"/>
                <w:sz w:val="20"/>
              </w:rPr>
              <w:t>2,357</w:t>
            </w:r>
          </w:p>
        </w:tc>
        <w:tc>
          <w:tcPr>
            <w:tcW w:w="281"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single" w:sz="4" w:space="0" w:color="000000"/>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Style w:val="TableParagraph"/>
              <w:tabs>
                <w:tab w:pos="790" w:val="left" w:leader="none"/>
              </w:tabs>
              <w:spacing w:line="240" w:lineRule="auto" w:before="21"/>
              <w:ind w:right="0"/>
              <w:jc w:val="left"/>
              <w:rPr>
                <w:rFonts w:ascii="Arial" w:hAnsi="Arial" w:cs="Arial" w:eastAsia="Arial" w:hint="default"/>
                <w:sz w:val="20"/>
                <w:szCs w:val="20"/>
              </w:rPr>
            </w:pPr>
            <w:r>
              <w:rPr>
                <w:rFonts w:ascii="Arial"/>
                <w:sz w:val="20"/>
              </w:rPr>
              <w:t>-</w:t>
              <w:tab/>
              <w:t>2,357</w:t>
            </w:r>
          </w:p>
        </w:tc>
      </w:tr>
      <w:tr>
        <w:trPr>
          <w:trHeight w:val="261" w:hRule="exact"/>
        </w:trPr>
        <w:tc>
          <w:tcPr>
            <w:tcW w:w="1765"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75"/>
              <w:jc w:val="right"/>
              <w:rPr>
                <w:rFonts w:ascii="Arial" w:hAnsi="Arial" w:cs="Arial" w:eastAsia="Arial" w:hint="default"/>
                <w:sz w:val="20"/>
                <w:szCs w:val="20"/>
              </w:rPr>
            </w:pPr>
            <w:r>
              <w:rPr>
                <w:rFonts w:ascii="Arial"/>
                <w:spacing w:val="-1"/>
                <w:sz w:val="20"/>
              </w:rPr>
              <w:t>2,061,752</w:t>
            </w:r>
          </w:p>
        </w:tc>
        <w:tc>
          <w:tcPr>
            <w:tcW w:w="281" w:type="dxa"/>
            <w:tcBorders>
              <w:top w:val="nil" w:sz="6" w:space="0" w:color="auto"/>
              <w:left w:val="nil" w:sz="6" w:space="0" w:color="auto"/>
              <w:bottom w:val="nil" w:sz="6" w:space="0" w:color="auto"/>
              <w:right w:val="nil" w:sz="6" w:space="0" w:color="auto"/>
            </w:tcBorders>
          </w:tcPr>
          <w:p>
            <w:pPr/>
          </w:p>
        </w:tc>
        <w:tc>
          <w:tcPr>
            <w:tcW w:w="2272"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43pt;height:.5pt;mso-position-horizontal-relative:char;mso-position-vertical-relative:line" coordorigin="0,0" coordsize="860,10">
                  <v:group style="position:absolute;left:5;top:5;width:850;height:2" coordorigin="5,5" coordsize="850,2">
                    <v:shape style="position:absolute;left:5;top:5;width:850;height:2" coordorigin="5,5" coordsize="850,0" path="m5,5l854,5e" filled="false" stroked="true" strokeweight=".48001pt" strokecolor="#000000">
                      <v:path arrowok="t"/>
                    </v:shape>
                  </v:group>
                </v:group>
              </w:pict>
            </w:r>
            <w:r>
              <w:rPr>
                <w:rFonts w:ascii="宋体" w:hAnsi="宋体" w:cs="宋体" w:eastAsia="宋体" w:hint="default"/>
                <w:sz w:val="2"/>
                <w:szCs w:val="2"/>
              </w:rPr>
            </w:r>
          </w:p>
          <w:p>
            <w:pPr>
              <w:pStyle w:val="TableParagraph"/>
              <w:tabs>
                <w:tab w:pos="593" w:val="left" w:leader="none"/>
              </w:tabs>
              <w:spacing w:line="240" w:lineRule="auto"/>
              <w:ind w:right="75"/>
              <w:jc w:val="right"/>
              <w:rPr>
                <w:rFonts w:ascii="Arial" w:hAnsi="Arial" w:cs="Arial" w:eastAsia="Arial" w:hint="default"/>
                <w:sz w:val="20"/>
                <w:szCs w:val="20"/>
              </w:rPr>
            </w:pPr>
            <w:r>
              <w:rPr>
                <w:rFonts w:ascii="Arial"/>
                <w:sz w:val="20"/>
              </w:rPr>
              <w:t>-</w:t>
              <w:tab/>
            </w:r>
            <w:r>
              <w:rPr>
                <w:rFonts w:ascii="Arial"/>
                <w:spacing w:val="-1"/>
                <w:sz w:val="20"/>
              </w:rPr>
              <w:t>2,061,752</w:t>
            </w:r>
          </w:p>
        </w:tc>
        <w:tc>
          <w:tcPr>
            <w:tcW w:w="278" w:type="dxa"/>
            <w:tcBorders>
              <w:top w:val="nil" w:sz="6" w:space="0" w:color="auto"/>
              <w:left w:val="nil" w:sz="6" w:space="0" w:color="auto"/>
              <w:bottom w:val="nil" w:sz="6" w:space="0" w:color="auto"/>
              <w:right w:val="nil" w:sz="6" w:space="0" w:color="auto"/>
            </w:tcBorders>
          </w:tcPr>
          <w:p>
            <w:pPr/>
          </w:p>
        </w:tc>
        <w:tc>
          <w:tcPr>
            <w:tcW w:w="1138"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239"/>
              <w:jc w:val="right"/>
              <w:rPr>
                <w:rFonts w:ascii="Arial" w:hAnsi="Arial" w:cs="Arial" w:eastAsia="Arial" w:hint="default"/>
                <w:sz w:val="20"/>
                <w:szCs w:val="20"/>
              </w:rPr>
            </w:pPr>
            <w:r>
              <w:rPr>
                <w:rFonts w:ascii="Arial"/>
                <w:spacing w:val="-1"/>
                <w:sz w:val="20"/>
              </w:rPr>
              <w:t>408,528</w:t>
            </w:r>
          </w:p>
        </w:tc>
        <w:tc>
          <w:tcPr>
            <w:tcW w:w="281" w:type="dxa"/>
            <w:tcBorders>
              <w:top w:val="nil" w:sz="6" w:space="0" w:color="auto"/>
              <w:left w:val="nil" w:sz="6" w:space="0" w:color="auto"/>
              <w:bottom w:val="nil" w:sz="6" w:space="0" w:color="auto"/>
              <w:right w:val="nil" w:sz="6" w:space="0" w:color="auto"/>
            </w:tcBorders>
          </w:tcPr>
          <w:p>
            <w:pPr/>
          </w:p>
        </w:tc>
        <w:tc>
          <w:tcPr>
            <w:tcW w:w="757" w:type="dxa"/>
            <w:tcBorders>
              <w:top w:val="single" w:sz="4" w:space="0" w:color="000000"/>
              <w:left w:val="nil" w:sz="6" w:space="0" w:color="auto"/>
              <w:bottom w:val="single" w:sz="12" w:space="0" w:color="000000"/>
              <w:right w:val="nil" w:sz="6" w:space="0" w:color="auto"/>
            </w:tcBorders>
          </w:tcPr>
          <w:p>
            <w:pPr/>
          </w:p>
        </w:tc>
        <w:tc>
          <w:tcPr>
            <w:tcW w:w="1373" w:type="dxa"/>
            <w:tcBorders>
              <w:top w:val="single" w:sz="4" w:space="0" w:color="000000"/>
              <w:left w:val="nil" w:sz="6" w:space="0" w:color="auto"/>
              <w:bottom w:val="single" w:sz="12" w:space="0" w:color="000000"/>
              <w:right w:val="nil" w:sz="6" w:space="0" w:color="auto"/>
            </w:tcBorders>
          </w:tcPr>
          <w:p>
            <w:pPr>
              <w:pStyle w:val="TableParagraph"/>
              <w:tabs>
                <w:tab w:pos="568" w:val="left" w:leader="none"/>
              </w:tabs>
              <w:spacing w:line="240" w:lineRule="auto" w:before="9"/>
              <w:ind w:right="0"/>
              <w:jc w:val="left"/>
              <w:rPr>
                <w:rFonts w:ascii="Arial" w:hAnsi="Arial" w:cs="Arial" w:eastAsia="Arial" w:hint="default"/>
                <w:sz w:val="20"/>
                <w:szCs w:val="20"/>
              </w:rPr>
            </w:pPr>
            <w:r>
              <w:rPr>
                <w:rFonts w:ascii="Arial"/>
                <w:sz w:val="20"/>
              </w:rPr>
              <w:t>-</w:t>
              <w:tab/>
              <w:t>408,528</w:t>
            </w:r>
          </w:p>
        </w:tc>
      </w:tr>
    </w:tbl>
    <w:p>
      <w:pPr>
        <w:spacing w:after="0" w:line="240" w:lineRule="auto"/>
        <w:jc w:val="left"/>
        <w:rPr>
          <w:rFonts w:ascii="Arial" w:hAnsi="Arial" w:cs="Arial" w:eastAsia="Arial" w:hint="default"/>
          <w:sz w:val="20"/>
          <w:szCs w:val="20"/>
        </w:rPr>
        <w:sectPr>
          <w:pgSz w:w="11910" w:h="16840"/>
          <w:pgMar w:header="0" w:footer="947" w:top="3020" w:bottom="1140" w:left="1020" w:right="700"/>
        </w:sectPr>
      </w:pPr>
    </w:p>
    <w:p>
      <w:pPr>
        <w:spacing w:line="240" w:lineRule="auto" w:before="2"/>
        <w:rPr>
          <w:rFonts w:ascii="宋体" w:hAnsi="宋体" w:cs="宋体" w:eastAsia="宋体" w:hint="default"/>
          <w:sz w:val="16"/>
          <w:szCs w:val="16"/>
        </w:rPr>
      </w:pPr>
    </w:p>
    <w:p>
      <w:pPr>
        <w:pStyle w:val="Heading2"/>
        <w:tabs>
          <w:tab w:pos="908" w:val="left" w:leader="none"/>
        </w:tabs>
        <w:spacing w:line="240" w:lineRule="auto"/>
        <w:ind w:left="103" w:right="0"/>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908" w:val="left" w:leader="none"/>
        </w:tabs>
        <w:spacing w:before="0"/>
        <w:ind w:left="103" w:right="0" w:firstLine="0"/>
        <w:jc w:val="left"/>
        <w:rPr>
          <w:rFonts w:ascii="Arial" w:hAnsi="Arial" w:cs="Arial" w:eastAsia="Arial" w:hint="default"/>
          <w:sz w:val="24"/>
          <w:szCs w:val="24"/>
        </w:rPr>
      </w:pPr>
      <w:r>
        <w:rPr>
          <w:rFonts w:ascii="Arial" w:hAnsi="Arial" w:cs="Arial" w:eastAsia="Arial" w:hint="default"/>
          <w:w w:val="95"/>
          <w:position w:val="2"/>
          <w:sz w:val="24"/>
          <w:szCs w:val="24"/>
        </w:rPr>
        <w:t>(14)</w:t>
        <w:tab/>
      </w:r>
      <w:r>
        <w:rPr>
          <w:rFonts w:ascii="宋体" w:hAnsi="宋体" w:cs="宋体" w:eastAsia="宋体" w:hint="default"/>
          <w:b/>
          <w:bCs/>
          <w:sz w:val="24"/>
          <w:szCs w:val="24"/>
        </w:rPr>
        <w:t>在建工程</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908" w:val="left" w:leader="none"/>
        </w:tabs>
        <w:spacing w:line="240" w:lineRule="auto"/>
        <w:ind w:left="103" w:right="0"/>
        <w:jc w:val="left"/>
      </w:pPr>
      <w:r>
        <w:rPr>
          <w:rFonts w:ascii="Arial" w:hAnsi="Arial" w:cs="Arial" w:eastAsia="Arial" w:hint="default"/>
          <w:w w:val="95"/>
          <w:position w:val="2"/>
        </w:rPr>
        <w:t>(a)</w:t>
        <w:tab/>
      </w:r>
      <w:r>
        <w:rPr/>
        <w:t>重大在建工程项目变动</w:t>
      </w:r>
    </w:p>
    <w:p>
      <w:pPr>
        <w:spacing w:line="240" w:lineRule="auto" w:before="7"/>
        <w:rPr>
          <w:rFonts w:ascii="宋体" w:hAnsi="宋体" w:cs="宋体" w:eastAsia="宋体" w:hint="default"/>
          <w:sz w:val="18"/>
          <w:szCs w:val="18"/>
        </w:rPr>
      </w:pPr>
    </w:p>
    <w:tbl>
      <w:tblPr>
        <w:tblW w:w="0" w:type="auto"/>
        <w:jc w:val="left"/>
        <w:tblInd w:w="800" w:type="dxa"/>
        <w:tblLayout w:type="fixed"/>
        <w:tblCellMar>
          <w:top w:w="0" w:type="dxa"/>
          <w:left w:w="0" w:type="dxa"/>
          <w:bottom w:w="0" w:type="dxa"/>
          <w:right w:w="0" w:type="dxa"/>
        </w:tblCellMar>
        <w:tblLook w:val="01E0"/>
      </w:tblPr>
      <w:tblGrid>
        <w:gridCol w:w="1288"/>
        <w:gridCol w:w="1017"/>
        <w:gridCol w:w="1141"/>
        <w:gridCol w:w="1090"/>
        <w:gridCol w:w="1006"/>
        <w:gridCol w:w="1181"/>
        <w:gridCol w:w="924"/>
        <w:gridCol w:w="2411"/>
        <w:gridCol w:w="4391"/>
      </w:tblGrid>
      <w:tr>
        <w:trPr>
          <w:trHeight w:val="850"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工程名称</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宋体" w:hAnsi="宋体" w:cs="宋体" w:eastAsia="宋体" w:hint="default"/>
                <w:sz w:val="20"/>
                <w:szCs w:val="20"/>
              </w:rPr>
            </w:pPr>
            <w:r>
              <w:rPr>
                <w:rFonts w:ascii="宋体" w:hAnsi="宋体" w:cs="宋体" w:eastAsia="宋体" w:hint="default"/>
                <w:sz w:val="20"/>
                <w:szCs w:val="20"/>
              </w:rPr>
              <w:t>预算数</w:t>
            </w:r>
          </w:p>
        </w:tc>
        <w:tc>
          <w:tcPr>
            <w:tcW w:w="1141"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374"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74"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8"/>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6" w:right="86"/>
              <w:jc w:val="left"/>
              <w:rPr>
                <w:rFonts w:ascii="宋体" w:hAnsi="宋体" w:cs="宋体" w:eastAsia="宋体" w:hint="default"/>
                <w:sz w:val="20"/>
                <w:szCs w:val="20"/>
              </w:rPr>
            </w:pPr>
            <w:r>
              <w:rPr>
                <w:rFonts w:ascii="宋体" w:hAnsi="宋体" w:cs="宋体" w:eastAsia="宋体" w:hint="default"/>
                <w:sz w:val="20"/>
                <w:szCs w:val="20"/>
              </w:rPr>
              <w:t>本年转入</w:t>
            </w:r>
            <w:r>
              <w:rPr>
                <w:rFonts w:ascii="宋体" w:hAnsi="宋体" w:cs="宋体" w:eastAsia="宋体" w:hint="default"/>
                <w:w w:val="100"/>
                <w:sz w:val="20"/>
                <w:szCs w:val="20"/>
              </w:rPr>
              <w:t> </w:t>
            </w:r>
            <w:r>
              <w:rPr>
                <w:rFonts w:ascii="宋体" w:hAnsi="宋体" w:cs="宋体" w:eastAsia="宋体" w:hint="default"/>
                <w:sz w:val="20"/>
                <w:szCs w:val="20"/>
              </w:rPr>
              <w:t>固定资产</w:t>
            </w:r>
          </w:p>
        </w:tc>
        <w:tc>
          <w:tcPr>
            <w:tcW w:w="1181"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367"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41"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6" w:right="13"/>
              <w:jc w:val="left"/>
              <w:rPr>
                <w:rFonts w:ascii="宋体" w:hAnsi="宋体" w:cs="宋体" w:eastAsia="宋体" w:hint="default"/>
                <w:sz w:val="20"/>
                <w:szCs w:val="20"/>
              </w:rPr>
            </w:pPr>
            <w:r>
              <w:rPr>
                <w:rFonts w:ascii="宋体" w:hAnsi="宋体" w:cs="宋体" w:eastAsia="宋体" w:hint="default"/>
                <w:sz w:val="20"/>
                <w:szCs w:val="20"/>
              </w:rPr>
              <w:t>工程投入</w:t>
            </w:r>
            <w:r>
              <w:rPr>
                <w:rFonts w:ascii="宋体" w:hAnsi="宋体" w:cs="宋体" w:eastAsia="宋体" w:hint="default"/>
                <w:w w:val="100"/>
                <w:sz w:val="20"/>
                <w:szCs w:val="20"/>
              </w:rPr>
              <w:t> </w:t>
            </w:r>
            <w:r>
              <w:rPr>
                <w:rFonts w:ascii="宋体" w:hAnsi="宋体" w:cs="宋体" w:eastAsia="宋体" w:hint="default"/>
                <w:sz w:val="20"/>
                <w:szCs w:val="20"/>
              </w:rPr>
              <w:t>占预算的</w:t>
            </w:r>
          </w:p>
          <w:p>
            <w:pPr>
              <w:pStyle w:val="TableParagraph"/>
              <w:spacing w:line="259" w:lineRule="exact"/>
              <w:ind w:left="505"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23"/>
              <w:jc w:val="right"/>
              <w:rPr>
                <w:rFonts w:ascii="宋体" w:hAnsi="宋体" w:cs="宋体" w:eastAsia="宋体" w:hint="default"/>
                <w:sz w:val="20"/>
                <w:szCs w:val="20"/>
              </w:rPr>
            </w:pPr>
            <w:r>
              <w:rPr>
                <w:rFonts w:ascii="宋体" w:hAnsi="宋体" w:cs="宋体" w:eastAsia="宋体" w:hint="default"/>
                <w:sz w:val="20"/>
                <w:szCs w:val="20"/>
              </w:rPr>
              <w:t>工程进度</w:t>
            </w:r>
          </w:p>
        </w:tc>
        <w:tc>
          <w:tcPr>
            <w:tcW w:w="4391" w:type="dxa"/>
            <w:tcBorders>
              <w:top w:val="nil" w:sz="6" w:space="0" w:color="auto"/>
              <w:left w:val="nil" w:sz="6" w:space="0" w:color="auto"/>
              <w:bottom w:val="nil" w:sz="6" w:space="0" w:color="auto"/>
              <w:right w:val="nil" w:sz="6" w:space="0" w:color="auto"/>
            </w:tcBorders>
          </w:tcPr>
          <w:p>
            <w:pPr>
              <w:pStyle w:val="TableParagraph"/>
              <w:tabs>
                <w:tab w:pos="1156" w:val="left" w:leader="none"/>
                <w:tab w:pos="3554" w:val="left" w:leader="none"/>
              </w:tabs>
              <w:spacing w:line="240" w:lineRule="auto" w:before="38"/>
              <w:ind w:left="338" w:right="33" w:hanging="201"/>
              <w:jc w:val="left"/>
              <w:rPr>
                <w:rFonts w:ascii="宋体" w:hAnsi="宋体" w:cs="宋体" w:eastAsia="宋体" w:hint="default"/>
                <w:sz w:val="20"/>
                <w:szCs w:val="20"/>
              </w:rPr>
            </w:pPr>
            <w:r>
              <w:rPr>
                <w:rFonts w:ascii="宋体" w:hAnsi="宋体" w:cs="宋体" w:eastAsia="宋体" w:hint="default"/>
                <w:sz w:val="20"/>
                <w:szCs w:val="20"/>
              </w:rPr>
              <w:t>借款费用</w:t>
              <w:tab/>
              <w:t>其中：本年</w:t>
            </w:r>
            <w:r>
              <w:rPr>
                <w:rFonts w:ascii="宋体" w:hAnsi="宋体" w:cs="宋体" w:eastAsia="宋体" w:hint="default"/>
                <w:spacing w:val="-5"/>
                <w:sz w:val="20"/>
                <w:szCs w:val="20"/>
              </w:rPr>
              <w:t> </w:t>
            </w:r>
            <w:r>
              <w:rPr>
                <w:rFonts w:ascii="宋体" w:hAnsi="宋体" w:cs="宋体" w:eastAsia="宋体" w:hint="default"/>
                <w:sz w:val="20"/>
                <w:szCs w:val="20"/>
              </w:rPr>
              <w:t>本年借款</w:t>
              <w:tab/>
              <w:t>资金来源</w:t>
            </w:r>
            <w:r>
              <w:rPr>
                <w:rFonts w:ascii="宋体" w:hAnsi="宋体" w:cs="宋体" w:eastAsia="宋体" w:hint="default"/>
                <w:w w:val="100"/>
                <w:sz w:val="20"/>
                <w:szCs w:val="20"/>
              </w:rPr>
              <w:t> </w:t>
            </w:r>
            <w:r>
              <w:rPr>
                <w:rFonts w:ascii="宋体" w:hAnsi="宋体" w:cs="宋体" w:eastAsia="宋体" w:hint="default"/>
                <w:sz w:val="20"/>
                <w:szCs w:val="20"/>
              </w:rPr>
              <w:t>资本化</w:t>
              <w:tab/>
              <w:t>借款费用资</w:t>
            </w:r>
            <w:r>
              <w:rPr>
                <w:rFonts w:ascii="宋体" w:hAnsi="宋体" w:cs="宋体" w:eastAsia="宋体" w:hint="default"/>
                <w:spacing w:val="-5"/>
                <w:sz w:val="20"/>
                <w:szCs w:val="20"/>
              </w:rPr>
              <w:t> </w:t>
            </w:r>
            <w:r>
              <w:rPr>
                <w:rFonts w:ascii="宋体" w:hAnsi="宋体" w:cs="宋体" w:eastAsia="宋体" w:hint="default"/>
                <w:sz w:val="20"/>
                <w:szCs w:val="20"/>
              </w:rPr>
              <w:t>费用资本</w:t>
            </w:r>
          </w:p>
          <w:p>
            <w:pPr>
              <w:pStyle w:val="TableParagraph"/>
              <w:tabs>
                <w:tab w:pos="1354" w:val="left" w:leader="none"/>
                <w:tab w:pos="2651" w:val="left" w:leader="none"/>
              </w:tabs>
              <w:spacing w:line="259" w:lineRule="exact"/>
              <w:ind w:left="137" w:right="0"/>
              <w:jc w:val="left"/>
              <w:rPr>
                <w:rFonts w:ascii="宋体" w:hAnsi="宋体" w:cs="宋体" w:eastAsia="宋体" w:hint="default"/>
                <w:sz w:val="20"/>
                <w:szCs w:val="20"/>
              </w:rPr>
            </w:pPr>
            <w:r>
              <w:rPr>
                <w:rFonts w:ascii="宋体" w:hAnsi="宋体" w:cs="宋体" w:eastAsia="宋体" w:hint="default"/>
                <w:sz w:val="20"/>
                <w:szCs w:val="20"/>
              </w:rPr>
              <w:t>累计金额</w:t>
              <w:tab/>
              <w:t>本化金额</w:t>
              <w:tab/>
              <w:t>化率</w:t>
            </w:r>
          </w:p>
        </w:tc>
      </w:tr>
      <w:tr>
        <w:trPr>
          <w:trHeight w:val="260" w:hRule="exact"/>
        </w:trPr>
        <w:tc>
          <w:tcPr>
            <w:tcW w:w="1288"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Style w:val="TableParagraph"/>
              <w:spacing w:line="230" w:lineRule="exact"/>
              <w:ind w:right="156"/>
              <w:jc w:val="right"/>
              <w:rPr>
                <w:rFonts w:ascii="宋体" w:hAnsi="宋体" w:cs="宋体" w:eastAsia="宋体" w:hint="default"/>
                <w:sz w:val="20"/>
                <w:szCs w:val="20"/>
              </w:rPr>
            </w:pPr>
            <w:r>
              <w:rPr>
                <w:rFonts w:ascii="宋体" w:hAnsi="宋体" w:cs="宋体" w:eastAsia="宋体" w:hint="default"/>
                <w:spacing w:val="-1"/>
                <w:sz w:val="20"/>
                <w:szCs w:val="20"/>
              </w:rPr>
              <w:t>土建安装完工</w:t>
            </w:r>
          </w:p>
        </w:tc>
        <w:tc>
          <w:tcPr>
            <w:tcW w:w="4391" w:type="dxa"/>
            <w:tcBorders>
              <w:top w:val="nil" w:sz="6" w:space="0" w:color="auto"/>
              <w:left w:val="nil" w:sz="6" w:space="0" w:color="auto"/>
              <w:bottom w:val="nil" w:sz="6" w:space="0" w:color="auto"/>
              <w:right w:val="nil" w:sz="6" w:space="0" w:color="auto"/>
            </w:tcBorders>
          </w:tcPr>
          <w:p>
            <w:pPr/>
          </w:p>
        </w:tc>
      </w:tr>
      <w:tr>
        <w:trPr>
          <w:trHeight w:val="520"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徐庄总部</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3"/>
              <w:jc w:val="right"/>
              <w:rPr>
                <w:rFonts w:ascii="Arial" w:hAnsi="Arial" w:cs="Arial" w:eastAsia="Arial" w:hint="default"/>
                <w:sz w:val="20"/>
                <w:szCs w:val="20"/>
              </w:rPr>
            </w:pPr>
            <w:r>
              <w:rPr>
                <w:rFonts w:ascii="Arial"/>
                <w:spacing w:val="-1"/>
                <w:sz w:val="20"/>
              </w:rPr>
              <w:t>1,300,000</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5"/>
              <w:jc w:val="right"/>
              <w:rPr>
                <w:rFonts w:ascii="Arial" w:hAnsi="Arial" w:cs="Arial" w:eastAsia="Arial" w:hint="default"/>
                <w:sz w:val="20"/>
                <w:szCs w:val="20"/>
              </w:rPr>
            </w:pPr>
            <w:r>
              <w:rPr>
                <w:rFonts w:ascii="Arial"/>
                <w:spacing w:val="-1"/>
                <w:sz w:val="20"/>
              </w:rPr>
              <w:t>205,590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9"/>
              <w:jc w:val="right"/>
              <w:rPr>
                <w:rFonts w:ascii="Arial" w:hAnsi="Arial" w:cs="Arial" w:eastAsia="Arial" w:hint="default"/>
                <w:sz w:val="20"/>
                <w:szCs w:val="20"/>
              </w:rPr>
            </w:pPr>
            <w:r>
              <w:rPr>
                <w:rFonts w:ascii="Arial"/>
                <w:spacing w:val="-1"/>
                <w:sz w:val="20"/>
              </w:rPr>
              <w:t>1,038,378</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Arial" w:hAnsi="Arial" w:cs="Arial" w:eastAsia="Arial" w:hint="default"/>
                <w:sz w:val="20"/>
                <w:szCs w:val="20"/>
              </w:rPr>
            </w:pPr>
            <w:r>
              <w:rPr>
                <w:rFonts w:ascii="Arial"/>
                <w:w w:val="100"/>
                <w:sz w:val="20"/>
              </w:rPr>
              <w:t>-</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Arial" w:hAnsi="Arial" w:cs="Arial" w:eastAsia="Arial" w:hint="default"/>
                <w:sz w:val="20"/>
                <w:szCs w:val="20"/>
              </w:rPr>
            </w:pPr>
            <w:r>
              <w:rPr>
                <w:rFonts w:ascii="Arial"/>
                <w:spacing w:val="-1"/>
                <w:sz w:val="20"/>
              </w:rPr>
              <w:t>1,243,968</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Arial" w:hAnsi="Arial" w:cs="Arial" w:eastAsia="Arial" w:hint="default"/>
                <w:sz w:val="20"/>
                <w:szCs w:val="20"/>
              </w:rPr>
            </w:pPr>
            <w:r>
              <w:rPr>
                <w:rFonts w:ascii="Arial"/>
                <w:sz w:val="20"/>
              </w:rPr>
              <w:t>96%</w:t>
            </w:r>
          </w:p>
        </w:tc>
        <w:tc>
          <w:tcPr>
            <w:tcW w:w="2411" w:type="dxa"/>
            <w:tcBorders>
              <w:top w:val="nil" w:sz="6" w:space="0" w:color="auto"/>
              <w:left w:val="nil" w:sz="6" w:space="0" w:color="auto"/>
              <w:bottom w:val="nil" w:sz="6" w:space="0" w:color="auto"/>
              <w:right w:val="nil" w:sz="6" w:space="0" w:color="auto"/>
            </w:tcBorders>
          </w:tcPr>
          <w:p>
            <w:pPr>
              <w:pStyle w:val="TableParagraph"/>
              <w:spacing w:line="229" w:lineRule="exact"/>
              <w:ind w:left="826" w:right="0" w:hanging="377"/>
              <w:jc w:val="left"/>
              <w:rPr>
                <w:rFonts w:ascii="宋体" w:hAnsi="宋体" w:cs="宋体" w:eastAsia="宋体" w:hint="default"/>
                <w:sz w:val="20"/>
                <w:szCs w:val="20"/>
              </w:rPr>
            </w:pPr>
            <w:r>
              <w:rPr>
                <w:rFonts w:ascii="宋体" w:hAnsi="宋体" w:cs="宋体" w:eastAsia="宋体" w:hint="default"/>
                <w:sz w:val="20"/>
                <w:szCs w:val="20"/>
              </w:rPr>
              <w:t>装修工程进场施工中</w:t>
            </w:r>
          </w:p>
          <w:p>
            <w:pPr>
              <w:pStyle w:val="TableParagraph"/>
              <w:spacing w:line="260" w:lineRule="exact"/>
              <w:ind w:left="826" w:right="0"/>
              <w:jc w:val="left"/>
              <w:rPr>
                <w:rFonts w:ascii="宋体" w:hAnsi="宋体" w:cs="宋体" w:eastAsia="宋体" w:hint="default"/>
                <w:sz w:val="20"/>
                <w:szCs w:val="20"/>
              </w:rPr>
            </w:pPr>
            <w:r>
              <w:rPr>
                <w:rFonts w:ascii="宋体" w:hAnsi="宋体" w:cs="宋体" w:eastAsia="宋体" w:hint="default"/>
                <w:sz w:val="20"/>
                <w:szCs w:val="20"/>
              </w:rPr>
              <w:t>一期工程已完工</w:t>
            </w:r>
          </w:p>
        </w:tc>
        <w:tc>
          <w:tcPr>
            <w:tcW w:w="4391" w:type="dxa"/>
            <w:tcBorders>
              <w:top w:val="nil" w:sz="6" w:space="0" w:color="auto"/>
              <w:left w:val="nil" w:sz="6" w:space="0" w:color="auto"/>
              <w:bottom w:val="nil" w:sz="6" w:space="0" w:color="auto"/>
              <w:right w:val="nil" w:sz="6" w:space="0" w:color="auto"/>
            </w:tcBorders>
          </w:tcPr>
          <w:p>
            <w:pPr>
              <w:pStyle w:val="TableParagraph"/>
              <w:tabs>
                <w:tab w:pos="2002" w:val="left" w:leader="none"/>
                <w:tab w:pos="2939" w:val="left" w:leader="none"/>
                <w:tab w:pos="3494" w:val="left" w:leader="none"/>
              </w:tabs>
              <w:spacing w:line="246" w:lineRule="exact" w:before="18"/>
              <w:ind w:left="3265" w:right="93" w:hanging="2452"/>
              <w:jc w:val="right"/>
              <w:rPr>
                <w:rFonts w:ascii="宋体" w:hAnsi="宋体" w:cs="宋体" w:eastAsia="宋体" w:hint="default"/>
                <w:sz w:val="20"/>
                <w:szCs w:val="20"/>
              </w:rPr>
            </w:pPr>
            <w:r>
              <w:rPr>
                <w:rFonts w:ascii="Arial" w:hAnsi="Arial" w:cs="Arial" w:eastAsia="Arial" w:hint="default"/>
                <w:sz w:val="20"/>
                <w:szCs w:val="20"/>
              </w:rPr>
              <w:t>-</w:t>
              <w:tab/>
              <w:t>-</w:t>
              <w:tab/>
              <w:t>-</w:t>
              <w:tab/>
              <w:tab/>
            </w:r>
            <w:r>
              <w:rPr>
                <w:rFonts w:ascii="宋体" w:hAnsi="宋体" w:cs="宋体" w:eastAsia="宋体" w:hint="default"/>
                <w:position w:val="1"/>
                <w:sz w:val="20"/>
                <w:szCs w:val="20"/>
              </w:rPr>
              <w:t>自有资金</w:t>
            </w:r>
            <w:r>
              <w:rPr>
                <w:rFonts w:ascii="宋体" w:hAnsi="宋体" w:cs="宋体" w:eastAsia="宋体" w:hint="default"/>
                <w:w w:val="100"/>
                <w:position w:val="1"/>
                <w:sz w:val="20"/>
                <w:szCs w:val="20"/>
              </w:rPr>
              <w:t> </w:t>
            </w:r>
            <w:r>
              <w:rPr>
                <w:rFonts w:ascii="宋体" w:hAnsi="宋体" w:cs="宋体" w:eastAsia="宋体" w:hint="default"/>
                <w:spacing w:val="-1"/>
                <w:sz w:val="20"/>
                <w:szCs w:val="20"/>
              </w:rPr>
              <w:t>募集资金及</w:t>
            </w:r>
          </w:p>
        </w:tc>
      </w:tr>
      <w:tr>
        <w:trPr>
          <w:trHeight w:val="525"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北京物流基地</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3"/>
              <w:jc w:val="right"/>
              <w:rPr>
                <w:rFonts w:ascii="Arial" w:hAnsi="Arial" w:cs="Arial" w:eastAsia="Arial" w:hint="default"/>
                <w:sz w:val="20"/>
                <w:szCs w:val="20"/>
              </w:rPr>
            </w:pPr>
            <w:r>
              <w:rPr>
                <w:rFonts w:ascii="Arial"/>
                <w:spacing w:val="-1"/>
                <w:sz w:val="20"/>
              </w:rPr>
              <w:t>249,197</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6"/>
              <w:jc w:val="right"/>
              <w:rPr>
                <w:rFonts w:ascii="Arial" w:hAnsi="Arial" w:cs="Arial" w:eastAsia="Arial" w:hint="default"/>
                <w:sz w:val="20"/>
                <w:szCs w:val="20"/>
              </w:rPr>
            </w:pPr>
            <w:r>
              <w:rPr>
                <w:rFonts w:ascii="Arial"/>
                <w:sz w:val="20"/>
              </w:rPr>
              <w:t>69,824</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Arial" w:hAnsi="Arial" w:cs="Arial" w:eastAsia="Arial" w:hint="default"/>
                <w:sz w:val="20"/>
                <w:szCs w:val="20"/>
              </w:rPr>
            </w:pPr>
            <w:r>
              <w:rPr>
                <w:rFonts w:ascii="Arial"/>
                <w:sz w:val="20"/>
              </w:rPr>
              <w:t>7,347</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Arial" w:hAnsi="Arial" w:cs="Arial" w:eastAsia="Arial" w:hint="default"/>
                <w:sz w:val="20"/>
                <w:szCs w:val="20"/>
              </w:rPr>
            </w:pPr>
            <w:r>
              <w:rPr>
                <w:rFonts w:ascii="Arial"/>
                <w:w w:val="100"/>
                <w:sz w:val="20"/>
              </w:rPr>
              <w:t>-</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9"/>
              <w:jc w:val="right"/>
              <w:rPr>
                <w:rFonts w:ascii="Arial" w:hAnsi="Arial" w:cs="Arial" w:eastAsia="Arial" w:hint="default"/>
                <w:sz w:val="20"/>
                <w:szCs w:val="20"/>
              </w:rPr>
            </w:pPr>
            <w:r>
              <w:rPr>
                <w:rFonts w:ascii="Arial"/>
                <w:sz w:val="20"/>
              </w:rPr>
              <w:t>77,171</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7"/>
              <w:jc w:val="right"/>
              <w:rPr>
                <w:rFonts w:ascii="Arial" w:hAnsi="Arial" w:cs="Arial" w:eastAsia="Arial" w:hint="default"/>
                <w:sz w:val="20"/>
                <w:szCs w:val="20"/>
              </w:rPr>
            </w:pPr>
            <w:r>
              <w:rPr>
                <w:rFonts w:ascii="Arial"/>
                <w:sz w:val="20"/>
              </w:rPr>
              <w:t>56%</w:t>
            </w:r>
          </w:p>
        </w:tc>
        <w:tc>
          <w:tcPr>
            <w:tcW w:w="2411" w:type="dxa"/>
            <w:tcBorders>
              <w:top w:val="nil" w:sz="6" w:space="0" w:color="auto"/>
              <w:left w:val="nil" w:sz="6" w:space="0" w:color="auto"/>
              <w:bottom w:val="nil" w:sz="6" w:space="0" w:color="auto"/>
              <w:right w:val="nil" w:sz="6" w:space="0" w:color="auto"/>
            </w:tcBorders>
          </w:tcPr>
          <w:p>
            <w:pPr>
              <w:pStyle w:val="TableParagraph"/>
              <w:spacing w:line="230" w:lineRule="exact"/>
              <w:ind w:left="15" w:right="0" w:firstLine="1011"/>
              <w:jc w:val="left"/>
              <w:rPr>
                <w:rFonts w:ascii="宋体" w:hAnsi="宋体" w:cs="宋体" w:eastAsia="宋体" w:hint="default"/>
                <w:sz w:val="20"/>
                <w:szCs w:val="20"/>
              </w:rPr>
            </w:pPr>
            <w:r>
              <w:rPr>
                <w:rFonts w:ascii="宋体" w:hAnsi="宋体" w:cs="宋体" w:eastAsia="宋体" w:hint="default"/>
                <w:sz w:val="20"/>
                <w:szCs w:val="20"/>
              </w:rPr>
              <w:t>二期工程奠基</w:t>
            </w:r>
          </w:p>
          <w:p>
            <w:pPr>
              <w:pStyle w:val="TableParagraph"/>
              <w:spacing w:line="275" w:lineRule="exact"/>
              <w:ind w:left="15" w:right="0"/>
              <w:jc w:val="left"/>
              <w:rPr>
                <w:rFonts w:ascii="宋体" w:hAnsi="宋体" w:cs="宋体" w:eastAsia="宋体" w:hint="default"/>
                <w:sz w:val="20"/>
                <w:szCs w:val="20"/>
              </w:rPr>
            </w:pPr>
            <w:r>
              <w:rPr>
                <w:rFonts w:ascii="宋体" w:hAnsi="宋体" w:cs="宋体" w:eastAsia="宋体" w:hint="default"/>
                <w:sz w:val="20"/>
                <w:szCs w:val="20"/>
              </w:rPr>
              <w:t>配送、数据中心完工</w:t>
            </w:r>
            <w:r>
              <w:rPr>
                <w:rFonts w:ascii="Arial" w:hAnsi="Arial" w:cs="Arial" w:eastAsia="Arial" w:hint="default"/>
                <w:sz w:val="20"/>
                <w:szCs w:val="20"/>
              </w:rPr>
              <w:t>,</w:t>
            </w:r>
            <w:r>
              <w:rPr>
                <w:rFonts w:ascii="宋体" w:hAnsi="宋体" w:cs="宋体" w:eastAsia="宋体" w:hint="default"/>
                <w:sz w:val="20"/>
                <w:szCs w:val="20"/>
              </w:rPr>
              <w:t>高架</w:t>
            </w:r>
          </w:p>
        </w:tc>
        <w:tc>
          <w:tcPr>
            <w:tcW w:w="4391" w:type="dxa"/>
            <w:tcBorders>
              <w:top w:val="nil" w:sz="6" w:space="0" w:color="auto"/>
              <w:left w:val="nil" w:sz="6" w:space="0" w:color="auto"/>
              <w:bottom w:val="nil" w:sz="6" w:space="0" w:color="auto"/>
              <w:right w:val="nil" w:sz="6" w:space="0" w:color="auto"/>
            </w:tcBorders>
          </w:tcPr>
          <w:p>
            <w:pPr>
              <w:pStyle w:val="TableParagraph"/>
              <w:tabs>
                <w:tab w:pos="1197" w:val="left" w:leader="none"/>
                <w:tab w:pos="2134" w:val="left" w:leader="none"/>
                <w:tab w:pos="2689" w:val="left" w:leader="none"/>
              </w:tabs>
              <w:spacing w:line="258" w:lineRule="exact"/>
              <w:ind w:right="122"/>
              <w:jc w:val="right"/>
              <w:rPr>
                <w:rFonts w:ascii="宋体" w:hAnsi="宋体" w:cs="宋体" w:eastAsia="宋体" w:hint="default"/>
                <w:sz w:val="20"/>
                <w:szCs w:val="20"/>
              </w:rPr>
            </w:pPr>
            <w:r>
              <w:rPr>
                <w:rFonts w:ascii="Arial" w:hAnsi="Arial" w:cs="Arial" w:eastAsia="Arial" w:hint="default"/>
                <w:sz w:val="20"/>
                <w:szCs w:val="20"/>
              </w:rPr>
              <w:t>-</w:t>
              <w:tab/>
              <w:t>-</w:t>
              <w:tab/>
              <w:t>-</w:t>
              <w:tab/>
            </w:r>
            <w:r>
              <w:rPr>
                <w:rFonts w:ascii="宋体" w:hAnsi="宋体" w:cs="宋体" w:eastAsia="宋体" w:hint="default"/>
                <w:position w:val="1"/>
                <w:sz w:val="20"/>
                <w:szCs w:val="20"/>
              </w:rPr>
              <w:t>自有资金</w:t>
            </w:r>
            <w:r>
              <w:rPr>
                <w:rFonts w:ascii="宋体" w:hAnsi="宋体" w:cs="宋体" w:eastAsia="宋体" w:hint="default"/>
                <w:sz w:val="20"/>
                <w:szCs w:val="20"/>
              </w:rPr>
            </w:r>
          </w:p>
        </w:tc>
      </w:tr>
      <w:tr>
        <w:trPr>
          <w:trHeight w:val="515"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hanging="1"/>
              <w:jc w:val="left"/>
              <w:rPr>
                <w:rFonts w:ascii="宋体" w:hAnsi="宋体" w:cs="宋体" w:eastAsia="宋体" w:hint="default"/>
                <w:sz w:val="20"/>
                <w:szCs w:val="20"/>
              </w:rPr>
            </w:pPr>
            <w:r>
              <w:rPr>
                <w:rFonts w:ascii="宋体" w:hAnsi="宋体" w:cs="宋体" w:eastAsia="宋体" w:hint="default"/>
                <w:sz w:val="20"/>
                <w:szCs w:val="20"/>
              </w:rPr>
              <w:t>江苏物流中心</w:t>
            </w:r>
          </w:p>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沈阳苏宁物流</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3"/>
              <w:jc w:val="right"/>
              <w:rPr>
                <w:rFonts w:ascii="Arial" w:hAnsi="Arial" w:cs="Arial" w:eastAsia="Arial" w:hint="default"/>
                <w:sz w:val="20"/>
                <w:szCs w:val="20"/>
              </w:rPr>
            </w:pPr>
            <w:r>
              <w:rPr>
                <w:rFonts w:ascii="Arial"/>
                <w:spacing w:val="-1"/>
                <w:sz w:val="20"/>
              </w:rPr>
              <w:t>250,000</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5"/>
              <w:jc w:val="right"/>
              <w:rPr>
                <w:rFonts w:ascii="Arial" w:hAnsi="Arial" w:cs="Arial" w:eastAsia="Arial" w:hint="default"/>
                <w:sz w:val="20"/>
                <w:szCs w:val="20"/>
              </w:rPr>
            </w:pPr>
            <w:r>
              <w:rPr>
                <w:rFonts w:ascii="Arial"/>
                <w:sz w:val="20"/>
              </w:rPr>
              <w:t>60,449</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7"/>
              <w:jc w:val="right"/>
              <w:rPr>
                <w:rFonts w:ascii="Arial" w:hAnsi="Arial" w:cs="Arial" w:eastAsia="Arial" w:hint="default"/>
                <w:sz w:val="20"/>
                <w:szCs w:val="20"/>
              </w:rPr>
            </w:pPr>
            <w:r>
              <w:rPr>
                <w:rFonts w:ascii="Arial"/>
                <w:sz w:val="20"/>
              </w:rPr>
              <w:t>32,571</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9"/>
              <w:jc w:val="right"/>
              <w:rPr>
                <w:rFonts w:ascii="Arial" w:hAnsi="Arial" w:cs="Arial" w:eastAsia="Arial" w:hint="default"/>
                <w:sz w:val="20"/>
                <w:szCs w:val="20"/>
              </w:rPr>
            </w:pPr>
            <w:r>
              <w:rPr>
                <w:rFonts w:ascii="Arial"/>
                <w:spacing w:val="-1"/>
                <w:sz w:val="20"/>
              </w:rPr>
              <w:t>(84,322)</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9"/>
              <w:jc w:val="right"/>
              <w:rPr>
                <w:rFonts w:ascii="Arial" w:hAnsi="Arial" w:cs="Arial" w:eastAsia="Arial" w:hint="default"/>
                <w:sz w:val="20"/>
                <w:szCs w:val="20"/>
              </w:rPr>
            </w:pPr>
            <w:r>
              <w:rPr>
                <w:rFonts w:ascii="Arial"/>
                <w:sz w:val="20"/>
              </w:rPr>
              <w:t>8,698</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7"/>
              <w:jc w:val="right"/>
              <w:rPr>
                <w:rFonts w:ascii="Arial" w:hAnsi="Arial" w:cs="Arial" w:eastAsia="Arial" w:hint="default"/>
                <w:sz w:val="20"/>
                <w:szCs w:val="20"/>
              </w:rPr>
            </w:pPr>
            <w:r>
              <w:rPr>
                <w:rFonts w:ascii="Arial"/>
                <w:sz w:val="20"/>
              </w:rPr>
              <w:t>91%</w:t>
            </w:r>
          </w:p>
        </w:tc>
        <w:tc>
          <w:tcPr>
            <w:tcW w:w="2411" w:type="dxa"/>
            <w:tcBorders>
              <w:top w:val="nil" w:sz="6" w:space="0" w:color="auto"/>
              <w:left w:val="nil" w:sz="6" w:space="0" w:color="auto"/>
              <w:bottom w:val="nil" w:sz="6" w:space="0" w:color="auto"/>
              <w:right w:val="nil" w:sz="6" w:space="0" w:color="auto"/>
            </w:tcBorders>
          </w:tcPr>
          <w:p>
            <w:pPr>
              <w:pStyle w:val="TableParagraph"/>
              <w:spacing w:line="225" w:lineRule="exact"/>
              <w:ind w:right="181"/>
              <w:jc w:val="right"/>
              <w:rPr>
                <w:rFonts w:ascii="宋体" w:hAnsi="宋体" w:cs="宋体" w:eastAsia="宋体" w:hint="default"/>
                <w:sz w:val="20"/>
                <w:szCs w:val="20"/>
              </w:rPr>
            </w:pPr>
            <w:r>
              <w:rPr>
                <w:rFonts w:ascii="宋体" w:hAnsi="宋体" w:cs="宋体" w:eastAsia="宋体" w:hint="default"/>
                <w:spacing w:val="-1"/>
                <w:sz w:val="20"/>
                <w:szCs w:val="20"/>
              </w:rPr>
              <w:t>库土建、钢结构工程在建</w:t>
            </w:r>
          </w:p>
        </w:tc>
        <w:tc>
          <w:tcPr>
            <w:tcW w:w="4391" w:type="dxa"/>
            <w:tcBorders>
              <w:top w:val="nil" w:sz="6" w:space="0" w:color="auto"/>
              <w:left w:val="nil" w:sz="6" w:space="0" w:color="auto"/>
              <w:bottom w:val="nil" w:sz="6" w:space="0" w:color="auto"/>
              <w:right w:val="nil" w:sz="6" w:space="0" w:color="auto"/>
            </w:tcBorders>
          </w:tcPr>
          <w:p>
            <w:pPr>
              <w:pStyle w:val="TableParagraph"/>
              <w:tabs>
                <w:tab w:pos="1197" w:val="left" w:leader="none"/>
                <w:tab w:pos="2134" w:val="left" w:leader="none"/>
                <w:tab w:pos="2689" w:val="left" w:leader="none"/>
              </w:tabs>
              <w:spacing w:line="253" w:lineRule="exact"/>
              <w:ind w:right="122"/>
              <w:jc w:val="right"/>
              <w:rPr>
                <w:rFonts w:ascii="宋体" w:hAnsi="宋体" w:cs="宋体" w:eastAsia="宋体" w:hint="default"/>
                <w:sz w:val="20"/>
                <w:szCs w:val="20"/>
              </w:rPr>
            </w:pPr>
            <w:r>
              <w:rPr>
                <w:rFonts w:ascii="Arial" w:hAnsi="Arial" w:cs="Arial" w:eastAsia="Arial" w:hint="default"/>
                <w:sz w:val="20"/>
                <w:szCs w:val="20"/>
              </w:rPr>
              <w:t>-</w:t>
              <w:tab/>
              <w:t>-</w:t>
              <w:tab/>
              <w:t>-</w:t>
              <w:tab/>
            </w:r>
            <w:r>
              <w:rPr>
                <w:rFonts w:ascii="宋体" w:hAnsi="宋体" w:cs="宋体" w:eastAsia="宋体" w:hint="default"/>
                <w:position w:val="1"/>
                <w:sz w:val="20"/>
                <w:szCs w:val="20"/>
              </w:rPr>
              <w:t>募集资金</w:t>
            </w:r>
            <w:r>
              <w:rPr>
                <w:rFonts w:ascii="宋体" w:hAnsi="宋体" w:cs="宋体" w:eastAsia="宋体" w:hint="default"/>
                <w:sz w:val="20"/>
                <w:szCs w:val="20"/>
              </w:rPr>
            </w:r>
          </w:p>
        </w:tc>
      </w:tr>
      <w:tr>
        <w:trPr>
          <w:trHeight w:val="271"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中心</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3"/>
              <w:jc w:val="right"/>
              <w:rPr>
                <w:rFonts w:ascii="Arial" w:hAnsi="Arial" w:cs="Arial" w:eastAsia="Arial" w:hint="default"/>
                <w:sz w:val="20"/>
                <w:szCs w:val="20"/>
              </w:rPr>
            </w:pPr>
            <w:r>
              <w:rPr>
                <w:rFonts w:ascii="Arial"/>
                <w:spacing w:val="-1"/>
                <w:sz w:val="20"/>
              </w:rPr>
              <w:t>100,000</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5"/>
              <w:jc w:val="right"/>
              <w:rPr>
                <w:rFonts w:ascii="Arial" w:hAnsi="Arial" w:cs="Arial" w:eastAsia="Arial" w:hint="default"/>
                <w:sz w:val="20"/>
                <w:szCs w:val="20"/>
              </w:rPr>
            </w:pPr>
            <w:r>
              <w:rPr>
                <w:rFonts w:ascii="Arial"/>
                <w:sz w:val="20"/>
              </w:rPr>
              <w:t>36,231</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Arial" w:hAnsi="Arial" w:cs="Arial" w:eastAsia="Arial" w:hint="default"/>
                <w:sz w:val="20"/>
                <w:szCs w:val="20"/>
              </w:rPr>
            </w:pPr>
            <w:r>
              <w:rPr>
                <w:rFonts w:ascii="Arial"/>
                <w:sz w:val="20"/>
              </w:rPr>
              <w:t>64,871</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9"/>
              <w:jc w:val="right"/>
              <w:rPr>
                <w:rFonts w:ascii="Arial" w:hAnsi="Arial" w:cs="Arial" w:eastAsia="Arial" w:hint="default"/>
                <w:sz w:val="20"/>
                <w:szCs w:val="20"/>
              </w:rPr>
            </w:pPr>
            <w:r>
              <w:rPr>
                <w:rFonts w:ascii="Arial"/>
                <w:spacing w:val="-1"/>
                <w:sz w:val="20"/>
              </w:rPr>
              <w:t>(101,102)</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0"/>
              <w:jc w:val="right"/>
              <w:rPr>
                <w:rFonts w:ascii="Arial" w:hAnsi="Arial" w:cs="Arial" w:eastAsia="Arial" w:hint="default"/>
                <w:sz w:val="20"/>
                <w:szCs w:val="20"/>
              </w:rPr>
            </w:pPr>
            <w:r>
              <w:rPr>
                <w:rFonts w:ascii="Arial"/>
                <w:w w:val="100"/>
                <w:sz w:val="20"/>
              </w:rPr>
              <w:t>-</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7"/>
              <w:jc w:val="right"/>
              <w:rPr>
                <w:rFonts w:ascii="Arial" w:hAnsi="Arial" w:cs="Arial" w:eastAsia="Arial" w:hint="default"/>
                <w:sz w:val="20"/>
                <w:szCs w:val="20"/>
              </w:rPr>
            </w:pPr>
            <w:r>
              <w:rPr>
                <w:rFonts w:ascii="Arial"/>
                <w:sz w:val="20"/>
              </w:rPr>
              <w:t>100%</w:t>
            </w:r>
          </w:p>
        </w:tc>
        <w:tc>
          <w:tcPr>
            <w:tcW w:w="2411" w:type="dxa"/>
            <w:tcBorders>
              <w:top w:val="nil" w:sz="6" w:space="0" w:color="auto"/>
              <w:left w:val="nil" w:sz="6" w:space="0" w:color="auto"/>
              <w:bottom w:val="nil" w:sz="6" w:space="0" w:color="auto"/>
              <w:right w:val="nil" w:sz="6" w:space="0" w:color="auto"/>
            </w:tcBorders>
          </w:tcPr>
          <w:p>
            <w:pPr>
              <w:pStyle w:val="TableParagraph"/>
              <w:spacing w:line="230" w:lineRule="exact"/>
              <w:ind w:right="181"/>
              <w:jc w:val="right"/>
              <w:rPr>
                <w:rFonts w:ascii="宋体" w:hAnsi="宋体" w:cs="宋体" w:eastAsia="宋体" w:hint="default"/>
                <w:sz w:val="20"/>
                <w:szCs w:val="20"/>
              </w:rPr>
            </w:pPr>
            <w:r>
              <w:rPr>
                <w:rFonts w:ascii="宋体" w:hAnsi="宋体" w:cs="宋体" w:eastAsia="宋体" w:hint="default"/>
                <w:spacing w:val="-1"/>
                <w:sz w:val="20"/>
                <w:szCs w:val="20"/>
              </w:rPr>
              <w:t>已完工转固</w:t>
            </w:r>
          </w:p>
        </w:tc>
        <w:tc>
          <w:tcPr>
            <w:tcW w:w="4391" w:type="dxa"/>
            <w:tcBorders>
              <w:top w:val="nil" w:sz="6" w:space="0" w:color="auto"/>
              <w:left w:val="nil" w:sz="6" w:space="0" w:color="auto"/>
              <w:bottom w:val="nil" w:sz="6" w:space="0" w:color="auto"/>
              <w:right w:val="nil" w:sz="6" w:space="0" w:color="auto"/>
            </w:tcBorders>
          </w:tcPr>
          <w:p>
            <w:pPr>
              <w:pStyle w:val="TableParagraph"/>
              <w:tabs>
                <w:tab w:pos="1197" w:val="left" w:leader="none"/>
                <w:tab w:pos="2134" w:val="left" w:leader="none"/>
                <w:tab w:pos="2689" w:val="left" w:leader="none"/>
              </w:tabs>
              <w:spacing w:line="258" w:lineRule="exact"/>
              <w:ind w:right="122"/>
              <w:jc w:val="right"/>
              <w:rPr>
                <w:rFonts w:ascii="宋体" w:hAnsi="宋体" w:cs="宋体" w:eastAsia="宋体" w:hint="default"/>
                <w:sz w:val="20"/>
                <w:szCs w:val="20"/>
              </w:rPr>
            </w:pPr>
            <w:r>
              <w:rPr>
                <w:rFonts w:ascii="Arial" w:hAnsi="Arial" w:cs="Arial" w:eastAsia="Arial" w:hint="default"/>
                <w:sz w:val="20"/>
                <w:szCs w:val="20"/>
              </w:rPr>
              <w:t>-</w:t>
              <w:tab/>
              <w:t>-</w:t>
              <w:tab/>
              <w:t>-</w:t>
              <w:tab/>
            </w:r>
            <w:r>
              <w:rPr>
                <w:rFonts w:ascii="宋体" w:hAnsi="宋体" w:cs="宋体" w:eastAsia="宋体" w:hint="default"/>
                <w:position w:val="1"/>
                <w:sz w:val="20"/>
                <w:szCs w:val="20"/>
              </w:rPr>
              <w:t>募集资金</w:t>
            </w:r>
            <w:r>
              <w:rPr>
                <w:rFonts w:ascii="宋体" w:hAnsi="宋体" w:cs="宋体" w:eastAsia="宋体" w:hint="default"/>
                <w:sz w:val="20"/>
                <w:szCs w:val="20"/>
              </w:rPr>
            </w:r>
          </w:p>
        </w:tc>
      </w:tr>
      <w:tr>
        <w:trPr>
          <w:trHeight w:val="509"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20"/>
                <w:szCs w:val="20"/>
              </w:rPr>
            </w:pPr>
            <w:r>
              <w:rPr>
                <w:rFonts w:ascii="宋体" w:hAnsi="宋体" w:cs="宋体" w:eastAsia="宋体" w:hint="default"/>
                <w:sz w:val="20"/>
                <w:szCs w:val="20"/>
              </w:rPr>
              <w:t>威海店项目</w:t>
            </w:r>
          </w:p>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大厂电器广场</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2"/>
              <w:jc w:val="right"/>
              <w:rPr>
                <w:rFonts w:ascii="Arial" w:hAnsi="Arial" w:cs="Arial" w:eastAsia="Arial" w:hint="default"/>
                <w:sz w:val="20"/>
                <w:szCs w:val="20"/>
              </w:rPr>
            </w:pPr>
            <w:r>
              <w:rPr>
                <w:rFonts w:ascii="Arial"/>
                <w:spacing w:val="-3"/>
                <w:sz w:val="20"/>
              </w:rPr>
              <w:t>112,962</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5"/>
              <w:jc w:val="right"/>
              <w:rPr>
                <w:rFonts w:ascii="Arial" w:hAnsi="Arial" w:cs="Arial" w:eastAsia="Arial" w:hint="default"/>
                <w:sz w:val="20"/>
                <w:szCs w:val="20"/>
              </w:rPr>
            </w:pPr>
            <w:r>
              <w:rPr>
                <w:rFonts w:ascii="Arial"/>
                <w:sz w:val="20"/>
              </w:rPr>
              <w:t>34,077</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6"/>
              <w:jc w:val="right"/>
              <w:rPr>
                <w:rFonts w:ascii="Arial" w:hAnsi="Arial" w:cs="Arial" w:eastAsia="Arial" w:hint="default"/>
                <w:sz w:val="20"/>
                <w:szCs w:val="20"/>
              </w:rPr>
            </w:pPr>
            <w:r>
              <w:rPr>
                <w:rFonts w:ascii="Arial"/>
                <w:sz w:val="20"/>
              </w:rPr>
              <w:t>78,885</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9"/>
              <w:jc w:val="right"/>
              <w:rPr>
                <w:rFonts w:ascii="Arial" w:hAnsi="Arial" w:cs="Arial" w:eastAsia="Arial" w:hint="default"/>
                <w:sz w:val="20"/>
                <w:szCs w:val="20"/>
              </w:rPr>
            </w:pPr>
            <w:r>
              <w:rPr>
                <w:rFonts w:ascii="Arial"/>
                <w:spacing w:val="-2"/>
                <w:sz w:val="20"/>
              </w:rPr>
              <w:t>(112,962)</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9"/>
              <w:jc w:val="right"/>
              <w:rPr>
                <w:rFonts w:ascii="Arial" w:hAnsi="Arial" w:cs="Arial" w:eastAsia="Arial" w:hint="default"/>
                <w:sz w:val="20"/>
                <w:szCs w:val="20"/>
              </w:rPr>
            </w:pPr>
            <w:r>
              <w:rPr>
                <w:rFonts w:ascii="Arial"/>
                <w:w w:val="100"/>
                <w:sz w:val="20"/>
              </w:rPr>
              <w:t>-</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7"/>
              <w:jc w:val="right"/>
              <w:rPr>
                <w:rFonts w:ascii="Arial" w:hAnsi="Arial" w:cs="Arial" w:eastAsia="Arial" w:hint="default"/>
                <w:sz w:val="20"/>
                <w:szCs w:val="20"/>
              </w:rPr>
            </w:pPr>
            <w:r>
              <w:rPr>
                <w:rFonts w:ascii="Arial"/>
                <w:sz w:val="20"/>
              </w:rPr>
              <w:t>100%</w:t>
            </w:r>
          </w:p>
        </w:tc>
        <w:tc>
          <w:tcPr>
            <w:tcW w:w="2411" w:type="dxa"/>
            <w:tcBorders>
              <w:top w:val="nil" w:sz="6" w:space="0" w:color="auto"/>
              <w:left w:val="nil" w:sz="6" w:space="0" w:color="auto"/>
              <w:bottom w:val="nil" w:sz="6" w:space="0" w:color="auto"/>
              <w:right w:val="nil" w:sz="6" w:space="0" w:color="auto"/>
            </w:tcBorders>
          </w:tcPr>
          <w:p>
            <w:pPr>
              <w:pStyle w:val="TableParagraph"/>
              <w:spacing w:line="218" w:lineRule="exact"/>
              <w:ind w:left="1052" w:right="0" w:firstLine="174"/>
              <w:jc w:val="left"/>
              <w:rPr>
                <w:rFonts w:ascii="宋体" w:hAnsi="宋体" w:cs="宋体" w:eastAsia="宋体" w:hint="default"/>
                <w:sz w:val="20"/>
                <w:szCs w:val="20"/>
              </w:rPr>
            </w:pPr>
            <w:r>
              <w:rPr>
                <w:rFonts w:ascii="宋体" w:hAnsi="宋体" w:cs="宋体" w:eastAsia="宋体" w:hint="default"/>
                <w:sz w:val="20"/>
                <w:szCs w:val="20"/>
              </w:rPr>
              <w:t>已完工转固</w:t>
            </w:r>
          </w:p>
          <w:p>
            <w:pPr>
              <w:pStyle w:val="TableParagraph"/>
              <w:spacing w:line="261" w:lineRule="exact"/>
              <w:ind w:left="1052" w:right="0"/>
              <w:jc w:val="left"/>
              <w:rPr>
                <w:rFonts w:ascii="宋体" w:hAnsi="宋体" w:cs="宋体" w:eastAsia="宋体" w:hint="default"/>
                <w:sz w:val="20"/>
                <w:szCs w:val="20"/>
              </w:rPr>
            </w:pPr>
            <w:r>
              <w:rPr>
                <w:rFonts w:ascii="宋体" w:hAnsi="宋体" w:cs="宋体" w:eastAsia="宋体" w:hint="default"/>
                <w:sz w:val="20"/>
                <w:szCs w:val="20"/>
              </w:rPr>
              <w:t>土建工程完工</w:t>
            </w:r>
          </w:p>
        </w:tc>
        <w:tc>
          <w:tcPr>
            <w:tcW w:w="4391" w:type="dxa"/>
            <w:tcBorders>
              <w:top w:val="nil" w:sz="6" w:space="0" w:color="auto"/>
              <w:left w:val="nil" w:sz="6" w:space="0" w:color="auto"/>
              <w:bottom w:val="nil" w:sz="6" w:space="0" w:color="auto"/>
              <w:right w:val="nil" w:sz="6" w:space="0" w:color="auto"/>
            </w:tcBorders>
          </w:tcPr>
          <w:p>
            <w:pPr>
              <w:pStyle w:val="TableParagraph"/>
              <w:tabs>
                <w:tab w:pos="1197" w:val="left" w:leader="none"/>
                <w:tab w:pos="2134" w:val="left" w:leader="none"/>
                <w:tab w:pos="2689" w:val="left" w:leader="none"/>
              </w:tabs>
              <w:spacing w:line="246" w:lineRule="exact"/>
              <w:ind w:right="122"/>
              <w:jc w:val="right"/>
              <w:rPr>
                <w:rFonts w:ascii="宋体" w:hAnsi="宋体" w:cs="宋体" w:eastAsia="宋体" w:hint="default"/>
                <w:sz w:val="20"/>
                <w:szCs w:val="20"/>
              </w:rPr>
            </w:pPr>
            <w:r>
              <w:rPr>
                <w:rFonts w:ascii="Arial" w:hAnsi="Arial" w:cs="Arial" w:eastAsia="Arial" w:hint="default"/>
                <w:sz w:val="20"/>
                <w:szCs w:val="20"/>
              </w:rPr>
              <w:t>-</w:t>
              <w:tab/>
              <w:t>-</w:t>
              <w:tab/>
              <w:t>-</w:t>
              <w:tab/>
            </w:r>
            <w:r>
              <w:rPr>
                <w:rFonts w:ascii="宋体" w:hAnsi="宋体" w:cs="宋体" w:eastAsia="宋体" w:hint="default"/>
                <w:position w:val="1"/>
                <w:sz w:val="20"/>
                <w:szCs w:val="20"/>
              </w:rPr>
              <w:t>自有资金</w:t>
            </w:r>
            <w:r>
              <w:rPr>
                <w:rFonts w:ascii="宋体" w:hAnsi="宋体" w:cs="宋体" w:eastAsia="宋体" w:hint="default"/>
                <w:sz w:val="20"/>
                <w:szCs w:val="20"/>
              </w:rPr>
            </w:r>
          </w:p>
        </w:tc>
      </w:tr>
      <w:tr>
        <w:trPr>
          <w:trHeight w:val="520"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29" w:lineRule="exact"/>
              <w:ind w:left="333" w:right="0"/>
              <w:jc w:val="left"/>
              <w:rPr>
                <w:rFonts w:ascii="宋体" w:hAnsi="宋体" w:cs="宋体" w:eastAsia="宋体" w:hint="default"/>
                <w:sz w:val="20"/>
                <w:szCs w:val="20"/>
              </w:rPr>
            </w:pPr>
            <w:r>
              <w:rPr>
                <w:rFonts w:ascii="宋体" w:hAnsi="宋体" w:cs="宋体" w:eastAsia="宋体" w:hint="default"/>
                <w:sz w:val="20"/>
                <w:szCs w:val="20"/>
              </w:rPr>
              <w:t>项目</w:t>
            </w:r>
          </w:p>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天津物流</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3"/>
              <w:jc w:val="right"/>
              <w:rPr>
                <w:rFonts w:ascii="Arial" w:hAnsi="Arial" w:cs="Arial" w:eastAsia="Arial" w:hint="default"/>
                <w:sz w:val="20"/>
                <w:szCs w:val="20"/>
              </w:rPr>
            </w:pPr>
            <w:r>
              <w:rPr>
                <w:rFonts w:ascii="Arial"/>
                <w:sz w:val="20"/>
              </w:rPr>
              <w:t>45,000</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6"/>
              <w:jc w:val="right"/>
              <w:rPr>
                <w:rFonts w:ascii="Arial" w:hAnsi="Arial" w:cs="Arial" w:eastAsia="Arial" w:hint="default"/>
                <w:sz w:val="20"/>
                <w:szCs w:val="20"/>
              </w:rPr>
            </w:pPr>
            <w:r>
              <w:rPr>
                <w:rFonts w:ascii="Arial"/>
                <w:sz w:val="20"/>
              </w:rPr>
              <w:t>398</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Arial" w:hAnsi="Arial" w:cs="Arial" w:eastAsia="Arial" w:hint="default"/>
                <w:sz w:val="20"/>
                <w:szCs w:val="20"/>
              </w:rPr>
            </w:pPr>
            <w:r>
              <w:rPr>
                <w:rFonts w:ascii="Arial"/>
                <w:sz w:val="20"/>
              </w:rPr>
              <w:t>15,043</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Arial" w:hAnsi="Arial" w:cs="Arial" w:eastAsia="Arial" w:hint="default"/>
                <w:sz w:val="20"/>
                <w:szCs w:val="20"/>
              </w:rPr>
            </w:pPr>
            <w:r>
              <w:rPr>
                <w:rFonts w:ascii="Arial"/>
                <w:w w:val="100"/>
                <w:sz w:val="20"/>
              </w:rPr>
              <w:t>-</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9"/>
              <w:jc w:val="right"/>
              <w:rPr>
                <w:rFonts w:ascii="Arial" w:hAnsi="Arial" w:cs="Arial" w:eastAsia="Arial" w:hint="default"/>
                <w:sz w:val="20"/>
                <w:szCs w:val="20"/>
              </w:rPr>
            </w:pPr>
            <w:r>
              <w:rPr>
                <w:rFonts w:ascii="Arial"/>
                <w:sz w:val="20"/>
              </w:rPr>
              <w:t>15,441</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7"/>
              <w:jc w:val="right"/>
              <w:rPr>
                <w:rFonts w:ascii="Arial" w:hAnsi="Arial" w:cs="Arial" w:eastAsia="Arial" w:hint="default"/>
                <w:sz w:val="20"/>
                <w:szCs w:val="20"/>
              </w:rPr>
            </w:pPr>
            <w:r>
              <w:rPr>
                <w:rFonts w:ascii="Arial"/>
                <w:sz w:val="20"/>
              </w:rPr>
              <w:t>34%</w:t>
            </w:r>
          </w:p>
        </w:tc>
        <w:tc>
          <w:tcPr>
            <w:tcW w:w="2411" w:type="dxa"/>
            <w:tcBorders>
              <w:top w:val="nil" w:sz="6" w:space="0" w:color="auto"/>
              <w:left w:val="nil" w:sz="6" w:space="0" w:color="auto"/>
              <w:bottom w:val="nil" w:sz="6" w:space="0" w:color="auto"/>
              <w:right w:val="nil" w:sz="6" w:space="0" w:color="auto"/>
            </w:tcBorders>
          </w:tcPr>
          <w:p>
            <w:pPr>
              <w:pStyle w:val="TableParagraph"/>
              <w:spacing w:line="229" w:lineRule="exact"/>
              <w:ind w:left="652" w:right="0" w:firstLine="174"/>
              <w:jc w:val="left"/>
              <w:rPr>
                <w:rFonts w:ascii="宋体" w:hAnsi="宋体" w:cs="宋体" w:eastAsia="宋体" w:hint="default"/>
                <w:sz w:val="20"/>
                <w:szCs w:val="20"/>
              </w:rPr>
            </w:pPr>
            <w:r>
              <w:rPr>
                <w:rFonts w:ascii="宋体" w:hAnsi="宋体" w:cs="宋体" w:eastAsia="宋体" w:hint="default"/>
                <w:sz w:val="20"/>
                <w:szCs w:val="20"/>
              </w:rPr>
              <w:t>装修工程刚进厂</w:t>
            </w:r>
          </w:p>
          <w:p>
            <w:pPr>
              <w:pStyle w:val="TableParagraph"/>
              <w:spacing w:line="260" w:lineRule="exact"/>
              <w:ind w:left="652" w:right="0"/>
              <w:jc w:val="left"/>
              <w:rPr>
                <w:rFonts w:ascii="宋体" w:hAnsi="宋体" w:cs="宋体" w:eastAsia="宋体" w:hint="default"/>
                <w:sz w:val="20"/>
                <w:szCs w:val="20"/>
              </w:rPr>
            </w:pPr>
            <w:r>
              <w:rPr>
                <w:rFonts w:ascii="宋体" w:hAnsi="宋体" w:cs="宋体" w:eastAsia="宋体" w:hint="default"/>
                <w:sz w:val="20"/>
                <w:szCs w:val="20"/>
              </w:rPr>
              <w:t>土建工程主体封顶</w:t>
            </w:r>
          </w:p>
        </w:tc>
        <w:tc>
          <w:tcPr>
            <w:tcW w:w="4391" w:type="dxa"/>
            <w:tcBorders>
              <w:top w:val="nil" w:sz="6" w:space="0" w:color="auto"/>
              <w:left w:val="nil" w:sz="6" w:space="0" w:color="auto"/>
              <w:bottom w:val="nil" w:sz="6" w:space="0" w:color="auto"/>
              <w:right w:val="nil" w:sz="6" w:space="0" w:color="auto"/>
            </w:tcBorders>
          </w:tcPr>
          <w:p>
            <w:pPr>
              <w:pStyle w:val="TableParagraph"/>
              <w:spacing w:line="230" w:lineRule="exact"/>
              <w:ind w:right="122"/>
              <w:jc w:val="right"/>
              <w:rPr>
                <w:rFonts w:ascii="宋体" w:hAnsi="宋体" w:cs="宋体" w:eastAsia="宋体" w:hint="default"/>
                <w:sz w:val="20"/>
                <w:szCs w:val="20"/>
              </w:rPr>
            </w:pPr>
            <w:r>
              <w:rPr>
                <w:rFonts w:ascii="宋体" w:hAnsi="宋体" w:cs="宋体" w:eastAsia="宋体" w:hint="default"/>
                <w:sz w:val="20"/>
                <w:szCs w:val="20"/>
              </w:rPr>
              <w:t>自有资金</w:t>
            </w:r>
          </w:p>
        </w:tc>
      </w:tr>
      <w:tr>
        <w:trPr>
          <w:trHeight w:val="520"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30" w:lineRule="exact"/>
              <w:ind w:left="333" w:right="0"/>
              <w:jc w:val="left"/>
              <w:rPr>
                <w:rFonts w:ascii="宋体" w:hAnsi="宋体" w:cs="宋体" w:eastAsia="宋体" w:hint="default"/>
                <w:sz w:val="20"/>
                <w:szCs w:val="20"/>
              </w:rPr>
            </w:pPr>
            <w:r>
              <w:rPr>
                <w:rFonts w:ascii="宋体" w:hAnsi="宋体" w:cs="宋体" w:eastAsia="宋体" w:hint="default"/>
                <w:sz w:val="20"/>
                <w:szCs w:val="20"/>
              </w:rPr>
              <w:t>基地工程</w:t>
            </w:r>
          </w:p>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成都物流</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3"/>
              <w:jc w:val="right"/>
              <w:rPr>
                <w:rFonts w:ascii="Arial" w:hAnsi="Arial" w:cs="Arial" w:eastAsia="Arial" w:hint="default"/>
                <w:sz w:val="20"/>
                <w:szCs w:val="20"/>
              </w:rPr>
            </w:pPr>
            <w:r>
              <w:rPr>
                <w:rFonts w:ascii="Arial"/>
                <w:spacing w:val="-1"/>
                <w:sz w:val="20"/>
              </w:rPr>
              <w:t>145,000</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6"/>
              <w:jc w:val="right"/>
              <w:rPr>
                <w:rFonts w:ascii="Arial" w:hAnsi="Arial" w:cs="Arial" w:eastAsia="Arial" w:hint="default"/>
                <w:sz w:val="20"/>
                <w:szCs w:val="20"/>
              </w:rPr>
            </w:pPr>
            <w:r>
              <w:rPr>
                <w:rFonts w:ascii="Arial"/>
                <w:sz w:val="20"/>
              </w:rPr>
              <w:t>228</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Arial" w:hAnsi="Arial" w:cs="Arial" w:eastAsia="Arial" w:hint="default"/>
                <w:sz w:val="20"/>
                <w:szCs w:val="20"/>
              </w:rPr>
            </w:pPr>
            <w:r>
              <w:rPr>
                <w:rFonts w:ascii="Arial"/>
                <w:sz w:val="20"/>
              </w:rPr>
              <w:t>48,769</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Arial" w:hAnsi="Arial" w:cs="Arial" w:eastAsia="Arial" w:hint="default"/>
                <w:sz w:val="20"/>
                <w:szCs w:val="20"/>
              </w:rPr>
            </w:pPr>
            <w:r>
              <w:rPr>
                <w:rFonts w:ascii="Arial"/>
                <w:w w:val="100"/>
                <w:sz w:val="20"/>
              </w:rPr>
              <w:t>-</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9"/>
              <w:jc w:val="right"/>
              <w:rPr>
                <w:rFonts w:ascii="Arial" w:hAnsi="Arial" w:cs="Arial" w:eastAsia="Arial" w:hint="default"/>
                <w:sz w:val="20"/>
                <w:szCs w:val="20"/>
              </w:rPr>
            </w:pPr>
            <w:r>
              <w:rPr>
                <w:rFonts w:ascii="Arial"/>
                <w:sz w:val="20"/>
              </w:rPr>
              <w:t>48,997</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7"/>
              <w:jc w:val="right"/>
              <w:rPr>
                <w:rFonts w:ascii="Arial" w:hAnsi="Arial" w:cs="Arial" w:eastAsia="Arial" w:hint="default"/>
                <w:sz w:val="20"/>
                <w:szCs w:val="20"/>
              </w:rPr>
            </w:pPr>
            <w:r>
              <w:rPr>
                <w:rFonts w:ascii="Arial"/>
                <w:sz w:val="20"/>
              </w:rPr>
              <w:t>34%</w:t>
            </w:r>
          </w:p>
        </w:tc>
        <w:tc>
          <w:tcPr>
            <w:tcW w:w="2411" w:type="dxa"/>
            <w:tcBorders>
              <w:top w:val="nil" w:sz="6" w:space="0" w:color="auto"/>
              <w:left w:val="nil" w:sz="6" w:space="0" w:color="auto"/>
              <w:bottom w:val="nil" w:sz="6" w:space="0" w:color="auto"/>
              <w:right w:val="nil" w:sz="6" w:space="0" w:color="auto"/>
            </w:tcBorders>
          </w:tcPr>
          <w:p>
            <w:pPr>
              <w:pStyle w:val="TableParagraph"/>
              <w:spacing w:line="230" w:lineRule="exact"/>
              <w:ind w:left="626" w:right="0" w:hanging="573"/>
              <w:jc w:val="left"/>
              <w:rPr>
                <w:rFonts w:ascii="宋体" w:hAnsi="宋体" w:cs="宋体" w:eastAsia="宋体" w:hint="default"/>
                <w:sz w:val="20"/>
                <w:szCs w:val="20"/>
              </w:rPr>
            </w:pPr>
            <w:r>
              <w:rPr>
                <w:rFonts w:ascii="宋体" w:hAnsi="宋体" w:cs="宋体" w:eastAsia="宋体" w:hint="default"/>
                <w:sz w:val="20"/>
                <w:szCs w:val="20"/>
              </w:rPr>
              <w:t>装修、外围工程尚未开始</w:t>
            </w:r>
          </w:p>
          <w:p>
            <w:pPr>
              <w:pStyle w:val="TableParagraph"/>
              <w:spacing w:line="261" w:lineRule="exact"/>
              <w:ind w:left="626" w:right="0"/>
              <w:jc w:val="left"/>
              <w:rPr>
                <w:rFonts w:ascii="宋体" w:hAnsi="宋体" w:cs="宋体" w:eastAsia="宋体" w:hint="default"/>
                <w:sz w:val="20"/>
                <w:szCs w:val="20"/>
              </w:rPr>
            </w:pPr>
            <w:r>
              <w:rPr>
                <w:rFonts w:ascii="宋体" w:hAnsi="宋体" w:cs="宋体" w:eastAsia="宋体" w:hint="default"/>
                <w:sz w:val="20"/>
                <w:szCs w:val="20"/>
              </w:rPr>
              <w:t>土建工程主体封顶</w:t>
            </w:r>
          </w:p>
        </w:tc>
        <w:tc>
          <w:tcPr>
            <w:tcW w:w="4391" w:type="dxa"/>
            <w:tcBorders>
              <w:top w:val="nil" w:sz="6" w:space="0" w:color="auto"/>
              <w:left w:val="nil" w:sz="6" w:space="0" w:color="auto"/>
              <w:bottom w:val="nil" w:sz="6" w:space="0" w:color="auto"/>
              <w:right w:val="nil" w:sz="6" w:space="0" w:color="auto"/>
            </w:tcBorders>
          </w:tcPr>
          <w:p>
            <w:pPr>
              <w:pStyle w:val="TableParagraph"/>
              <w:tabs>
                <w:tab w:pos="1197" w:val="left" w:leader="none"/>
                <w:tab w:pos="2134" w:val="left" w:leader="none"/>
                <w:tab w:pos="2689" w:val="left" w:leader="none"/>
              </w:tabs>
              <w:spacing w:line="258" w:lineRule="exact"/>
              <w:ind w:right="122"/>
              <w:jc w:val="right"/>
              <w:rPr>
                <w:rFonts w:ascii="宋体" w:hAnsi="宋体" w:cs="宋体" w:eastAsia="宋体" w:hint="default"/>
                <w:sz w:val="20"/>
                <w:szCs w:val="20"/>
              </w:rPr>
            </w:pPr>
            <w:r>
              <w:rPr>
                <w:rFonts w:ascii="Arial" w:hAnsi="Arial" w:cs="Arial" w:eastAsia="Arial" w:hint="default"/>
                <w:sz w:val="20"/>
                <w:szCs w:val="20"/>
              </w:rPr>
              <w:t>-</w:t>
              <w:tab/>
              <w:t>-</w:t>
              <w:tab/>
              <w:t>-</w:t>
              <w:tab/>
            </w:r>
            <w:r>
              <w:rPr>
                <w:rFonts w:ascii="宋体" w:hAnsi="宋体" w:cs="宋体" w:eastAsia="宋体" w:hint="default"/>
                <w:position w:val="1"/>
                <w:sz w:val="20"/>
                <w:szCs w:val="20"/>
              </w:rPr>
              <w:t>募集资金</w:t>
            </w:r>
            <w:r>
              <w:rPr>
                <w:rFonts w:ascii="宋体" w:hAnsi="宋体" w:cs="宋体" w:eastAsia="宋体" w:hint="default"/>
                <w:sz w:val="20"/>
                <w:szCs w:val="20"/>
              </w:rPr>
            </w:r>
          </w:p>
        </w:tc>
      </w:tr>
      <w:tr>
        <w:trPr>
          <w:trHeight w:val="520"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29" w:lineRule="exact"/>
              <w:ind w:left="433" w:right="0"/>
              <w:jc w:val="left"/>
              <w:rPr>
                <w:rFonts w:ascii="宋体" w:hAnsi="宋体" w:cs="宋体" w:eastAsia="宋体" w:hint="default"/>
                <w:sz w:val="20"/>
                <w:szCs w:val="20"/>
              </w:rPr>
            </w:pPr>
            <w:r>
              <w:rPr>
                <w:rFonts w:ascii="宋体" w:hAnsi="宋体" w:cs="宋体" w:eastAsia="宋体" w:hint="default"/>
                <w:sz w:val="20"/>
                <w:szCs w:val="20"/>
              </w:rPr>
              <w:t>基地工程</w:t>
            </w:r>
          </w:p>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无锡物流</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3"/>
              <w:jc w:val="right"/>
              <w:rPr>
                <w:rFonts w:ascii="Arial" w:hAnsi="Arial" w:cs="Arial" w:eastAsia="Arial" w:hint="default"/>
                <w:sz w:val="20"/>
                <w:szCs w:val="20"/>
              </w:rPr>
            </w:pPr>
            <w:r>
              <w:rPr>
                <w:rFonts w:ascii="Arial"/>
                <w:spacing w:val="-1"/>
                <w:sz w:val="20"/>
              </w:rPr>
              <w:t>150,000</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6"/>
              <w:jc w:val="right"/>
              <w:rPr>
                <w:rFonts w:ascii="Arial" w:hAnsi="Arial" w:cs="Arial" w:eastAsia="Arial" w:hint="default"/>
                <w:sz w:val="20"/>
                <w:szCs w:val="20"/>
              </w:rPr>
            </w:pPr>
            <w:r>
              <w:rPr>
                <w:rFonts w:ascii="Arial"/>
                <w:sz w:val="20"/>
              </w:rPr>
              <w:t>692</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20"/>
                <w:szCs w:val="20"/>
              </w:rPr>
            </w:pPr>
            <w:r>
              <w:rPr>
                <w:rFonts w:ascii="Arial"/>
                <w:sz w:val="20"/>
              </w:rPr>
              <w:t>63,880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Arial" w:hAnsi="Arial" w:cs="Arial" w:eastAsia="Arial" w:hint="default"/>
                <w:sz w:val="20"/>
                <w:szCs w:val="20"/>
              </w:rPr>
            </w:pPr>
            <w:r>
              <w:rPr>
                <w:rFonts w:ascii="Arial"/>
                <w:w w:val="100"/>
                <w:sz w:val="20"/>
              </w:rPr>
              <w:t>-</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9"/>
              <w:jc w:val="right"/>
              <w:rPr>
                <w:rFonts w:ascii="Arial" w:hAnsi="Arial" w:cs="Arial" w:eastAsia="Arial" w:hint="default"/>
                <w:sz w:val="20"/>
                <w:szCs w:val="20"/>
              </w:rPr>
            </w:pPr>
            <w:r>
              <w:rPr>
                <w:rFonts w:ascii="Arial"/>
                <w:sz w:val="20"/>
              </w:rPr>
              <w:t>64,572</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7"/>
              <w:jc w:val="right"/>
              <w:rPr>
                <w:rFonts w:ascii="Arial" w:hAnsi="Arial" w:cs="Arial" w:eastAsia="Arial" w:hint="default"/>
                <w:sz w:val="20"/>
                <w:szCs w:val="20"/>
              </w:rPr>
            </w:pPr>
            <w:r>
              <w:rPr>
                <w:rFonts w:ascii="Arial"/>
                <w:sz w:val="20"/>
              </w:rPr>
              <w:t>43%</w:t>
            </w:r>
          </w:p>
        </w:tc>
        <w:tc>
          <w:tcPr>
            <w:tcW w:w="2411" w:type="dxa"/>
            <w:tcBorders>
              <w:top w:val="nil" w:sz="6" w:space="0" w:color="auto"/>
              <w:left w:val="nil" w:sz="6" w:space="0" w:color="auto"/>
              <w:bottom w:val="nil" w:sz="6" w:space="0" w:color="auto"/>
              <w:right w:val="nil" w:sz="6" w:space="0" w:color="auto"/>
            </w:tcBorders>
          </w:tcPr>
          <w:p>
            <w:pPr>
              <w:pStyle w:val="TableParagraph"/>
              <w:spacing w:line="229" w:lineRule="exact"/>
              <w:ind w:left="626" w:right="0" w:hanging="573"/>
              <w:jc w:val="left"/>
              <w:rPr>
                <w:rFonts w:ascii="宋体" w:hAnsi="宋体" w:cs="宋体" w:eastAsia="宋体" w:hint="default"/>
                <w:sz w:val="20"/>
                <w:szCs w:val="20"/>
              </w:rPr>
            </w:pPr>
            <w:r>
              <w:rPr>
                <w:rFonts w:ascii="宋体" w:hAnsi="宋体" w:cs="宋体" w:eastAsia="宋体" w:hint="default"/>
                <w:sz w:val="20"/>
                <w:szCs w:val="20"/>
              </w:rPr>
              <w:t>装修、外围工程尚未开始</w:t>
            </w:r>
          </w:p>
          <w:p>
            <w:pPr>
              <w:pStyle w:val="TableParagraph"/>
              <w:spacing w:line="261" w:lineRule="exact"/>
              <w:ind w:left="626" w:right="0"/>
              <w:jc w:val="left"/>
              <w:rPr>
                <w:rFonts w:ascii="宋体" w:hAnsi="宋体" w:cs="宋体" w:eastAsia="宋体" w:hint="default"/>
                <w:sz w:val="20"/>
                <w:szCs w:val="20"/>
              </w:rPr>
            </w:pPr>
            <w:r>
              <w:rPr>
                <w:rFonts w:ascii="宋体" w:hAnsi="宋体" w:cs="宋体" w:eastAsia="宋体" w:hint="default"/>
                <w:sz w:val="20"/>
                <w:szCs w:val="20"/>
              </w:rPr>
              <w:t>土建工程主体封顶</w:t>
            </w:r>
          </w:p>
        </w:tc>
        <w:tc>
          <w:tcPr>
            <w:tcW w:w="4391" w:type="dxa"/>
            <w:tcBorders>
              <w:top w:val="nil" w:sz="6" w:space="0" w:color="auto"/>
              <w:left w:val="nil" w:sz="6" w:space="0" w:color="auto"/>
              <w:bottom w:val="nil" w:sz="6" w:space="0" w:color="auto"/>
              <w:right w:val="nil" w:sz="6" w:space="0" w:color="auto"/>
            </w:tcBorders>
          </w:tcPr>
          <w:p>
            <w:pPr>
              <w:pStyle w:val="TableParagraph"/>
              <w:spacing w:line="231" w:lineRule="exact"/>
              <w:ind w:right="122"/>
              <w:jc w:val="right"/>
              <w:rPr>
                <w:rFonts w:ascii="宋体" w:hAnsi="宋体" w:cs="宋体" w:eastAsia="宋体" w:hint="default"/>
                <w:sz w:val="20"/>
                <w:szCs w:val="20"/>
              </w:rPr>
            </w:pPr>
            <w:r>
              <w:rPr>
                <w:rFonts w:ascii="宋体" w:hAnsi="宋体" w:cs="宋体" w:eastAsia="宋体" w:hint="default"/>
                <w:sz w:val="20"/>
                <w:szCs w:val="20"/>
              </w:rPr>
              <w:t>募集资金</w:t>
            </w:r>
          </w:p>
        </w:tc>
      </w:tr>
      <w:tr>
        <w:trPr>
          <w:trHeight w:val="353"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30" w:lineRule="exact"/>
              <w:ind w:left="433" w:right="0"/>
              <w:jc w:val="left"/>
              <w:rPr>
                <w:rFonts w:ascii="宋体" w:hAnsi="宋体" w:cs="宋体" w:eastAsia="宋体" w:hint="default"/>
                <w:sz w:val="20"/>
                <w:szCs w:val="20"/>
              </w:rPr>
            </w:pPr>
            <w:r>
              <w:rPr>
                <w:rFonts w:ascii="宋体" w:hAnsi="宋体" w:cs="宋体" w:eastAsia="宋体" w:hint="default"/>
                <w:sz w:val="20"/>
                <w:szCs w:val="20"/>
              </w:rPr>
              <w:t>基地工程</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3"/>
              <w:jc w:val="right"/>
              <w:rPr>
                <w:rFonts w:ascii="Arial" w:hAnsi="Arial" w:cs="Arial" w:eastAsia="Arial" w:hint="default"/>
                <w:sz w:val="20"/>
                <w:szCs w:val="20"/>
              </w:rPr>
            </w:pPr>
            <w:r>
              <w:rPr>
                <w:rFonts w:ascii="Arial"/>
                <w:spacing w:val="-1"/>
                <w:sz w:val="20"/>
              </w:rPr>
              <w:t>125,000</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6"/>
              <w:jc w:val="right"/>
              <w:rPr>
                <w:rFonts w:ascii="Arial" w:hAnsi="Arial" w:cs="Arial" w:eastAsia="Arial" w:hint="default"/>
                <w:sz w:val="20"/>
                <w:szCs w:val="20"/>
              </w:rPr>
            </w:pPr>
            <w:r>
              <w:rPr>
                <w:rFonts w:ascii="Arial"/>
                <w:sz w:val="20"/>
              </w:rPr>
              <w:t>350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0"/>
              <w:jc w:val="right"/>
              <w:rPr>
                <w:rFonts w:ascii="Arial" w:hAnsi="Arial" w:cs="Arial" w:eastAsia="Arial" w:hint="default"/>
                <w:sz w:val="20"/>
                <w:szCs w:val="20"/>
              </w:rPr>
            </w:pPr>
            <w:r>
              <w:rPr>
                <w:rFonts w:ascii="Arial"/>
                <w:sz w:val="20"/>
              </w:rPr>
              <w:t>58,661</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Arial" w:hAnsi="Arial" w:cs="Arial" w:eastAsia="Arial" w:hint="default"/>
                <w:sz w:val="20"/>
                <w:szCs w:val="20"/>
              </w:rPr>
            </w:pPr>
            <w:r>
              <w:rPr>
                <w:rFonts w:ascii="Arial"/>
                <w:w w:val="100"/>
                <w:sz w:val="20"/>
              </w:rPr>
              <w:t>-</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9"/>
              <w:jc w:val="right"/>
              <w:rPr>
                <w:rFonts w:ascii="Arial" w:hAnsi="Arial" w:cs="Arial" w:eastAsia="Arial" w:hint="default"/>
                <w:sz w:val="20"/>
                <w:szCs w:val="20"/>
              </w:rPr>
            </w:pPr>
            <w:r>
              <w:rPr>
                <w:rFonts w:ascii="Arial"/>
                <w:spacing w:val="-3"/>
                <w:sz w:val="20"/>
              </w:rPr>
              <w:t>59,011</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7"/>
              <w:jc w:val="right"/>
              <w:rPr>
                <w:rFonts w:ascii="Arial" w:hAnsi="Arial" w:cs="Arial" w:eastAsia="Arial" w:hint="default"/>
                <w:sz w:val="20"/>
                <w:szCs w:val="20"/>
              </w:rPr>
            </w:pPr>
            <w:r>
              <w:rPr>
                <w:rFonts w:ascii="Arial"/>
                <w:sz w:val="20"/>
              </w:rPr>
              <w:t>47%</w:t>
            </w:r>
          </w:p>
        </w:tc>
        <w:tc>
          <w:tcPr>
            <w:tcW w:w="2411" w:type="dxa"/>
            <w:tcBorders>
              <w:top w:val="nil" w:sz="6" w:space="0" w:color="auto"/>
              <w:left w:val="nil" w:sz="6" w:space="0" w:color="auto"/>
              <w:bottom w:val="nil" w:sz="6" w:space="0" w:color="auto"/>
              <w:right w:val="nil" w:sz="6" w:space="0" w:color="auto"/>
            </w:tcBorders>
          </w:tcPr>
          <w:p>
            <w:pPr>
              <w:pStyle w:val="TableParagraph"/>
              <w:spacing w:line="230" w:lineRule="exact"/>
              <w:ind w:right="154"/>
              <w:jc w:val="right"/>
              <w:rPr>
                <w:rFonts w:ascii="宋体" w:hAnsi="宋体" w:cs="宋体" w:eastAsia="宋体" w:hint="default"/>
                <w:sz w:val="20"/>
                <w:szCs w:val="20"/>
              </w:rPr>
            </w:pPr>
            <w:r>
              <w:rPr>
                <w:rFonts w:ascii="宋体" w:hAnsi="宋体" w:cs="宋体" w:eastAsia="宋体" w:hint="default"/>
                <w:spacing w:val="-1"/>
                <w:sz w:val="20"/>
                <w:szCs w:val="20"/>
              </w:rPr>
              <w:t>装修、外围工程尚未开始</w:t>
            </w:r>
          </w:p>
        </w:tc>
        <w:tc>
          <w:tcPr>
            <w:tcW w:w="4391" w:type="dxa"/>
            <w:tcBorders>
              <w:top w:val="nil" w:sz="6" w:space="0" w:color="auto"/>
              <w:left w:val="nil" w:sz="6" w:space="0" w:color="auto"/>
              <w:bottom w:val="nil" w:sz="6" w:space="0" w:color="auto"/>
              <w:right w:val="nil" w:sz="6" w:space="0" w:color="auto"/>
            </w:tcBorders>
          </w:tcPr>
          <w:p>
            <w:pPr>
              <w:pStyle w:val="TableParagraph"/>
              <w:spacing w:line="230" w:lineRule="exact"/>
              <w:ind w:right="122"/>
              <w:jc w:val="right"/>
              <w:rPr>
                <w:rFonts w:ascii="宋体" w:hAnsi="宋体" w:cs="宋体" w:eastAsia="宋体" w:hint="default"/>
                <w:sz w:val="20"/>
                <w:szCs w:val="20"/>
              </w:rPr>
            </w:pPr>
            <w:r>
              <w:rPr>
                <w:rFonts w:ascii="宋体" w:hAnsi="宋体" w:cs="宋体" w:eastAsia="宋体" w:hint="default"/>
                <w:sz w:val="20"/>
                <w:szCs w:val="20"/>
              </w:rPr>
              <w:t>募集资金</w:t>
            </w:r>
          </w:p>
        </w:tc>
      </w:tr>
    </w:tbl>
    <w:p>
      <w:pPr>
        <w:spacing w:after="0" w:line="230" w:lineRule="exact"/>
        <w:jc w:val="right"/>
        <w:rPr>
          <w:rFonts w:ascii="宋体" w:hAnsi="宋体" w:cs="宋体" w:eastAsia="宋体" w:hint="default"/>
          <w:sz w:val="20"/>
          <w:szCs w:val="20"/>
        </w:rPr>
        <w:sectPr>
          <w:headerReference w:type="default" r:id="rId65"/>
          <w:footerReference w:type="default" r:id="rId66"/>
          <w:pgSz w:w="16840" w:h="11910" w:orient="landscape"/>
          <w:pgMar w:header="1475" w:footer="945" w:top="3020" w:bottom="1140" w:left="920" w:right="560"/>
          <w:pgNumType w:start="162"/>
        </w:sectPr>
      </w:pPr>
    </w:p>
    <w:p>
      <w:pPr>
        <w:spacing w:line="240" w:lineRule="auto" w:before="6"/>
        <w:rPr>
          <w:rFonts w:ascii="宋体" w:hAnsi="宋体" w:cs="宋体" w:eastAsia="宋体" w:hint="default"/>
          <w:sz w:val="13"/>
          <w:szCs w:val="13"/>
        </w:rPr>
      </w:pPr>
    </w:p>
    <w:p>
      <w:pPr>
        <w:pStyle w:val="Heading2"/>
        <w:tabs>
          <w:tab w:pos="907" w:val="left" w:leader="none"/>
        </w:tabs>
        <w:spacing w:line="240" w:lineRule="auto"/>
        <w:ind w:left="103" w:right="0"/>
        <w:jc w:val="left"/>
        <w:rPr>
          <w:b w:val="0"/>
          <w:bCs w:val="0"/>
        </w:rPr>
      </w:pPr>
      <w:r>
        <w:rPr>
          <w:w w:val="95"/>
        </w:rPr>
        <w:t>五</w:t>
        <w:tab/>
      </w:r>
      <w:r>
        <w:rPr/>
        <w:t>合并财务报表项目附注(续)</w:t>
      </w:r>
      <w:r>
        <w:rPr>
          <w:b w:val="0"/>
          <w:bCs w:val="0"/>
        </w:rPr>
      </w:r>
    </w:p>
    <w:p>
      <w:pPr>
        <w:spacing w:line="240" w:lineRule="auto" w:before="4"/>
        <w:rPr>
          <w:rFonts w:ascii="宋体" w:hAnsi="宋体" w:cs="宋体" w:eastAsia="宋体" w:hint="default"/>
          <w:b/>
          <w:bCs/>
          <w:sz w:val="18"/>
          <w:szCs w:val="18"/>
        </w:rPr>
      </w:pPr>
    </w:p>
    <w:p>
      <w:pPr>
        <w:tabs>
          <w:tab w:pos="908" w:val="left" w:leader="none"/>
        </w:tabs>
        <w:spacing w:before="0"/>
        <w:ind w:left="103"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(14)</w:t>
        <w:tab/>
      </w:r>
      <w:r>
        <w:rPr>
          <w:rFonts w:ascii="宋体" w:hAnsi="宋体" w:cs="宋体" w:eastAsia="宋体" w:hint="default"/>
          <w:b/>
          <w:bCs/>
          <w:sz w:val="24"/>
          <w:szCs w:val="24"/>
        </w:rPr>
        <w:t>在建工程(续)</w:t>
      </w:r>
      <w:r>
        <w:rPr>
          <w:rFonts w:ascii="宋体" w:hAnsi="宋体" w:cs="宋体" w:eastAsia="宋体" w:hint="default"/>
          <w:sz w:val="24"/>
          <w:szCs w:val="24"/>
        </w:rPr>
      </w:r>
    </w:p>
    <w:p>
      <w:pPr>
        <w:spacing w:line="240" w:lineRule="auto" w:before="9"/>
        <w:rPr>
          <w:rFonts w:ascii="宋体" w:hAnsi="宋体" w:cs="宋体" w:eastAsia="宋体" w:hint="default"/>
          <w:b/>
          <w:bCs/>
          <w:sz w:val="23"/>
          <w:szCs w:val="23"/>
        </w:rPr>
      </w:pPr>
    </w:p>
    <w:p>
      <w:pPr>
        <w:pStyle w:val="BodyText"/>
        <w:tabs>
          <w:tab w:pos="908" w:val="left" w:leader="none"/>
        </w:tabs>
        <w:spacing w:line="240" w:lineRule="auto"/>
        <w:ind w:left="103" w:right="0"/>
        <w:jc w:val="left"/>
      </w:pPr>
      <w:r>
        <w:rPr>
          <w:rFonts w:ascii="Arial" w:hAnsi="Arial" w:cs="Arial" w:eastAsia="Arial" w:hint="default"/>
          <w:w w:val="95"/>
          <w:position w:val="2"/>
        </w:rPr>
        <w:t>(a)</w:t>
        <w:tab/>
      </w:r>
      <w:r>
        <w:rPr/>
        <w:t>重大在建工程项目变动(续)</w:t>
      </w: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6840" w:h="11910" w:orient="landscape"/>
          <w:pgMar w:header="1475" w:footer="945" w:top="3020" w:bottom="1140" w:left="920" w:right="700"/>
        </w:sectPr>
      </w:pPr>
    </w:p>
    <w:p>
      <w:pPr>
        <w:tabs>
          <w:tab w:pos="1611" w:val="left" w:leader="none"/>
          <w:tab w:pos="2680" w:val="left" w:leader="none"/>
        </w:tabs>
        <w:spacing w:line="268" w:lineRule="exact" w:before="38"/>
        <w:ind w:left="0" w:right="0" w:firstLine="0"/>
        <w:jc w:val="right"/>
        <w:rPr>
          <w:rFonts w:ascii="宋体" w:hAnsi="宋体" w:cs="宋体" w:eastAsia="宋体" w:hint="default"/>
          <w:sz w:val="20"/>
          <w:szCs w:val="20"/>
        </w:rPr>
      </w:pPr>
      <w:r>
        <w:rPr>
          <w:rFonts w:ascii="宋体" w:hAnsi="宋体" w:cs="宋体" w:eastAsia="宋体" w:hint="default"/>
          <w:sz w:val="20"/>
          <w:szCs w:val="20"/>
        </w:rPr>
        <w:t>工程名称</w:t>
        <w:tab/>
        <w:t>预算数</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p>
      <w:pPr>
        <w:spacing w:line="268" w:lineRule="exact" w:before="0"/>
        <w:ind w:left="0" w:right="1" w:firstLine="0"/>
        <w:jc w:val="righ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line="261" w:lineRule="exact" w:before="38"/>
        <w:ind w:left="255" w:right="-20" w:firstLine="0"/>
        <w:jc w:val="left"/>
        <w:rPr>
          <w:rFonts w:ascii="宋体" w:hAnsi="宋体" w:cs="宋体" w:eastAsia="宋体" w:hint="default"/>
          <w:sz w:val="20"/>
          <w:szCs w:val="20"/>
        </w:rPr>
      </w:pPr>
      <w:r>
        <w:rPr/>
        <w:br w:type="column"/>
      </w:r>
      <w:r>
        <w:rPr>
          <w:rFonts w:ascii="宋体" w:hAnsi="宋体" w:cs="宋体" w:eastAsia="宋体" w:hint="default"/>
          <w:sz w:val="20"/>
          <w:szCs w:val="20"/>
        </w:rPr>
        <w:t>本年增加</w:t>
      </w:r>
      <w:r>
        <w:rPr>
          <w:rFonts w:ascii="宋体" w:hAnsi="宋体" w:cs="宋体" w:eastAsia="宋体" w:hint="default"/>
          <w:spacing w:val="95"/>
          <w:sz w:val="20"/>
          <w:szCs w:val="20"/>
        </w:rPr>
        <w:t> </w:t>
      </w:r>
      <w:r>
        <w:rPr>
          <w:rFonts w:ascii="宋体" w:hAnsi="宋体" w:cs="宋体" w:eastAsia="宋体" w:hint="default"/>
          <w:sz w:val="20"/>
          <w:szCs w:val="20"/>
        </w:rPr>
        <w:t>本年转入</w:t>
      </w:r>
    </w:p>
    <w:p>
      <w:pPr>
        <w:spacing w:line="261" w:lineRule="exact" w:before="0"/>
        <w:ind w:left="1248" w:right="-18" w:firstLine="0"/>
        <w:jc w:val="left"/>
        <w:rPr>
          <w:rFonts w:ascii="宋体" w:hAnsi="宋体" w:cs="宋体" w:eastAsia="宋体" w:hint="default"/>
          <w:sz w:val="20"/>
          <w:szCs w:val="20"/>
        </w:rPr>
      </w:pPr>
      <w:r>
        <w:rPr>
          <w:rFonts w:ascii="宋体" w:hAnsi="宋体" w:cs="宋体" w:eastAsia="宋体" w:hint="default"/>
          <w:sz w:val="20"/>
          <w:szCs w:val="20"/>
        </w:rPr>
        <w:t>固定资产</w:t>
      </w:r>
    </w:p>
    <w:p>
      <w:pPr>
        <w:spacing w:line="268" w:lineRule="exact" w:before="38"/>
        <w:ind w:left="432" w:right="-18" w:firstLine="0"/>
        <w:jc w:val="left"/>
        <w:rPr>
          <w:rFonts w:ascii="宋体" w:hAnsi="宋体" w:cs="宋体" w:eastAsia="宋体" w:hint="default"/>
          <w:sz w:val="20"/>
          <w:szCs w:val="20"/>
        </w:rPr>
      </w:pPr>
      <w:r>
        <w:rPr/>
        <w:br w:type="column"/>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p>
    <w:p>
      <w:pPr>
        <w:spacing w:line="268" w:lineRule="exact" w:before="0"/>
        <w:ind w:left="132" w:right="-15" w:firstLine="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before="38"/>
        <w:ind w:left="152"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工程投入</w:t>
      </w:r>
      <w:r>
        <w:rPr>
          <w:rFonts w:ascii="宋体" w:hAnsi="宋体" w:cs="宋体" w:eastAsia="宋体" w:hint="default"/>
          <w:w w:val="100"/>
          <w:sz w:val="20"/>
          <w:szCs w:val="20"/>
        </w:rPr>
        <w:t> </w:t>
      </w:r>
      <w:r>
        <w:rPr>
          <w:rFonts w:ascii="宋体" w:hAnsi="宋体" w:cs="宋体" w:eastAsia="宋体" w:hint="default"/>
          <w:sz w:val="20"/>
          <w:szCs w:val="20"/>
        </w:rPr>
        <w:t>占预算的</w:t>
      </w:r>
    </w:p>
    <w:p>
      <w:pPr>
        <w:spacing w:line="260" w:lineRule="exact" w:before="0"/>
        <w:ind w:left="551" w:right="-18" w:firstLine="0"/>
        <w:jc w:val="left"/>
        <w:rPr>
          <w:rFonts w:ascii="宋体" w:hAnsi="宋体" w:cs="宋体" w:eastAsia="宋体" w:hint="default"/>
          <w:sz w:val="20"/>
          <w:szCs w:val="20"/>
        </w:rPr>
      </w:pPr>
      <w:r>
        <w:rPr>
          <w:rFonts w:ascii="宋体" w:hAnsi="宋体" w:cs="宋体" w:eastAsia="宋体" w:hint="default"/>
          <w:sz w:val="20"/>
          <w:szCs w:val="20"/>
        </w:rPr>
        <w:t>比例</w:t>
      </w:r>
    </w:p>
    <w:p>
      <w:pPr>
        <w:tabs>
          <w:tab w:pos="2116" w:val="left" w:leader="none"/>
        </w:tabs>
        <w:spacing w:before="38"/>
        <w:ind w:left="2117" w:right="0" w:hanging="1282"/>
        <w:jc w:val="right"/>
        <w:rPr>
          <w:rFonts w:ascii="宋体" w:hAnsi="宋体" w:cs="宋体" w:eastAsia="宋体" w:hint="default"/>
          <w:sz w:val="20"/>
          <w:szCs w:val="20"/>
        </w:rPr>
      </w:pPr>
      <w:r>
        <w:rPr/>
        <w:br w:type="column"/>
      </w:r>
      <w:r>
        <w:rPr>
          <w:rFonts w:ascii="宋体" w:hAnsi="宋体" w:cs="宋体" w:eastAsia="宋体" w:hint="default"/>
          <w:sz w:val="20"/>
          <w:szCs w:val="20"/>
        </w:rPr>
        <w:t>工程进度</w:t>
        <w:tab/>
        <w:t>借款费用</w:t>
      </w:r>
      <w:r>
        <w:rPr>
          <w:rFonts w:ascii="宋体" w:hAnsi="宋体" w:cs="宋体" w:eastAsia="宋体" w:hint="default"/>
          <w:w w:val="100"/>
          <w:sz w:val="20"/>
          <w:szCs w:val="20"/>
        </w:rPr>
        <w:t> </w:t>
      </w:r>
      <w:r>
        <w:rPr>
          <w:rFonts w:ascii="宋体" w:hAnsi="宋体" w:cs="宋体" w:eastAsia="宋体" w:hint="default"/>
          <w:sz w:val="20"/>
          <w:szCs w:val="20"/>
        </w:rPr>
        <w:t>资本化</w:t>
      </w:r>
      <w:r>
        <w:rPr>
          <w:rFonts w:ascii="宋体" w:hAnsi="宋体" w:cs="宋体" w:eastAsia="宋体" w:hint="default"/>
          <w:w w:val="100"/>
          <w:sz w:val="20"/>
          <w:szCs w:val="20"/>
        </w:rPr>
        <w:t> </w:t>
      </w:r>
      <w:r>
        <w:rPr>
          <w:rFonts w:ascii="宋体" w:hAnsi="宋体" w:cs="宋体" w:eastAsia="宋体" w:hint="default"/>
          <w:sz w:val="20"/>
          <w:szCs w:val="20"/>
        </w:rPr>
        <w:t>累计金额</w:t>
      </w:r>
    </w:p>
    <w:p>
      <w:pPr>
        <w:spacing w:before="38"/>
        <w:ind w:left="115" w:right="0" w:firstLine="0"/>
        <w:jc w:val="center"/>
        <w:rPr>
          <w:rFonts w:ascii="宋体" w:hAnsi="宋体" w:cs="宋体" w:eastAsia="宋体" w:hint="default"/>
          <w:sz w:val="20"/>
          <w:szCs w:val="20"/>
        </w:rPr>
      </w:pPr>
      <w:r>
        <w:rPr>
          <w:spacing w:val="12"/>
        </w:rPr>
        <w:br w:type="column"/>
      </w:r>
      <w:r>
        <w:rPr>
          <w:rFonts w:ascii="宋体" w:hAnsi="宋体" w:cs="宋体" w:eastAsia="宋体" w:hint="default"/>
          <w:spacing w:val="12"/>
          <w:sz w:val="20"/>
          <w:szCs w:val="20"/>
        </w:rPr>
        <w:t>其中：</w:t>
      </w:r>
      <w:r>
        <w:rPr>
          <w:rFonts w:ascii="宋体" w:hAnsi="宋体" w:cs="宋体" w:eastAsia="宋体" w:hint="default"/>
          <w:spacing w:val="-74"/>
          <w:sz w:val="20"/>
          <w:szCs w:val="20"/>
        </w:rPr>
        <w:t> </w:t>
      </w:r>
      <w:r>
        <w:rPr>
          <w:rFonts w:ascii="宋体" w:hAnsi="宋体" w:cs="宋体" w:eastAsia="宋体" w:hint="default"/>
          <w:spacing w:val="9"/>
          <w:sz w:val="20"/>
          <w:szCs w:val="20"/>
        </w:rPr>
        <w:t>本年</w:t>
      </w:r>
      <w:r>
        <w:rPr>
          <w:rFonts w:ascii="宋体" w:hAnsi="宋体" w:cs="宋体" w:eastAsia="宋体" w:hint="default"/>
          <w:spacing w:val="-80"/>
          <w:sz w:val="20"/>
          <w:szCs w:val="20"/>
        </w:rPr>
        <w:t> </w:t>
      </w:r>
      <w:r>
        <w:rPr>
          <w:rFonts w:ascii="宋体" w:hAnsi="宋体" w:cs="宋体" w:eastAsia="宋体" w:hint="default"/>
          <w:sz w:val="20"/>
          <w:szCs w:val="20"/>
        </w:rPr>
        <w:t>借款费用资</w:t>
      </w:r>
      <w:r>
        <w:rPr>
          <w:rFonts w:ascii="宋体" w:hAnsi="宋体" w:cs="宋体" w:eastAsia="宋体" w:hint="default"/>
          <w:w w:val="100"/>
          <w:sz w:val="20"/>
          <w:szCs w:val="20"/>
        </w:rPr>
        <w:t> </w:t>
      </w:r>
      <w:r>
        <w:rPr>
          <w:rFonts w:ascii="宋体" w:hAnsi="宋体" w:cs="宋体" w:eastAsia="宋体" w:hint="default"/>
          <w:sz w:val="20"/>
          <w:szCs w:val="20"/>
        </w:rPr>
        <w:t>本化金额</w:t>
      </w:r>
    </w:p>
    <w:p>
      <w:pPr>
        <w:spacing w:before="38"/>
        <w:ind w:left="71" w:right="-13" w:firstLine="0"/>
        <w:jc w:val="left"/>
        <w:rPr>
          <w:rFonts w:ascii="宋体" w:hAnsi="宋体" w:cs="宋体" w:eastAsia="宋体" w:hint="default"/>
          <w:sz w:val="20"/>
          <w:szCs w:val="20"/>
        </w:rPr>
      </w:pPr>
      <w:r>
        <w:rPr>
          <w:spacing w:val="6"/>
        </w:rPr>
        <w:br w:type="column"/>
      </w:r>
      <w:r>
        <w:rPr>
          <w:rFonts w:ascii="宋体" w:hAnsi="宋体" w:cs="宋体" w:eastAsia="宋体" w:hint="default"/>
          <w:spacing w:val="6"/>
          <w:sz w:val="20"/>
          <w:szCs w:val="20"/>
        </w:rPr>
        <w:t>本年借款</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费用资本</w:t>
      </w:r>
    </w:p>
    <w:p>
      <w:pPr>
        <w:spacing w:line="260" w:lineRule="exact" w:before="0"/>
        <w:ind w:left="472" w:right="-13" w:firstLine="0"/>
        <w:jc w:val="left"/>
        <w:rPr>
          <w:rFonts w:ascii="宋体" w:hAnsi="宋体" w:cs="宋体" w:eastAsia="宋体" w:hint="default"/>
          <w:sz w:val="20"/>
          <w:szCs w:val="20"/>
        </w:rPr>
      </w:pPr>
      <w:r>
        <w:rPr>
          <w:rFonts w:ascii="宋体" w:hAnsi="宋体" w:cs="宋体" w:eastAsia="宋体" w:hint="default"/>
          <w:sz w:val="20"/>
          <w:szCs w:val="20"/>
        </w:rPr>
        <w:t>化率</w:t>
      </w:r>
    </w:p>
    <w:p>
      <w:pPr>
        <w:spacing w:before="38"/>
        <w:ind w:left="125"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资金来源</w:t>
      </w:r>
    </w:p>
    <w:p>
      <w:pPr>
        <w:spacing w:after="0"/>
        <w:jc w:val="left"/>
        <w:rPr>
          <w:rFonts w:ascii="宋体" w:hAnsi="宋体" w:cs="宋体" w:eastAsia="宋体" w:hint="default"/>
          <w:sz w:val="20"/>
          <w:szCs w:val="20"/>
        </w:rPr>
        <w:sectPr>
          <w:type w:val="continuous"/>
          <w:pgSz w:w="16840" w:h="11910" w:orient="landscape"/>
          <w:pgMar w:top="920" w:bottom="900" w:left="920" w:right="700"/>
          <w:cols w:num="8" w:equalWidth="0">
            <w:col w:w="4213" w:space="40"/>
            <w:col w:w="2051" w:space="40"/>
            <w:col w:w="1129" w:space="40"/>
            <w:col w:w="954" w:space="548"/>
            <w:col w:w="2919" w:space="40"/>
            <w:col w:w="1222" w:space="40"/>
            <w:col w:w="902" w:space="40"/>
            <w:col w:w="1042"/>
          </w:cols>
        </w:sectPr>
      </w:pPr>
    </w:p>
    <w:p>
      <w:pPr>
        <w:spacing w:line="240" w:lineRule="auto" w:before="6"/>
        <w:rPr>
          <w:rFonts w:ascii="宋体" w:hAnsi="宋体" w:cs="宋体" w:eastAsia="宋体" w:hint="default"/>
          <w:sz w:val="14"/>
          <w:szCs w:val="14"/>
        </w:rPr>
      </w:pPr>
    </w:p>
    <w:tbl>
      <w:tblPr>
        <w:tblW w:w="0" w:type="auto"/>
        <w:jc w:val="left"/>
        <w:tblInd w:w="800" w:type="dxa"/>
        <w:tblLayout w:type="fixed"/>
        <w:tblCellMar>
          <w:top w:w="0" w:type="dxa"/>
          <w:left w:w="0" w:type="dxa"/>
          <w:bottom w:w="0" w:type="dxa"/>
          <w:right w:w="0" w:type="dxa"/>
        </w:tblCellMar>
        <w:tblLook w:val="01E0"/>
      </w:tblPr>
      <w:tblGrid>
        <w:gridCol w:w="1624"/>
        <w:gridCol w:w="870"/>
        <w:gridCol w:w="1055"/>
        <w:gridCol w:w="1546"/>
        <w:gridCol w:w="593"/>
        <w:gridCol w:w="1080"/>
        <w:gridCol w:w="945"/>
        <w:gridCol w:w="2467"/>
        <w:gridCol w:w="2120"/>
        <w:gridCol w:w="1968"/>
      </w:tblGrid>
      <w:tr>
        <w:trPr>
          <w:trHeight w:val="732" w:hRule="exact"/>
        </w:trPr>
        <w:tc>
          <w:tcPr>
            <w:tcW w:w="24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tabs>
                <w:tab w:pos="1804" w:val="left" w:leader="none"/>
              </w:tabs>
              <w:spacing w:line="271" w:lineRule="exact"/>
              <w:ind w:left="35" w:right="0"/>
              <w:jc w:val="left"/>
              <w:rPr>
                <w:rFonts w:ascii="Arial" w:hAnsi="Arial" w:cs="Arial" w:eastAsia="Arial" w:hint="default"/>
                <w:sz w:val="20"/>
                <w:szCs w:val="20"/>
              </w:rPr>
            </w:pPr>
            <w:r>
              <w:rPr>
                <w:rFonts w:ascii="宋体" w:hAnsi="宋体" w:cs="宋体" w:eastAsia="宋体" w:hint="default"/>
                <w:position w:val="1"/>
                <w:sz w:val="20"/>
                <w:szCs w:val="20"/>
              </w:rPr>
              <w:t>青岛物流</w:t>
              <w:tab/>
            </w:r>
            <w:r>
              <w:rPr>
                <w:rFonts w:ascii="Arial" w:hAnsi="Arial" w:cs="Arial" w:eastAsia="Arial" w:hint="default"/>
                <w:sz w:val="20"/>
                <w:szCs w:val="20"/>
              </w:rPr>
              <w:t>135,00</w:t>
            </w:r>
          </w:p>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大连苏宁购置店</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64"/>
              <w:jc w:val="right"/>
              <w:rPr>
                <w:rFonts w:ascii="Arial" w:hAnsi="Arial" w:cs="Arial" w:eastAsia="Arial" w:hint="default"/>
                <w:sz w:val="20"/>
                <w:szCs w:val="20"/>
              </w:rPr>
            </w:pPr>
            <w:r>
              <w:rPr>
                <w:rFonts w:ascii="Arial"/>
                <w:sz w:val="20"/>
              </w:rPr>
              <w:t>186</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53"/>
              <w:jc w:val="center"/>
              <w:rPr>
                <w:rFonts w:ascii="Arial" w:hAnsi="Arial" w:cs="Arial" w:eastAsia="Arial" w:hint="default"/>
                <w:sz w:val="20"/>
                <w:szCs w:val="20"/>
              </w:rPr>
            </w:pPr>
            <w:r>
              <w:rPr>
                <w:rFonts w:ascii="Arial"/>
                <w:sz w:val="20"/>
              </w:rPr>
              <w:t>3,163</w:t>
            </w:r>
          </w:p>
        </w:tc>
        <w:tc>
          <w:tcPr>
            <w:tcW w:w="1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tabs>
                <w:tab w:pos="1139" w:val="left" w:leader="none"/>
              </w:tabs>
              <w:spacing w:line="240" w:lineRule="auto"/>
              <w:ind w:left="406" w:right="0"/>
              <w:jc w:val="left"/>
              <w:rPr>
                <w:rFonts w:ascii="Arial" w:hAnsi="Arial" w:cs="Arial" w:eastAsia="Arial" w:hint="default"/>
                <w:sz w:val="20"/>
                <w:szCs w:val="20"/>
              </w:rPr>
            </w:pPr>
            <w:r>
              <w:rPr>
                <w:rFonts w:ascii="Arial"/>
                <w:sz w:val="20"/>
              </w:rPr>
              <w:t>-</w:t>
              <w:tab/>
              <w:t>3,349</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52"/>
              <w:jc w:val="right"/>
              <w:rPr>
                <w:rFonts w:ascii="Arial" w:hAnsi="Arial" w:cs="Arial" w:eastAsia="Arial" w:hint="default"/>
                <w:sz w:val="20"/>
                <w:szCs w:val="20"/>
              </w:rPr>
            </w:pPr>
            <w:r>
              <w:rPr>
                <w:rFonts w:ascii="Arial"/>
                <w:sz w:val="20"/>
              </w:rPr>
              <w:t>2%</w:t>
            </w:r>
          </w:p>
        </w:tc>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55" w:right="308" w:hanging="202"/>
              <w:jc w:val="left"/>
              <w:rPr>
                <w:rFonts w:ascii="宋体" w:hAnsi="宋体" w:cs="宋体" w:eastAsia="宋体" w:hint="default"/>
                <w:sz w:val="20"/>
                <w:szCs w:val="20"/>
              </w:rPr>
            </w:pPr>
            <w:r>
              <w:rPr>
                <w:rFonts w:ascii="宋体" w:hAnsi="宋体" w:cs="宋体" w:eastAsia="宋体" w:hint="default"/>
                <w:sz w:val="20"/>
                <w:szCs w:val="20"/>
              </w:rPr>
              <w:t>完成前期准备工作</w:t>
            </w:r>
            <w:r>
              <w:rPr>
                <w:rFonts w:ascii="宋体" w:hAnsi="宋体" w:cs="宋体" w:eastAsia="宋体" w:hint="default"/>
                <w:w w:val="100"/>
                <w:sz w:val="20"/>
                <w:szCs w:val="20"/>
              </w:rPr>
              <w:t> </w:t>
            </w:r>
            <w:r>
              <w:rPr>
                <w:rFonts w:ascii="宋体" w:hAnsi="宋体" w:cs="宋体" w:eastAsia="宋体" w:hint="default"/>
                <w:spacing w:val="-1"/>
                <w:sz w:val="20"/>
                <w:szCs w:val="20"/>
              </w:rPr>
              <w:t>土建工程进行中</w:t>
            </w:r>
          </w:p>
        </w:tc>
        <w:tc>
          <w:tcPr>
            <w:tcW w:w="40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tabs>
                <w:tab w:pos="1845" w:val="left" w:leader="none"/>
                <w:tab w:pos="2774" w:val="left" w:leader="none"/>
                <w:tab w:pos="3251" w:val="left" w:leader="none"/>
              </w:tabs>
              <w:spacing w:line="240" w:lineRule="auto"/>
              <w:ind w:left="648" w:right="0"/>
              <w:jc w:val="left"/>
              <w:rPr>
                <w:rFonts w:ascii="宋体" w:hAnsi="宋体" w:cs="宋体" w:eastAsia="宋体" w:hint="default"/>
                <w:sz w:val="20"/>
                <w:szCs w:val="20"/>
              </w:rPr>
            </w:pPr>
            <w:r>
              <w:rPr>
                <w:rFonts w:ascii="Arial" w:hAnsi="Arial" w:cs="Arial" w:eastAsia="Arial" w:hint="default"/>
                <w:sz w:val="20"/>
                <w:szCs w:val="20"/>
              </w:rPr>
              <w:t>-</w:t>
              <w:tab/>
              <w:t>-</w:t>
              <w:tab/>
              <w:t>-</w:t>
              <w:tab/>
            </w:r>
            <w:r>
              <w:rPr>
                <w:rFonts w:ascii="宋体" w:hAnsi="宋体" w:cs="宋体" w:eastAsia="宋体" w:hint="default"/>
                <w:position w:val="1"/>
                <w:sz w:val="20"/>
                <w:szCs w:val="20"/>
              </w:rPr>
              <w:t>自有资金</w:t>
            </w:r>
            <w:r>
              <w:rPr>
                <w:rFonts w:ascii="宋体" w:hAnsi="宋体" w:cs="宋体" w:eastAsia="宋体" w:hint="default"/>
                <w:sz w:val="20"/>
                <w:szCs w:val="20"/>
              </w:rPr>
            </w:r>
          </w:p>
        </w:tc>
      </w:tr>
      <w:tr>
        <w:trPr>
          <w:trHeight w:val="372" w:hRule="exact"/>
        </w:trPr>
        <w:tc>
          <w:tcPr>
            <w:tcW w:w="2494" w:type="dxa"/>
            <w:gridSpan w:val="2"/>
            <w:tcBorders>
              <w:top w:val="nil" w:sz="6" w:space="0" w:color="auto"/>
              <w:left w:val="nil" w:sz="6" w:space="0" w:color="auto"/>
              <w:bottom w:val="nil" w:sz="6" w:space="0" w:color="auto"/>
              <w:right w:val="nil" w:sz="6" w:space="0" w:color="auto"/>
            </w:tcBorders>
          </w:tcPr>
          <w:p>
            <w:pPr>
              <w:pStyle w:val="TableParagraph"/>
              <w:tabs>
                <w:tab w:pos="1658" w:val="left" w:leader="none"/>
              </w:tabs>
              <w:spacing w:line="240" w:lineRule="auto" w:before="90"/>
              <w:ind w:left="234" w:right="0"/>
              <w:jc w:val="left"/>
              <w:rPr>
                <w:rFonts w:ascii="Arial" w:hAnsi="Arial" w:cs="Arial" w:eastAsia="Arial" w:hint="default"/>
                <w:sz w:val="20"/>
                <w:szCs w:val="20"/>
              </w:rPr>
            </w:pPr>
            <w:r>
              <w:rPr>
                <w:rFonts w:ascii="Arial" w:hAnsi="Arial" w:cs="Arial" w:eastAsia="Arial" w:hint="default"/>
                <w:position w:val="1"/>
                <w:sz w:val="20"/>
                <w:szCs w:val="20"/>
              </w:rPr>
              <w:t>-</w:t>
            </w:r>
            <w:r>
              <w:rPr>
                <w:rFonts w:ascii="宋体" w:hAnsi="宋体" w:cs="宋体" w:eastAsia="宋体" w:hint="default"/>
                <w:position w:val="1"/>
                <w:sz w:val="20"/>
                <w:szCs w:val="20"/>
              </w:rPr>
              <w:t>胜利广场</w:t>
              <w:tab/>
            </w:r>
            <w:r>
              <w:rPr>
                <w:rFonts w:ascii="Arial" w:hAnsi="Arial" w:cs="Arial" w:eastAsia="Arial" w:hint="default"/>
                <w:sz w:val="20"/>
                <w:szCs w:val="20"/>
              </w:rPr>
              <w:t>219,527</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64"/>
              <w:jc w:val="right"/>
              <w:rPr>
                <w:rFonts w:ascii="Arial" w:hAnsi="Arial" w:cs="Arial" w:eastAsia="Arial" w:hint="default"/>
                <w:sz w:val="20"/>
                <w:szCs w:val="20"/>
              </w:rPr>
            </w:pPr>
            <w:r>
              <w:rPr>
                <w:rFonts w:ascii="Arial"/>
                <w:w w:val="100"/>
                <w:sz w:val="20"/>
              </w:rPr>
              <w:t>-</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 w:right="0"/>
              <w:jc w:val="center"/>
              <w:rPr>
                <w:rFonts w:ascii="Arial" w:hAnsi="Arial" w:cs="Arial" w:eastAsia="Arial" w:hint="default"/>
                <w:sz w:val="20"/>
                <w:szCs w:val="20"/>
              </w:rPr>
            </w:pPr>
            <w:r>
              <w:rPr>
                <w:rFonts w:ascii="Arial"/>
                <w:sz w:val="20"/>
              </w:rPr>
              <w:t>219,527</w:t>
            </w:r>
          </w:p>
        </w:tc>
        <w:tc>
          <w:tcPr>
            <w:tcW w:w="1674" w:type="dxa"/>
            <w:gridSpan w:val="2"/>
            <w:tcBorders>
              <w:top w:val="nil" w:sz="6" w:space="0" w:color="auto"/>
              <w:left w:val="nil" w:sz="6" w:space="0" w:color="auto"/>
              <w:bottom w:val="nil" w:sz="6" w:space="0" w:color="auto"/>
              <w:right w:val="nil" w:sz="6" w:space="0" w:color="auto"/>
            </w:tcBorders>
          </w:tcPr>
          <w:p>
            <w:pPr>
              <w:pStyle w:val="TableParagraph"/>
              <w:tabs>
                <w:tab w:pos="917" w:val="left" w:leader="none"/>
              </w:tabs>
              <w:spacing w:line="240" w:lineRule="auto" w:before="146"/>
              <w:ind w:left="406" w:right="0"/>
              <w:jc w:val="left"/>
              <w:rPr>
                <w:rFonts w:ascii="Arial" w:hAnsi="Arial" w:cs="Arial" w:eastAsia="Arial" w:hint="default"/>
                <w:sz w:val="20"/>
                <w:szCs w:val="20"/>
              </w:rPr>
            </w:pPr>
            <w:r>
              <w:rPr>
                <w:rFonts w:ascii="Arial"/>
                <w:sz w:val="20"/>
              </w:rPr>
              <w:t>-</w:t>
              <w:tab/>
              <w:t>219,527</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52"/>
              <w:jc w:val="right"/>
              <w:rPr>
                <w:rFonts w:ascii="Arial" w:hAnsi="Arial" w:cs="Arial" w:eastAsia="Arial" w:hint="default"/>
                <w:sz w:val="20"/>
                <w:szCs w:val="20"/>
              </w:rPr>
            </w:pPr>
            <w:r>
              <w:rPr>
                <w:rFonts w:ascii="Arial"/>
                <w:sz w:val="20"/>
              </w:rPr>
              <w:t>100%</w:t>
            </w:r>
          </w:p>
        </w:tc>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08"/>
              <w:jc w:val="right"/>
              <w:rPr>
                <w:rFonts w:ascii="宋体" w:hAnsi="宋体" w:cs="宋体" w:eastAsia="宋体" w:hint="default"/>
                <w:sz w:val="20"/>
                <w:szCs w:val="20"/>
              </w:rPr>
            </w:pPr>
            <w:r>
              <w:rPr>
                <w:rFonts w:ascii="宋体" w:hAnsi="宋体" w:cs="宋体" w:eastAsia="宋体" w:hint="default"/>
                <w:spacing w:val="-1"/>
                <w:sz w:val="20"/>
                <w:szCs w:val="20"/>
              </w:rPr>
              <w:t>装修工程尚未开始</w:t>
            </w:r>
          </w:p>
        </w:tc>
        <w:tc>
          <w:tcPr>
            <w:tcW w:w="4089" w:type="dxa"/>
            <w:gridSpan w:val="2"/>
            <w:tcBorders>
              <w:top w:val="nil" w:sz="6" w:space="0" w:color="auto"/>
              <w:left w:val="nil" w:sz="6" w:space="0" w:color="auto"/>
              <w:bottom w:val="nil" w:sz="6" w:space="0" w:color="auto"/>
              <w:right w:val="nil" w:sz="6" w:space="0" w:color="auto"/>
            </w:tcBorders>
          </w:tcPr>
          <w:p>
            <w:pPr>
              <w:pStyle w:val="TableParagraph"/>
              <w:tabs>
                <w:tab w:pos="1845" w:val="left" w:leader="none"/>
                <w:tab w:pos="2774" w:val="left" w:leader="none"/>
                <w:tab w:pos="3251" w:val="left" w:leader="none"/>
              </w:tabs>
              <w:spacing w:line="240" w:lineRule="auto" w:before="90"/>
              <w:ind w:left="648" w:right="0"/>
              <w:jc w:val="left"/>
              <w:rPr>
                <w:rFonts w:ascii="宋体" w:hAnsi="宋体" w:cs="宋体" w:eastAsia="宋体" w:hint="default"/>
                <w:sz w:val="20"/>
                <w:szCs w:val="20"/>
              </w:rPr>
            </w:pPr>
            <w:r>
              <w:rPr>
                <w:rFonts w:ascii="Arial" w:hAnsi="Arial" w:cs="Arial" w:eastAsia="Arial" w:hint="default"/>
                <w:sz w:val="20"/>
                <w:szCs w:val="20"/>
              </w:rPr>
              <w:t>-</w:t>
              <w:tab/>
              <w:t>-</w:t>
              <w:tab/>
              <w:t>-</w:t>
              <w:tab/>
            </w:r>
            <w:r>
              <w:rPr>
                <w:rFonts w:ascii="宋体" w:hAnsi="宋体" w:cs="宋体" w:eastAsia="宋体" w:hint="default"/>
                <w:position w:val="1"/>
                <w:sz w:val="20"/>
                <w:szCs w:val="20"/>
              </w:rPr>
              <w:t>自有资金</w:t>
            </w:r>
            <w:r>
              <w:rPr>
                <w:rFonts w:ascii="宋体" w:hAnsi="宋体" w:cs="宋体" w:eastAsia="宋体" w:hint="default"/>
                <w:sz w:val="20"/>
                <w:szCs w:val="20"/>
              </w:rPr>
            </w:r>
          </w:p>
        </w:tc>
      </w:tr>
      <w:tr>
        <w:trPr>
          <w:trHeight w:val="267" w:hRule="exact"/>
        </w:trPr>
        <w:tc>
          <w:tcPr>
            <w:tcW w:w="2494" w:type="dxa"/>
            <w:gridSpan w:val="2"/>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宋体" w:hAnsi="宋体" w:cs="宋体" w:eastAsia="宋体" w:hint="default"/>
                <w:sz w:val="20"/>
                <w:szCs w:val="20"/>
              </w:rPr>
            </w:pPr>
            <w:r>
              <w:rPr>
                <w:rFonts w:ascii="宋体" w:hAnsi="宋体" w:cs="宋体" w:eastAsia="宋体" w:hint="default"/>
                <w:sz w:val="20"/>
                <w:szCs w:val="20"/>
              </w:rPr>
              <w:t>刘家窑芳群公寓</w:t>
            </w:r>
          </w:p>
        </w:tc>
        <w:tc>
          <w:tcPr>
            <w:tcW w:w="1055"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c>
          <w:tcPr>
            <w:tcW w:w="1674" w:type="dxa"/>
            <w:gridSpan w:val="2"/>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2467" w:type="dxa"/>
            <w:tcBorders>
              <w:top w:val="nil" w:sz="6" w:space="0" w:color="auto"/>
              <w:left w:val="nil" w:sz="6" w:space="0" w:color="auto"/>
              <w:bottom w:val="nil" w:sz="6" w:space="0" w:color="auto"/>
              <w:right w:val="nil" w:sz="6" w:space="0" w:color="auto"/>
            </w:tcBorders>
          </w:tcPr>
          <w:p>
            <w:pPr/>
          </w:p>
        </w:tc>
        <w:tc>
          <w:tcPr>
            <w:tcW w:w="4089" w:type="dxa"/>
            <w:gridSpan w:val="2"/>
            <w:tcBorders>
              <w:top w:val="nil" w:sz="6" w:space="0" w:color="auto"/>
              <w:left w:val="nil" w:sz="6" w:space="0" w:color="auto"/>
              <w:bottom w:val="nil" w:sz="6" w:space="0" w:color="auto"/>
              <w:right w:val="nil" w:sz="6" w:space="0" w:color="auto"/>
            </w:tcBorders>
          </w:tcPr>
          <w:p>
            <w:pPr/>
          </w:p>
        </w:tc>
      </w:tr>
      <w:tr>
        <w:trPr>
          <w:trHeight w:val="520"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29" w:lineRule="exact"/>
              <w:ind w:left="234" w:right="0"/>
              <w:jc w:val="left"/>
              <w:rPr>
                <w:rFonts w:ascii="宋体" w:hAnsi="宋体" w:cs="宋体" w:eastAsia="宋体" w:hint="default"/>
                <w:sz w:val="20"/>
                <w:szCs w:val="20"/>
              </w:rPr>
            </w:pPr>
            <w:r>
              <w:rPr>
                <w:rFonts w:ascii="宋体" w:hAnsi="宋体" w:cs="宋体" w:eastAsia="宋体" w:hint="default"/>
                <w:sz w:val="20"/>
                <w:szCs w:val="20"/>
              </w:rPr>
              <w:t>商场物业</w:t>
            </w:r>
          </w:p>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大同苏宁购置店</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9"/>
              <w:jc w:val="right"/>
              <w:rPr>
                <w:rFonts w:ascii="Arial" w:hAnsi="Arial" w:cs="Arial" w:eastAsia="Arial" w:hint="default"/>
                <w:sz w:val="20"/>
                <w:szCs w:val="20"/>
              </w:rPr>
            </w:pPr>
            <w:r>
              <w:rPr>
                <w:rFonts w:ascii="Arial"/>
                <w:sz w:val="20"/>
              </w:rPr>
              <w:t>99,733</w:t>
            </w:r>
          </w:p>
        </w:tc>
        <w:tc>
          <w:tcPr>
            <w:tcW w:w="5219" w:type="dxa"/>
            <w:gridSpan w:val="5"/>
            <w:tcBorders>
              <w:top w:val="nil" w:sz="6" w:space="0" w:color="auto"/>
              <w:left w:val="nil" w:sz="6" w:space="0" w:color="auto"/>
              <w:bottom w:val="nil" w:sz="6" w:space="0" w:color="auto"/>
              <w:right w:val="nil" w:sz="6" w:space="0" w:color="auto"/>
            </w:tcBorders>
          </w:tcPr>
          <w:p>
            <w:pPr>
              <w:pStyle w:val="TableParagraph"/>
              <w:tabs>
                <w:tab w:pos="1437" w:val="left" w:leader="none"/>
                <w:tab w:pos="3007" w:val="left" w:leader="none"/>
                <w:tab w:pos="3628" w:val="left" w:leader="none"/>
                <w:tab w:pos="4551" w:val="left" w:leader="none"/>
              </w:tabs>
              <w:spacing w:line="240" w:lineRule="auto" w:before="28"/>
              <w:ind w:left="921" w:right="0"/>
              <w:jc w:val="left"/>
              <w:rPr>
                <w:rFonts w:ascii="Arial" w:hAnsi="Arial" w:cs="Arial" w:eastAsia="Arial" w:hint="default"/>
                <w:sz w:val="20"/>
                <w:szCs w:val="20"/>
              </w:rPr>
            </w:pPr>
            <w:r>
              <w:rPr>
                <w:rFonts w:ascii="Arial"/>
                <w:sz w:val="20"/>
              </w:rPr>
              <w:t>-</w:t>
              <w:tab/>
              <w:t>99,733</w:t>
              <w:tab/>
              <w:t>-</w:t>
              <w:tab/>
              <w:t>99,733</w:t>
              <w:tab/>
              <w:t>100%</w:t>
            </w:r>
          </w:p>
        </w:tc>
        <w:tc>
          <w:tcPr>
            <w:tcW w:w="2467" w:type="dxa"/>
            <w:tcBorders>
              <w:top w:val="nil" w:sz="6" w:space="0" w:color="auto"/>
              <w:left w:val="nil" w:sz="6" w:space="0" w:color="auto"/>
              <w:bottom w:val="nil" w:sz="6" w:space="0" w:color="auto"/>
              <w:right w:val="nil" w:sz="6" w:space="0" w:color="auto"/>
            </w:tcBorders>
          </w:tcPr>
          <w:p>
            <w:pPr>
              <w:pStyle w:val="TableParagraph"/>
              <w:spacing w:line="231" w:lineRule="exact"/>
              <w:ind w:right="308"/>
              <w:jc w:val="right"/>
              <w:rPr>
                <w:rFonts w:ascii="宋体" w:hAnsi="宋体" w:cs="宋体" w:eastAsia="宋体" w:hint="default"/>
                <w:sz w:val="20"/>
                <w:szCs w:val="20"/>
              </w:rPr>
            </w:pPr>
            <w:r>
              <w:rPr>
                <w:rFonts w:ascii="宋体" w:hAnsi="宋体" w:cs="宋体" w:eastAsia="宋体" w:hint="default"/>
                <w:spacing w:val="-1"/>
                <w:sz w:val="20"/>
                <w:szCs w:val="20"/>
              </w:rPr>
              <w:t>主体工程基本完工</w:t>
            </w:r>
          </w:p>
        </w:tc>
        <w:tc>
          <w:tcPr>
            <w:tcW w:w="4089" w:type="dxa"/>
            <w:gridSpan w:val="2"/>
            <w:tcBorders>
              <w:top w:val="nil" w:sz="6" w:space="0" w:color="auto"/>
              <w:left w:val="nil" w:sz="6" w:space="0" w:color="auto"/>
              <w:bottom w:val="nil" w:sz="6" w:space="0" w:color="auto"/>
              <w:right w:val="nil" w:sz="6" w:space="0" w:color="auto"/>
            </w:tcBorders>
          </w:tcPr>
          <w:p>
            <w:pPr>
              <w:pStyle w:val="TableParagraph"/>
              <w:tabs>
                <w:tab w:pos="1845" w:val="left" w:leader="none"/>
                <w:tab w:pos="2774" w:val="left" w:leader="none"/>
                <w:tab w:pos="3251" w:val="left" w:leader="none"/>
              </w:tabs>
              <w:spacing w:line="258" w:lineRule="exact"/>
              <w:ind w:left="648" w:right="0"/>
              <w:jc w:val="left"/>
              <w:rPr>
                <w:rFonts w:ascii="宋体" w:hAnsi="宋体" w:cs="宋体" w:eastAsia="宋体" w:hint="default"/>
                <w:sz w:val="20"/>
                <w:szCs w:val="20"/>
              </w:rPr>
            </w:pPr>
            <w:r>
              <w:rPr>
                <w:rFonts w:ascii="Arial" w:hAnsi="Arial" w:cs="Arial" w:eastAsia="Arial" w:hint="default"/>
                <w:sz w:val="20"/>
                <w:szCs w:val="20"/>
              </w:rPr>
              <w:t>-</w:t>
              <w:tab/>
              <w:t>-</w:t>
              <w:tab/>
              <w:t>-</w:t>
              <w:tab/>
            </w:r>
            <w:r>
              <w:rPr>
                <w:rFonts w:ascii="宋体" w:hAnsi="宋体" w:cs="宋体" w:eastAsia="宋体" w:hint="default"/>
                <w:position w:val="1"/>
                <w:sz w:val="20"/>
                <w:szCs w:val="20"/>
              </w:rPr>
              <w:t>自有资金</w:t>
            </w:r>
            <w:r>
              <w:rPr>
                <w:rFonts w:ascii="宋体" w:hAnsi="宋体" w:cs="宋体" w:eastAsia="宋体" w:hint="default"/>
                <w:sz w:val="20"/>
                <w:szCs w:val="20"/>
              </w:rPr>
            </w:r>
          </w:p>
        </w:tc>
      </w:tr>
      <w:tr>
        <w:trPr>
          <w:trHeight w:val="520"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36" w:lineRule="exact"/>
              <w:ind w:left="234"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金帝商厦</w:t>
            </w:r>
          </w:p>
          <w:p>
            <w:pPr>
              <w:pStyle w:val="TableParagraph"/>
              <w:spacing w:line="253" w:lineRule="exact"/>
              <w:ind w:left="35" w:right="0"/>
              <w:jc w:val="left"/>
              <w:rPr>
                <w:rFonts w:ascii="宋体" w:hAnsi="宋体" w:cs="宋体" w:eastAsia="宋体" w:hint="default"/>
                <w:sz w:val="20"/>
                <w:szCs w:val="20"/>
              </w:rPr>
            </w:pPr>
            <w:r>
              <w:rPr>
                <w:rFonts w:ascii="宋体" w:hAnsi="宋体" w:cs="宋体" w:eastAsia="宋体" w:hint="default"/>
                <w:sz w:val="20"/>
                <w:szCs w:val="20"/>
              </w:rPr>
              <w:t>合肥物流</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9"/>
              <w:jc w:val="right"/>
              <w:rPr>
                <w:rFonts w:ascii="Arial" w:hAnsi="Arial" w:cs="Arial" w:eastAsia="Arial" w:hint="default"/>
                <w:sz w:val="20"/>
                <w:szCs w:val="20"/>
              </w:rPr>
            </w:pPr>
            <w:r>
              <w:rPr>
                <w:rFonts w:ascii="Arial"/>
                <w:spacing w:val="-1"/>
                <w:sz w:val="20"/>
              </w:rPr>
              <w:t>185,000</w:t>
            </w:r>
          </w:p>
        </w:tc>
        <w:tc>
          <w:tcPr>
            <w:tcW w:w="5219" w:type="dxa"/>
            <w:gridSpan w:val="5"/>
            <w:tcBorders>
              <w:top w:val="nil" w:sz="6" w:space="0" w:color="auto"/>
              <w:left w:val="nil" w:sz="6" w:space="0" w:color="auto"/>
              <w:bottom w:val="nil" w:sz="6" w:space="0" w:color="auto"/>
              <w:right w:val="nil" w:sz="6" w:space="0" w:color="auto"/>
            </w:tcBorders>
          </w:tcPr>
          <w:p>
            <w:pPr>
              <w:pStyle w:val="TableParagraph"/>
              <w:tabs>
                <w:tab w:pos="1424" w:val="left" w:leader="none"/>
                <w:tab w:pos="3007" w:val="left" w:leader="none"/>
                <w:tab w:pos="3518" w:val="left" w:leader="none"/>
                <w:tab w:pos="4663" w:val="left" w:leader="none"/>
              </w:tabs>
              <w:spacing w:line="240" w:lineRule="auto" w:before="28"/>
              <w:ind w:left="921" w:right="0"/>
              <w:jc w:val="left"/>
              <w:rPr>
                <w:rFonts w:ascii="Arial" w:hAnsi="Arial" w:cs="Arial" w:eastAsia="Arial" w:hint="default"/>
                <w:sz w:val="20"/>
                <w:szCs w:val="20"/>
              </w:rPr>
            </w:pPr>
            <w:r>
              <w:rPr>
                <w:rFonts w:ascii="Arial"/>
                <w:sz w:val="20"/>
              </w:rPr>
              <w:t>-</w:t>
              <w:tab/>
            </w:r>
            <w:r>
              <w:rPr>
                <w:rFonts w:ascii="Arial"/>
                <w:spacing w:val="-1"/>
                <w:sz w:val="20"/>
              </w:rPr>
              <w:t>183,346</w:t>
              <w:tab/>
            </w:r>
            <w:r>
              <w:rPr>
                <w:rFonts w:ascii="Arial"/>
                <w:sz w:val="20"/>
              </w:rPr>
              <w:t>-</w:t>
              <w:tab/>
            </w:r>
            <w:r>
              <w:rPr>
                <w:rFonts w:ascii="Arial"/>
                <w:spacing w:val="-1"/>
                <w:sz w:val="20"/>
              </w:rPr>
              <w:t>183,346</w:t>
              <w:tab/>
            </w:r>
            <w:r>
              <w:rPr>
                <w:rFonts w:ascii="Arial"/>
                <w:sz w:val="20"/>
              </w:rPr>
              <w:t>99%</w:t>
            </w:r>
          </w:p>
        </w:tc>
        <w:tc>
          <w:tcPr>
            <w:tcW w:w="2467" w:type="dxa"/>
            <w:tcBorders>
              <w:top w:val="nil" w:sz="6" w:space="0" w:color="auto"/>
              <w:left w:val="nil" w:sz="6" w:space="0" w:color="auto"/>
              <w:bottom w:val="nil" w:sz="6" w:space="0" w:color="auto"/>
              <w:right w:val="nil" w:sz="6" w:space="0" w:color="auto"/>
            </w:tcBorders>
          </w:tcPr>
          <w:p>
            <w:pPr>
              <w:pStyle w:val="TableParagraph"/>
              <w:spacing w:line="229" w:lineRule="exact"/>
              <w:ind w:left="154" w:right="0" w:firstLine="400"/>
              <w:jc w:val="left"/>
              <w:rPr>
                <w:rFonts w:ascii="宋体" w:hAnsi="宋体" w:cs="宋体" w:eastAsia="宋体" w:hint="default"/>
                <w:sz w:val="20"/>
                <w:szCs w:val="20"/>
              </w:rPr>
            </w:pPr>
            <w:r>
              <w:rPr>
                <w:rFonts w:ascii="宋体" w:hAnsi="宋体" w:cs="宋体" w:eastAsia="宋体" w:hint="default"/>
                <w:sz w:val="20"/>
                <w:szCs w:val="20"/>
              </w:rPr>
              <w:t>装修工程尚未开始</w:t>
            </w:r>
          </w:p>
          <w:p>
            <w:pPr>
              <w:pStyle w:val="TableParagraph"/>
              <w:spacing w:line="260" w:lineRule="exact"/>
              <w:ind w:left="154" w:right="0"/>
              <w:jc w:val="left"/>
              <w:rPr>
                <w:rFonts w:ascii="宋体" w:hAnsi="宋体" w:cs="宋体" w:eastAsia="宋体" w:hint="default"/>
                <w:sz w:val="20"/>
                <w:szCs w:val="20"/>
              </w:rPr>
            </w:pPr>
            <w:r>
              <w:rPr>
                <w:rFonts w:ascii="宋体" w:hAnsi="宋体" w:cs="宋体" w:eastAsia="宋体" w:hint="default"/>
                <w:sz w:val="20"/>
                <w:szCs w:val="20"/>
              </w:rPr>
              <w:t>土建工程主体封顶，装</w:t>
            </w:r>
          </w:p>
        </w:tc>
        <w:tc>
          <w:tcPr>
            <w:tcW w:w="4089" w:type="dxa"/>
            <w:gridSpan w:val="2"/>
            <w:tcBorders>
              <w:top w:val="nil" w:sz="6" w:space="0" w:color="auto"/>
              <w:left w:val="nil" w:sz="6" w:space="0" w:color="auto"/>
              <w:bottom w:val="nil" w:sz="6" w:space="0" w:color="auto"/>
              <w:right w:val="nil" w:sz="6" w:space="0" w:color="auto"/>
            </w:tcBorders>
          </w:tcPr>
          <w:p>
            <w:pPr>
              <w:pStyle w:val="TableParagraph"/>
              <w:tabs>
                <w:tab w:pos="1845" w:val="left" w:leader="none"/>
                <w:tab w:pos="2774" w:val="left" w:leader="none"/>
                <w:tab w:pos="3251" w:val="left" w:leader="none"/>
              </w:tabs>
              <w:spacing w:line="258" w:lineRule="exact"/>
              <w:ind w:left="647" w:right="0"/>
              <w:jc w:val="left"/>
              <w:rPr>
                <w:rFonts w:ascii="宋体" w:hAnsi="宋体" w:cs="宋体" w:eastAsia="宋体" w:hint="default"/>
                <w:sz w:val="20"/>
                <w:szCs w:val="20"/>
              </w:rPr>
            </w:pPr>
            <w:r>
              <w:rPr>
                <w:rFonts w:ascii="Arial" w:hAnsi="Arial" w:cs="Arial" w:eastAsia="Arial" w:hint="default"/>
                <w:sz w:val="20"/>
                <w:szCs w:val="20"/>
              </w:rPr>
              <w:t>-</w:t>
              <w:tab/>
              <w:t>-</w:t>
              <w:tab/>
              <w:t>-</w:t>
              <w:tab/>
            </w:r>
            <w:r>
              <w:rPr>
                <w:rFonts w:ascii="宋体" w:hAnsi="宋体" w:cs="宋体" w:eastAsia="宋体" w:hint="default"/>
                <w:position w:val="1"/>
                <w:sz w:val="20"/>
                <w:szCs w:val="20"/>
              </w:rPr>
              <w:t>自有资金</w:t>
            </w:r>
            <w:r>
              <w:rPr>
                <w:rFonts w:ascii="宋体" w:hAnsi="宋体" w:cs="宋体" w:eastAsia="宋体" w:hint="default"/>
                <w:sz w:val="20"/>
                <w:szCs w:val="20"/>
              </w:rPr>
            </w:r>
          </w:p>
        </w:tc>
      </w:tr>
      <w:tr>
        <w:trPr>
          <w:trHeight w:val="520"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30" w:lineRule="exact"/>
              <w:ind w:left="234" w:right="0"/>
              <w:jc w:val="left"/>
              <w:rPr>
                <w:rFonts w:ascii="宋体" w:hAnsi="宋体" w:cs="宋体" w:eastAsia="宋体" w:hint="default"/>
                <w:sz w:val="20"/>
                <w:szCs w:val="20"/>
              </w:rPr>
            </w:pPr>
            <w:r>
              <w:rPr>
                <w:rFonts w:ascii="宋体" w:hAnsi="宋体" w:cs="宋体" w:eastAsia="宋体" w:hint="default"/>
                <w:sz w:val="20"/>
                <w:szCs w:val="20"/>
              </w:rPr>
              <w:t>基地工程</w:t>
            </w:r>
          </w:p>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云南苏宁购置店</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9"/>
              <w:jc w:val="right"/>
              <w:rPr>
                <w:rFonts w:ascii="Arial" w:hAnsi="Arial" w:cs="Arial" w:eastAsia="Arial" w:hint="default"/>
                <w:sz w:val="20"/>
                <w:szCs w:val="20"/>
              </w:rPr>
            </w:pPr>
            <w:r>
              <w:rPr>
                <w:rFonts w:ascii="Arial"/>
                <w:spacing w:val="-1"/>
                <w:sz w:val="20"/>
              </w:rPr>
              <w:t>132,000</w:t>
            </w:r>
          </w:p>
        </w:tc>
        <w:tc>
          <w:tcPr>
            <w:tcW w:w="5219" w:type="dxa"/>
            <w:gridSpan w:val="5"/>
            <w:tcBorders>
              <w:top w:val="nil" w:sz="6" w:space="0" w:color="auto"/>
              <w:left w:val="nil" w:sz="6" w:space="0" w:color="auto"/>
              <w:bottom w:val="nil" w:sz="6" w:space="0" w:color="auto"/>
              <w:right w:val="nil" w:sz="6" w:space="0" w:color="auto"/>
            </w:tcBorders>
          </w:tcPr>
          <w:p>
            <w:pPr>
              <w:pStyle w:val="TableParagraph"/>
              <w:tabs>
                <w:tab w:pos="1581" w:val="left" w:leader="none"/>
                <w:tab w:pos="3007" w:val="left" w:leader="none"/>
                <w:tab w:pos="3628" w:val="left" w:leader="none"/>
                <w:tab w:pos="4663" w:val="left" w:leader="none"/>
              </w:tabs>
              <w:spacing w:line="240" w:lineRule="auto" w:before="28"/>
              <w:ind w:left="921" w:right="0"/>
              <w:jc w:val="left"/>
              <w:rPr>
                <w:rFonts w:ascii="Arial" w:hAnsi="Arial" w:cs="Arial" w:eastAsia="Arial" w:hint="default"/>
                <w:sz w:val="20"/>
                <w:szCs w:val="20"/>
              </w:rPr>
            </w:pPr>
            <w:r>
              <w:rPr>
                <w:rFonts w:ascii="Arial"/>
                <w:sz w:val="20"/>
              </w:rPr>
              <w:t>-</w:t>
              <w:tab/>
              <w:t>29,397</w:t>
              <w:tab/>
              <w:t>-</w:t>
              <w:tab/>
              <w:t>29,397</w:t>
              <w:tab/>
              <w:t>22%</w:t>
            </w:r>
          </w:p>
        </w:tc>
        <w:tc>
          <w:tcPr>
            <w:tcW w:w="2467" w:type="dxa"/>
            <w:tcBorders>
              <w:top w:val="nil" w:sz="6" w:space="0" w:color="auto"/>
              <w:left w:val="nil" w:sz="6" w:space="0" w:color="auto"/>
              <w:bottom w:val="nil" w:sz="6" w:space="0" w:color="auto"/>
              <w:right w:val="nil" w:sz="6" w:space="0" w:color="auto"/>
            </w:tcBorders>
          </w:tcPr>
          <w:p>
            <w:pPr>
              <w:pStyle w:val="TableParagraph"/>
              <w:spacing w:line="230" w:lineRule="exact"/>
              <w:ind w:right="308"/>
              <w:jc w:val="right"/>
              <w:rPr>
                <w:rFonts w:ascii="宋体" w:hAnsi="宋体" w:cs="宋体" w:eastAsia="宋体" w:hint="default"/>
                <w:sz w:val="20"/>
                <w:szCs w:val="20"/>
              </w:rPr>
            </w:pPr>
            <w:r>
              <w:rPr>
                <w:rFonts w:ascii="宋体" w:hAnsi="宋体" w:cs="宋体" w:eastAsia="宋体" w:hint="default"/>
                <w:spacing w:val="-1"/>
                <w:sz w:val="20"/>
                <w:szCs w:val="20"/>
              </w:rPr>
              <w:t>修、外围工程尚未开始</w:t>
            </w:r>
          </w:p>
        </w:tc>
        <w:tc>
          <w:tcPr>
            <w:tcW w:w="4089" w:type="dxa"/>
            <w:gridSpan w:val="2"/>
            <w:tcBorders>
              <w:top w:val="nil" w:sz="6" w:space="0" w:color="auto"/>
              <w:left w:val="nil" w:sz="6" w:space="0" w:color="auto"/>
              <w:bottom w:val="nil" w:sz="6" w:space="0" w:color="auto"/>
              <w:right w:val="nil" w:sz="6" w:space="0" w:color="auto"/>
            </w:tcBorders>
          </w:tcPr>
          <w:p>
            <w:pPr>
              <w:pStyle w:val="TableParagraph"/>
              <w:tabs>
                <w:tab w:pos="1845" w:val="left" w:leader="none"/>
                <w:tab w:pos="2774" w:val="left" w:leader="none"/>
                <w:tab w:pos="3251" w:val="left" w:leader="none"/>
              </w:tabs>
              <w:spacing w:line="258" w:lineRule="exact"/>
              <w:ind w:left="648" w:right="0"/>
              <w:jc w:val="left"/>
              <w:rPr>
                <w:rFonts w:ascii="宋体" w:hAnsi="宋体" w:cs="宋体" w:eastAsia="宋体" w:hint="default"/>
                <w:sz w:val="20"/>
                <w:szCs w:val="20"/>
              </w:rPr>
            </w:pPr>
            <w:r>
              <w:rPr>
                <w:rFonts w:ascii="Arial" w:hAnsi="Arial" w:cs="Arial" w:eastAsia="Arial" w:hint="default"/>
                <w:sz w:val="20"/>
                <w:szCs w:val="20"/>
              </w:rPr>
              <w:t>-</w:t>
              <w:tab/>
              <w:t>-</w:t>
              <w:tab/>
              <w:t>-</w:t>
              <w:tab/>
            </w:r>
            <w:r>
              <w:rPr>
                <w:rFonts w:ascii="宋体" w:hAnsi="宋体" w:cs="宋体" w:eastAsia="宋体" w:hint="default"/>
                <w:position w:val="1"/>
                <w:sz w:val="20"/>
                <w:szCs w:val="20"/>
              </w:rPr>
              <w:t>自有资金</w:t>
            </w:r>
            <w:r>
              <w:rPr>
                <w:rFonts w:ascii="宋体" w:hAnsi="宋体" w:cs="宋体" w:eastAsia="宋体" w:hint="default"/>
                <w:sz w:val="20"/>
                <w:szCs w:val="20"/>
              </w:rPr>
            </w:r>
          </w:p>
        </w:tc>
      </w:tr>
      <w:tr>
        <w:trPr>
          <w:trHeight w:val="372"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44" w:lineRule="exact"/>
              <w:ind w:left="134"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长春花园商场</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9"/>
              <w:jc w:val="right"/>
              <w:rPr>
                <w:rFonts w:ascii="Arial" w:hAnsi="Arial" w:cs="Arial" w:eastAsia="Arial" w:hint="default"/>
                <w:sz w:val="20"/>
                <w:szCs w:val="20"/>
              </w:rPr>
            </w:pPr>
            <w:r>
              <w:rPr>
                <w:rFonts w:ascii="Arial"/>
                <w:spacing w:val="-1"/>
                <w:sz w:val="20"/>
              </w:rPr>
              <w:t>252,706</w:t>
            </w:r>
          </w:p>
        </w:tc>
        <w:tc>
          <w:tcPr>
            <w:tcW w:w="5219" w:type="dxa"/>
            <w:gridSpan w:val="5"/>
            <w:tcBorders>
              <w:top w:val="nil" w:sz="6" w:space="0" w:color="auto"/>
              <w:left w:val="nil" w:sz="6" w:space="0" w:color="auto"/>
              <w:bottom w:val="nil" w:sz="6" w:space="0" w:color="auto"/>
              <w:right w:val="nil" w:sz="6" w:space="0" w:color="auto"/>
            </w:tcBorders>
          </w:tcPr>
          <w:p>
            <w:pPr>
              <w:pStyle w:val="TableParagraph"/>
              <w:tabs>
                <w:tab w:pos="1424" w:val="left" w:leader="none"/>
                <w:tab w:pos="4174" w:val="left" w:leader="none"/>
                <w:tab w:pos="4551" w:val="left" w:leader="none"/>
              </w:tabs>
              <w:spacing w:line="240" w:lineRule="auto" w:before="28"/>
              <w:ind w:left="921" w:right="0"/>
              <w:jc w:val="left"/>
              <w:rPr>
                <w:rFonts w:ascii="Arial" w:hAnsi="Arial" w:cs="Arial" w:eastAsia="Arial" w:hint="default"/>
                <w:sz w:val="20"/>
                <w:szCs w:val="20"/>
              </w:rPr>
            </w:pPr>
            <w:r>
              <w:rPr>
                <w:rFonts w:ascii="Arial"/>
                <w:sz w:val="20"/>
              </w:rPr>
              <w:t>-</w:t>
              <w:tab/>
              <w:t>252,706 </w:t>
            </w:r>
            <w:r>
              <w:rPr>
                <w:rFonts w:ascii="Arial"/>
                <w:spacing w:val="21"/>
                <w:sz w:val="20"/>
              </w:rPr>
              <w:t> </w:t>
            </w:r>
            <w:r>
              <w:rPr>
                <w:rFonts w:ascii="Arial"/>
                <w:sz w:val="20"/>
              </w:rPr>
              <w:t>(252,706)</w:t>
              <w:tab/>
              <w:t>-</w:t>
              <w:tab/>
              <w:t>100%</w:t>
            </w:r>
          </w:p>
        </w:tc>
        <w:tc>
          <w:tcPr>
            <w:tcW w:w="2467" w:type="dxa"/>
            <w:tcBorders>
              <w:top w:val="nil" w:sz="6" w:space="0" w:color="auto"/>
              <w:left w:val="nil" w:sz="6" w:space="0" w:color="auto"/>
              <w:bottom w:val="nil" w:sz="6" w:space="0" w:color="auto"/>
              <w:right w:val="nil" w:sz="6" w:space="0" w:color="auto"/>
            </w:tcBorders>
          </w:tcPr>
          <w:p>
            <w:pPr>
              <w:pStyle w:val="TableParagraph"/>
              <w:spacing w:line="231" w:lineRule="exact"/>
              <w:ind w:right="308"/>
              <w:jc w:val="right"/>
              <w:rPr>
                <w:rFonts w:ascii="宋体" w:hAnsi="宋体" w:cs="宋体" w:eastAsia="宋体" w:hint="default"/>
                <w:sz w:val="20"/>
                <w:szCs w:val="20"/>
              </w:rPr>
            </w:pPr>
            <w:r>
              <w:rPr>
                <w:rFonts w:ascii="宋体" w:hAnsi="宋体" w:cs="宋体" w:eastAsia="宋体" w:hint="default"/>
                <w:spacing w:val="-1"/>
                <w:sz w:val="20"/>
                <w:szCs w:val="20"/>
              </w:rPr>
              <w:t>已完工转固</w:t>
            </w:r>
          </w:p>
        </w:tc>
        <w:tc>
          <w:tcPr>
            <w:tcW w:w="4089" w:type="dxa"/>
            <w:gridSpan w:val="2"/>
            <w:tcBorders>
              <w:top w:val="nil" w:sz="6" w:space="0" w:color="auto"/>
              <w:left w:val="nil" w:sz="6" w:space="0" w:color="auto"/>
              <w:bottom w:val="nil" w:sz="6" w:space="0" w:color="auto"/>
              <w:right w:val="nil" w:sz="6" w:space="0" w:color="auto"/>
            </w:tcBorders>
          </w:tcPr>
          <w:p>
            <w:pPr>
              <w:pStyle w:val="TableParagraph"/>
              <w:tabs>
                <w:tab w:pos="1845" w:val="left" w:leader="none"/>
                <w:tab w:pos="2774" w:val="left" w:leader="none"/>
                <w:tab w:pos="3251" w:val="left" w:leader="none"/>
              </w:tabs>
              <w:spacing w:line="258" w:lineRule="exact"/>
              <w:ind w:left="647" w:right="0"/>
              <w:jc w:val="left"/>
              <w:rPr>
                <w:rFonts w:ascii="宋体" w:hAnsi="宋体" w:cs="宋体" w:eastAsia="宋体" w:hint="default"/>
                <w:sz w:val="20"/>
                <w:szCs w:val="20"/>
              </w:rPr>
            </w:pPr>
            <w:r>
              <w:rPr>
                <w:rFonts w:ascii="Arial" w:hAnsi="Arial" w:cs="Arial" w:eastAsia="Arial" w:hint="default"/>
                <w:sz w:val="20"/>
                <w:szCs w:val="20"/>
              </w:rPr>
              <w:t>-</w:t>
              <w:tab/>
              <w:t>-</w:t>
              <w:tab/>
              <w:t>-</w:t>
              <w:tab/>
            </w:r>
            <w:r>
              <w:rPr>
                <w:rFonts w:ascii="宋体" w:hAnsi="宋体" w:cs="宋体" w:eastAsia="宋体" w:hint="default"/>
                <w:position w:val="1"/>
                <w:sz w:val="20"/>
                <w:szCs w:val="20"/>
              </w:rPr>
              <w:t>自有资金</w:t>
            </w:r>
            <w:r>
              <w:rPr>
                <w:rFonts w:ascii="宋体" w:hAnsi="宋体" w:cs="宋体" w:eastAsia="宋体" w:hint="default"/>
                <w:sz w:val="20"/>
                <w:szCs w:val="20"/>
              </w:rPr>
            </w:r>
          </w:p>
        </w:tc>
      </w:tr>
      <w:tr>
        <w:trPr>
          <w:trHeight w:val="361" w:hRule="exact"/>
        </w:trPr>
        <w:tc>
          <w:tcPr>
            <w:tcW w:w="24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20"/>
                <w:szCs w:val="20"/>
              </w:rPr>
            </w:pPr>
            <w:r>
              <w:rPr>
                <w:rFonts w:ascii="宋体" w:hAnsi="宋体" w:cs="宋体" w:eastAsia="宋体" w:hint="default"/>
                <w:sz w:val="20"/>
                <w:szCs w:val="20"/>
              </w:rPr>
              <w:t>其他工程</w:t>
            </w:r>
          </w:p>
        </w:tc>
        <w:tc>
          <w:tcPr>
            <w:tcW w:w="1055" w:type="dxa"/>
            <w:tcBorders>
              <w:top w:val="nil" w:sz="6" w:space="0" w:color="auto"/>
              <w:left w:val="nil" w:sz="6" w:space="0" w:color="auto"/>
              <w:bottom w:val="nil" w:sz="6" w:space="0" w:color="auto"/>
              <w:right w:val="nil" w:sz="6" w:space="0" w:color="auto"/>
            </w:tcBorders>
          </w:tcPr>
          <w:p>
            <w:pPr>
              <w:pStyle w:val="TableParagraph"/>
              <w:tabs>
                <w:tab w:pos="646" w:val="left" w:leader="none"/>
              </w:tabs>
              <w:spacing w:line="240" w:lineRule="auto" w:before="116"/>
              <w:ind w:right="6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503</w:t>
            </w:r>
            <w:r>
              <w:rPr>
                <w:rFonts w:ascii="Arial"/>
                <w:sz w:val="20"/>
              </w:rPr>
            </w:r>
          </w:p>
        </w:tc>
        <w:tc>
          <w:tcPr>
            <w:tcW w:w="2139" w:type="dxa"/>
            <w:gridSpan w:val="2"/>
            <w:tcBorders>
              <w:top w:val="nil" w:sz="6" w:space="0" w:color="auto"/>
              <w:left w:val="nil" w:sz="6" w:space="0" w:color="auto"/>
              <w:bottom w:val="nil" w:sz="6" w:space="0" w:color="auto"/>
              <w:right w:val="nil" w:sz="6" w:space="0" w:color="auto"/>
            </w:tcBorders>
          </w:tcPr>
          <w:p>
            <w:pPr>
              <w:pStyle w:val="TableParagraph"/>
              <w:tabs>
                <w:tab w:pos="591" w:val="left" w:leader="none"/>
                <w:tab w:pos="1618" w:val="left" w:leader="none"/>
              </w:tabs>
              <w:spacing w:line="240" w:lineRule="auto" w:before="116"/>
              <w:ind w:left="6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8,660</w:t>
            </w:r>
            <w:r>
              <w:rPr>
                <w:rFonts w:ascii="Arial"/>
                <w:sz w:val="20"/>
              </w:rPr>
            </w:r>
            <w:r>
              <w:rPr>
                <w:rFonts w:ascii="Arial"/>
                <w:sz w:val="20"/>
                <w:u w:val="single" w:color="000000"/>
              </w:rPr>
              <w:t> </w:t>
              <w:tab/>
              <w:t>(621)</w:t>
            </w:r>
            <w:r>
              <w:rPr>
                <w:rFonts w:ascii="Arial"/>
                <w:sz w:val="20"/>
              </w:rPr>
            </w:r>
          </w:p>
        </w:tc>
        <w:tc>
          <w:tcPr>
            <w:tcW w:w="1080" w:type="dxa"/>
            <w:tcBorders>
              <w:top w:val="nil" w:sz="6" w:space="0" w:color="auto"/>
              <w:left w:val="nil" w:sz="6" w:space="0" w:color="auto"/>
              <w:bottom w:val="nil" w:sz="6" w:space="0" w:color="auto"/>
              <w:right w:val="nil" w:sz="6" w:space="0" w:color="auto"/>
            </w:tcBorders>
          </w:tcPr>
          <w:p>
            <w:pPr>
              <w:pStyle w:val="TableParagraph"/>
              <w:tabs>
                <w:tab w:pos="492" w:val="left" w:leader="none"/>
              </w:tabs>
              <w:spacing w:line="240" w:lineRule="auto" w:before="116"/>
              <w:ind w:right="3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8,542</w:t>
            </w:r>
            <w:r>
              <w:rPr>
                <w:rFonts w:ascii="Arial"/>
                <w:sz w:val="20"/>
              </w:rPr>
            </w:r>
          </w:p>
        </w:tc>
        <w:tc>
          <w:tcPr>
            <w:tcW w:w="3412" w:type="dxa"/>
            <w:gridSpan w:val="2"/>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tabs>
                <w:tab w:pos="666" w:val="left" w:leader="none"/>
                <w:tab w:pos="1856" w:val="left" w:leader="none"/>
                <w:tab w:pos="2113" w:val="left" w:leader="none"/>
              </w:tabs>
              <w:spacing w:line="240" w:lineRule="auto" w:before="116"/>
              <w:ind w:left="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r>
              <w:rPr>
                <w:rFonts w:ascii="Arial"/>
                <w:sz w:val="20"/>
                <w:u w:val="single" w:color="000000"/>
              </w:rPr>
              <w:t> </w:t>
              <w:tab/>
              <w:t>-</w:t>
              <w:tab/>
            </w:r>
            <w:r>
              <w:rPr>
                <w:rFonts w:ascii="Arial"/>
                <w:sz w:val="20"/>
              </w:rPr>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84"/>
              <w:jc w:val="center"/>
              <w:rPr>
                <w:rFonts w:ascii="Arial" w:hAnsi="Arial" w:cs="Arial" w:eastAsia="Arial" w:hint="default"/>
                <w:sz w:val="20"/>
                <w:szCs w:val="20"/>
              </w:rPr>
            </w:pPr>
            <w:r>
              <w:rPr>
                <w:rFonts w:ascii="Arial"/>
                <w:w w:val="100"/>
                <w:sz w:val="20"/>
              </w:rPr>
              <w:t>-</w:t>
            </w:r>
          </w:p>
        </w:tc>
      </w:tr>
      <w:tr>
        <w:trPr>
          <w:trHeight w:val="242" w:hRule="exact"/>
        </w:trPr>
        <w:tc>
          <w:tcPr>
            <w:tcW w:w="2494" w:type="dxa"/>
            <w:gridSpan w:val="2"/>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single" w:sz="12" w:space="0" w:color="000000"/>
              <w:right w:val="nil" w:sz="6" w:space="0" w:color="auto"/>
            </w:tcBorders>
          </w:tcPr>
          <w:p>
            <w:pPr>
              <w:pStyle w:val="TableParagraph"/>
              <w:spacing w:line="224" w:lineRule="exact"/>
              <w:ind w:right="64"/>
              <w:jc w:val="right"/>
              <w:rPr>
                <w:rFonts w:ascii="Arial" w:hAnsi="Arial" w:cs="Arial" w:eastAsia="Arial" w:hint="default"/>
                <w:sz w:val="20"/>
                <w:szCs w:val="20"/>
              </w:rPr>
            </w:pPr>
            <w:r>
              <w:rPr>
                <w:rFonts w:ascii="Arial"/>
                <w:spacing w:val="-1"/>
                <w:sz w:val="20"/>
              </w:rPr>
              <w:t>408,528</w:t>
            </w:r>
          </w:p>
        </w:tc>
        <w:tc>
          <w:tcPr>
            <w:tcW w:w="2139" w:type="dxa"/>
            <w:gridSpan w:val="2"/>
            <w:tcBorders>
              <w:top w:val="nil" w:sz="6" w:space="0" w:color="auto"/>
              <w:left w:val="nil" w:sz="6" w:space="0" w:color="auto"/>
              <w:bottom w:val="single" w:sz="12" w:space="0" w:color="000000"/>
              <w:right w:val="nil" w:sz="6" w:space="0" w:color="auto"/>
            </w:tcBorders>
          </w:tcPr>
          <w:p>
            <w:pPr>
              <w:pStyle w:val="TableParagraph"/>
              <w:spacing w:line="224" w:lineRule="exact"/>
              <w:ind w:left="247" w:right="0"/>
              <w:jc w:val="left"/>
              <w:rPr>
                <w:rFonts w:ascii="Arial" w:hAnsi="Arial" w:cs="Arial" w:eastAsia="Arial" w:hint="default"/>
                <w:sz w:val="20"/>
                <w:szCs w:val="20"/>
              </w:rPr>
            </w:pPr>
            <w:r>
              <w:rPr>
                <w:rFonts w:ascii="Arial"/>
                <w:sz w:val="20"/>
              </w:rPr>
              <w:t>2,204,937</w:t>
            </w:r>
            <w:r>
              <w:rPr>
                <w:rFonts w:ascii="Arial"/>
                <w:spacing w:val="33"/>
                <w:sz w:val="20"/>
              </w:rPr>
              <w:t> </w:t>
            </w:r>
            <w:r>
              <w:rPr>
                <w:rFonts w:ascii="Arial"/>
                <w:sz w:val="20"/>
              </w:rPr>
              <w:t>(551,713)</w:t>
            </w:r>
          </w:p>
        </w:tc>
        <w:tc>
          <w:tcPr>
            <w:tcW w:w="1080" w:type="dxa"/>
            <w:tcBorders>
              <w:top w:val="nil" w:sz="6" w:space="0" w:color="auto"/>
              <w:left w:val="nil" w:sz="6" w:space="0" w:color="auto"/>
              <w:bottom w:val="single" w:sz="12" w:space="0" w:color="000000"/>
              <w:right w:val="nil" w:sz="6" w:space="0" w:color="auto"/>
            </w:tcBorders>
          </w:tcPr>
          <w:p>
            <w:pPr>
              <w:pStyle w:val="TableParagraph"/>
              <w:spacing w:line="224" w:lineRule="exact"/>
              <w:ind w:right="30"/>
              <w:jc w:val="right"/>
              <w:rPr>
                <w:rFonts w:ascii="Arial" w:hAnsi="Arial" w:cs="Arial" w:eastAsia="Arial" w:hint="default"/>
                <w:sz w:val="20"/>
                <w:szCs w:val="20"/>
              </w:rPr>
            </w:pPr>
            <w:r>
              <w:rPr>
                <w:rFonts w:ascii="Arial"/>
                <w:spacing w:val="-1"/>
                <w:sz w:val="20"/>
              </w:rPr>
              <w:t>2,061,752</w:t>
            </w:r>
          </w:p>
        </w:tc>
        <w:tc>
          <w:tcPr>
            <w:tcW w:w="3412" w:type="dxa"/>
            <w:gridSpan w:val="2"/>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12" w:space="0" w:color="000000"/>
              <w:right w:val="nil" w:sz="6" w:space="0" w:color="auto"/>
            </w:tcBorders>
          </w:tcPr>
          <w:p>
            <w:pPr>
              <w:pStyle w:val="TableParagraph"/>
              <w:tabs>
                <w:tab w:pos="1869" w:val="left" w:leader="none"/>
              </w:tabs>
              <w:spacing w:line="224" w:lineRule="exact"/>
              <w:ind w:left="676" w:right="0"/>
              <w:jc w:val="left"/>
              <w:rPr>
                <w:rFonts w:ascii="Arial" w:hAnsi="Arial" w:cs="Arial" w:eastAsia="Arial" w:hint="default"/>
                <w:sz w:val="20"/>
                <w:szCs w:val="20"/>
              </w:rPr>
            </w:pPr>
            <w:r>
              <w:rPr>
                <w:rFonts w:ascii="Arial"/>
                <w:sz w:val="20"/>
              </w:rPr>
              <w:t>-</w:t>
              <w:tab/>
              <w:t>-</w:t>
            </w:r>
          </w:p>
        </w:tc>
        <w:tc>
          <w:tcPr>
            <w:tcW w:w="1968" w:type="dxa"/>
            <w:tcBorders>
              <w:top w:val="nil" w:sz="6" w:space="0" w:color="auto"/>
              <w:left w:val="nil" w:sz="6" w:space="0" w:color="auto"/>
              <w:bottom w:val="nil" w:sz="6" w:space="0" w:color="auto"/>
              <w:right w:val="nil" w:sz="6" w:space="0" w:color="auto"/>
            </w:tcBorders>
          </w:tcPr>
          <w:p>
            <w:pPr/>
          </w:p>
        </w:tc>
      </w:tr>
    </w:tbl>
    <w:p>
      <w:pPr>
        <w:spacing w:after="0"/>
        <w:sectPr>
          <w:type w:val="continuous"/>
          <w:pgSz w:w="16840" w:h="11910" w:orient="landscape"/>
          <w:pgMar w:top="920" w:bottom="900" w:left="920" w:right="700"/>
        </w:sectPr>
      </w:pPr>
    </w:p>
    <w:p>
      <w:pPr>
        <w:spacing w:line="240" w:lineRule="auto" w:before="6"/>
        <w:rPr>
          <w:rFonts w:ascii="宋体" w:hAnsi="宋体" w:cs="宋体" w:eastAsia="宋体" w:hint="default"/>
          <w:sz w:val="13"/>
          <w:szCs w:val="13"/>
        </w:rPr>
      </w:pPr>
    </w:p>
    <w:p>
      <w:pPr>
        <w:pStyle w:val="Heading2"/>
        <w:tabs>
          <w:tab w:pos="835" w:val="left" w:leader="none"/>
        </w:tabs>
        <w:spacing w:line="240" w:lineRule="auto"/>
        <w:ind w:left="113" w:right="0"/>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35" w:val="left" w:leader="none"/>
        </w:tabs>
        <w:spacing w:before="0"/>
        <w:ind w:left="113" w:right="0" w:firstLine="0"/>
        <w:jc w:val="left"/>
        <w:rPr>
          <w:rFonts w:ascii="Arial" w:hAnsi="Arial" w:cs="Arial" w:eastAsia="Arial" w:hint="default"/>
          <w:sz w:val="24"/>
          <w:szCs w:val="24"/>
        </w:rPr>
      </w:pPr>
      <w:r>
        <w:rPr>
          <w:rFonts w:ascii="Arial" w:hAnsi="Arial" w:cs="Arial" w:eastAsia="Arial" w:hint="default"/>
          <w:w w:val="95"/>
          <w:position w:val="2"/>
          <w:sz w:val="24"/>
          <w:szCs w:val="24"/>
        </w:rPr>
        <w:t>(14)</w:t>
        <w:tab/>
      </w:r>
      <w:r>
        <w:rPr>
          <w:rFonts w:ascii="宋体" w:hAnsi="宋体" w:cs="宋体" w:eastAsia="宋体" w:hint="default"/>
          <w:b/>
          <w:bCs/>
          <w:sz w:val="24"/>
          <w:szCs w:val="24"/>
        </w:rPr>
        <w:t>在建工程</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35" w:val="left" w:leader="none"/>
        </w:tabs>
        <w:spacing w:line="240" w:lineRule="auto"/>
        <w:ind w:left="113" w:right="0"/>
        <w:jc w:val="left"/>
      </w:pPr>
      <w:r>
        <w:rPr>
          <w:rFonts w:ascii="Arial" w:hAnsi="Arial" w:cs="Arial" w:eastAsia="Arial" w:hint="default"/>
          <w:w w:val="95"/>
          <w:position w:val="2"/>
        </w:rPr>
        <w:t>(b)</w:t>
        <w:tab/>
      </w:r>
      <w:r>
        <w:rPr/>
        <w:t>重大在建工程于</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日的工程进度分析如下：</w:t>
      </w:r>
    </w:p>
    <w:p>
      <w:pPr>
        <w:spacing w:line="240" w:lineRule="auto" w:before="12"/>
        <w:rPr>
          <w:rFonts w:ascii="宋体" w:hAnsi="宋体" w:cs="宋体" w:eastAsia="宋体" w:hint="default"/>
          <w:sz w:val="19"/>
          <w:szCs w:val="19"/>
        </w:rPr>
      </w:pPr>
    </w:p>
    <w:p>
      <w:pPr>
        <w:tabs>
          <w:tab w:pos="8023" w:val="left" w:leader="none"/>
        </w:tabs>
        <w:spacing w:before="0"/>
        <w:ind w:left="4004" w:right="0" w:firstLine="0"/>
        <w:jc w:val="left"/>
        <w:rPr>
          <w:rFonts w:ascii="宋体" w:hAnsi="宋体" w:cs="宋体" w:eastAsia="宋体" w:hint="default"/>
          <w:sz w:val="22"/>
          <w:szCs w:val="22"/>
        </w:rPr>
      </w:pPr>
      <w:r>
        <w:rPr>
          <w:rFonts w:ascii="宋体" w:hAnsi="宋体" w:cs="宋体" w:eastAsia="宋体" w:hint="default"/>
          <w:w w:val="95"/>
          <w:sz w:val="22"/>
          <w:szCs w:val="22"/>
        </w:rPr>
        <w:t>工程进度</w:t>
        <w:tab/>
      </w:r>
      <w:r>
        <w:rPr>
          <w:rFonts w:ascii="宋体" w:hAnsi="宋体" w:cs="宋体" w:eastAsia="宋体" w:hint="default"/>
          <w:sz w:val="22"/>
          <w:szCs w:val="22"/>
        </w:rPr>
        <w:t>备注</w:t>
      </w:r>
    </w:p>
    <w:p>
      <w:pPr>
        <w:spacing w:line="240" w:lineRule="auto" w:before="2"/>
        <w:rPr>
          <w:rFonts w:ascii="宋体" w:hAnsi="宋体" w:cs="宋体" w:eastAsia="宋体" w:hint="default"/>
          <w:sz w:val="19"/>
          <w:szCs w:val="19"/>
        </w:rPr>
      </w:pPr>
    </w:p>
    <w:p>
      <w:pPr>
        <w:tabs>
          <w:tab w:pos="4716" w:val="left" w:leader="none"/>
        </w:tabs>
        <w:spacing w:line="302" w:lineRule="exact" w:before="0"/>
        <w:ind w:left="836" w:right="0" w:firstLine="0"/>
        <w:jc w:val="left"/>
        <w:rPr>
          <w:rFonts w:ascii="宋体" w:hAnsi="宋体" w:cs="宋体" w:eastAsia="宋体" w:hint="default"/>
          <w:sz w:val="22"/>
          <w:szCs w:val="22"/>
        </w:rPr>
      </w:pPr>
      <w:r>
        <w:rPr>
          <w:rFonts w:ascii="宋体" w:hAnsi="宋体" w:cs="宋体" w:eastAsia="宋体" w:hint="default"/>
          <w:w w:val="95"/>
          <w:position w:val="-2"/>
          <w:sz w:val="22"/>
          <w:szCs w:val="22"/>
        </w:rPr>
        <w:t>徐庄总部</w:t>
        <w:tab/>
      </w:r>
      <w:r>
        <w:rPr>
          <w:rFonts w:ascii="宋体" w:hAnsi="宋体" w:cs="宋体" w:eastAsia="宋体" w:hint="default"/>
          <w:sz w:val="22"/>
          <w:szCs w:val="22"/>
        </w:rPr>
        <w:t>土建安装完工</w:t>
      </w:r>
    </w:p>
    <w:p>
      <w:pPr>
        <w:tabs>
          <w:tab w:pos="6702" w:val="left" w:leader="none"/>
        </w:tabs>
        <w:spacing w:line="271" w:lineRule="exact" w:before="0"/>
        <w:ind w:left="4056" w:right="0" w:firstLine="0"/>
        <w:jc w:val="left"/>
        <w:rPr>
          <w:rFonts w:ascii="宋体" w:hAnsi="宋体" w:cs="宋体" w:eastAsia="宋体" w:hint="default"/>
          <w:sz w:val="22"/>
          <w:szCs w:val="22"/>
        </w:rPr>
      </w:pPr>
      <w:r>
        <w:rPr>
          <w:rFonts w:ascii="宋体" w:hAnsi="宋体" w:cs="宋体" w:eastAsia="宋体" w:hint="default"/>
          <w:w w:val="95"/>
          <w:sz w:val="22"/>
          <w:szCs w:val="22"/>
        </w:rPr>
        <w:t>装修工程进场施工中</w:t>
        <w:tab/>
      </w:r>
      <w:r>
        <w:rPr>
          <w:rFonts w:ascii="宋体" w:hAnsi="宋体" w:cs="宋体" w:eastAsia="宋体" w:hint="default"/>
          <w:sz w:val="22"/>
          <w:szCs w:val="22"/>
        </w:rPr>
        <w:t>工程进度以形象进度为基础进行估计</w:t>
      </w:r>
    </w:p>
    <w:p>
      <w:pPr>
        <w:tabs>
          <w:tab w:pos="4497" w:val="left" w:leader="none"/>
        </w:tabs>
        <w:spacing w:line="301" w:lineRule="exact" w:before="0"/>
        <w:ind w:left="836" w:right="0" w:firstLine="0"/>
        <w:jc w:val="left"/>
        <w:rPr>
          <w:rFonts w:ascii="宋体" w:hAnsi="宋体" w:cs="宋体" w:eastAsia="宋体" w:hint="default"/>
          <w:sz w:val="22"/>
          <w:szCs w:val="22"/>
        </w:rPr>
      </w:pPr>
      <w:r>
        <w:rPr>
          <w:rFonts w:ascii="宋体" w:hAnsi="宋体" w:cs="宋体" w:eastAsia="宋体" w:hint="default"/>
          <w:w w:val="95"/>
          <w:position w:val="-2"/>
          <w:sz w:val="22"/>
          <w:szCs w:val="22"/>
        </w:rPr>
        <w:t>北京物流基地</w:t>
        <w:tab/>
      </w:r>
      <w:r>
        <w:rPr>
          <w:rFonts w:ascii="宋体" w:hAnsi="宋体" w:cs="宋体" w:eastAsia="宋体" w:hint="default"/>
          <w:sz w:val="22"/>
          <w:szCs w:val="22"/>
        </w:rPr>
        <w:t>一期工程已完工</w:t>
      </w:r>
    </w:p>
    <w:p>
      <w:pPr>
        <w:tabs>
          <w:tab w:pos="6702" w:val="left" w:leader="none"/>
        </w:tabs>
        <w:spacing w:line="271" w:lineRule="exact" w:before="0"/>
        <w:ind w:left="4731" w:right="0" w:firstLine="0"/>
        <w:jc w:val="left"/>
        <w:rPr>
          <w:rFonts w:ascii="宋体" w:hAnsi="宋体" w:cs="宋体" w:eastAsia="宋体" w:hint="default"/>
          <w:sz w:val="22"/>
          <w:szCs w:val="22"/>
        </w:rPr>
      </w:pPr>
      <w:r>
        <w:rPr>
          <w:rFonts w:ascii="宋体" w:hAnsi="宋体" w:cs="宋体" w:eastAsia="宋体" w:hint="default"/>
          <w:w w:val="95"/>
          <w:sz w:val="22"/>
          <w:szCs w:val="22"/>
        </w:rPr>
        <w:t>二期工程奠基</w:t>
        <w:tab/>
      </w:r>
      <w:r>
        <w:rPr>
          <w:rFonts w:ascii="宋体" w:hAnsi="宋体" w:cs="宋体" w:eastAsia="宋体" w:hint="default"/>
          <w:sz w:val="22"/>
          <w:szCs w:val="22"/>
        </w:rPr>
        <w:t>工程进度以形象进度为基础进行估计</w:t>
      </w:r>
    </w:p>
    <w:p>
      <w:pPr>
        <w:tabs>
          <w:tab w:pos="3863" w:val="left" w:leader="none"/>
        </w:tabs>
        <w:spacing w:line="301" w:lineRule="exact" w:before="0"/>
        <w:ind w:left="836" w:right="0" w:firstLine="0"/>
        <w:jc w:val="left"/>
        <w:rPr>
          <w:rFonts w:ascii="宋体" w:hAnsi="宋体" w:cs="宋体" w:eastAsia="宋体" w:hint="default"/>
          <w:sz w:val="22"/>
          <w:szCs w:val="22"/>
        </w:rPr>
      </w:pPr>
      <w:r>
        <w:rPr>
          <w:rFonts w:ascii="宋体" w:hAnsi="宋体" w:cs="宋体" w:eastAsia="宋体" w:hint="default"/>
          <w:w w:val="95"/>
          <w:position w:val="-2"/>
          <w:sz w:val="22"/>
          <w:szCs w:val="22"/>
        </w:rPr>
        <w:t>江苏物流中心</w:t>
        <w:tab/>
      </w:r>
      <w:r>
        <w:rPr>
          <w:rFonts w:ascii="宋体" w:hAnsi="宋体" w:cs="宋体" w:eastAsia="宋体" w:hint="default"/>
          <w:sz w:val="22"/>
          <w:szCs w:val="22"/>
        </w:rPr>
        <w:t>配送、数据中心完工，</w:t>
      </w:r>
    </w:p>
    <w:p>
      <w:pPr>
        <w:tabs>
          <w:tab w:pos="6702" w:val="left" w:leader="none"/>
        </w:tabs>
        <w:spacing w:line="271" w:lineRule="exact" w:before="0"/>
        <w:ind w:left="3204" w:right="0" w:firstLine="0"/>
        <w:jc w:val="left"/>
        <w:rPr>
          <w:rFonts w:ascii="宋体" w:hAnsi="宋体" w:cs="宋体" w:eastAsia="宋体" w:hint="default"/>
          <w:sz w:val="22"/>
          <w:szCs w:val="22"/>
        </w:rPr>
      </w:pPr>
      <w:r>
        <w:rPr>
          <w:rFonts w:ascii="宋体" w:hAnsi="宋体" w:cs="宋体" w:eastAsia="宋体" w:hint="default"/>
          <w:w w:val="95"/>
          <w:sz w:val="22"/>
          <w:szCs w:val="22"/>
        </w:rPr>
        <w:t>高架库土建、钢结构工程在建</w:t>
        <w:tab/>
      </w:r>
      <w:r>
        <w:rPr>
          <w:rFonts w:ascii="宋体" w:hAnsi="宋体" w:cs="宋体" w:eastAsia="宋体" w:hint="default"/>
          <w:sz w:val="22"/>
          <w:szCs w:val="22"/>
        </w:rPr>
        <w:t>工程进度以形象进度为基础进行估计</w:t>
      </w:r>
    </w:p>
    <w:p>
      <w:pPr>
        <w:tabs>
          <w:tab w:pos="4964" w:val="left" w:leader="none"/>
          <w:tab w:pos="6702" w:val="left" w:leader="none"/>
        </w:tabs>
        <w:spacing w:line="286" w:lineRule="exact" w:before="0"/>
        <w:ind w:left="836" w:right="0" w:firstLine="0"/>
        <w:jc w:val="left"/>
        <w:rPr>
          <w:rFonts w:ascii="宋体" w:hAnsi="宋体" w:cs="宋体" w:eastAsia="宋体" w:hint="default"/>
          <w:sz w:val="22"/>
          <w:szCs w:val="22"/>
        </w:rPr>
      </w:pPr>
      <w:r>
        <w:rPr>
          <w:rFonts w:ascii="宋体" w:hAnsi="宋体" w:cs="宋体" w:eastAsia="宋体" w:hint="default"/>
          <w:w w:val="95"/>
          <w:sz w:val="22"/>
          <w:szCs w:val="22"/>
        </w:rPr>
        <w:t>沈阳苏宁物流中心</w:t>
        <w:tab/>
        <w:t>已完工转固</w:t>
        <w:tab/>
      </w:r>
      <w:r>
        <w:rPr>
          <w:rFonts w:ascii="宋体" w:hAnsi="宋体" w:cs="宋体" w:eastAsia="宋体" w:hint="default"/>
          <w:sz w:val="22"/>
          <w:szCs w:val="22"/>
        </w:rPr>
        <w:t>工程进度以形象进度为基础进行估计</w:t>
      </w:r>
    </w:p>
    <w:p>
      <w:pPr>
        <w:tabs>
          <w:tab w:pos="3206" w:val="left" w:leader="none"/>
          <w:tab w:pos="4964" w:val="left" w:leader="none"/>
          <w:tab w:pos="6702" w:val="left" w:leader="none"/>
        </w:tabs>
        <w:spacing w:line="286" w:lineRule="exact" w:before="27"/>
        <w:ind w:left="836" w:right="98" w:firstLine="0"/>
        <w:jc w:val="left"/>
        <w:rPr>
          <w:rFonts w:ascii="宋体" w:hAnsi="宋体" w:cs="宋体" w:eastAsia="宋体" w:hint="default"/>
          <w:sz w:val="22"/>
          <w:szCs w:val="22"/>
        </w:rPr>
      </w:pPr>
      <w:r>
        <w:rPr>
          <w:rFonts w:ascii="宋体" w:hAnsi="宋体" w:cs="宋体" w:eastAsia="宋体" w:hint="default"/>
          <w:w w:val="95"/>
          <w:sz w:val="22"/>
          <w:szCs w:val="22"/>
        </w:rPr>
        <w:t>威海店项目</w:t>
        <w:tab/>
        <w:tab/>
        <w:t>已完工转固</w:t>
        <w:tab/>
      </w:r>
      <w:r>
        <w:rPr>
          <w:rFonts w:ascii="宋体" w:hAnsi="宋体" w:cs="宋体" w:eastAsia="宋体" w:hint="default"/>
          <w:sz w:val="22"/>
          <w:szCs w:val="22"/>
        </w:rPr>
        <w:t>工程进度以形象进度为基础进行估计</w:t>
      </w:r>
      <w:r>
        <w:rPr>
          <w:rFonts w:ascii="宋体" w:hAnsi="宋体" w:cs="宋体" w:eastAsia="宋体" w:hint="default"/>
          <w:w w:val="99"/>
          <w:sz w:val="22"/>
          <w:szCs w:val="22"/>
        </w:rPr>
        <w:t> </w:t>
      </w:r>
      <w:r>
        <w:rPr>
          <w:rFonts w:ascii="宋体" w:hAnsi="宋体" w:cs="宋体" w:eastAsia="宋体" w:hint="default"/>
          <w:w w:val="95"/>
          <w:sz w:val="22"/>
          <w:szCs w:val="22"/>
        </w:rPr>
        <w:t>大厂电器广场项目</w:t>
        <w:tab/>
        <w:t>土建工程完工装修工程刚进厂</w:t>
        <w:tab/>
      </w:r>
      <w:r>
        <w:rPr>
          <w:rFonts w:ascii="宋体" w:hAnsi="宋体" w:cs="宋体" w:eastAsia="宋体" w:hint="default"/>
          <w:sz w:val="22"/>
          <w:szCs w:val="22"/>
        </w:rPr>
        <w:t>工程进度以形象进度为基础进行估计</w:t>
      </w:r>
    </w:p>
    <w:p>
      <w:pPr>
        <w:spacing w:line="259" w:lineRule="exact" w:before="0"/>
        <w:ind w:left="4270" w:right="4253" w:firstLine="0"/>
        <w:jc w:val="center"/>
        <w:rPr>
          <w:rFonts w:ascii="宋体" w:hAnsi="宋体" w:cs="宋体" w:eastAsia="宋体" w:hint="default"/>
          <w:sz w:val="22"/>
          <w:szCs w:val="22"/>
        </w:rPr>
      </w:pPr>
      <w:r>
        <w:rPr>
          <w:rFonts w:ascii="宋体" w:hAnsi="宋体" w:cs="宋体" w:eastAsia="宋体" w:hint="default"/>
          <w:sz w:val="22"/>
          <w:szCs w:val="22"/>
        </w:rPr>
        <w:t>土建工程主体封顶</w:t>
      </w:r>
    </w:p>
    <w:p>
      <w:pPr>
        <w:spacing w:after="0" w:line="259" w:lineRule="exact"/>
        <w:jc w:val="center"/>
        <w:rPr>
          <w:rFonts w:ascii="宋体" w:hAnsi="宋体" w:cs="宋体" w:eastAsia="宋体" w:hint="default"/>
          <w:sz w:val="22"/>
          <w:szCs w:val="22"/>
        </w:rPr>
        <w:sectPr>
          <w:headerReference w:type="default" r:id="rId67"/>
          <w:footerReference w:type="default" r:id="rId68"/>
          <w:pgSz w:w="11910" w:h="16840"/>
          <w:pgMar w:header="755" w:footer="947" w:top="2300" w:bottom="1140" w:left="1000" w:right="580"/>
          <w:pgNumType w:start="164"/>
        </w:sectPr>
      </w:pPr>
    </w:p>
    <w:p>
      <w:pPr>
        <w:spacing w:line="477" w:lineRule="auto" w:before="0"/>
        <w:ind w:left="836" w:right="0" w:firstLine="0"/>
        <w:jc w:val="both"/>
        <w:rPr>
          <w:rFonts w:ascii="宋体" w:hAnsi="宋体" w:cs="宋体" w:eastAsia="宋体" w:hint="default"/>
          <w:sz w:val="22"/>
          <w:szCs w:val="22"/>
        </w:rPr>
      </w:pPr>
      <w:r>
        <w:rPr>
          <w:rFonts w:ascii="宋体" w:hAnsi="宋体" w:cs="宋体" w:eastAsia="宋体" w:hint="default"/>
          <w:w w:val="95"/>
          <w:sz w:val="22"/>
          <w:szCs w:val="22"/>
        </w:rPr>
        <w:t>天津物流基地工程</w:t>
      </w:r>
      <w:r>
        <w:rPr>
          <w:rFonts w:ascii="宋体" w:hAnsi="宋体" w:cs="宋体" w:eastAsia="宋体" w:hint="default"/>
          <w:spacing w:val="-18"/>
          <w:w w:val="95"/>
          <w:sz w:val="22"/>
          <w:szCs w:val="22"/>
        </w:rPr>
        <w:t> </w:t>
      </w:r>
      <w:r>
        <w:rPr>
          <w:rFonts w:ascii="宋体" w:hAnsi="宋体" w:cs="宋体" w:eastAsia="宋体" w:hint="default"/>
          <w:spacing w:val="-18"/>
          <w:w w:val="95"/>
          <w:sz w:val="22"/>
          <w:szCs w:val="22"/>
        </w:rPr>
      </w:r>
      <w:r>
        <w:rPr>
          <w:rFonts w:ascii="宋体" w:hAnsi="宋体" w:cs="宋体" w:eastAsia="宋体" w:hint="default"/>
          <w:w w:val="95"/>
          <w:sz w:val="22"/>
          <w:szCs w:val="22"/>
        </w:rPr>
        <w:t>成都物流基地工程</w:t>
      </w:r>
      <w:r>
        <w:rPr>
          <w:rFonts w:ascii="宋体" w:hAnsi="宋体" w:cs="宋体" w:eastAsia="宋体" w:hint="default"/>
          <w:spacing w:val="-18"/>
          <w:w w:val="95"/>
          <w:sz w:val="22"/>
          <w:szCs w:val="22"/>
        </w:rPr>
        <w:t> </w:t>
      </w:r>
      <w:r>
        <w:rPr>
          <w:rFonts w:ascii="宋体" w:hAnsi="宋体" w:cs="宋体" w:eastAsia="宋体" w:hint="default"/>
          <w:spacing w:val="-18"/>
          <w:w w:val="95"/>
          <w:sz w:val="22"/>
          <w:szCs w:val="22"/>
        </w:rPr>
      </w:r>
      <w:r>
        <w:rPr>
          <w:rFonts w:ascii="宋体" w:hAnsi="宋体" w:cs="宋体" w:eastAsia="宋体" w:hint="default"/>
          <w:w w:val="95"/>
          <w:sz w:val="22"/>
          <w:szCs w:val="22"/>
        </w:rPr>
        <w:t>无锡物流基地工程</w:t>
      </w:r>
      <w:r>
        <w:rPr>
          <w:rFonts w:ascii="宋体" w:hAnsi="宋体" w:cs="宋体" w:eastAsia="宋体" w:hint="default"/>
          <w:sz w:val="22"/>
          <w:szCs w:val="22"/>
        </w:rPr>
      </w:r>
    </w:p>
    <w:p>
      <w:pPr>
        <w:spacing w:before="65"/>
        <w:ind w:left="836" w:right="199" w:firstLine="0"/>
        <w:jc w:val="left"/>
        <w:rPr>
          <w:rFonts w:ascii="宋体" w:hAnsi="宋体" w:cs="宋体" w:eastAsia="宋体" w:hint="default"/>
          <w:sz w:val="22"/>
          <w:szCs w:val="22"/>
        </w:rPr>
      </w:pPr>
      <w:r>
        <w:rPr>
          <w:rFonts w:ascii="宋体" w:hAnsi="宋体" w:cs="宋体" w:eastAsia="宋体" w:hint="default"/>
          <w:sz w:val="22"/>
          <w:szCs w:val="22"/>
        </w:rPr>
        <w:t>青岛物流</w:t>
      </w:r>
      <w:r>
        <w:rPr>
          <w:rFonts w:ascii="宋体" w:hAnsi="宋体" w:cs="宋体" w:eastAsia="宋体" w:hint="default"/>
          <w:w w:val="99"/>
          <w:sz w:val="22"/>
          <w:szCs w:val="22"/>
        </w:rPr>
        <w:t> </w:t>
      </w:r>
      <w:r>
        <w:rPr>
          <w:rFonts w:ascii="宋体" w:hAnsi="宋体" w:cs="宋体" w:eastAsia="宋体" w:hint="default"/>
          <w:sz w:val="22"/>
          <w:szCs w:val="22"/>
        </w:rPr>
        <w:t>大连苏宁购置店</w:t>
      </w:r>
    </w:p>
    <w:p>
      <w:pPr>
        <w:tabs>
          <w:tab w:pos="3908" w:val="left" w:leader="none"/>
        </w:tabs>
        <w:spacing w:line="286" w:lineRule="exact" w:before="27"/>
        <w:ind w:left="1496" w:right="98" w:hanging="660"/>
        <w:jc w:val="left"/>
        <w:rPr>
          <w:rFonts w:ascii="宋体" w:hAnsi="宋体" w:cs="宋体" w:eastAsia="宋体" w:hint="default"/>
          <w:sz w:val="22"/>
          <w:szCs w:val="22"/>
        </w:rPr>
      </w:pPr>
      <w:r>
        <w:rPr>
          <w:w w:val="95"/>
        </w:rPr>
        <w:br w:type="column"/>
      </w:r>
      <w:r>
        <w:rPr>
          <w:rFonts w:ascii="宋体" w:hAnsi="宋体" w:cs="宋体" w:eastAsia="宋体" w:hint="default"/>
          <w:w w:val="95"/>
          <w:sz w:val="22"/>
          <w:szCs w:val="22"/>
        </w:rPr>
        <w:t>装修、外围工程尚未开始</w:t>
        <w:tab/>
      </w:r>
      <w:r>
        <w:rPr>
          <w:rFonts w:ascii="宋体" w:hAnsi="宋体" w:cs="宋体" w:eastAsia="宋体" w:hint="default"/>
          <w:sz w:val="22"/>
          <w:szCs w:val="22"/>
        </w:rPr>
        <w:t>工程进度以形象进度为基础进行估计</w:t>
      </w:r>
      <w:r>
        <w:rPr>
          <w:rFonts w:ascii="宋体" w:hAnsi="宋体" w:cs="宋体" w:eastAsia="宋体" w:hint="default"/>
          <w:w w:val="99"/>
          <w:sz w:val="22"/>
          <w:szCs w:val="22"/>
        </w:rPr>
        <w:t> </w:t>
      </w:r>
      <w:r>
        <w:rPr>
          <w:rFonts w:ascii="宋体" w:hAnsi="宋体" w:cs="宋体" w:eastAsia="宋体" w:hint="default"/>
          <w:sz w:val="22"/>
          <w:szCs w:val="22"/>
        </w:rPr>
        <w:t>土建工程主体封顶</w:t>
      </w:r>
    </w:p>
    <w:p>
      <w:pPr>
        <w:tabs>
          <w:tab w:pos="3908" w:val="left" w:leader="none"/>
        </w:tabs>
        <w:spacing w:line="259" w:lineRule="exact" w:before="0"/>
        <w:ind w:left="1080" w:right="0" w:firstLine="0"/>
        <w:jc w:val="left"/>
        <w:rPr>
          <w:rFonts w:ascii="宋体" w:hAnsi="宋体" w:cs="宋体" w:eastAsia="宋体" w:hint="default"/>
          <w:sz w:val="22"/>
          <w:szCs w:val="22"/>
        </w:rPr>
      </w:pPr>
      <w:r>
        <w:rPr>
          <w:rFonts w:ascii="宋体" w:hAnsi="宋体" w:cs="宋体" w:eastAsia="宋体" w:hint="default"/>
          <w:spacing w:val="-3"/>
          <w:w w:val="95"/>
          <w:sz w:val="22"/>
          <w:szCs w:val="22"/>
        </w:rPr>
        <w:t>装修、外围工程尚未开始</w:t>
        <w:tab/>
      </w:r>
      <w:r>
        <w:rPr>
          <w:rFonts w:ascii="宋体" w:hAnsi="宋体" w:cs="宋体" w:eastAsia="宋体" w:hint="default"/>
          <w:sz w:val="22"/>
          <w:szCs w:val="22"/>
        </w:rPr>
        <w:t>工程进度以形象进度为基础进行估计</w:t>
      </w:r>
    </w:p>
    <w:p>
      <w:pPr>
        <w:spacing w:line="286" w:lineRule="exact" w:before="0"/>
        <w:ind w:left="1595" w:right="98" w:firstLine="0"/>
        <w:jc w:val="left"/>
        <w:rPr>
          <w:rFonts w:ascii="宋体" w:hAnsi="宋体" w:cs="宋体" w:eastAsia="宋体" w:hint="default"/>
          <w:sz w:val="22"/>
          <w:szCs w:val="22"/>
        </w:rPr>
      </w:pPr>
      <w:r>
        <w:rPr>
          <w:rFonts w:ascii="宋体" w:hAnsi="宋体" w:cs="宋体" w:eastAsia="宋体" w:hint="default"/>
          <w:sz w:val="22"/>
          <w:szCs w:val="22"/>
        </w:rPr>
        <w:t>土建工程主体封顶</w:t>
      </w:r>
    </w:p>
    <w:p>
      <w:pPr>
        <w:tabs>
          <w:tab w:pos="3908" w:val="left" w:leader="none"/>
        </w:tabs>
        <w:spacing w:line="286" w:lineRule="exact" w:before="27"/>
        <w:ind w:left="1511" w:right="98" w:hanging="663"/>
        <w:jc w:val="left"/>
        <w:rPr>
          <w:rFonts w:ascii="宋体" w:hAnsi="宋体" w:cs="宋体" w:eastAsia="宋体" w:hint="default"/>
          <w:sz w:val="22"/>
          <w:szCs w:val="22"/>
        </w:rPr>
      </w:pPr>
      <w:r>
        <w:rPr>
          <w:rFonts w:ascii="宋体" w:hAnsi="宋体" w:cs="宋体" w:eastAsia="宋体" w:hint="default"/>
          <w:w w:val="95"/>
          <w:sz w:val="22"/>
          <w:szCs w:val="22"/>
        </w:rPr>
        <w:t>装修、外围工程尚未开始</w:t>
        <w:tab/>
      </w:r>
      <w:r>
        <w:rPr>
          <w:rFonts w:ascii="宋体" w:hAnsi="宋体" w:cs="宋体" w:eastAsia="宋体" w:hint="default"/>
          <w:sz w:val="22"/>
          <w:szCs w:val="22"/>
        </w:rPr>
        <w:t>工程进度以形象进度为基础进行估计</w:t>
      </w:r>
      <w:r>
        <w:rPr>
          <w:rFonts w:ascii="宋体" w:hAnsi="宋体" w:cs="宋体" w:eastAsia="宋体" w:hint="default"/>
          <w:w w:val="99"/>
          <w:sz w:val="22"/>
          <w:szCs w:val="22"/>
        </w:rPr>
        <w:t> </w:t>
      </w:r>
      <w:r>
        <w:rPr>
          <w:rFonts w:ascii="宋体" w:hAnsi="宋体" w:cs="宋体" w:eastAsia="宋体" w:hint="default"/>
          <w:sz w:val="22"/>
          <w:szCs w:val="22"/>
        </w:rPr>
        <w:t>完成前期准备工作</w:t>
      </w:r>
    </w:p>
    <w:p>
      <w:pPr>
        <w:tabs>
          <w:tab w:pos="3908" w:val="left" w:leader="none"/>
        </w:tabs>
        <w:spacing w:line="261" w:lineRule="exact" w:before="0"/>
        <w:ind w:left="1730" w:right="0" w:firstLine="0"/>
        <w:jc w:val="left"/>
        <w:rPr>
          <w:rFonts w:ascii="宋体" w:hAnsi="宋体" w:cs="宋体" w:eastAsia="宋体" w:hint="default"/>
          <w:sz w:val="22"/>
          <w:szCs w:val="22"/>
        </w:rPr>
      </w:pPr>
      <w:r>
        <w:rPr>
          <w:rFonts w:ascii="宋体" w:hAnsi="宋体" w:cs="宋体" w:eastAsia="宋体" w:hint="default"/>
          <w:w w:val="95"/>
          <w:sz w:val="22"/>
          <w:szCs w:val="22"/>
        </w:rPr>
        <w:t>土建工程进行中</w:t>
        <w:tab/>
      </w:r>
      <w:r>
        <w:rPr>
          <w:rFonts w:ascii="宋体" w:hAnsi="宋体" w:cs="宋体" w:eastAsia="宋体" w:hint="default"/>
          <w:sz w:val="22"/>
          <w:szCs w:val="22"/>
        </w:rPr>
        <w:t>工程进度以形象进度为基础进行估计</w:t>
      </w:r>
    </w:p>
    <w:p>
      <w:pPr>
        <w:spacing w:after="0" w:line="261" w:lineRule="exact"/>
        <w:jc w:val="left"/>
        <w:rPr>
          <w:rFonts w:ascii="宋体" w:hAnsi="宋体" w:cs="宋体" w:eastAsia="宋体" w:hint="default"/>
          <w:sz w:val="22"/>
          <w:szCs w:val="22"/>
        </w:rPr>
        <w:sectPr>
          <w:type w:val="continuous"/>
          <w:pgSz w:w="11910" w:h="16840"/>
          <w:pgMar w:top="920" w:bottom="900" w:left="1000" w:right="580"/>
          <w:cols w:num="2" w:equalWidth="0">
            <w:col w:w="2596" w:space="199"/>
            <w:col w:w="7535"/>
          </w:cols>
        </w:sectPr>
      </w:pPr>
    </w:p>
    <w:p>
      <w:pPr>
        <w:tabs>
          <w:tab w:pos="4305" w:val="left" w:leader="none"/>
          <w:tab w:pos="6702" w:val="left" w:leader="none"/>
        </w:tabs>
        <w:spacing w:line="286" w:lineRule="exact" w:before="26"/>
        <w:ind w:left="836" w:right="98" w:firstLine="331"/>
        <w:jc w:val="left"/>
        <w:rPr>
          <w:rFonts w:ascii="宋体" w:hAnsi="宋体" w:cs="宋体" w:eastAsia="宋体" w:hint="default"/>
          <w:sz w:val="22"/>
          <w:szCs w:val="22"/>
        </w:rPr>
      </w:pPr>
      <w:r>
        <w:rPr>
          <w:rFonts w:ascii="Arial" w:hAnsi="Arial" w:cs="Arial" w:eastAsia="Arial" w:hint="default"/>
          <w:spacing w:val="-1"/>
          <w:sz w:val="22"/>
          <w:szCs w:val="22"/>
        </w:rPr>
        <w:t>-</w:t>
      </w:r>
      <w:r>
        <w:rPr>
          <w:rFonts w:ascii="宋体" w:hAnsi="宋体" w:cs="宋体" w:eastAsia="宋体" w:hint="default"/>
          <w:spacing w:val="-1"/>
          <w:sz w:val="22"/>
          <w:szCs w:val="22"/>
        </w:rPr>
        <w:t>胜利广场</w:t>
        <w:tab/>
      </w:r>
      <w:r>
        <w:rPr>
          <w:rFonts w:ascii="宋体" w:hAnsi="宋体" w:cs="宋体" w:eastAsia="宋体" w:hint="default"/>
          <w:w w:val="95"/>
          <w:sz w:val="22"/>
          <w:szCs w:val="22"/>
        </w:rPr>
        <w:t>装修工程尚未开始</w:t>
        <w:tab/>
      </w:r>
      <w:r>
        <w:rPr>
          <w:rFonts w:ascii="宋体" w:hAnsi="宋体" w:cs="宋体" w:eastAsia="宋体" w:hint="default"/>
          <w:sz w:val="22"/>
          <w:szCs w:val="22"/>
        </w:rPr>
        <w:t>工程进度以形象进度为基础进行估计</w:t>
      </w:r>
      <w:r>
        <w:rPr>
          <w:rFonts w:ascii="宋体" w:hAnsi="宋体" w:cs="宋体" w:eastAsia="宋体" w:hint="default"/>
          <w:w w:val="99"/>
          <w:sz w:val="22"/>
          <w:szCs w:val="22"/>
        </w:rPr>
        <w:t> </w:t>
      </w:r>
      <w:r>
        <w:rPr>
          <w:rFonts w:ascii="宋体" w:hAnsi="宋体" w:cs="宋体" w:eastAsia="宋体" w:hint="default"/>
          <w:sz w:val="22"/>
          <w:szCs w:val="22"/>
        </w:rPr>
        <w:t>刘家窑芳群公寓</w:t>
      </w:r>
    </w:p>
    <w:p>
      <w:pPr>
        <w:tabs>
          <w:tab w:pos="4305" w:val="left" w:leader="none"/>
          <w:tab w:pos="6702" w:val="left" w:leader="none"/>
        </w:tabs>
        <w:spacing w:line="286" w:lineRule="exact" w:before="0"/>
        <w:ind w:left="836" w:right="98" w:firstLine="331"/>
        <w:jc w:val="left"/>
        <w:rPr>
          <w:rFonts w:ascii="宋体" w:hAnsi="宋体" w:cs="宋体" w:eastAsia="宋体" w:hint="default"/>
          <w:sz w:val="22"/>
          <w:szCs w:val="22"/>
        </w:rPr>
      </w:pPr>
      <w:r>
        <w:rPr>
          <w:rFonts w:ascii="宋体" w:hAnsi="宋体" w:cs="宋体" w:eastAsia="宋体" w:hint="default"/>
          <w:w w:val="95"/>
          <w:sz w:val="22"/>
          <w:szCs w:val="22"/>
        </w:rPr>
        <w:t>商场物业</w:t>
        <w:tab/>
        <w:t>主体工程基本完工</w:t>
        <w:tab/>
      </w:r>
      <w:r>
        <w:rPr>
          <w:rFonts w:ascii="宋体" w:hAnsi="宋体" w:cs="宋体" w:eastAsia="宋体" w:hint="default"/>
          <w:sz w:val="22"/>
          <w:szCs w:val="22"/>
        </w:rPr>
        <w:t>工程进度以形象进度为基础进行估计</w:t>
      </w:r>
      <w:r>
        <w:rPr>
          <w:rFonts w:ascii="宋体" w:hAnsi="宋体" w:cs="宋体" w:eastAsia="宋体" w:hint="default"/>
          <w:w w:val="99"/>
          <w:sz w:val="22"/>
          <w:szCs w:val="22"/>
        </w:rPr>
        <w:t> </w:t>
      </w:r>
      <w:r>
        <w:rPr>
          <w:rFonts w:ascii="宋体" w:hAnsi="宋体" w:cs="宋体" w:eastAsia="宋体" w:hint="default"/>
          <w:sz w:val="22"/>
          <w:szCs w:val="22"/>
        </w:rPr>
        <w:t>大同苏宁购置店</w:t>
      </w:r>
    </w:p>
    <w:p>
      <w:pPr>
        <w:tabs>
          <w:tab w:pos="4305" w:val="left" w:leader="none"/>
          <w:tab w:pos="6702" w:val="left" w:leader="none"/>
        </w:tabs>
        <w:spacing w:line="276" w:lineRule="exact" w:before="0"/>
        <w:ind w:left="1167" w:right="0" w:firstLine="0"/>
        <w:jc w:val="left"/>
        <w:rPr>
          <w:rFonts w:ascii="宋体" w:hAnsi="宋体" w:cs="宋体" w:eastAsia="宋体" w:hint="default"/>
          <w:sz w:val="22"/>
          <w:szCs w:val="22"/>
        </w:rPr>
      </w:pPr>
      <w:r>
        <w:rPr>
          <w:rFonts w:ascii="Arial" w:hAnsi="Arial" w:cs="Arial" w:eastAsia="Arial" w:hint="default"/>
          <w:spacing w:val="-1"/>
          <w:sz w:val="22"/>
          <w:szCs w:val="22"/>
        </w:rPr>
        <w:t>-</w:t>
      </w:r>
      <w:r>
        <w:rPr>
          <w:rFonts w:ascii="宋体" w:hAnsi="宋体" w:cs="宋体" w:eastAsia="宋体" w:hint="default"/>
          <w:spacing w:val="-1"/>
          <w:sz w:val="22"/>
          <w:szCs w:val="22"/>
        </w:rPr>
        <w:t>金帝商厦</w:t>
        <w:tab/>
      </w:r>
      <w:r>
        <w:rPr>
          <w:rFonts w:ascii="宋体" w:hAnsi="宋体" w:cs="宋体" w:eastAsia="宋体" w:hint="default"/>
          <w:w w:val="95"/>
          <w:sz w:val="22"/>
          <w:szCs w:val="22"/>
        </w:rPr>
        <w:t>装修工程尚未开始</w:t>
        <w:tab/>
      </w:r>
      <w:r>
        <w:rPr>
          <w:rFonts w:ascii="宋体" w:hAnsi="宋体" w:cs="宋体" w:eastAsia="宋体" w:hint="default"/>
          <w:sz w:val="22"/>
          <w:szCs w:val="22"/>
        </w:rPr>
        <w:t>工程进度以形象进度为基础进行估计</w:t>
      </w:r>
    </w:p>
    <w:p>
      <w:pPr>
        <w:spacing w:after="0" w:line="276" w:lineRule="exact"/>
        <w:jc w:val="left"/>
        <w:rPr>
          <w:rFonts w:ascii="宋体" w:hAnsi="宋体" w:cs="宋体" w:eastAsia="宋体" w:hint="default"/>
          <w:sz w:val="22"/>
          <w:szCs w:val="22"/>
        </w:rPr>
        <w:sectPr>
          <w:type w:val="continuous"/>
          <w:pgSz w:w="11910" w:h="16840"/>
          <w:pgMar w:top="920" w:bottom="900" w:left="1000" w:right="580"/>
        </w:sectPr>
      </w:pPr>
    </w:p>
    <w:p>
      <w:pPr>
        <w:spacing w:line="269" w:lineRule="exact" w:before="0"/>
        <w:ind w:left="836" w:right="0" w:firstLine="0"/>
        <w:jc w:val="left"/>
        <w:rPr>
          <w:rFonts w:ascii="宋体" w:hAnsi="宋体" w:cs="宋体" w:eastAsia="宋体" w:hint="default"/>
          <w:sz w:val="22"/>
          <w:szCs w:val="22"/>
        </w:rPr>
      </w:pPr>
      <w:r>
        <w:rPr>
          <w:rFonts w:ascii="宋体" w:hAnsi="宋体" w:cs="宋体" w:eastAsia="宋体" w:hint="default"/>
          <w:sz w:val="22"/>
          <w:szCs w:val="22"/>
        </w:rPr>
        <w:t>合肥物流</w:t>
      </w:r>
    </w:p>
    <w:p>
      <w:pPr>
        <w:spacing w:before="0"/>
        <w:ind w:left="836" w:right="0" w:firstLine="331"/>
        <w:jc w:val="left"/>
        <w:rPr>
          <w:rFonts w:ascii="宋体" w:hAnsi="宋体" w:cs="宋体" w:eastAsia="宋体" w:hint="default"/>
          <w:sz w:val="22"/>
          <w:szCs w:val="22"/>
        </w:rPr>
      </w:pPr>
      <w:r>
        <w:rPr>
          <w:rFonts w:ascii="宋体" w:hAnsi="宋体" w:cs="宋体" w:eastAsia="宋体" w:hint="default"/>
          <w:sz w:val="22"/>
          <w:szCs w:val="22"/>
        </w:rPr>
        <w:t>基地工程</w:t>
      </w:r>
      <w:r>
        <w:rPr>
          <w:rFonts w:ascii="宋体" w:hAnsi="宋体" w:cs="宋体" w:eastAsia="宋体" w:hint="default"/>
          <w:w w:val="99"/>
          <w:sz w:val="22"/>
          <w:szCs w:val="22"/>
        </w:rPr>
        <w:t> </w:t>
      </w:r>
      <w:r>
        <w:rPr>
          <w:rFonts w:ascii="宋体" w:hAnsi="宋体" w:cs="宋体" w:eastAsia="宋体" w:hint="default"/>
          <w:w w:val="95"/>
          <w:sz w:val="22"/>
          <w:szCs w:val="22"/>
        </w:rPr>
        <w:t>云南苏宁购置店</w:t>
      </w:r>
      <w:r>
        <w:rPr>
          <w:rFonts w:ascii="宋体" w:hAnsi="宋体" w:cs="宋体" w:eastAsia="宋体" w:hint="default"/>
          <w:sz w:val="22"/>
          <w:szCs w:val="22"/>
        </w:rPr>
      </w:r>
    </w:p>
    <w:p>
      <w:pPr>
        <w:spacing w:line="269" w:lineRule="exact" w:before="0"/>
        <w:ind w:left="1497" w:right="0" w:firstLine="0"/>
        <w:jc w:val="left"/>
        <w:rPr>
          <w:rFonts w:ascii="宋体" w:hAnsi="宋体" w:cs="宋体" w:eastAsia="宋体" w:hint="default"/>
          <w:sz w:val="22"/>
          <w:szCs w:val="22"/>
        </w:rPr>
      </w:pPr>
      <w:r>
        <w:rPr/>
        <w:br w:type="column"/>
      </w:r>
      <w:r>
        <w:rPr>
          <w:rFonts w:ascii="宋体" w:hAnsi="宋体" w:cs="宋体" w:eastAsia="宋体" w:hint="default"/>
          <w:sz w:val="22"/>
          <w:szCs w:val="22"/>
        </w:rPr>
        <w:t>土建工程主体封顶</w:t>
      </w:r>
    </w:p>
    <w:p>
      <w:pPr>
        <w:tabs>
          <w:tab w:pos="3894" w:val="left" w:leader="none"/>
        </w:tabs>
        <w:spacing w:line="287" w:lineRule="exact" w:before="0"/>
        <w:ind w:left="836" w:right="0" w:firstLine="0"/>
        <w:jc w:val="left"/>
        <w:rPr>
          <w:rFonts w:ascii="宋体" w:hAnsi="宋体" w:cs="宋体" w:eastAsia="宋体" w:hint="default"/>
          <w:sz w:val="22"/>
          <w:szCs w:val="22"/>
        </w:rPr>
      </w:pPr>
      <w:r>
        <w:rPr>
          <w:rFonts w:ascii="宋体" w:hAnsi="宋体" w:cs="宋体" w:eastAsia="宋体" w:hint="default"/>
          <w:w w:val="95"/>
          <w:sz w:val="22"/>
          <w:szCs w:val="22"/>
        </w:rPr>
        <w:t>装修、外围工程尚未开始</w:t>
        <w:tab/>
      </w:r>
      <w:r>
        <w:rPr>
          <w:rFonts w:ascii="宋体" w:hAnsi="宋体" w:cs="宋体" w:eastAsia="宋体" w:hint="default"/>
          <w:sz w:val="22"/>
          <w:szCs w:val="22"/>
        </w:rPr>
        <w:t>工程进度以形象进度为基础进行估计</w:t>
      </w:r>
    </w:p>
    <w:p>
      <w:pPr>
        <w:spacing w:after="0" w:line="287" w:lineRule="exact"/>
        <w:jc w:val="left"/>
        <w:rPr>
          <w:rFonts w:ascii="宋体" w:hAnsi="宋体" w:cs="宋体" w:eastAsia="宋体" w:hint="default"/>
          <w:sz w:val="22"/>
          <w:szCs w:val="22"/>
        </w:rPr>
        <w:sectPr>
          <w:type w:val="continuous"/>
          <w:pgSz w:w="11910" w:h="16840"/>
          <w:pgMar w:top="920" w:bottom="900" w:left="1000" w:right="580"/>
          <w:cols w:num="2" w:equalWidth="0">
            <w:col w:w="2376" w:space="432"/>
            <w:col w:w="7522"/>
          </w:cols>
        </w:sectPr>
      </w:pPr>
    </w:p>
    <w:p>
      <w:pPr>
        <w:tabs>
          <w:tab w:pos="4963" w:val="left" w:leader="none"/>
          <w:tab w:pos="6702" w:val="left" w:leader="none"/>
        </w:tabs>
        <w:spacing w:line="301" w:lineRule="exact" w:before="0"/>
        <w:ind w:left="1167" w:right="0" w:firstLine="0"/>
        <w:jc w:val="left"/>
        <w:rPr>
          <w:rFonts w:ascii="宋体" w:hAnsi="宋体" w:cs="宋体" w:eastAsia="宋体" w:hint="default"/>
          <w:sz w:val="22"/>
          <w:szCs w:val="22"/>
        </w:rPr>
      </w:pPr>
      <w:r>
        <w:rPr>
          <w:rFonts w:ascii="Arial" w:hAnsi="Arial" w:cs="Arial" w:eastAsia="Arial" w:hint="default"/>
          <w:spacing w:val="-1"/>
          <w:sz w:val="22"/>
          <w:szCs w:val="22"/>
        </w:rPr>
        <w:t>-</w:t>
      </w:r>
      <w:r>
        <w:rPr>
          <w:rFonts w:ascii="宋体" w:hAnsi="宋体" w:cs="宋体" w:eastAsia="宋体" w:hint="default"/>
          <w:spacing w:val="-1"/>
          <w:sz w:val="22"/>
          <w:szCs w:val="22"/>
        </w:rPr>
        <w:t>长春花园商场</w:t>
        <w:tab/>
      </w:r>
      <w:r>
        <w:rPr>
          <w:rFonts w:ascii="宋体" w:hAnsi="宋体" w:cs="宋体" w:eastAsia="宋体" w:hint="default"/>
          <w:w w:val="95"/>
          <w:sz w:val="22"/>
          <w:szCs w:val="22"/>
        </w:rPr>
        <w:t>已完工转固</w:t>
        <w:tab/>
      </w:r>
      <w:r>
        <w:rPr>
          <w:rFonts w:ascii="宋体" w:hAnsi="宋体" w:cs="宋体" w:eastAsia="宋体" w:hint="default"/>
          <w:sz w:val="22"/>
          <w:szCs w:val="22"/>
        </w:rPr>
        <w:t>工程进度以形象进度为基础进行估计</w:t>
      </w:r>
    </w:p>
    <w:p>
      <w:pPr>
        <w:spacing w:after="0" w:line="301" w:lineRule="exact"/>
        <w:jc w:val="left"/>
        <w:rPr>
          <w:rFonts w:ascii="宋体" w:hAnsi="宋体" w:cs="宋体" w:eastAsia="宋体" w:hint="default"/>
          <w:sz w:val="22"/>
          <w:szCs w:val="22"/>
        </w:rPr>
        <w:sectPr>
          <w:type w:val="continuous"/>
          <w:pgSz w:w="11910" w:h="16840"/>
          <w:pgMar w:top="920" w:bottom="900" w:left="1000" w:right="580"/>
        </w:sectPr>
      </w:pPr>
    </w:p>
    <w:p>
      <w:pPr>
        <w:spacing w:line="240" w:lineRule="auto" w:before="4"/>
        <w:rPr>
          <w:rFonts w:ascii="Times New Roman" w:hAnsi="Times New Roman" w:cs="Times New Roman" w:eastAsia="Times New Roman"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649"/>
        <w:gridCol w:w="2910"/>
        <w:gridCol w:w="1437"/>
        <w:gridCol w:w="1602"/>
        <w:gridCol w:w="1700"/>
        <w:gridCol w:w="1708"/>
      </w:tblGrid>
      <w:tr>
        <w:trPr>
          <w:trHeight w:val="1066" w:hRule="exact"/>
        </w:trPr>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35" w:right="0"/>
              <w:jc w:val="left"/>
              <w:rPr>
                <w:rFonts w:ascii="Arial" w:hAnsi="Arial" w:cs="Arial" w:eastAsia="Arial" w:hint="default"/>
                <w:sz w:val="24"/>
                <w:szCs w:val="24"/>
              </w:rPr>
            </w:pPr>
            <w:r>
              <w:rPr>
                <w:rFonts w:ascii="Arial"/>
                <w:sz w:val="24"/>
              </w:rPr>
              <w:t>(15)</w:t>
            </w:r>
          </w:p>
        </w:tc>
        <w:tc>
          <w:tcPr>
            <w:tcW w:w="2910" w:type="dxa"/>
            <w:tcBorders>
              <w:top w:val="nil" w:sz="6" w:space="0" w:color="auto"/>
              <w:left w:val="nil" w:sz="6" w:space="0" w:color="auto"/>
              <w:bottom w:val="nil" w:sz="6" w:space="0" w:color="auto"/>
              <w:right w:val="nil" w:sz="6" w:space="0" w:color="auto"/>
            </w:tcBorders>
          </w:tcPr>
          <w:p>
            <w:pPr>
              <w:pStyle w:val="TableParagraph"/>
              <w:spacing w:line="400" w:lineRule="auto" w:before="26"/>
              <w:ind w:left="107" w:right="-19" w:firstLine="18"/>
              <w:jc w:val="left"/>
              <w:rPr>
                <w:rFonts w:ascii="宋体" w:hAnsi="宋体" w:cs="宋体" w:eastAsia="宋体"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48"/>
                <w:w w:val="95"/>
                <w:sz w:val="24"/>
                <w:szCs w:val="24"/>
              </w:rPr>
              <w:t> </w:t>
            </w:r>
            <w:r>
              <w:rPr>
                <w:rFonts w:ascii="宋体" w:hAnsi="宋体" w:cs="宋体" w:eastAsia="宋体" w:hint="default"/>
                <w:b/>
                <w:bCs/>
                <w:sz w:val="24"/>
                <w:szCs w:val="24"/>
              </w:rPr>
              <w:t>无形资产</w:t>
            </w:r>
            <w:r>
              <w:rPr>
                <w:rFonts w:ascii="宋体" w:hAnsi="宋体" w:cs="宋体" w:eastAsia="宋体" w:hint="default"/>
                <w:sz w:val="24"/>
                <w:szCs w:val="24"/>
              </w:rPr>
            </w:r>
          </w:p>
        </w:tc>
        <w:tc>
          <w:tcPr>
            <w:tcW w:w="6448" w:type="dxa"/>
            <w:gridSpan w:val="4"/>
            <w:tcBorders>
              <w:top w:val="nil" w:sz="6" w:space="0" w:color="auto"/>
              <w:left w:val="nil" w:sz="6" w:space="0" w:color="auto"/>
              <w:bottom w:val="nil" w:sz="6" w:space="0" w:color="auto"/>
              <w:right w:val="nil" w:sz="6" w:space="0" w:color="auto"/>
            </w:tcBorders>
          </w:tcPr>
          <w:p>
            <w:pPr/>
          </w:p>
        </w:tc>
      </w:tr>
      <w:tr>
        <w:trPr>
          <w:trHeight w:val="431" w:hRule="exact"/>
        </w:trPr>
        <w:tc>
          <w:tcPr>
            <w:tcW w:w="649" w:type="dxa"/>
            <w:tcBorders>
              <w:top w:val="nil" w:sz="6" w:space="0" w:color="auto"/>
              <w:left w:val="nil" w:sz="6" w:space="0" w:color="auto"/>
              <w:bottom w:val="nil" w:sz="6" w:space="0" w:color="auto"/>
              <w:right w:val="nil" w:sz="6" w:space="0" w:color="auto"/>
            </w:tcBorders>
          </w:tcPr>
          <w:p>
            <w:pPr/>
          </w:p>
        </w:tc>
        <w:tc>
          <w:tcPr>
            <w:tcW w:w="2910"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41"/>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602"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7"/>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423" w:hRule="exact"/>
        </w:trPr>
        <w:tc>
          <w:tcPr>
            <w:tcW w:w="649" w:type="dxa"/>
            <w:tcBorders>
              <w:top w:val="nil" w:sz="6" w:space="0" w:color="auto"/>
              <w:left w:val="nil" w:sz="6" w:space="0" w:color="auto"/>
              <w:bottom w:val="nil" w:sz="6" w:space="0" w:color="auto"/>
              <w:right w:val="nil" w:sz="6" w:space="0" w:color="auto"/>
            </w:tcBorders>
          </w:tcPr>
          <w:p>
            <w:pPr/>
          </w:p>
        </w:tc>
        <w:tc>
          <w:tcPr>
            <w:tcW w:w="2910"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64" w:lineRule="exact"/>
              <w:ind w:right="341"/>
              <w:jc w:val="righ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602" w:type="dxa"/>
            <w:tcBorders>
              <w:top w:val="nil" w:sz="6" w:space="0" w:color="auto"/>
              <w:left w:val="nil" w:sz="6" w:space="0" w:color="auto"/>
              <w:bottom w:val="nil" w:sz="6" w:space="0" w:color="auto"/>
              <w:right w:val="nil" w:sz="6" w:space="0" w:color="auto"/>
            </w:tcBorders>
          </w:tcPr>
          <w:p>
            <w:pPr>
              <w:pStyle w:val="TableParagraph"/>
              <w:spacing w:line="247" w:lineRule="exact"/>
              <w:ind w:right="314"/>
              <w:jc w:val="right"/>
              <w:rPr>
                <w:rFonts w:ascii="宋体" w:hAnsi="宋体" w:cs="宋体" w:eastAsia="宋体" w:hint="default"/>
                <w:sz w:val="22"/>
                <w:szCs w:val="22"/>
              </w:rPr>
            </w:pPr>
            <w:r>
              <w:rPr>
                <w:rFonts w:ascii="宋体" w:hAnsi="宋体" w:cs="宋体" w:eastAsia="宋体" w:hint="default"/>
                <w:w w:val="95"/>
                <w:sz w:val="22"/>
                <w:szCs w:val="22"/>
              </w:rPr>
              <w:t>本年增加</w:t>
            </w:r>
            <w:r>
              <w:rPr>
                <w:rFonts w:ascii="宋体" w:hAnsi="宋体" w:cs="宋体" w:eastAsia="宋体" w:hint="default"/>
                <w:sz w:val="22"/>
                <w:szCs w:val="22"/>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7" w:lineRule="exact"/>
              <w:ind w:right="503"/>
              <w:jc w:val="right"/>
              <w:rPr>
                <w:rFonts w:ascii="宋体" w:hAnsi="宋体" w:cs="宋体" w:eastAsia="宋体" w:hint="default"/>
                <w:sz w:val="22"/>
                <w:szCs w:val="22"/>
              </w:rPr>
            </w:pPr>
            <w:r>
              <w:rPr>
                <w:rFonts w:ascii="宋体" w:hAnsi="宋体" w:cs="宋体" w:eastAsia="宋体" w:hint="default"/>
                <w:w w:val="95"/>
                <w:sz w:val="22"/>
                <w:szCs w:val="22"/>
              </w:rPr>
              <w:t>本年减少</w:t>
            </w:r>
            <w:r>
              <w:rPr>
                <w:rFonts w:ascii="宋体" w:hAnsi="宋体" w:cs="宋体" w:eastAsia="宋体" w:hint="default"/>
                <w:sz w:val="22"/>
                <w:szCs w:val="22"/>
              </w:rPr>
            </w:r>
          </w:p>
        </w:tc>
        <w:tc>
          <w:tcPr>
            <w:tcW w:w="1708" w:type="dxa"/>
            <w:tcBorders>
              <w:top w:val="nil" w:sz="6" w:space="0" w:color="auto"/>
              <w:left w:val="nil" w:sz="6" w:space="0" w:color="auto"/>
              <w:bottom w:val="nil" w:sz="6" w:space="0" w:color="auto"/>
              <w:right w:val="nil" w:sz="6" w:space="0" w:color="auto"/>
            </w:tcBorders>
          </w:tcPr>
          <w:p>
            <w:pPr>
              <w:pStyle w:val="TableParagraph"/>
              <w:spacing w:line="264" w:lineRule="exact"/>
              <w:ind w:right="107"/>
              <w:jc w:val="righ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422" w:hRule="exact"/>
        </w:trPr>
        <w:tc>
          <w:tcPr>
            <w:tcW w:w="649" w:type="dxa"/>
            <w:tcBorders>
              <w:top w:val="nil" w:sz="6" w:space="0" w:color="auto"/>
              <w:left w:val="nil" w:sz="6" w:space="0" w:color="auto"/>
              <w:bottom w:val="nil" w:sz="6" w:space="0" w:color="auto"/>
              <w:right w:val="nil" w:sz="6" w:space="0" w:color="auto"/>
            </w:tcBorders>
          </w:tcPr>
          <w:p>
            <w:pPr/>
          </w:p>
        </w:tc>
        <w:tc>
          <w:tcPr>
            <w:tcW w:w="2910"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108" w:right="0"/>
              <w:jc w:val="left"/>
              <w:rPr>
                <w:rFonts w:ascii="宋体" w:hAnsi="宋体" w:cs="宋体" w:eastAsia="宋体" w:hint="default"/>
                <w:sz w:val="22"/>
                <w:szCs w:val="22"/>
              </w:rPr>
            </w:pPr>
            <w:r>
              <w:rPr>
                <w:rFonts w:ascii="宋体" w:hAnsi="宋体" w:cs="宋体" w:eastAsia="宋体" w:hint="default"/>
                <w:sz w:val="22"/>
                <w:szCs w:val="22"/>
              </w:rPr>
              <w:t>原价合计</w:t>
            </w:r>
          </w:p>
        </w:tc>
        <w:tc>
          <w:tcPr>
            <w:tcW w:w="1437" w:type="dxa"/>
            <w:tcBorders>
              <w:top w:val="nil" w:sz="6" w:space="0" w:color="auto"/>
              <w:left w:val="nil" w:sz="6" w:space="0" w:color="auto"/>
              <w:bottom w:val="single" w:sz="4" w:space="0" w:color="000000"/>
              <w:right w:val="nil" w:sz="6" w:space="0" w:color="auto"/>
            </w:tcBorders>
          </w:tcPr>
          <w:p>
            <w:pPr>
              <w:pStyle w:val="TableParagraph"/>
              <w:spacing w:line="240" w:lineRule="auto" w:before="161"/>
              <w:ind w:left="226" w:right="0"/>
              <w:jc w:val="left"/>
              <w:rPr>
                <w:rFonts w:ascii="Arial" w:hAnsi="Arial" w:cs="Arial" w:eastAsia="Arial" w:hint="default"/>
                <w:sz w:val="22"/>
                <w:szCs w:val="22"/>
              </w:rPr>
            </w:pPr>
            <w:r>
              <w:rPr>
                <w:rFonts w:ascii="Arial"/>
                <w:sz w:val="22"/>
              </w:rPr>
              <w:t>939,401</w:t>
            </w:r>
          </w:p>
        </w:tc>
        <w:tc>
          <w:tcPr>
            <w:tcW w:w="1602" w:type="dxa"/>
            <w:tcBorders>
              <w:top w:val="nil" w:sz="6" w:space="0" w:color="auto"/>
              <w:left w:val="nil" w:sz="6" w:space="0" w:color="auto"/>
              <w:bottom w:val="single" w:sz="4" w:space="0" w:color="000000"/>
              <w:right w:val="nil" w:sz="6" w:space="0" w:color="auto"/>
            </w:tcBorders>
          </w:tcPr>
          <w:p>
            <w:pPr>
              <w:pStyle w:val="TableParagraph"/>
              <w:spacing w:line="240" w:lineRule="auto" w:before="161"/>
              <w:ind w:right="331"/>
              <w:jc w:val="right"/>
              <w:rPr>
                <w:rFonts w:ascii="Arial" w:hAnsi="Arial" w:cs="Arial" w:eastAsia="Arial" w:hint="default"/>
                <w:sz w:val="22"/>
                <w:szCs w:val="22"/>
              </w:rPr>
            </w:pPr>
            <w:r>
              <w:rPr>
                <w:rFonts w:ascii="Arial"/>
                <w:w w:val="95"/>
                <w:sz w:val="22"/>
              </w:rPr>
              <w:t>652,177</w:t>
            </w:r>
            <w:r>
              <w:rPr>
                <w:rFonts w:ascii="Arial"/>
                <w:sz w:val="22"/>
              </w:rPr>
            </w: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161"/>
              <w:ind w:right="576"/>
              <w:jc w:val="right"/>
              <w:rPr>
                <w:rFonts w:ascii="Arial" w:hAnsi="Arial" w:cs="Arial" w:eastAsia="Arial" w:hint="default"/>
                <w:sz w:val="22"/>
                <w:szCs w:val="22"/>
              </w:rPr>
            </w:pPr>
            <w:r>
              <w:rPr>
                <w:rFonts w:ascii="Arial"/>
                <w:w w:val="99"/>
                <w:sz w:val="22"/>
              </w:rPr>
              <w:t>-</w:t>
            </w:r>
            <w:r>
              <w:rPr>
                <w:rFonts w:ascii="Arial"/>
                <w:sz w:val="22"/>
              </w:rPr>
            </w:r>
          </w:p>
        </w:tc>
        <w:tc>
          <w:tcPr>
            <w:tcW w:w="1708" w:type="dxa"/>
            <w:tcBorders>
              <w:top w:val="nil" w:sz="6" w:space="0" w:color="auto"/>
              <w:left w:val="nil" w:sz="6" w:space="0" w:color="auto"/>
              <w:bottom w:val="single" w:sz="4" w:space="0" w:color="000000"/>
              <w:right w:val="nil" w:sz="6" w:space="0" w:color="auto"/>
            </w:tcBorders>
          </w:tcPr>
          <w:p>
            <w:pPr>
              <w:pStyle w:val="TableParagraph"/>
              <w:spacing w:line="240" w:lineRule="auto" w:before="161"/>
              <w:ind w:right="143"/>
              <w:jc w:val="right"/>
              <w:rPr>
                <w:rFonts w:ascii="Arial" w:hAnsi="Arial" w:cs="Arial" w:eastAsia="Arial" w:hint="default"/>
                <w:sz w:val="22"/>
                <w:szCs w:val="22"/>
              </w:rPr>
            </w:pPr>
            <w:r>
              <w:rPr>
                <w:rFonts w:ascii="Arial"/>
                <w:w w:val="95"/>
                <w:sz w:val="22"/>
              </w:rPr>
              <w:t>1,591,578</w:t>
            </w:r>
            <w:r>
              <w:rPr>
                <w:rFonts w:ascii="Arial"/>
                <w:sz w:val="22"/>
              </w:rPr>
            </w:r>
          </w:p>
        </w:tc>
      </w:tr>
      <w:tr>
        <w:trPr>
          <w:trHeight w:val="309" w:hRule="exact"/>
        </w:trPr>
        <w:tc>
          <w:tcPr>
            <w:tcW w:w="649" w:type="dxa"/>
            <w:tcBorders>
              <w:top w:val="nil" w:sz="6" w:space="0" w:color="auto"/>
              <w:left w:val="nil" w:sz="6" w:space="0" w:color="auto"/>
              <w:bottom w:val="nil" w:sz="6" w:space="0" w:color="auto"/>
              <w:right w:val="single" w:sz="4" w:space="0" w:color="000000"/>
            </w:tcBorders>
          </w:tcPr>
          <w:p>
            <w:pPr/>
          </w:p>
        </w:tc>
        <w:tc>
          <w:tcPr>
            <w:tcW w:w="2910" w:type="dxa"/>
            <w:tcBorders>
              <w:top w:val="single" w:sz="4" w:space="0" w:color="000000"/>
              <w:left w:val="single" w:sz="4" w:space="0" w:color="000000"/>
              <w:bottom w:val="nil" w:sz="6" w:space="0" w:color="auto"/>
              <w:right w:val="nil" w:sz="6" w:space="0" w:color="auto"/>
            </w:tcBorders>
          </w:tcPr>
          <w:p>
            <w:pPr>
              <w:pStyle w:val="TableParagraph"/>
              <w:spacing w:line="253" w:lineRule="exact"/>
              <w:ind w:left="301"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437"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left="226" w:right="0"/>
              <w:jc w:val="left"/>
              <w:rPr>
                <w:rFonts w:ascii="Arial" w:hAnsi="Arial" w:cs="Arial" w:eastAsia="Arial" w:hint="default"/>
                <w:sz w:val="22"/>
                <w:szCs w:val="22"/>
              </w:rPr>
            </w:pPr>
            <w:r>
              <w:rPr>
                <w:rFonts w:ascii="Arial"/>
                <w:sz w:val="22"/>
              </w:rPr>
              <w:t>532,894</w:t>
            </w:r>
          </w:p>
        </w:tc>
        <w:tc>
          <w:tcPr>
            <w:tcW w:w="1602"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331"/>
              <w:jc w:val="right"/>
              <w:rPr>
                <w:rFonts w:ascii="Arial" w:hAnsi="Arial" w:cs="Arial" w:eastAsia="Arial" w:hint="default"/>
                <w:sz w:val="22"/>
                <w:szCs w:val="22"/>
              </w:rPr>
            </w:pPr>
            <w:r>
              <w:rPr>
                <w:rFonts w:ascii="Arial"/>
                <w:w w:val="95"/>
                <w:sz w:val="22"/>
              </w:rPr>
              <w:t>472,378</w:t>
            </w:r>
            <w:r>
              <w:rPr>
                <w:rFonts w:ascii="Arial"/>
                <w:sz w:val="22"/>
              </w:rPr>
            </w:r>
          </w:p>
        </w:tc>
        <w:tc>
          <w:tcPr>
            <w:tcW w:w="1700"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576"/>
              <w:jc w:val="right"/>
              <w:rPr>
                <w:rFonts w:ascii="Arial" w:hAnsi="Arial" w:cs="Arial" w:eastAsia="Arial" w:hint="default"/>
                <w:sz w:val="22"/>
                <w:szCs w:val="22"/>
              </w:rPr>
            </w:pPr>
            <w:r>
              <w:rPr>
                <w:rFonts w:ascii="Arial"/>
                <w:w w:val="99"/>
                <w:sz w:val="22"/>
              </w:rPr>
              <w:t>-</w:t>
            </w:r>
            <w:r>
              <w:rPr>
                <w:rFonts w:ascii="Arial"/>
                <w:sz w:val="22"/>
              </w:rPr>
            </w:r>
          </w:p>
        </w:tc>
        <w:tc>
          <w:tcPr>
            <w:tcW w:w="1708" w:type="dxa"/>
            <w:tcBorders>
              <w:top w:val="single" w:sz="4" w:space="0" w:color="000000"/>
              <w:left w:val="nil" w:sz="6" w:space="0" w:color="auto"/>
              <w:bottom w:val="nil" w:sz="6" w:space="0" w:color="auto"/>
              <w:right w:val="single" w:sz="4" w:space="0" w:color="000000"/>
            </w:tcBorders>
          </w:tcPr>
          <w:p>
            <w:pPr>
              <w:pStyle w:val="TableParagraph"/>
              <w:spacing w:line="240" w:lineRule="auto" w:before="31"/>
              <w:ind w:right="138"/>
              <w:jc w:val="right"/>
              <w:rPr>
                <w:rFonts w:ascii="Arial" w:hAnsi="Arial" w:cs="Arial" w:eastAsia="Arial" w:hint="default"/>
                <w:sz w:val="22"/>
                <w:szCs w:val="22"/>
              </w:rPr>
            </w:pPr>
            <w:r>
              <w:rPr>
                <w:rFonts w:ascii="Arial"/>
                <w:w w:val="95"/>
                <w:sz w:val="22"/>
              </w:rPr>
              <w:t>1,005,272</w:t>
            </w:r>
            <w:r>
              <w:rPr>
                <w:rFonts w:ascii="Arial"/>
                <w:sz w:val="22"/>
              </w:rPr>
            </w:r>
          </w:p>
        </w:tc>
      </w:tr>
      <w:tr>
        <w:trPr>
          <w:trHeight w:val="296" w:hRule="exact"/>
        </w:trPr>
        <w:tc>
          <w:tcPr>
            <w:tcW w:w="649" w:type="dxa"/>
            <w:tcBorders>
              <w:top w:val="nil" w:sz="6" w:space="0" w:color="auto"/>
              <w:left w:val="nil" w:sz="6" w:space="0" w:color="auto"/>
              <w:bottom w:val="nil" w:sz="6" w:space="0" w:color="auto"/>
              <w:right w:val="single" w:sz="4" w:space="0" w:color="000000"/>
            </w:tcBorders>
          </w:tcPr>
          <w:p>
            <w:pPr/>
          </w:p>
        </w:tc>
        <w:tc>
          <w:tcPr>
            <w:tcW w:w="2910" w:type="dxa"/>
            <w:tcBorders>
              <w:top w:val="nil" w:sz="6" w:space="0" w:color="auto"/>
              <w:left w:val="single" w:sz="4" w:space="0" w:color="000000"/>
              <w:bottom w:val="nil" w:sz="6" w:space="0" w:color="auto"/>
              <w:right w:val="nil" w:sz="6" w:space="0" w:color="auto"/>
            </w:tcBorders>
          </w:tcPr>
          <w:p>
            <w:pPr>
              <w:pStyle w:val="TableParagraph"/>
              <w:spacing w:line="244" w:lineRule="exact"/>
              <w:ind w:left="301"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26" w:right="0"/>
              <w:jc w:val="left"/>
              <w:rPr>
                <w:rFonts w:ascii="Arial" w:hAnsi="Arial" w:cs="Arial" w:eastAsia="Arial" w:hint="default"/>
                <w:sz w:val="22"/>
                <w:szCs w:val="22"/>
              </w:rPr>
            </w:pPr>
            <w:r>
              <w:rPr>
                <w:rFonts w:ascii="Arial"/>
                <w:sz w:val="22"/>
              </w:rPr>
              <w:t>161,274</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1"/>
              <w:jc w:val="right"/>
              <w:rPr>
                <w:rFonts w:ascii="Arial" w:hAnsi="Arial" w:cs="Arial" w:eastAsia="Arial" w:hint="default"/>
                <w:sz w:val="22"/>
                <w:szCs w:val="22"/>
              </w:rPr>
            </w:pPr>
            <w:r>
              <w:rPr>
                <w:rFonts w:ascii="Arial"/>
                <w:w w:val="95"/>
                <w:sz w:val="22"/>
              </w:rPr>
              <w:t>163,782</w:t>
            </w:r>
            <w:r>
              <w:rPr>
                <w:rFonts w:ascii="Arial"/>
                <w:sz w:val="22"/>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76"/>
              <w:jc w:val="right"/>
              <w:rPr>
                <w:rFonts w:ascii="Arial" w:hAnsi="Arial" w:cs="Arial" w:eastAsia="Arial" w:hint="default"/>
                <w:sz w:val="22"/>
                <w:szCs w:val="22"/>
              </w:rPr>
            </w:pPr>
            <w:r>
              <w:rPr>
                <w:rFonts w:ascii="Arial"/>
                <w:w w:val="99"/>
                <w:sz w:val="22"/>
              </w:rPr>
              <w:t>-</w:t>
            </w:r>
            <w:r>
              <w:rPr>
                <w:rFonts w:ascii="Arial"/>
                <w:sz w:val="22"/>
              </w:rPr>
            </w:r>
          </w:p>
        </w:tc>
        <w:tc>
          <w:tcPr>
            <w:tcW w:w="1708"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right="138"/>
              <w:jc w:val="right"/>
              <w:rPr>
                <w:rFonts w:ascii="Arial" w:hAnsi="Arial" w:cs="Arial" w:eastAsia="Arial" w:hint="default"/>
                <w:sz w:val="22"/>
                <w:szCs w:val="22"/>
              </w:rPr>
            </w:pPr>
            <w:r>
              <w:rPr>
                <w:rFonts w:ascii="Arial"/>
                <w:w w:val="95"/>
                <w:sz w:val="22"/>
              </w:rPr>
              <w:t>325,056</w:t>
            </w:r>
            <w:r>
              <w:rPr>
                <w:rFonts w:ascii="Arial"/>
                <w:sz w:val="22"/>
              </w:rPr>
            </w:r>
          </w:p>
        </w:tc>
      </w:tr>
      <w:tr>
        <w:trPr>
          <w:trHeight w:val="296" w:hRule="exact"/>
        </w:trPr>
        <w:tc>
          <w:tcPr>
            <w:tcW w:w="649" w:type="dxa"/>
            <w:tcBorders>
              <w:top w:val="nil" w:sz="6" w:space="0" w:color="auto"/>
              <w:left w:val="nil" w:sz="6" w:space="0" w:color="auto"/>
              <w:bottom w:val="nil" w:sz="6" w:space="0" w:color="auto"/>
              <w:right w:val="single" w:sz="4" w:space="0" w:color="000000"/>
            </w:tcBorders>
          </w:tcPr>
          <w:p>
            <w:pPr/>
          </w:p>
        </w:tc>
        <w:tc>
          <w:tcPr>
            <w:tcW w:w="2910" w:type="dxa"/>
            <w:tcBorders>
              <w:top w:val="nil" w:sz="6" w:space="0" w:color="auto"/>
              <w:left w:val="single" w:sz="4" w:space="0" w:color="000000"/>
              <w:bottom w:val="nil" w:sz="6" w:space="0" w:color="auto"/>
              <w:right w:val="nil" w:sz="6" w:space="0" w:color="auto"/>
            </w:tcBorders>
          </w:tcPr>
          <w:p>
            <w:pPr>
              <w:pStyle w:val="TableParagraph"/>
              <w:spacing w:line="261" w:lineRule="exact"/>
              <w:ind w:left="301" w:right="0"/>
              <w:jc w:val="left"/>
              <w:rPr>
                <w:rFonts w:ascii="Arial" w:hAnsi="Arial" w:cs="Arial" w:eastAsia="Arial" w:hint="default"/>
                <w:sz w:val="22"/>
                <w:szCs w:val="22"/>
              </w:rPr>
            </w:pPr>
            <w:r>
              <w:rPr>
                <w:rFonts w:ascii="宋体" w:hAnsi="宋体" w:cs="宋体" w:eastAsia="宋体" w:hint="default"/>
                <w:sz w:val="22"/>
                <w:szCs w:val="22"/>
              </w:rPr>
              <w:t>优惠承租权</w:t>
            </w:r>
            <w:r>
              <w:rPr>
                <w:rFonts w:ascii="Arial" w:hAnsi="Arial" w:cs="Arial" w:eastAsia="Arial" w:hint="default"/>
                <w:sz w:val="22"/>
                <w:szCs w:val="22"/>
              </w:rPr>
              <w:t>(a)</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26" w:right="0"/>
              <w:jc w:val="left"/>
              <w:rPr>
                <w:rFonts w:ascii="Arial" w:hAnsi="Arial" w:cs="Arial" w:eastAsia="Arial" w:hint="default"/>
                <w:sz w:val="22"/>
                <w:szCs w:val="22"/>
              </w:rPr>
            </w:pPr>
            <w:r>
              <w:rPr>
                <w:rFonts w:ascii="Arial"/>
                <w:sz w:val="22"/>
              </w:rPr>
              <w:t>245,233</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1"/>
              <w:jc w:val="right"/>
              <w:rPr>
                <w:rFonts w:ascii="Arial" w:hAnsi="Arial" w:cs="Arial" w:eastAsia="Arial" w:hint="default"/>
                <w:sz w:val="22"/>
                <w:szCs w:val="22"/>
              </w:rPr>
            </w:pPr>
            <w:r>
              <w:rPr>
                <w:rFonts w:ascii="Arial"/>
                <w:w w:val="99"/>
                <w:sz w:val="22"/>
              </w:rPr>
              <w:t>-</w:t>
            </w:r>
            <w:r>
              <w:rPr>
                <w:rFonts w:ascii="Arial"/>
                <w:sz w:val="22"/>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76"/>
              <w:jc w:val="right"/>
              <w:rPr>
                <w:rFonts w:ascii="Arial" w:hAnsi="Arial" w:cs="Arial" w:eastAsia="Arial" w:hint="default"/>
                <w:sz w:val="22"/>
                <w:szCs w:val="22"/>
              </w:rPr>
            </w:pPr>
            <w:r>
              <w:rPr>
                <w:rFonts w:ascii="Arial"/>
                <w:w w:val="99"/>
                <w:sz w:val="22"/>
              </w:rPr>
              <w:t>-</w:t>
            </w:r>
            <w:r>
              <w:rPr>
                <w:rFonts w:ascii="Arial"/>
                <w:sz w:val="22"/>
              </w:rPr>
            </w:r>
          </w:p>
        </w:tc>
        <w:tc>
          <w:tcPr>
            <w:tcW w:w="1708"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right="138"/>
              <w:jc w:val="right"/>
              <w:rPr>
                <w:rFonts w:ascii="Arial" w:hAnsi="Arial" w:cs="Arial" w:eastAsia="Arial" w:hint="default"/>
                <w:sz w:val="22"/>
                <w:szCs w:val="22"/>
              </w:rPr>
            </w:pPr>
            <w:r>
              <w:rPr>
                <w:rFonts w:ascii="Arial"/>
                <w:w w:val="95"/>
                <w:sz w:val="22"/>
              </w:rPr>
              <w:t>245,233</w:t>
            </w:r>
            <w:r>
              <w:rPr>
                <w:rFonts w:ascii="Arial"/>
                <w:sz w:val="22"/>
              </w:rPr>
            </w:r>
          </w:p>
        </w:tc>
      </w:tr>
      <w:tr>
        <w:trPr>
          <w:trHeight w:val="282" w:hRule="exact"/>
        </w:trPr>
        <w:tc>
          <w:tcPr>
            <w:tcW w:w="649" w:type="dxa"/>
            <w:tcBorders>
              <w:top w:val="nil" w:sz="6" w:space="0" w:color="auto"/>
              <w:left w:val="nil" w:sz="6" w:space="0" w:color="auto"/>
              <w:bottom w:val="nil" w:sz="6" w:space="0" w:color="auto"/>
              <w:right w:val="single" w:sz="4" w:space="0" w:color="000000"/>
            </w:tcBorders>
          </w:tcPr>
          <w:p>
            <w:pPr/>
          </w:p>
        </w:tc>
        <w:tc>
          <w:tcPr>
            <w:tcW w:w="2910" w:type="dxa"/>
            <w:tcBorders>
              <w:top w:val="nil" w:sz="6" w:space="0" w:color="auto"/>
              <w:left w:val="single" w:sz="4" w:space="0" w:color="000000"/>
              <w:bottom w:val="single" w:sz="4" w:space="0" w:color="000000"/>
              <w:right w:val="nil" w:sz="6" w:space="0" w:color="auto"/>
            </w:tcBorders>
          </w:tcPr>
          <w:p>
            <w:pPr>
              <w:pStyle w:val="TableParagraph"/>
              <w:spacing w:line="245" w:lineRule="exact"/>
              <w:ind w:left="544" w:right="0"/>
              <w:jc w:val="left"/>
              <w:rPr>
                <w:rFonts w:ascii="宋体" w:hAnsi="宋体" w:cs="宋体" w:eastAsia="宋体" w:hint="default"/>
                <w:sz w:val="22"/>
                <w:szCs w:val="22"/>
              </w:rPr>
            </w:pPr>
            <w:r>
              <w:rPr>
                <w:rFonts w:ascii="宋体" w:hAnsi="宋体" w:cs="宋体" w:eastAsia="宋体" w:hint="default"/>
                <w:sz w:val="22"/>
                <w:szCs w:val="22"/>
              </w:rPr>
              <w:t>商标及客户关系</w:t>
            </w:r>
          </w:p>
        </w:tc>
        <w:tc>
          <w:tcPr>
            <w:tcW w:w="1437"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413"/>
              <w:jc w:val="right"/>
              <w:rPr>
                <w:rFonts w:ascii="Arial" w:hAnsi="Arial" w:cs="Arial" w:eastAsia="Arial" w:hint="default"/>
                <w:sz w:val="22"/>
                <w:szCs w:val="22"/>
              </w:rPr>
            </w:pPr>
            <w:r>
              <w:rPr>
                <w:rFonts w:ascii="Arial"/>
                <w:w w:val="99"/>
                <w:sz w:val="22"/>
              </w:rPr>
              <w:t>-</w:t>
            </w:r>
            <w:r>
              <w:rPr>
                <w:rFonts w:ascii="Arial"/>
                <w:sz w:val="22"/>
              </w:rPr>
            </w:r>
          </w:p>
        </w:tc>
        <w:tc>
          <w:tcPr>
            <w:tcW w:w="1602"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331"/>
              <w:jc w:val="right"/>
              <w:rPr>
                <w:rFonts w:ascii="Arial" w:hAnsi="Arial" w:cs="Arial" w:eastAsia="Arial" w:hint="default"/>
                <w:sz w:val="22"/>
                <w:szCs w:val="22"/>
              </w:rPr>
            </w:pPr>
            <w:r>
              <w:rPr>
                <w:rFonts w:ascii="Arial"/>
                <w:w w:val="95"/>
                <w:sz w:val="22"/>
              </w:rPr>
              <w:t>16,017</w:t>
            </w:r>
            <w:r>
              <w:rPr>
                <w:rFonts w:ascii="Arial"/>
                <w:sz w:val="22"/>
              </w:rPr>
            </w: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576"/>
              <w:jc w:val="right"/>
              <w:rPr>
                <w:rFonts w:ascii="Arial" w:hAnsi="Arial" w:cs="Arial" w:eastAsia="Arial" w:hint="default"/>
                <w:sz w:val="22"/>
                <w:szCs w:val="22"/>
              </w:rPr>
            </w:pPr>
            <w:r>
              <w:rPr>
                <w:rFonts w:ascii="Arial"/>
                <w:w w:val="99"/>
                <w:sz w:val="22"/>
              </w:rPr>
              <w:t>-</w:t>
            </w:r>
            <w:r>
              <w:rPr>
                <w:rFonts w:ascii="Arial"/>
                <w:sz w:val="22"/>
              </w:rPr>
            </w:r>
          </w:p>
        </w:tc>
        <w:tc>
          <w:tcPr>
            <w:tcW w:w="1708" w:type="dxa"/>
            <w:tcBorders>
              <w:top w:val="nil" w:sz="6" w:space="0" w:color="auto"/>
              <w:left w:val="nil" w:sz="6" w:space="0" w:color="auto"/>
              <w:bottom w:val="single" w:sz="4" w:space="0" w:color="000000"/>
              <w:right w:val="single" w:sz="4" w:space="0" w:color="000000"/>
            </w:tcBorders>
          </w:tcPr>
          <w:p>
            <w:pPr>
              <w:pStyle w:val="TableParagraph"/>
              <w:spacing w:line="240" w:lineRule="auto" w:before="23"/>
              <w:ind w:right="138"/>
              <w:jc w:val="right"/>
              <w:rPr>
                <w:rFonts w:ascii="Arial" w:hAnsi="Arial" w:cs="Arial" w:eastAsia="Arial" w:hint="default"/>
                <w:sz w:val="22"/>
                <w:szCs w:val="22"/>
              </w:rPr>
            </w:pPr>
            <w:r>
              <w:rPr>
                <w:rFonts w:ascii="Arial"/>
                <w:w w:val="95"/>
                <w:sz w:val="22"/>
              </w:rPr>
              <w:t>16,017</w:t>
            </w:r>
            <w:r>
              <w:rPr>
                <w:rFonts w:ascii="Arial"/>
                <w:sz w:val="22"/>
              </w:rPr>
            </w:r>
          </w:p>
        </w:tc>
      </w:tr>
      <w:tr>
        <w:trPr>
          <w:trHeight w:val="559" w:hRule="exact"/>
        </w:trPr>
        <w:tc>
          <w:tcPr>
            <w:tcW w:w="649" w:type="dxa"/>
            <w:tcBorders>
              <w:top w:val="nil" w:sz="6" w:space="0" w:color="auto"/>
              <w:left w:val="nil" w:sz="6" w:space="0" w:color="auto"/>
              <w:bottom w:val="nil" w:sz="6" w:space="0" w:color="auto"/>
              <w:right w:val="nil" w:sz="6" w:space="0" w:color="auto"/>
            </w:tcBorders>
          </w:tcPr>
          <w:p>
            <w:pPr/>
          </w:p>
        </w:tc>
        <w:tc>
          <w:tcPr>
            <w:tcW w:w="291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7" w:right="0"/>
              <w:jc w:val="left"/>
              <w:rPr>
                <w:rFonts w:ascii="宋体" w:hAnsi="宋体" w:cs="宋体" w:eastAsia="宋体" w:hint="default"/>
                <w:sz w:val="22"/>
                <w:szCs w:val="22"/>
              </w:rPr>
            </w:pPr>
            <w:r>
              <w:rPr>
                <w:rFonts w:ascii="宋体" w:hAnsi="宋体" w:cs="宋体" w:eastAsia="宋体" w:hint="default"/>
                <w:sz w:val="22"/>
                <w:szCs w:val="22"/>
              </w:rPr>
              <w:t>累计摊销合计</w:t>
            </w:r>
          </w:p>
        </w:tc>
        <w:tc>
          <w:tcPr>
            <w:tcW w:w="143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341"/>
              <w:jc w:val="right"/>
              <w:rPr>
                <w:rFonts w:ascii="Arial" w:hAnsi="Arial" w:cs="Arial" w:eastAsia="Arial" w:hint="default"/>
                <w:sz w:val="22"/>
                <w:szCs w:val="22"/>
              </w:rPr>
            </w:pPr>
            <w:r>
              <w:rPr>
                <w:rFonts w:ascii="Arial"/>
                <w:w w:val="95"/>
                <w:sz w:val="22"/>
              </w:rPr>
              <w:t>(174,527)</w:t>
            </w:r>
            <w:r>
              <w:rPr>
                <w:rFonts w:ascii="Arial"/>
                <w:sz w:val="22"/>
              </w:rPr>
            </w:r>
          </w:p>
        </w:tc>
        <w:tc>
          <w:tcPr>
            <w:tcW w:w="1602"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314"/>
              <w:jc w:val="right"/>
              <w:rPr>
                <w:rFonts w:ascii="Arial" w:hAnsi="Arial" w:cs="Arial" w:eastAsia="Arial" w:hint="default"/>
                <w:sz w:val="22"/>
                <w:szCs w:val="22"/>
              </w:rPr>
            </w:pPr>
            <w:r>
              <w:rPr>
                <w:rFonts w:ascii="Arial"/>
                <w:w w:val="95"/>
                <w:sz w:val="22"/>
              </w:rPr>
              <w:t>(107,714)</w:t>
            </w:r>
            <w:r>
              <w:rPr>
                <w:rFonts w:ascii="Arial"/>
                <w:sz w:val="22"/>
              </w:rPr>
            </w:r>
          </w:p>
        </w:tc>
        <w:tc>
          <w:tcPr>
            <w:tcW w:w="170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576"/>
              <w:jc w:val="right"/>
              <w:rPr>
                <w:rFonts w:ascii="Arial" w:hAnsi="Arial" w:cs="Arial" w:eastAsia="Arial" w:hint="default"/>
                <w:sz w:val="22"/>
                <w:szCs w:val="22"/>
              </w:rPr>
            </w:pPr>
            <w:r>
              <w:rPr>
                <w:rFonts w:ascii="Arial"/>
                <w:w w:val="99"/>
                <w:sz w:val="22"/>
              </w:rPr>
              <w:t>-</w:t>
            </w:r>
            <w:r>
              <w:rPr>
                <w:rFonts w:ascii="Arial"/>
                <w:sz w:val="22"/>
              </w:rPr>
            </w:r>
          </w:p>
        </w:tc>
        <w:tc>
          <w:tcPr>
            <w:tcW w:w="170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Arial" w:hAnsi="Arial" w:cs="Arial" w:eastAsia="Arial" w:hint="default"/>
                <w:sz w:val="22"/>
                <w:szCs w:val="22"/>
              </w:rPr>
            </w:pPr>
            <w:r>
              <w:rPr>
                <w:rFonts w:ascii="Arial"/>
                <w:w w:val="95"/>
                <w:sz w:val="22"/>
              </w:rPr>
              <w:t>(282,241)</w:t>
            </w:r>
            <w:r>
              <w:rPr>
                <w:rFonts w:ascii="Arial"/>
                <w:sz w:val="22"/>
              </w:rPr>
            </w:r>
          </w:p>
        </w:tc>
      </w:tr>
      <w:tr>
        <w:trPr>
          <w:trHeight w:val="309" w:hRule="exact"/>
        </w:trPr>
        <w:tc>
          <w:tcPr>
            <w:tcW w:w="649" w:type="dxa"/>
            <w:tcBorders>
              <w:top w:val="nil" w:sz="6" w:space="0" w:color="auto"/>
              <w:left w:val="nil" w:sz="6" w:space="0" w:color="auto"/>
              <w:bottom w:val="nil" w:sz="6" w:space="0" w:color="auto"/>
              <w:right w:val="single" w:sz="4" w:space="0" w:color="000000"/>
            </w:tcBorders>
          </w:tcPr>
          <w:p>
            <w:pPr/>
          </w:p>
        </w:tc>
        <w:tc>
          <w:tcPr>
            <w:tcW w:w="2910" w:type="dxa"/>
            <w:tcBorders>
              <w:top w:val="single" w:sz="4" w:space="0" w:color="000000"/>
              <w:left w:val="single" w:sz="4" w:space="0" w:color="000000"/>
              <w:bottom w:val="nil" w:sz="6" w:space="0" w:color="auto"/>
              <w:right w:val="nil" w:sz="6" w:space="0" w:color="auto"/>
            </w:tcBorders>
          </w:tcPr>
          <w:p>
            <w:pPr>
              <w:pStyle w:val="TableParagraph"/>
              <w:spacing w:line="253" w:lineRule="exact"/>
              <w:ind w:left="301"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437"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341"/>
              <w:jc w:val="right"/>
              <w:rPr>
                <w:rFonts w:ascii="Arial" w:hAnsi="Arial" w:cs="Arial" w:eastAsia="Arial" w:hint="default"/>
                <w:sz w:val="22"/>
                <w:szCs w:val="22"/>
              </w:rPr>
            </w:pPr>
            <w:r>
              <w:rPr>
                <w:rFonts w:ascii="Arial"/>
                <w:w w:val="95"/>
                <w:sz w:val="22"/>
              </w:rPr>
              <w:t>(15,650)</w:t>
            </w:r>
            <w:r>
              <w:rPr>
                <w:rFonts w:ascii="Arial"/>
                <w:sz w:val="22"/>
              </w:rPr>
            </w:r>
          </w:p>
        </w:tc>
        <w:tc>
          <w:tcPr>
            <w:tcW w:w="1602"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314"/>
              <w:jc w:val="right"/>
              <w:rPr>
                <w:rFonts w:ascii="Arial" w:hAnsi="Arial" w:cs="Arial" w:eastAsia="Arial" w:hint="default"/>
                <w:sz w:val="22"/>
                <w:szCs w:val="22"/>
              </w:rPr>
            </w:pPr>
            <w:r>
              <w:rPr>
                <w:rFonts w:ascii="Arial"/>
                <w:w w:val="95"/>
                <w:sz w:val="22"/>
              </w:rPr>
              <w:t>(14,472)</w:t>
            </w:r>
            <w:r>
              <w:rPr>
                <w:rFonts w:ascii="Arial"/>
                <w:sz w:val="22"/>
              </w:rPr>
            </w:r>
          </w:p>
        </w:tc>
        <w:tc>
          <w:tcPr>
            <w:tcW w:w="1700"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576"/>
              <w:jc w:val="right"/>
              <w:rPr>
                <w:rFonts w:ascii="Arial" w:hAnsi="Arial" w:cs="Arial" w:eastAsia="Arial" w:hint="default"/>
                <w:sz w:val="22"/>
                <w:szCs w:val="22"/>
              </w:rPr>
            </w:pPr>
            <w:r>
              <w:rPr>
                <w:rFonts w:ascii="Arial"/>
                <w:w w:val="99"/>
                <w:sz w:val="22"/>
              </w:rPr>
              <w:t>-</w:t>
            </w:r>
            <w:r>
              <w:rPr>
                <w:rFonts w:ascii="Arial"/>
                <w:sz w:val="22"/>
              </w:rPr>
            </w:r>
          </w:p>
        </w:tc>
        <w:tc>
          <w:tcPr>
            <w:tcW w:w="1708" w:type="dxa"/>
            <w:tcBorders>
              <w:top w:val="single" w:sz="4" w:space="0" w:color="000000"/>
              <w:left w:val="nil" w:sz="6" w:space="0" w:color="auto"/>
              <w:bottom w:val="nil" w:sz="6" w:space="0" w:color="auto"/>
              <w:right w:val="single" w:sz="4" w:space="0" w:color="000000"/>
            </w:tcBorders>
          </w:tcPr>
          <w:p>
            <w:pPr>
              <w:pStyle w:val="TableParagraph"/>
              <w:spacing w:line="240" w:lineRule="auto" w:before="31"/>
              <w:ind w:right="101"/>
              <w:jc w:val="right"/>
              <w:rPr>
                <w:rFonts w:ascii="Arial" w:hAnsi="Arial" w:cs="Arial" w:eastAsia="Arial" w:hint="default"/>
                <w:sz w:val="22"/>
                <w:szCs w:val="22"/>
              </w:rPr>
            </w:pPr>
            <w:r>
              <w:rPr>
                <w:rFonts w:ascii="Arial"/>
                <w:w w:val="95"/>
                <w:sz w:val="22"/>
              </w:rPr>
              <w:t>(30,122)</w:t>
            </w:r>
            <w:r>
              <w:rPr>
                <w:rFonts w:ascii="Arial"/>
                <w:sz w:val="22"/>
              </w:rPr>
            </w:r>
          </w:p>
        </w:tc>
      </w:tr>
      <w:tr>
        <w:trPr>
          <w:trHeight w:val="296" w:hRule="exact"/>
        </w:trPr>
        <w:tc>
          <w:tcPr>
            <w:tcW w:w="649" w:type="dxa"/>
            <w:tcBorders>
              <w:top w:val="nil" w:sz="6" w:space="0" w:color="auto"/>
              <w:left w:val="nil" w:sz="6" w:space="0" w:color="auto"/>
              <w:bottom w:val="nil" w:sz="6" w:space="0" w:color="auto"/>
              <w:right w:val="single" w:sz="4" w:space="0" w:color="000000"/>
            </w:tcBorders>
          </w:tcPr>
          <w:p>
            <w:pPr/>
          </w:p>
        </w:tc>
        <w:tc>
          <w:tcPr>
            <w:tcW w:w="2910" w:type="dxa"/>
            <w:tcBorders>
              <w:top w:val="nil" w:sz="6" w:space="0" w:color="auto"/>
              <w:left w:val="single" w:sz="4" w:space="0" w:color="000000"/>
              <w:bottom w:val="nil" w:sz="6" w:space="0" w:color="auto"/>
              <w:right w:val="nil" w:sz="6" w:space="0" w:color="auto"/>
            </w:tcBorders>
          </w:tcPr>
          <w:p>
            <w:pPr>
              <w:pStyle w:val="TableParagraph"/>
              <w:spacing w:line="245" w:lineRule="exact"/>
              <w:ind w:left="301"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41"/>
              <w:jc w:val="right"/>
              <w:rPr>
                <w:rFonts w:ascii="Arial" w:hAnsi="Arial" w:cs="Arial" w:eastAsia="Arial" w:hint="default"/>
                <w:sz w:val="22"/>
                <w:szCs w:val="22"/>
              </w:rPr>
            </w:pPr>
            <w:r>
              <w:rPr>
                <w:rFonts w:ascii="Arial"/>
                <w:w w:val="95"/>
                <w:sz w:val="22"/>
              </w:rPr>
              <w:t>(46,287)</w:t>
            </w:r>
            <w:r>
              <w:rPr>
                <w:rFonts w:ascii="Arial"/>
                <w:sz w:val="22"/>
              </w:rPr>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14"/>
              <w:jc w:val="right"/>
              <w:rPr>
                <w:rFonts w:ascii="Arial" w:hAnsi="Arial" w:cs="Arial" w:eastAsia="Arial" w:hint="default"/>
                <w:sz w:val="22"/>
                <w:szCs w:val="22"/>
              </w:rPr>
            </w:pPr>
            <w:r>
              <w:rPr>
                <w:rFonts w:ascii="Arial"/>
                <w:w w:val="95"/>
                <w:sz w:val="22"/>
              </w:rPr>
              <w:t>(37,973)</w:t>
            </w:r>
            <w:r>
              <w:rPr>
                <w:rFonts w:ascii="Arial"/>
                <w:sz w:val="22"/>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76"/>
              <w:jc w:val="right"/>
              <w:rPr>
                <w:rFonts w:ascii="Arial" w:hAnsi="Arial" w:cs="Arial" w:eastAsia="Arial" w:hint="default"/>
                <w:sz w:val="22"/>
                <w:szCs w:val="22"/>
              </w:rPr>
            </w:pPr>
            <w:r>
              <w:rPr>
                <w:rFonts w:ascii="Arial"/>
                <w:w w:val="99"/>
                <w:sz w:val="22"/>
              </w:rPr>
              <w:t>-</w:t>
            </w:r>
            <w:r>
              <w:rPr>
                <w:rFonts w:ascii="Arial"/>
                <w:sz w:val="22"/>
              </w:rPr>
            </w:r>
          </w:p>
        </w:tc>
        <w:tc>
          <w:tcPr>
            <w:tcW w:w="1708"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right="101"/>
              <w:jc w:val="right"/>
              <w:rPr>
                <w:rFonts w:ascii="Arial" w:hAnsi="Arial" w:cs="Arial" w:eastAsia="Arial" w:hint="default"/>
                <w:sz w:val="22"/>
                <w:szCs w:val="22"/>
              </w:rPr>
            </w:pPr>
            <w:r>
              <w:rPr>
                <w:rFonts w:ascii="Arial"/>
                <w:w w:val="95"/>
                <w:sz w:val="22"/>
              </w:rPr>
              <w:t>(84,260)</w:t>
            </w:r>
            <w:r>
              <w:rPr>
                <w:rFonts w:ascii="Arial"/>
                <w:sz w:val="22"/>
              </w:rPr>
            </w:r>
          </w:p>
        </w:tc>
      </w:tr>
      <w:tr>
        <w:trPr>
          <w:trHeight w:val="296" w:hRule="exact"/>
        </w:trPr>
        <w:tc>
          <w:tcPr>
            <w:tcW w:w="649" w:type="dxa"/>
            <w:tcBorders>
              <w:top w:val="nil" w:sz="6" w:space="0" w:color="auto"/>
              <w:left w:val="nil" w:sz="6" w:space="0" w:color="auto"/>
              <w:bottom w:val="nil" w:sz="6" w:space="0" w:color="auto"/>
              <w:right w:val="single" w:sz="4" w:space="0" w:color="000000"/>
            </w:tcBorders>
          </w:tcPr>
          <w:p>
            <w:pPr/>
          </w:p>
        </w:tc>
        <w:tc>
          <w:tcPr>
            <w:tcW w:w="2910" w:type="dxa"/>
            <w:tcBorders>
              <w:top w:val="nil" w:sz="6" w:space="0" w:color="auto"/>
              <w:left w:val="single" w:sz="4" w:space="0" w:color="000000"/>
              <w:bottom w:val="nil" w:sz="6" w:space="0" w:color="auto"/>
              <w:right w:val="nil" w:sz="6" w:space="0" w:color="auto"/>
            </w:tcBorders>
          </w:tcPr>
          <w:p>
            <w:pPr>
              <w:pStyle w:val="TableParagraph"/>
              <w:spacing w:line="261" w:lineRule="exact"/>
              <w:ind w:left="301" w:right="0"/>
              <w:jc w:val="left"/>
              <w:rPr>
                <w:rFonts w:ascii="Arial" w:hAnsi="Arial" w:cs="Arial" w:eastAsia="Arial" w:hint="default"/>
                <w:sz w:val="22"/>
                <w:szCs w:val="22"/>
              </w:rPr>
            </w:pPr>
            <w:r>
              <w:rPr>
                <w:rFonts w:ascii="宋体" w:hAnsi="宋体" w:cs="宋体" w:eastAsia="宋体" w:hint="default"/>
                <w:sz w:val="22"/>
                <w:szCs w:val="22"/>
              </w:rPr>
              <w:t>优惠承租权</w:t>
            </w:r>
            <w:r>
              <w:rPr>
                <w:rFonts w:ascii="Arial" w:hAnsi="Arial" w:cs="Arial" w:eastAsia="Arial" w:hint="default"/>
                <w:sz w:val="22"/>
                <w:szCs w:val="22"/>
              </w:rPr>
              <w:t>(a)</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41"/>
              <w:jc w:val="right"/>
              <w:rPr>
                <w:rFonts w:ascii="Arial" w:hAnsi="Arial" w:cs="Arial" w:eastAsia="Arial" w:hint="default"/>
                <w:sz w:val="22"/>
                <w:szCs w:val="22"/>
              </w:rPr>
            </w:pPr>
            <w:r>
              <w:rPr>
                <w:rFonts w:ascii="Arial"/>
                <w:spacing w:val="-2"/>
                <w:w w:val="95"/>
                <w:sz w:val="22"/>
              </w:rPr>
              <w:t>(112,590)</w:t>
            </w:r>
            <w:r>
              <w:rPr>
                <w:rFonts w:ascii="Arial"/>
                <w:spacing w:val="-2"/>
                <w:sz w:val="22"/>
              </w:rPr>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14"/>
              <w:jc w:val="right"/>
              <w:rPr>
                <w:rFonts w:ascii="Arial" w:hAnsi="Arial" w:cs="Arial" w:eastAsia="Arial" w:hint="default"/>
                <w:sz w:val="22"/>
                <w:szCs w:val="22"/>
              </w:rPr>
            </w:pPr>
            <w:r>
              <w:rPr>
                <w:rFonts w:ascii="Arial"/>
                <w:w w:val="95"/>
                <w:sz w:val="22"/>
              </w:rPr>
              <w:t>(53,108)</w:t>
            </w:r>
            <w:r>
              <w:rPr>
                <w:rFonts w:ascii="Arial"/>
                <w:sz w:val="22"/>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76"/>
              <w:jc w:val="right"/>
              <w:rPr>
                <w:rFonts w:ascii="Arial" w:hAnsi="Arial" w:cs="Arial" w:eastAsia="Arial" w:hint="default"/>
                <w:sz w:val="22"/>
                <w:szCs w:val="22"/>
              </w:rPr>
            </w:pPr>
            <w:r>
              <w:rPr>
                <w:rFonts w:ascii="Arial"/>
                <w:w w:val="99"/>
                <w:sz w:val="22"/>
              </w:rPr>
              <w:t>-</w:t>
            </w:r>
            <w:r>
              <w:rPr>
                <w:rFonts w:ascii="Arial"/>
                <w:sz w:val="22"/>
              </w:rPr>
            </w:r>
          </w:p>
        </w:tc>
        <w:tc>
          <w:tcPr>
            <w:tcW w:w="1708"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right="101"/>
              <w:jc w:val="right"/>
              <w:rPr>
                <w:rFonts w:ascii="Arial" w:hAnsi="Arial" w:cs="Arial" w:eastAsia="Arial" w:hint="default"/>
                <w:sz w:val="22"/>
                <w:szCs w:val="22"/>
              </w:rPr>
            </w:pPr>
            <w:r>
              <w:rPr>
                <w:rFonts w:ascii="Arial"/>
                <w:w w:val="95"/>
                <w:sz w:val="22"/>
              </w:rPr>
              <w:t>(165,698)</w:t>
            </w:r>
            <w:r>
              <w:rPr>
                <w:rFonts w:ascii="Arial"/>
                <w:sz w:val="22"/>
              </w:rPr>
            </w:r>
          </w:p>
        </w:tc>
      </w:tr>
      <w:tr>
        <w:trPr>
          <w:trHeight w:val="283" w:hRule="exact"/>
        </w:trPr>
        <w:tc>
          <w:tcPr>
            <w:tcW w:w="649" w:type="dxa"/>
            <w:tcBorders>
              <w:top w:val="nil" w:sz="6" w:space="0" w:color="auto"/>
              <w:left w:val="nil" w:sz="6" w:space="0" w:color="auto"/>
              <w:bottom w:val="nil" w:sz="6" w:space="0" w:color="auto"/>
              <w:right w:val="single" w:sz="4" w:space="0" w:color="000000"/>
            </w:tcBorders>
          </w:tcPr>
          <w:p>
            <w:pPr/>
          </w:p>
        </w:tc>
        <w:tc>
          <w:tcPr>
            <w:tcW w:w="2910" w:type="dxa"/>
            <w:tcBorders>
              <w:top w:val="nil" w:sz="6" w:space="0" w:color="auto"/>
              <w:left w:val="single" w:sz="4" w:space="0" w:color="000000"/>
              <w:bottom w:val="single" w:sz="4" w:space="0" w:color="000000"/>
              <w:right w:val="nil" w:sz="6" w:space="0" w:color="auto"/>
            </w:tcBorders>
          </w:tcPr>
          <w:p>
            <w:pPr>
              <w:pStyle w:val="TableParagraph"/>
              <w:spacing w:line="244" w:lineRule="exact"/>
              <w:ind w:left="301" w:right="0"/>
              <w:jc w:val="left"/>
              <w:rPr>
                <w:rFonts w:ascii="宋体" w:hAnsi="宋体" w:cs="宋体" w:eastAsia="宋体" w:hint="default"/>
                <w:sz w:val="22"/>
                <w:szCs w:val="22"/>
              </w:rPr>
            </w:pPr>
            <w:r>
              <w:rPr>
                <w:rFonts w:ascii="宋体" w:hAnsi="宋体" w:cs="宋体" w:eastAsia="宋体" w:hint="default"/>
                <w:sz w:val="22"/>
                <w:szCs w:val="22"/>
              </w:rPr>
              <w:t>商标及客户关系</w:t>
            </w:r>
          </w:p>
        </w:tc>
        <w:tc>
          <w:tcPr>
            <w:tcW w:w="143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413"/>
              <w:jc w:val="right"/>
              <w:rPr>
                <w:rFonts w:ascii="Arial" w:hAnsi="Arial" w:cs="Arial" w:eastAsia="Arial" w:hint="default"/>
                <w:sz w:val="22"/>
                <w:szCs w:val="22"/>
              </w:rPr>
            </w:pPr>
            <w:r>
              <w:rPr>
                <w:rFonts w:ascii="Arial"/>
                <w:w w:val="99"/>
                <w:sz w:val="22"/>
              </w:rPr>
              <w:t>-</w:t>
            </w:r>
            <w:r>
              <w:rPr>
                <w:rFonts w:ascii="Arial"/>
                <w:sz w:val="22"/>
              </w:rPr>
            </w:r>
          </w:p>
        </w:tc>
        <w:tc>
          <w:tcPr>
            <w:tcW w:w="1602"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314"/>
              <w:jc w:val="right"/>
              <w:rPr>
                <w:rFonts w:ascii="Arial" w:hAnsi="Arial" w:cs="Arial" w:eastAsia="Arial" w:hint="default"/>
                <w:sz w:val="22"/>
                <w:szCs w:val="22"/>
              </w:rPr>
            </w:pPr>
            <w:r>
              <w:rPr>
                <w:rFonts w:ascii="Arial"/>
                <w:w w:val="95"/>
                <w:sz w:val="22"/>
              </w:rPr>
              <w:t>(2,161)</w:t>
            </w:r>
            <w:r>
              <w:rPr>
                <w:rFonts w:ascii="Arial"/>
                <w:sz w:val="22"/>
              </w:rPr>
            </w: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576"/>
              <w:jc w:val="right"/>
              <w:rPr>
                <w:rFonts w:ascii="Arial" w:hAnsi="Arial" w:cs="Arial" w:eastAsia="Arial" w:hint="default"/>
                <w:sz w:val="22"/>
                <w:szCs w:val="22"/>
              </w:rPr>
            </w:pPr>
            <w:r>
              <w:rPr>
                <w:rFonts w:ascii="Arial"/>
                <w:w w:val="99"/>
                <w:sz w:val="22"/>
              </w:rPr>
              <w:t>-</w:t>
            </w:r>
            <w:r>
              <w:rPr>
                <w:rFonts w:ascii="Arial"/>
                <w:sz w:val="22"/>
              </w:rPr>
            </w:r>
          </w:p>
        </w:tc>
        <w:tc>
          <w:tcPr>
            <w:tcW w:w="1708" w:type="dxa"/>
            <w:tcBorders>
              <w:top w:val="nil" w:sz="6" w:space="0" w:color="auto"/>
              <w:left w:val="nil" w:sz="6" w:space="0" w:color="auto"/>
              <w:bottom w:val="single" w:sz="4" w:space="0" w:color="000000"/>
              <w:right w:val="single" w:sz="4" w:space="0" w:color="000000"/>
            </w:tcBorders>
          </w:tcPr>
          <w:p>
            <w:pPr>
              <w:pStyle w:val="TableParagraph"/>
              <w:spacing w:line="240" w:lineRule="auto" w:before="22"/>
              <w:ind w:right="101"/>
              <w:jc w:val="right"/>
              <w:rPr>
                <w:rFonts w:ascii="Arial" w:hAnsi="Arial" w:cs="Arial" w:eastAsia="Arial" w:hint="default"/>
                <w:sz w:val="22"/>
                <w:szCs w:val="22"/>
              </w:rPr>
            </w:pPr>
            <w:r>
              <w:rPr>
                <w:rFonts w:ascii="Arial"/>
                <w:w w:val="95"/>
                <w:sz w:val="22"/>
              </w:rPr>
              <w:t>(2,161)</w:t>
            </w:r>
            <w:r>
              <w:rPr>
                <w:rFonts w:ascii="Arial"/>
                <w:sz w:val="22"/>
              </w:rPr>
            </w:r>
          </w:p>
        </w:tc>
      </w:tr>
      <w:tr>
        <w:trPr>
          <w:trHeight w:val="572" w:hRule="exact"/>
        </w:trPr>
        <w:tc>
          <w:tcPr>
            <w:tcW w:w="649" w:type="dxa"/>
            <w:tcBorders>
              <w:top w:val="nil" w:sz="6" w:space="0" w:color="auto"/>
              <w:left w:val="nil" w:sz="6" w:space="0" w:color="auto"/>
              <w:bottom w:val="nil" w:sz="6" w:space="0" w:color="auto"/>
              <w:right w:val="nil" w:sz="6" w:space="0" w:color="auto"/>
            </w:tcBorders>
          </w:tcPr>
          <w:p>
            <w:pPr/>
          </w:p>
        </w:tc>
        <w:tc>
          <w:tcPr>
            <w:tcW w:w="291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22"/>
                <w:szCs w:val="22"/>
              </w:rPr>
            </w:pPr>
            <w:r>
              <w:rPr>
                <w:rFonts w:ascii="宋体" w:hAnsi="宋体" w:cs="宋体" w:eastAsia="宋体" w:hint="default"/>
                <w:sz w:val="22"/>
                <w:szCs w:val="22"/>
              </w:rPr>
              <w:t>账面价值合计</w:t>
            </w:r>
          </w:p>
        </w:tc>
        <w:tc>
          <w:tcPr>
            <w:tcW w:w="143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6" w:right="0"/>
              <w:jc w:val="left"/>
              <w:rPr>
                <w:rFonts w:ascii="Arial" w:hAnsi="Arial" w:cs="Arial" w:eastAsia="Arial" w:hint="default"/>
                <w:sz w:val="22"/>
                <w:szCs w:val="22"/>
              </w:rPr>
            </w:pPr>
            <w:r>
              <w:rPr>
                <w:rFonts w:ascii="Arial"/>
                <w:sz w:val="22"/>
              </w:rPr>
              <w:t>764,874</w:t>
            </w:r>
          </w:p>
        </w:tc>
        <w:tc>
          <w:tcPr>
            <w:tcW w:w="1602" w:type="dxa"/>
            <w:tcBorders>
              <w:top w:val="single" w:sz="4" w:space="0" w:color="000000"/>
              <w:left w:val="nil" w:sz="6" w:space="0" w:color="auto"/>
              <w:bottom w:val="single" w:sz="4" w:space="0" w:color="000000"/>
              <w:right w:val="nil" w:sz="6" w:space="0" w:color="auto"/>
            </w:tcBorders>
          </w:tcPr>
          <w:p>
            <w:pPr/>
          </w:p>
        </w:tc>
        <w:tc>
          <w:tcPr>
            <w:tcW w:w="1700" w:type="dxa"/>
            <w:tcBorders>
              <w:top w:val="single" w:sz="4" w:space="0" w:color="000000"/>
              <w:left w:val="nil" w:sz="6" w:space="0" w:color="auto"/>
              <w:bottom w:val="single" w:sz="4" w:space="0" w:color="000000"/>
              <w:right w:val="nil" w:sz="6" w:space="0" w:color="auto"/>
            </w:tcBorders>
          </w:tcPr>
          <w:p>
            <w:pPr/>
          </w:p>
        </w:tc>
        <w:tc>
          <w:tcPr>
            <w:tcW w:w="170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43"/>
              <w:jc w:val="right"/>
              <w:rPr>
                <w:rFonts w:ascii="Arial" w:hAnsi="Arial" w:cs="Arial" w:eastAsia="Arial" w:hint="default"/>
                <w:sz w:val="22"/>
                <w:szCs w:val="22"/>
              </w:rPr>
            </w:pPr>
            <w:r>
              <w:rPr>
                <w:rFonts w:ascii="Arial"/>
                <w:w w:val="95"/>
                <w:sz w:val="22"/>
              </w:rPr>
              <w:t>1,309,337</w:t>
            </w:r>
            <w:r>
              <w:rPr>
                <w:rFonts w:ascii="Arial"/>
                <w:sz w:val="22"/>
              </w:rPr>
            </w:r>
          </w:p>
        </w:tc>
      </w:tr>
      <w:tr>
        <w:trPr>
          <w:trHeight w:val="304" w:hRule="exact"/>
        </w:trPr>
        <w:tc>
          <w:tcPr>
            <w:tcW w:w="649" w:type="dxa"/>
            <w:tcBorders>
              <w:top w:val="nil" w:sz="6" w:space="0" w:color="auto"/>
              <w:left w:val="nil" w:sz="6" w:space="0" w:color="auto"/>
              <w:bottom w:val="nil" w:sz="6" w:space="0" w:color="auto"/>
              <w:right w:val="single" w:sz="4" w:space="0" w:color="000000"/>
            </w:tcBorders>
          </w:tcPr>
          <w:p>
            <w:pPr/>
          </w:p>
        </w:tc>
        <w:tc>
          <w:tcPr>
            <w:tcW w:w="2910" w:type="dxa"/>
            <w:tcBorders>
              <w:top w:val="single" w:sz="4" w:space="0" w:color="000000"/>
              <w:left w:val="single" w:sz="4" w:space="0" w:color="000000"/>
              <w:bottom w:val="nil" w:sz="6" w:space="0" w:color="auto"/>
              <w:right w:val="nil" w:sz="6" w:space="0" w:color="auto"/>
            </w:tcBorders>
          </w:tcPr>
          <w:p>
            <w:pPr>
              <w:pStyle w:val="TableParagraph"/>
              <w:spacing w:line="253" w:lineRule="exact"/>
              <w:ind w:left="301"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437"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left="226" w:right="0"/>
              <w:jc w:val="left"/>
              <w:rPr>
                <w:rFonts w:ascii="Arial" w:hAnsi="Arial" w:cs="Arial" w:eastAsia="Arial" w:hint="default"/>
                <w:sz w:val="22"/>
                <w:szCs w:val="22"/>
              </w:rPr>
            </w:pPr>
            <w:r>
              <w:rPr>
                <w:rFonts w:ascii="Arial"/>
                <w:sz w:val="22"/>
              </w:rPr>
              <w:t>517,244</w:t>
            </w:r>
          </w:p>
        </w:tc>
        <w:tc>
          <w:tcPr>
            <w:tcW w:w="1602" w:type="dxa"/>
            <w:tcBorders>
              <w:top w:val="single" w:sz="4" w:space="0" w:color="000000"/>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nil" w:sz="6" w:space="0" w:color="auto"/>
              <w:right w:val="nil" w:sz="6" w:space="0" w:color="auto"/>
            </w:tcBorders>
          </w:tcPr>
          <w:p>
            <w:pPr/>
          </w:p>
        </w:tc>
        <w:tc>
          <w:tcPr>
            <w:tcW w:w="1708" w:type="dxa"/>
            <w:tcBorders>
              <w:top w:val="single" w:sz="4" w:space="0" w:color="000000"/>
              <w:left w:val="nil" w:sz="6" w:space="0" w:color="auto"/>
              <w:bottom w:val="nil" w:sz="6" w:space="0" w:color="auto"/>
              <w:right w:val="single" w:sz="4" w:space="0" w:color="000000"/>
            </w:tcBorders>
          </w:tcPr>
          <w:p>
            <w:pPr>
              <w:pStyle w:val="TableParagraph"/>
              <w:spacing w:line="240" w:lineRule="auto" w:before="31"/>
              <w:ind w:right="138"/>
              <w:jc w:val="right"/>
              <w:rPr>
                <w:rFonts w:ascii="Arial" w:hAnsi="Arial" w:cs="Arial" w:eastAsia="Arial" w:hint="default"/>
                <w:sz w:val="22"/>
                <w:szCs w:val="22"/>
              </w:rPr>
            </w:pPr>
            <w:r>
              <w:rPr>
                <w:rFonts w:ascii="Arial"/>
                <w:w w:val="95"/>
                <w:sz w:val="22"/>
              </w:rPr>
              <w:t>975,150</w:t>
            </w:r>
            <w:r>
              <w:rPr>
                <w:rFonts w:ascii="Arial"/>
                <w:sz w:val="22"/>
              </w:rPr>
            </w:r>
          </w:p>
        </w:tc>
      </w:tr>
      <w:tr>
        <w:trPr>
          <w:trHeight w:val="286" w:hRule="exact"/>
        </w:trPr>
        <w:tc>
          <w:tcPr>
            <w:tcW w:w="649" w:type="dxa"/>
            <w:tcBorders>
              <w:top w:val="nil" w:sz="6" w:space="0" w:color="auto"/>
              <w:left w:val="nil" w:sz="6" w:space="0" w:color="auto"/>
              <w:bottom w:val="nil" w:sz="6" w:space="0" w:color="auto"/>
              <w:right w:val="single" w:sz="4" w:space="0" w:color="000000"/>
            </w:tcBorders>
          </w:tcPr>
          <w:p>
            <w:pPr/>
          </w:p>
        </w:tc>
        <w:tc>
          <w:tcPr>
            <w:tcW w:w="2910" w:type="dxa"/>
            <w:tcBorders>
              <w:top w:val="nil" w:sz="6" w:space="0" w:color="auto"/>
              <w:left w:val="single" w:sz="4" w:space="0" w:color="000000"/>
              <w:bottom w:val="nil" w:sz="6" w:space="0" w:color="auto"/>
              <w:right w:val="nil" w:sz="6" w:space="0" w:color="auto"/>
            </w:tcBorders>
          </w:tcPr>
          <w:p>
            <w:pPr>
              <w:pStyle w:val="TableParagraph"/>
              <w:spacing w:line="239" w:lineRule="exact"/>
              <w:ind w:left="301"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3" w:right="0"/>
              <w:jc w:val="left"/>
              <w:rPr>
                <w:rFonts w:ascii="Arial" w:hAnsi="Arial" w:cs="Arial" w:eastAsia="Arial" w:hint="default"/>
                <w:sz w:val="22"/>
                <w:szCs w:val="22"/>
              </w:rPr>
            </w:pPr>
            <w:r>
              <w:rPr>
                <w:rFonts w:ascii="Arial"/>
                <w:spacing w:val="-3"/>
                <w:sz w:val="22"/>
              </w:rPr>
              <w:t>114,987</w:t>
            </w:r>
          </w:p>
        </w:tc>
        <w:tc>
          <w:tcPr>
            <w:tcW w:w="1602"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right="138"/>
              <w:jc w:val="right"/>
              <w:rPr>
                <w:rFonts w:ascii="Arial" w:hAnsi="Arial" w:cs="Arial" w:eastAsia="Arial" w:hint="default"/>
                <w:sz w:val="22"/>
                <w:szCs w:val="22"/>
              </w:rPr>
            </w:pPr>
            <w:r>
              <w:rPr>
                <w:rFonts w:ascii="Arial"/>
                <w:w w:val="95"/>
                <w:sz w:val="22"/>
              </w:rPr>
              <w:t>240,796</w:t>
            </w:r>
            <w:r>
              <w:rPr>
                <w:rFonts w:ascii="Arial"/>
                <w:sz w:val="22"/>
              </w:rPr>
            </w:r>
          </w:p>
        </w:tc>
      </w:tr>
      <w:tr>
        <w:trPr>
          <w:trHeight w:val="286" w:hRule="exact"/>
        </w:trPr>
        <w:tc>
          <w:tcPr>
            <w:tcW w:w="649" w:type="dxa"/>
            <w:tcBorders>
              <w:top w:val="nil" w:sz="6" w:space="0" w:color="auto"/>
              <w:left w:val="nil" w:sz="6" w:space="0" w:color="auto"/>
              <w:bottom w:val="nil" w:sz="6" w:space="0" w:color="auto"/>
              <w:right w:val="single" w:sz="4" w:space="0" w:color="000000"/>
            </w:tcBorders>
          </w:tcPr>
          <w:p>
            <w:pPr/>
          </w:p>
        </w:tc>
        <w:tc>
          <w:tcPr>
            <w:tcW w:w="2910" w:type="dxa"/>
            <w:tcBorders>
              <w:top w:val="nil" w:sz="6" w:space="0" w:color="auto"/>
              <w:left w:val="single" w:sz="4" w:space="0" w:color="000000"/>
              <w:bottom w:val="nil" w:sz="6" w:space="0" w:color="auto"/>
              <w:right w:val="nil" w:sz="6" w:space="0" w:color="auto"/>
            </w:tcBorders>
          </w:tcPr>
          <w:p>
            <w:pPr>
              <w:pStyle w:val="TableParagraph"/>
              <w:spacing w:line="256" w:lineRule="exact"/>
              <w:ind w:left="301" w:right="0"/>
              <w:jc w:val="left"/>
              <w:rPr>
                <w:rFonts w:ascii="Arial" w:hAnsi="Arial" w:cs="Arial" w:eastAsia="Arial" w:hint="default"/>
                <w:sz w:val="22"/>
                <w:szCs w:val="22"/>
              </w:rPr>
            </w:pPr>
            <w:r>
              <w:rPr>
                <w:rFonts w:ascii="宋体" w:hAnsi="宋体" w:cs="宋体" w:eastAsia="宋体" w:hint="default"/>
                <w:sz w:val="22"/>
                <w:szCs w:val="22"/>
              </w:rPr>
              <w:t>优惠承租权</w:t>
            </w:r>
            <w:r>
              <w:rPr>
                <w:rFonts w:ascii="Arial" w:hAnsi="Arial" w:cs="Arial" w:eastAsia="Arial" w:hint="default"/>
                <w:sz w:val="22"/>
                <w:szCs w:val="22"/>
              </w:rPr>
              <w:t>(a)</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26" w:right="0"/>
              <w:jc w:val="left"/>
              <w:rPr>
                <w:rFonts w:ascii="Arial" w:hAnsi="Arial" w:cs="Arial" w:eastAsia="Arial" w:hint="default"/>
                <w:sz w:val="22"/>
                <w:szCs w:val="22"/>
              </w:rPr>
            </w:pPr>
            <w:r>
              <w:rPr>
                <w:rFonts w:ascii="Arial"/>
                <w:sz w:val="22"/>
              </w:rPr>
              <w:t>132,643</w:t>
            </w:r>
          </w:p>
        </w:tc>
        <w:tc>
          <w:tcPr>
            <w:tcW w:w="1602"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right="138"/>
              <w:jc w:val="right"/>
              <w:rPr>
                <w:rFonts w:ascii="Arial" w:hAnsi="Arial" w:cs="Arial" w:eastAsia="Arial" w:hint="default"/>
                <w:sz w:val="22"/>
                <w:szCs w:val="22"/>
              </w:rPr>
            </w:pPr>
            <w:r>
              <w:rPr>
                <w:rFonts w:ascii="Arial"/>
                <w:w w:val="95"/>
                <w:sz w:val="22"/>
              </w:rPr>
              <w:t>79,535</w:t>
            </w:r>
            <w:r>
              <w:rPr>
                <w:rFonts w:ascii="Arial"/>
                <w:sz w:val="22"/>
              </w:rPr>
            </w:r>
          </w:p>
        </w:tc>
      </w:tr>
      <w:tr>
        <w:trPr>
          <w:trHeight w:val="278" w:hRule="exact"/>
        </w:trPr>
        <w:tc>
          <w:tcPr>
            <w:tcW w:w="649" w:type="dxa"/>
            <w:tcBorders>
              <w:top w:val="nil" w:sz="6" w:space="0" w:color="auto"/>
              <w:left w:val="nil" w:sz="6" w:space="0" w:color="auto"/>
              <w:bottom w:val="nil" w:sz="6" w:space="0" w:color="auto"/>
              <w:right w:val="single" w:sz="4" w:space="0" w:color="000000"/>
            </w:tcBorders>
          </w:tcPr>
          <w:p>
            <w:pPr/>
          </w:p>
        </w:tc>
        <w:tc>
          <w:tcPr>
            <w:tcW w:w="2910" w:type="dxa"/>
            <w:tcBorders>
              <w:top w:val="nil" w:sz="6" w:space="0" w:color="auto"/>
              <w:left w:val="single" w:sz="4" w:space="0" w:color="000000"/>
              <w:bottom w:val="single" w:sz="4" w:space="0" w:color="000000"/>
              <w:right w:val="nil" w:sz="6" w:space="0" w:color="auto"/>
            </w:tcBorders>
          </w:tcPr>
          <w:p>
            <w:pPr>
              <w:pStyle w:val="TableParagraph"/>
              <w:spacing w:line="240" w:lineRule="exact"/>
              <w:ind w:left="301" w:right="0"/>
              <w:jc w:val="left"/>
              <w:rPr>
                <w:rFonts w:ascii="宋体" w:hAnsi="宋体" w:cs="宋体" w:eastAsia="宋体" w:hint="default"/>
                <w:sz w:val="22"/>
                <w:szCs w:val="22"/>
              </w:rPr>
            </w:pPr>
            <w:r>
              <w:rPr>
                <w:rFonts w:ascii="宋体" w:hAnsi="宋体" w:cs="宋体" w:eastAsia="宋体" w:hint="default"/>
                <w:sz w:val="22"/>
                <w:szCs w:val="22"/>
              </w:rPr>
              <w:t>商标及客户关系</w:t>
            </w:r>
          </w:p>
        </w:tc>
        <w:tc>
          <w:tcPr>
            <w:tcW w:w="1437"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413"/>
              <w:jc w:val="right"/>
              <w:rPr>
                <w:rFonts w:ascii="Arial" w:hAnsi="Arial" w:cs="Arial" w:eastAsia="Arial" w:hint="default"/>
                <w:sz w:val="22"/>
                <w:szCs w:val="22"/>
              </w:rPr>
            </w:pPr>
            <w:r>
              <w:rPr>
                <w:rFonts w:ascii="Arial"/>
                <w:w w:val="99"/>
                <w:sz w:val="22"/>
              </w:rPr>
              <w:t>-</w:t>
            </w:r>
            <w:r>
              <w:rPr>
                <w:rFonts w:ascii="Arial"/>
                <w:sz w:val="22"/>
              </w:rPr>
            </w:r>
          </w:p>
        </w:tc>
        <w:tc>
          <w:tcPr>
            <w:tcW w:w="1602" w:type="dxa"/>
            <w:tcBorders>
              <w:top w:val="nil" w:sz="6" w:space="0" w:color="auto"/>
              <w:left w:val="nil" w:sz="6" w:space="0" w:color="auto"/>
              <w:bottom w:val="single" w:sz="4" w:space="0" w:color="000000"/>
              <w:right w:val="nil" w:sz="6" w:space="0" w:color="auto"/>
            </w:tcBorders>
          </w:tcPr>
          <w:p>
            <w:pPr/>
          </w:p>
        </w:tc>
        <w:tc>
          <w:tcPr>
            <w:tcW w:w="1700" w:type="dxa"/>
            <w:tcBorders>
              <w:top w:val="nil" w:sz="6" w:space="0" w:color="auto"/>
              <w:left w:val="nil" w:sz="6" w:space="0" w:color="auto"/>
              <w:bottom w:val="single" w:sz="4" w:space="0" w:color="000000"/>
              <w:right w:val="nil" w:sz="6" w:space="0" w:color="auto"/>
            </w:tcBorders>
          </w:tcPr>
          <w:p>
            <w:pPr/>
          </w:p>
        </w:tc>
        <w:tc>
          <w:tcPr>
            <w:tcW w:w="1708" w:type="dxa"/>
            <w:tcBorders>
              <w:top w:val="nil" w:sz="6" w:space="0" w:color="auto"/>
              <w:left w:val="nil" w:sz="6" w:space="0" w:color="auto"/>
              <w:bottom w:val="single" w:sz="4" w:space="0" w:color="000000"/>
              <w:right w:val="single" w:sz="4" w:space="0" w:color="000000"/>
            </w:tcBorders>
          </w:tcPr>
          <w:p>
            <w:pPr>
              <w:pStyle w:val="TableParagraph"/>
              <w:spacing w:line="240" w:lineRule="auto" w:before="17"/>
              <w:ind w:right="138"/>
              <w:jc w:val="right"/>
              <w:rPr>
                <w:rFonts w:ascii="Arial" w:hAnsi="Arial" w:cs="Arial" w:eastAsia="Arial" w:hint="default"/>
                <w:sz w:val="22"/>
                <w:szCs w:val="22"/>
              </w:rPr>
            </w:pPr>
            <w:r>
              <w:rPr>
                <w:rFonts w:ascii="Arial"/>
                <w:w w:val="95"/>
                <w:sz w:val="22"/>
              </w:rPr>
              <w:t>13,856</w:t>
            </w:r>
            <w:r>
              <w:rPr>
                <w:rFonts w:ascii="Arial"/>
                <w:sz w:val="22"/>
              </w:rPr>
            </w:r>
          </w:p>
        </w:tc>
      </w:tr>
    </w:tbl>
    <w:p>
      <w:pPr>
        <w:spacing w:after="0" w:line="240" w:lineRule="auto"/>
        <w:jc w:val="right"/>
        <w:rPr>
          <w:rFonts w:ascii="Arial" w:hAnsi="Arial" w:cs="Arial" w:eastAsia="Arial" w:hint="default"/>
          <w:sz w:val="22"/>
          <w:szCs w:val="22"/>
        </w:rPr>
        <w:sectPr>
          <w:pgSz w:w="11910" w:h="16840"/>
          <w:pgMar w:header="755" w:footer="947" w:top="2300" w:bottom="1140" w:left="960" w:right="700"/>
        </w:sectPr>
      </w:pPr>
    </w:p>
    <w:p>
      <w:pPr>
        <w:spacing w:line="240" w:lineRule="auto" w:before="4"/>
        <w:rPr>
          <w:rFonts w:ascii="Times New Roman" w:hAnsi="Times New Roman" w:cs="Times New Roman" w:eastAsia="Times New Roman" w:hint="default"/>
          <w:sz w:val="15"/>
          <w:szCs w:val="15"/>
        </w:rPr>
      </w:pPr>
    </w:p>
    <w:p>
      <w:pPr>
        <w:pStyle w:val="Heading2"/>
        <w:tabs>
          <w:tab w:pos="831" w:val="left" w:leader="none"/>
        </w:tabs>
        <w:spacing w:line="240" w:lineRule="auto"/>
        <w:ind w:left="106" w:right="0"/>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31" w:val="left" w:leader="none"/>
        </w:tabs>
        <w:spacing w:before="0"/>
        <w:ind w:left="106" w:right="0" w:firstLine="0"/>
        <w:jc w:val="left"/>
        <w:rPr>
          <w:rFonts w:ascii="Arial" w:hAnsi="Arial" w:cs="Arial" w:eastAsia="Arial" w:hint="default"/>
          <w:sz w:val="24"/>
          <w:szCs w:val="24"/>
        </w:rPr>
      </w:pPr>
      <w:r>
        <w:rPr>
          <w:rFonts w:ascii="Arial" w:hAnsi="Arial" w:cs="Arial" w:eastAsia="Arial" w:hint="default"/>
          <w:spacing w:val="-1"/>
          <w:position w:val="2"/>
          <w:sz w:val="24"/>
          <w:szCs w:val="24"/>
        </w:rPr>
        <w:t>(15)</w:t>
        <w:tab/>
      </w:r>
      <w:r>
        <w:rPr>
          <w:rFonts w:ascii="宋体" w:hAnsi="宋体" w:cs="宋体" w:eastAsia="宋体" w:hint="default"/>
          <w:b/>
          <w:bCs/>
          <w:sz w:val="24"/>
          <w:szCs w:val="24"/>
        </w:rPr>
        <w:t>无形资产</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spacing w:line="240" w:lineRule="auto"/>
        <w:ind w:left="831" w:right="0"/>
        <w:jc w:val="both"/>
      </w:pPr>
      <w:r>
        <w:rPr>
          <w:rFonts w:ascii="Arial" w:hAnsi="Arial" w:cs="Arial" w:eastAsia="Arial" w:hint="default"/>
        </w:rPr>
        <w:t>2010</w:t>
      </w:r>
      <w:r>
        <w:rPr>
          <w:rFonts w:ascii="Arial" w:hAnsi="Arial" w:cs="Arial" w:eastAsia="Arial" w:hint="default"/>
          <w:spacing w:val="-10"/>
        </w:rPr>
        <w:t> </w:t>
      </w:r>
      <w:r>
        <w:rPr/>
        <w:t>年度无形资产的摊销金额约人民币</w:t>
      </w:r>
      <w:r>
        <w:rPr>
          <w:spacing w:val="-63"/>
        </w:rPr>
        <w:t> </w:t>
      </w:r>
      <w:r>
        <w:rPr>
          <w:rFonts w:ascii="Arial" w:hAnsi="Arial" w:cs="Arial" w:eastAsia="Arial" w:hint="default"/>
        </w:rPr>
        <w:t>1.08</w:t>
      </w:r>
      <w:r>
        <w:rPr>
          <w:rFonts w:ascii="Arial" w:hAnsi="Arial" w:cs="Arial" w:eastAsia="Arial" w:hint="default"/>
          <w:spacing w:val="-10"/>
        </w:rPr>
        <w:t> </w:t>
      </w:r>
      <w:r>
        <w:rPr/>
        <w:t>亿元</w:t>
      </w:r>
      <w:r>
        <w:rPr>
          <w:rFonts w:ascii="Arial" w:hAnsi="Arial" w:cs="Arial" w:eastAsia="Arial" w:hint="default"/>
        </w:rPr>
        <w:t>(2009</w:t>
      </w:r>
      <w:r>
        <w:rPr>
          <w:rFonts w:ascii="Arial" w:hAnsi="Arial" w:cs="Arial" w:eastAsia="Arial" w:hint="default"/>
          <w:spacing w:val="-10"/>
        </w:rPr>
        <w:t> </w:t>
      </w:r>
      <w:r>
        <w:rPr/>
        <w:t>年度：约人民币</w:t>
      </w:r>
      <w:r>
        <w:rPr>
          <w:spacing w:val="-63"/>
        </w:rPr>
        <w:t> </w:t>
      </w:r>
      <w:r>
        <w:rPr>
          <w:rFonts w:ascii="Arial" w:hAnsi="Arial" w:cs="Arial" w:eastAsia="Arial" w:hint="default"/>
        </w:rPr>
        <w:t>9,175</w:t>
      </w:r>
      <w:r>
        <w:rPr>
          <w:rFonts w:ascii="Arial" w:hAnsi="Arial" w:cs="Arial" w:eastAsia="Arial" w:hint="default"/>
          <w:spacing w:val="-10"/>
        </w:rPr>
        <w:t> </w:t>
      </w:r>
      <w:r>
        <w:rPr/>
        <w:t>万元</w:t>
      </w:r>
      <w:r>
        <w:rPr>
          <w:rFonts w:ascii="Arial" w:hAnsi="Arial" w:cs="Arial" w:eastAsia="Arial" w:hint="default"/>
        </w:rPr>
        <w:t>)</w:t>
      </w:r>
      <w:r>
        <w:rPr/>
        <w:t>。</w:t>
      </w:r>
    </w:p>
    <w:p>
      <w:pPr>
        <w:spacing w:line="240" w:lineRule="auto" w:before="8"/>
        <w:rPr>
          <w:rFonts w:ascii="宋体" w:hAnsi="宋体" w:cs="宋体" w:eastAsia="宋体" w:hint="default"/>
          <w:sz w:val="19"/>
          <w:szCs w:val="19"/>
        </w:rPr>
      </w:pPr>
    </w:p>
    <w:p>
      <w:pPr>
        <w:pStyle w:val="BodyText"/>
        <w:spacing w:line="240" w:lineRule="auto"/>
        <w:ind w:left="831" w:right="0"/>
        <w:jc w:val="both"/>
      </w:pPr>
      <w:r>
        <w:rPr/>
        <w:t>于</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日及</w:t>
      </w:r>
      <w:r>
        <w:rPr>
          <w:spacing w:val="-61"/>
        </w:rPr>
        <w:t> </w:t>
      </w:r>
      <w:r>
        <w:rPr>
          <w:rFonts w:ascii="Arial" w:hAnsi="Arial" w:cs="Arial" w:eastAsia="Arial" w:hint="default"/>
        </w:rPr>
        <w:t>2009</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日，无土地使用权作为短期借款的抵押物。</w:t>
      </w:r>
    </w:p>
    <w:p>
      <w:pPr>
        <w:spacing w:line="240" w:lineRule="auto" w:before="9"/>
        <w:rPr>
          <w:rFonts w:ascii="宋体" w:hAnsi="宋体" w:cs="宋体" w:eastAsia="宋体" w:hint="default"/>
          <w:sz w:val="19"/>
          <w:szCs w:val="19"/>
        </w:rPr>
      </w:pPr>
    </w:p>
    <w:p>
      <w:pPr>
        <w:pStyle w:val="BodyText"/>
        <w:tabs>
          <w:tab w:pos="831" w:val="left" w:leader="none"/>
        </w:tabs>
        <w:spacing w:line="240" w:lineRule="auto"/>
        <w:ind w:left="106" w:right="0"/>
        <w:jc w:val="left"/>
      </w:pPr>
      <w:r>
        <w:rPr>
          <w:rFonts w:ascii="Arial" w:hAnsi="Arial" w:cs="Arial" w:eastAsia="Arial" w:hint="default"/>
          <w:w w:val="95"/>
          <w:position w:val="2"/>
        </w:rPr>
        <w:t>(a)</w:t>
        <w:tab/>
      </w:r>
      <w:r>
        <w:rPr/>
        <w:t>优惠承租权</w:t>
      </w:r>
    </w:p>
    <w:p>
      <w:pPr>
        <w:spacing w:line="240" w:lineRule="auto" w:before="5"/>
        <w:rPr>
          <w:rFonts w:ascii="宋体" w:hAnsi="宋体" w:cs="宋体" w:eastAsia="宋体" w:hint="default"/>
          <w:sz w:val="23"/>
          <w:szCs w:val="23"/>
        </w:rPr>
      </w:pPr>
    </w:p>
    <w:p>
      <w:pPr>
        <w:pStyle w:val="BodyText"/>
        <w:spacing w:line="312" w:lineRule="exact"/>
        <w:ind w:left="831" w:right="233"/>
        <w:jc w:val="both"/>
      </w:pPr>
      <w:r>
        <w:rPr/>
        <w:t>优惠承租权系 </w:t>
      </w:r>
      <w:r>
        <w:rPr>
          <w:rFonts w:ascii="Arial" w:hAnsi="Arial" w:cs="Arial" w:eastAsia="Arial" w:hint="default"/>
        </w:rPr>
        <w:t>2007</w:t>
      </w:r>
      <w:r>
        <w:rPr>
          <w:rFonts w:ascii="Arial" w:hAnsi="Arial" w:cs="Arial" w:eastAsia="Arial" w:hint="default"/>
          <w:spacing w:val="13"/>
        </w:rPr>
        <w:t> </w:t>
      </w:r>
      <w:r>
        <w:rPr/>
        <w:t>年度本集团对加盟店进行业务合并的过程中确认的无形资产。根据 </w:t>
      </w:r>
      <w:r>
        <w:rPr>
          <w:spacing w:val="-7"/>
        </w:rPr>
        <w:t>本集团与加盟公司签署《特许加盟终止协议》，加盟公司须协助本集团承接原加盟店的租</w:t>
      </w:r>
      <w:r>
        <w:rPr>
          <w:spacing w:val="-105"/>
        </w:rPr>
        <w:t> </w:t>
      </w:r>
      <w:r>
        <w:rPr>
          <w:spacing w:val="-105"/>
        </w:rPr>
      </w:r>
      <w:r>
        <w:rPr/>
        <w:t>约。由于部分租约的租金较市场租金优惠，本集团按照评估值确认该优惠承租权作为本</w:t>
      </w:r>
      <w:r>
        <w:rPr/>
        <w:t> 集团的无形资产，并在预计受益期内以直线法摊销。</w:t>
      </w:r>
    </w:p>
    <w:p>
      <w:pPr>
        <w:spacing w:line="240" w:lineRule="auto" w:before="11"/>
        <w:rPr>
          <w:rFonts w:ascii="宋体" w:hAnsi="宋体" w:cs="宋体" w:eastAsia="宋体" w:hint="default"/>
          <w:sz w:val="18"/>
          <w:szCs w:val="18"/>
        </w:rPr>
      </w:pPr>
    </w:p>
    <w:p>
      <w:pPr>
        <w:pStyle w:val="BodyText"/>
        <w:tabs>
          <w:tab w:pos="831" w:val="left" w:leader="none"/>
        </w:tabs>
        <w:spacing w:line="240" w:lineRule="auto"/>
        <w:ind w:left="106" w:right="0"/>
        <w:jc w:val="left"/>
      </w:pPr>
      <w:r>
        <w:rPr>
          <w:rFonts w:ascii="Arial" w:hAnsi="Arial" w:cs="Arial" w:eastAsia="Arial" w:hint="default"/>
          <w:w w:val="95"/>
          <w:position w:val="2"/>
        </w:rPr>
        <w:t>(b)</w:t>
        <w:tab/>
      </w:r>
      <w:r>
        <w:rPr/>
        <w:t>本集团开发支出列示如下：</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55" w:footer="947" w:top="2300" w:bottom="1140" w:left="880" w:right="820"/>
        </w:sectPr>
      </w:pPr>
    </w:p>
    <w:p>
      <w:pPr>
        <w:pStyle w:val="BodyText"/>
        <w:spacing w:line="322" w:lineRule="exact" w:before="26"/>
        <w:ind w:left="0" w:right="0"/>
        <w:jc w:val="right"/>
      </w:pPr>
      <w:r>
        <w:rPr>
          <w:rFonts w:ascii="Arial" w:hAnsi="Arial" w:cs="Arial" w:eastAsia="Arial" w:hint="default"/>
        </w:rPr>
        <w:t>2009</w:t>
      </w:r>
      <w:r>
        <w:rPr>
          <w:rFonts w:ascii="Arial" w:hAnsi="Arial" w:cs="Arial" w:eastAsia="Arial" w:hint="default"/>
          <w:spacing w:val="-11"/>
        </w:rPr>
        <w:t> </w:t>
      </w:r>
      <w:r>
        <w:rPr/>
        <w:t>年</w:t>
      </w:r>
    </w:p>
    <w:p>
      <w:pPr>
        <w:pStyle w:val="BodyText"/>
        <w:spacing w:line="322" w:lineRule="exact"/>
        <w:ind w:left="0" w:right="1"/>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tabs>
          <w:tab w:pos="3070" w:val="left" w:leader="none"/>
        </w:tabs>
        <w:spacing w:line="312" w:lineRule="exact" w:before="56"/>
        <w:ind w:left="2830" w:right="0" w:hanging="1991"/>
        <w:jc w:val="right"/>
      </w:pPr>
      <w:r>
        <w:rPr/>
        <w:br w:type="column"/>
      </w:r>
      <w:r>
        <w:rPr/>
        <w:t>本年增加</w:t>
        <w:tab/>
        <w:tab/>
      </w:r>
      <w:r>
        <w:rPr>
          <w:w w:val="95"/>
        </w:rPr>
        <w:t>确认为</w:t>
      </w:r>
      <w:r>
        <w:rPr>
          <w:spacing w:val="-79"/>
          <w:w w:val="95"/>
        </w:rPr>
        <w:t> </w:t>
      </w:r>
      <w:r>
        <w:rPr>
          <w:w w:val="95"/>
        </w:rPr>
        <w:t>无形资产</w:t>
      </w:r>
    </w:p>
    <w:p>
      <w:pPr>
        <w:pStyle w:val="BodyText"/>
        <w:spacing w:line="322" w:lineRule="exact" w:before="26"/>
        <w:ind w:left="1019" w:right="0"/>
        <w:jc w:val="left"/>
      </w:pPr>
      <w:r>
        <w:rPr/>
        <w:br w:type="column"/>
      </w:r>
      <w:r>
        <w:rPr>
          <w:rFonts w:ascii="Arial" w:hAnsi="Arial" w:cs="Arial" w:eastAsia="Arial" w:hint="default"/>
        </w:rPr>
        <w:t>2010</w:t>
      </w:r>
      <w:r>
        <w:rPr>
          <w:rFonts w:ascii="Arial" w:hAnsi="Arial" w:cs="Arial" w:eastAsia="Arial" w:hint="default"/>
          <w:spacing w:val="-11"/>
        </w:rPr>
        <w:t> </w:t>
      </w:r>
      <w:r>
        <w:rPr/>
        <w:t>年</w:t>
      </w:r>
    </w:p>
    <w:p>
      <w:pPr>
        <w:pStyle w:val="BodyText"/>
        <w:spacing w:line="322" w:lineRule="exact"/>
        <w:ind w:left="658" w:right="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left"/>
        <w:sectPr>
          <w:type w:val="continuous"/>
          <w:pgSz w:w="11910" w:h="16840"/>
          <w:pgMar w:top="920" w:bottom="900" w:left="880" w:right="820"/>
          <w:cols w:num="3" w:equalWidth="0">
            <w:col w:w="4247" w:space="40"/>
            <w:col w:w="3791" w:space="40"/>
            <w:col w:w="2092"/>
          </w:cols>
        </w:sectPr>
      </w:pPr>
    </w:p>
    <w:p>
      <w:pPr>
        <w:spacing w:line="240" w:lineRule="auto" w:before="4"/>
        <w:rPr>
          <w:rFonts w:ascii="宋体" w:hAnsi="宋体" w:cs="宋体" w:eastAsia="宋体" w:hint="default"/>
          <w:sz w:val="16"/>
          <w:szCs w:val="16"/>
        </w:rPr>
      </w:pPr>
    </w:p>
    <w:p>
      <w:pPr>
        <w:pStyle w:val="BodyText"/>
        <w:tabs>
          <w:tab w:pos="3513" w:val="left" w:leader="none"/>
          <w:tab w:pos="5352" w:val="left" w:leader="none"/>
          <w:tab w:pos="7049" w:val="left" w:leader="none"/>
          <w:tab w:pos="9234" w:val="left" w:leader="none"/>
        </w:tabs>
        <w:spacing w:line="240" w:lineRule="auto" w:before="32"/>
        <w:ind w:left="831" w:right="0"/>
        <w:jc w:val="left"/>
        <w:rPr>
          <w:rFonts w:ascii="Arial" w:hAnsi="Arial" w:cs="Arial" w:eastAsia="Arial" w:hint="default"/>
        </w:rPr>
      </w:pPr>
      <w:r>
        <w:rPr/>
        <w:t>系统软件开发</w:t>
        <w:tab/>
      </w:r>
      <w:r>
        <w:rPr>
          <w:rFonts w:ascii="Arial" w:hAnsi="Arial" w:cs="Arial" w:eastAsia="Arial" w:hint="default"/>
          <w:spacing w:val="-1"/>
          <w:position w:val="2"/>
        </w:rPr>
        <w:t>58,513</w:t>
        <w:tab/>
        <w:t>87,489</w:t>
        <w:tab/>
        <w:t>(123,877)</w:t>
        <w:tab/>
        <w:t>22,125</w:t>
      </w:r>
      <w:r>
        <w:rPr>
          <w:rFonts w:ascii="Arial" w:hAnsi="Arial" w:cs="Arial" w:eastAsia="Arial" w:hint="default"/>
        </w:rPr>
      </w:r>
    </w:p>
    <w:p>
      <w:pPr>
        <w:spacing w:line="240" w:lineRule="auto" w:before="3"/>
        <w:rPr>
          <w:rFonts w:ascii="Arial" w:hAnsi="Arial" w:cs="Arial" w:eastAsia="Arial" w:hint="default"/>
          <w:sz w:val="3"/>
          <w:szCs w:val="3"/>
        </w:rPr>
      </w:pPr>
    </w:p>
    <w:p>
      <w:pPr>
        <w:tabs>
          <w:tab w:pos="4568" w:val="left" w:leader="none"/>
          <w:tab w:pos="6409" w:val="left" w:leader="none"/>
          <w:tab w:pos="8397" w:val="left" w:leader="none"/>
        </w:tabs>
        <w:spacing w:line="30" w:lineRule="exact"/>
        <w:ind w:left="2829" w:right="0" w:firstLine="0"/>
        <w:rPr>
          <w:rFonts w:ascii="Arial" w:hAnsi="Arial" w:cs="Arial" w:eastAsia="Arial" w:hint="default"/>
          <w:sz w:val="3"/>
          <w:szCs w:val="3"/>
        </w:rPr>
      </w:pPr>
      <w:r>
        <w:rPr>
          <w:rFonts w:ascii="Arial"/>
          <w:position w:val="0"/>
          <w:sz w:val="3"/>
        </w:rPr>
        <w:pict>
          <v:group style="width:76.650pt;height:1.5pt;mso-position-horizontal-relative:char;mso-position-vertical-relative:line" coordorigin="0,0" coordsize="1533,30">
            <v:group style="position:absolute;left:15;top:15;width:1503;height:2" coordorigin="15,15" coordsize="1503,2">
              <v:shape style="position:absolute;left:15;top:15;width:1503;height:2" coordorigin="15,15" coordsize="1503,0" path="m15,15l1517,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81.6pt;height:1.5pt;mso-position-horizontal-relative:char;mso-position-vertical-relative:line" coordorigin="0,0" coordsize="1632,30">
            <v:group style="position:absolute;left:15;top:15;width:1602;height:2" coordorigin="15,15" coordsize="1602,2">
              <v:shape style="position:absolute;left:15;top:15;width:1602;height:2" coordorigin="15,15" coordsize="1602,0" path="m15,15l1617,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89.2pt;height:1.5pt;mso-position-horizontal-relative:char;mso-position-vertical-relative:line" coordorigin="0,0" coordsize="1784,30">
            <v:group style="position:absolute;left:15;top:15;width:1754;height:2" coordorigin="15,15" coordsize="1754,2">
              <v:shape style="position:absolute;left:15;top:15;width:1754;height:2" coordorigin="15,15" coordsize="1754,0" path="m15,15l1768,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84.4pt;height:1.5pt;mso-position-horizontal-relative:char;mso-position-vertical-relative:line" coordorigin="0,0" coordsize="1688,30">
            <v:group style="position:absolute;left:15;top:15;width:1658;height:2" coordorigin="15,15" coordsize="1658,2">
              <v:shape style="position:absolute;left:15;top:15;width:1658;height:2" coordorigin="15,15" coordsize="1658,0" path="m15,15l1672,15e" filled="false" stroked="true" strokeweight="1.5pt" strokecolor="#000000">
                <v:path arrowok="t"/>
              </v:shape>
            </v:group>
          </v:group>
        </w:pict>
      </w:r>
      <w:r>
        <w:rPr>
          <w:rFonts w:ascii="Arial"/>
          <w:position w:val="0"/>
          <w:sz w:val="3"/>
        </w:rPr>
      </w:r>
    </w:p>
    <w:p>
      <w:pPr>
        <w:spacing w:line="240" w:lineRule="auto" w:before="3"/>
        <w:rPr>
          <w:rFonts w:ascii="Arial" w:hAnsi="Arial" w:cs="Arial" w:eastAsia="Arial" w:hint="default"/>
          <w:sz w:val="16"/>
          <w:szCs w:val="16"/>
        </w:rPr>
      </w:pPr>
    </w:p>
    <w:p>
      <w:pPr>
        <w:pStyle w:val="BodyText"/>
        <w:spacing w:line="312" w:lineRule="exact" w:before="56"/>
        <w:ind w:left="831" w:right="227"/>
        <w:jc w:val="both"/>
      </w:pPr>
      <w:r>
        <w:rPr>
          <w:rFonts w:ascii="Arial" w:hAnsi="Arial" w:cs="Arial" w:eastAsia="Arial" w:hint="default"/>
        </w:rPr>
        <w:t>2010</w:t>
      </w:r>
      <w:r>
        <w:rPr/>
        <w:t>年度，本集团研究开发支出共计约人民币</w:t>
      </w:r>
      <w:r>
        <w:rPr>
          <w:rFonts w:ascii="Arial" w:hAnsi="Arial" w:cs="Arial" w:eastAsia="Arial" w:hint="default"/>
        </w:rPr>
        <w:t>8,749</w:t>
      </w:r>
      <w:r>
        <w:rPr/>
        <w:t>万元</w:t>
      </w:r>
      <w:r>
        <w:rPr>
          <w:rFonts w:ascii="Arial" w:hAnsi="Arial" w:cs="Arial" w:eastAsia="Arial" w:hint="default"/>
        </w:rPr>
        <w:t>(2009</w:t>
      </w:r>
      <w:r>
        <w:rPr/>
        <w:t>年度：约人民币</w:t>
      </w:r>
      <w:r>
        <w:rPr>
          <w:rFonts w:ascii="Arial" w:hAnsi="Arial" w:cs="Arial" w:eastAsia="Arial" w:hint="default"/>
        </w:rPr>
        <w:t>7,141</w:t>
      </w:r>
      <w:r>
        <w:rPr/>
        <w:t>万</w:t>
      </w:r>
      <w:r>
        <w:rPr>
          <w:spacing w:val="-73"/>
        </w:rPr>
        <w:t> </w:t>
      </w:r>
      <w:r>
        <w:rPr>
          <w:spacing w:val="4"/>
        </w:rPr>
        <w:t>元</w:t>
      </w:r>
      <w:r>
        <w:rPr>
          <w:rFonts w:ascii="Arial" w:hAnsi="Arial" w:cs="Arial" w:eastAsia="Arial" w:hint="default"/>
          <w:spacing w:val="4"/>
        </w:rPr>
        <w:t>)</w:t>
      </w:r>
      <w:r>
        <w:rPr>
          <w:spacing w:val="4"/>
        </w:rPr>
        <w:t>；约人民币</w:t>
      </w:r>
      <w:r>
        <w:rPr>
          <w:rFonts w:ascii="Arial" w:hAnsi="Arial" w:cs="Arial" w:eastAsia="Arial" w:hint="default"/>
          <w:spacing w:val="4"/>
        </w:rPr>
        <w:t>2,046</w:t>
      </w:r>
      <w:r>
        <w:rPr>
          <w:spacing w:val="4"/>
        </w:rPr>
        <w:t>万元</w:t>
      </w:r>
      <w:r>
        <w:rPr>
          <w:rFonts w:ascii="Arial" w:hAnsi="Arial" w:cs="Arial" w:eastAsia="Arial" w:hint="default"/>
          <w:spacing w:val="4"/>
        </w:rPr>
        <w:t>(2009</w:t>
      </w:r>
      <w:r>
        <w:rPr>
          <w:spacing w:val="4"/>
        </w:rPr>
        <w:t>年度：约人民币</w:t>
      </w:r>
      <w:r>
        <w:rPr>
          <w:rFonts w:ascii="Arial" w:hAnsi="Arial" w:cs="Arial" w:eastAsia="Arial" w:hint="default"/>
          <w:spacing w:val="4"/>
        </w:rPr>
        <w:t>3,940</w:t>
      </w:r>
      <w:r>
        <w:rPr>
          <w:spacing w:val="4"/>
        </w:rPr>
        <w:t>万元</w:t>
      </w:r>
      <w:r>
        <w:rPr>
          <w:rFonts w:ascii="Arial" w:hAnsi="Arial" w:cs="Arial" w:eastAsia="Arial" w:hint="default"/>
          <w:spacing w:val="4"/>
        </w:rPr>
        <w:t>)</w:t>
      </w:r>
      <w:r>
        <w:rPr>
          <w:spacing w:val="4"/>
        </w:rPr>
        <w:t>确认为开发支出，约人民币</w:t>
      </w:r>
      <w:r>
        <w:rPr>
          <w:spacing w:val="-108"/>
        </w:rPr>
        <w:t> </w:t>
      </w:r>
      <w:r>
        <w:rPr>
          <w:rFonts w:ascii="Arial" w:hAnsi="Arial" w:cs="Arial" w:eastAsia="Arial" w:hint="default"/>
          <w:spacing w:val="-1"/>
        </w:rPr>
        <w:t>6,703</w:t>
      </w:r>
      <w:r>
        <w:rPr>
          <w:spacing w:val="-1"/>
        </w:rPr>
        <w:t>万元</w:t>
      </w:r>
      <w:r>
        <w:rPr>
          <w:rFonts w:ascii="Arial" w:hAnsi="Arial" w:cs="Arial" w:eastAsia="Arial" w:hint="default"/>
          <w:spacing w:val="-1"/>
        </w:rPr>
        <w:t>(2009</w:t>
      </w:r>
      <w:r>
        <w:rPr>
          <w:spacing w:val="-1"/>
        </w:rPr>
        <w:t>年度：约人民币</w:t>
      </w:r>
      <w:r>
        <w:rPr>
          <w:rFonts w:ascii="Arial" w:hAnsi="Arial" w:cs="Arial" w:eastAsia="Arial" w:hint="default"/>
          <w:spacing w:val="-1"/>
        </w:rPr>
        <w:t>3,200</w:t>
      </w:r>
      <w:r>
        <w:rPr>
          <w:spacing w:val="-1"/>
        </w:rPr>
        <w:t>万元</w:t>
      </w:r>
      <w:r>
        <w:rPr>
          <w:rFonts w:ascii="Arial" w:hAnsi="Arial" w:cs="Arial" w:eastAsia="Arial" w:hint="default"/>
          <w:spacing w:val="-1"/>
        </w:rPr>
        <w:t>)</w:t>
      </w:r>
      <w:r>
        <w:rPr>
          <w:spacing w:val="-1"/>
        </w:rPr>
        <w:t>确认为无形资产。</w:t>
      </w:r>
      <w:r>
        <w:rPr>
          <w:rFonts w:ascii="Arial" w:hAnsi="Arial" w:cs="Arial" w:eastAsia="Arial" w:hint="default"/>
          <w:spacing w:val="-1"/>
        </w:rPr>
        <w:t>2010</w:t>
      </w:r>
      <w:r>
        <w:rPr>
          <w:spacing w:val="-1"/>
        </w:rPr>
        <w:t>年度系统软件开发支</w:t>
      </w:r>
      <w:r>
        <w:rPr>
          <w:spacing w:val="-99"/>
        </w:rPr>
        <w:t> </w:t>
      </w:r>
      <w:r>
        <w:rPr/>
        <w:t>出占</w:t>
      </w:r>
      <w:r>
        <w:rPr>
          <w:rFonts w:ascii="Arial" w:hAnsi="Arial" w:cs="Arial" w:eastAsia="Arial" w:hint="default"/>
        </w:rPr>
        <w:t>2010</w:t>
      </w:r>
      <w:r>
        <w:rPr/>
        <w:t>年度研究开发支出总额的比例为</w:t>
      </w:r>
      <w:r>
        <w:rPr>
          <w:rFonts w:ascii="Arial" w:hAnsi="Arial" w:cs="Arial" w:eastAsia="Arial" w:hint="default"/>
        </w:rPr>
        <w:t>100%(2009</w:t>
      </w:r>
      <w:r>
        <w:rPr/>
        <w:t>年度：</w:t>
      </w:r>
      <w:r>
        <w:rPr>
          <w:rFonts w:ascii="Arial" w:hAnsi="Arial" w:cs="Arial" w:eastAsia="Arial" w:hint="default"/>
        </w:rPr>
        <w:t>100%)</w:t>
      </w: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rFonts w:ascii="Arial" w:hAnsi="Arial" w:cs="Arial" w:eastAsia="Arial" w:hint="default"/>
          <w:spacing w:val="-4"/>
        </w:rPr>
        <w:t> </w:t>
      </w:r>
      <w:r>
        <w:rPr/>
        <w:t>日及</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日，无通过本集团内部研发形成的无形资产。</w:t>
      </w:r>
    </w:p>
    <w:p>
      <w:pPr>
        <w:spacing w:line="240" w:lineRule="auto" w:before="10"/>
        <w:rPr>
          <w:rFonts w:ascii="宋体" w:hAnsi="宋体" w:cs="宋体" w:eastAsia="宋体" w:hint="default"/>
          <w:sz w:val="18"/>
          <w:szCs w:val="18"/>
        </w:rPr>
      </w:pPr>
    </w:p>
    <w:p>
      <w:pPr>
        <w:tabs>
          <w:tab w:pos="831" w:val="left" w:leader="none"/>
        </w:tabs>
        <w:spacing w:before="0"/>
        <w:ind w:left="106" w:right="0" w:firstLine="0"/>
        <w:jc w:val="left"/>
        <w:rPr>
          <w:rFonts w:ascii="宋体" w:hAnsi="宋体" w:cs="宋体" w:eastAsia="宋体" w:hint="default"/>
          <w:sz w:val="24"/>
          <w:szCs w:val="24"/>
        </w:rPr>
      </w:pPr>
      <w:r>
        <w:rPr>
          <w:rFonts w:ascii="Arial" w:hAnsi="Arial" w:cs="Arial" w:eastAsia="Arial" w:hint="default"/>
          <w:spacing w:val="-1"/>
          <w:position w:val="2"/>
          <w:sz w:val="24"/>
          <w:szCs w:val="24"/>
        </w:rPr>
        <w:t>(16)</w:t>
        <w:tab/>
      </w:r>
      <w:r>
        <w:rPr>
          <w:rFonts w:ascii="宋体" w:hAnsi="宋体" w:cs="宋体" w:eastAsia="宋体" w:hint="default"/>
          <w:b/>
          <w:bCs/>
          <w:sz w:val="24"/>
          <w:szCs w:val="24"/>
        </w:rPr>
        <w:t>商誉</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type w:val="continuous"/>
          <w:pgSz w:w="11910" w:h="16840"/>
          <w:pgMar w:top="920" w:bottom="900" w:left="880" w:right="820"/>
        </w:sectPr>
      </w:pP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25"/>
          <w:szCs w:val="25"/>
        </w:rPr>
      </w:pPr>
    </w:p>
    <w:p>
      <w:pPr>
        <w:pStyle w:val="BodyText"/>
        <w:spacing w:line="240" w:lineRule="auto"/>
        <w:ind w:left="831" w:right="-16"/>
        <w:jc w:val="left"/>
        <w:rPr>
          <w:rFonts w:ascii="Arial" w:hAnsi="Arial" w:cs="Arial" w:eastAsia="Arial" w:hint="default"/>
        </w:rPr>
      </w:pPr>
      <w:r>
        <w:rPr/>
        <w:t>商誉 </w:t>
      </w:r>
      <w:r>
        <w:rPr>
          <w:rFonts w:ascii="Arial" w:hAnsi="Arial" w:cs="Arial" w:eastAsia="Arial" w:hint="default"/>
        </w:rPr>
        <w:t>-</w:t>
      </w:r>
    </w:p>
    <w:p>
      <w:pPr>
        <w:pStyle w:val="BodyText"/>
        <w:spacing w:line="223" w:lineRule="auto" w:before="33"/>
        <w:ind w:left="1077" w:right="-16"/>
        <w:jc w:val="left"/>
      </w:pPr>
      <w:r>
        <w:rPr>
          <w:rFonts w:ascii="Arial" w:hAnsi="Arial" w:cs="Arial" w:eastAsia="Arial" w:hint="default"/>
        </w:rPr>
        <w:t>Citical</w:t>
      </w:r>
      <w:r>
        <w:rPr>
          <w:rFonts w:ascii="Arial" w:hAnsi="Arial" w:cs="Arial" w:eastAsia="Arial" w:hint="default"/>
          <w:spacing w:val="-5"/>
        </w:rPr>
        <w:t> </w:t>
      </w:r>
      <w:r>
        <w:rPr>
          <w:rFonts w:ascii="Arial" w:hAnsi="Arial" w:cs="Arial" w:eastAsia="Arial" w:hint="default"/>
        </w:rPr>
        <w:t>Retain</w:t>
      </w:r>
      <w:r>
        <w:rPr>
          <w:rFonts w:ascii="Arial" w:hAnsi="Arial" w:cs="Arial" w:eastAsia="Arial" w:hint="default"/>
          <w:spacing w:val="-1"/>
          <w:w w:val="99"/>
        </w:rPr>
        <w:t> </w:t>
      </w:r>
      <w:r>
        <w:rPr>
          <w:rFonts w:ascii="Arial" w:hAnsi="Arial" w:cs="Arial" w:eastAsia="Arial" w:hint="default"/>
        </w:rPr>
        <w:t>Management</w:t>
      </w:r>
      <w:r>
        <w:rPr>
          <w:rFonts w:ascii="Arial" w:hAnsi="Arial" w:cs="Arial" w:eastAsia="Arial" w:hint="default"/>
          <w:w w:val="99"/>
        </w:rPr>
        <w:t> </w:t>
      </w:r>
      <w:r>
        <w:rPr>
          <w:rFonts w:ascii="Arial" w:hAnsi="Arial" w:cs="Arial" w:eastAsia="Arial" w:hint="default"/>
        </w:rPr>
        <w:t>Limited</w:t>
      </w:r>
      <w:r>
        <w:rPr>
          <w:rFonts w:ascii="Arial" w:hAnsi="Arial" w:cs="Arial" w:eastAsia="Arial" w:hint="default"/>
          <w:spacing w:val="-11"/>
        </w:rPr>
        <w:t> </w:t>
      </w:r>
      <w:r>
        <w:rPr/>
        <w:t>之零售</w:t>
      </w:r>
    </w:p>
    <w:p>
      <w:pPr>
        <w:pStyle w:val="BodyText"/>
        <w:spacing w:line="322" w:lineRule="exact" w:before="26"/>
        <w:ind w:left="978" w:right="-16"/>
        <w:jc w:val="left"/>
      </w:pPr>
      <w:r>
        <w:rPr/>
        <w:br w:type="column"/>
      </w:r>
      <w:r>
        <w:rPr>
          <w:rFonts w:ascii="Arial" w:hAnsi="Arial" w:cs="Arial" w:eastAsia="Arial" w:hint="default"/>
        </w:rPr>
        <w:t>2009</w:t>
      </w:r>
      <w:r>
        <w:rPr>
          <w:rFonts w:ascii="Arial" w:hAnsi="Arial" w:cs="Arial" w:eastAsia="Arial" w:hint="default"/>
          <w:spacing w:val="-11"/>
        </w:rPr>
        <w:t> </w:t>
      </w:r>
      <w:r>
        <w:rPr/>
        <w:t>年</w:t>
      </w:r>
    </w:p>
    <w:p>
      <w:pPr>
        <w:pStyle w:val="BodyText"/>
        <w:spacing w:line="322" w:lineRule="exact"/>
        <w:ind w:left="617" w:right="-16"/>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tabs>
          <w:tab w:pos="1989" w:val="left" w:leader="none"/>
          <w:tab w:pos="3836" w:val="left" w:leader="none"/>
        </w:tabs>
        <w:spacing w:line="322" w:lineRule="exact" w:before="26"/>
        <w:ind w:left="0" w:right="169"/>
        <w:jc w:val="right"/>
      </w:pPr>
      <w:r>
        <w:rPr/>
        <w:br w:type="column"/>
      </w:r>
      <w:r>
        <w:rPr/>
        <w:t>本年增加</w:t>
        <w:tab/>
        <w:t>本年减少</w:t>
        <w:tab/>
      </w:r>
      <w:r>
        <w:rPr>
          <w:rFonts w:ascii="Arial" w:hAnsi="Arial" w:cs="Arial" w:eastAsia="Arial" w:hint="default"/>
        </w:rPr>
        <w:t>2010</w:t>
      </w:r>
      <w:r>
        <w:rPr>
          <w:rFonts w:ascii="Arial" w:hAnsi="Arial" w:cs="Arial" w:eastAsia="Arial" w:hint="default"/>
          <w:spacing w:val="-11"/>
        </w:rPr>
        <w:t> </w:t>
      </w:r>
      <w:r>
        <w:rPr/>
        <w:t>年</w:t>
      </w:r>
    </w:p>
    <w:p>
      <w:pPr>
        <w:pStyle w:val="BodyText"/>
        <w:spacing w:line="322" w:lineRule="exact"/>
        <w:ind w:left="0" w:right="140"/>
        <w:jc w:val="righ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right"/>
        <w:sectPr>
          <w:type w:val="continuous"/>
          <w:pgSz w:w="11910" w:h="16840"/>
          <w:pgMar w:top="920" w:bottom="900" w:left="880" w:right="820"/>
          <w:cols w:num="3" w:equalWidth="0">
            <w:col w:w="2632" w:space="40"/>
            <w:col w:w="1812" w:space="49"/>
            <w:col w:w="5677"/>
          </w:cols>
        </w:sectPr>
      </w:pPr>
    </w:p>
    <w:p>
      <w:pPr>
        <w:pStyle w:val="BodyText"/>
        <w:tabs>
          <w:tab w:pos="4402" w:val="left" w:leader="none"/>
          <w:tab w:pos="5923" w:val="left" w:leader="none"/>
          <w:tab w:pos="8232" w:val="left" w:leader="none"/>
          <w:tab w:pos="9968" w:val="right" w:leader="none"/>
        </w:tabs>
        <w:spacing w:line="294" w:lineRule="exact"/>
        <w:ind w:left="1068" w:right="0"/>
        <w:jc w:val="left"/>
        <w:rPr>
          <w:rFonts w:ascii="Arial" w:hAnsi="Arial" w:cs="Arial" w:eastAsia="Arial" w:hint="default"/>
        </w:rPr>
      </w:pPr>
      <w:r>
        <w:rPr>
          <w:position w:val="-4"/>
        </w:rPr>
        <w:t>批发业务</w:t>
        <w:tab/>
      </w:r>
      <w:r>
        <w:rPr>
          <w:rFonts w:ascii="Arial" w:hAnsi="Arial" w:cs="Arial" w:eastAsia="Arial" w:hint="default"/>
        </w:rPr>
        <w:t>-</w:t>
        <w:tab/>
      </w:r>
      <w:r>
        <w:rPr>
          <w:rFonts w:ascii="Arial" w:hAnsi="Arial" w:cs="Arial" w:eastAsia="Arial" w:hint="default"/>
          <w:spacing w:val="-1"/>
        </w:rPr>
        <w:t>616</w:t>
        <w:tab/>
      </w:r>
      <w:r>
        <w:rPr>
          <w:rFonts w:ascii="Arial" w:hAnsi="Arial" w:cs="Arial" w:eastAsia="Arial" w:hint="default"/>
        </w:rPr>
        <w:t>-</w:t>
        <w:tab/>
      </w:r>
      <w:r>
        <w:rPr>
          <w:rFonts w:ascii="Arial" w:hAnsi="Arial" w:cs="Arial" w:eastAsia="Arial" w:hint="default"/>
          <w:spacing w:val="-1"/>
        </w:rPr>
        <w:t>616</w:t>
      </w:r>
      <w:r>
        <w:rPr>
          <w:rFonts w:ascii="Arial" w:hAnsi="Arial" w:cs="Arial" w:eastAsia="Arial" w:hint="default"/>
        </w:rPr>
      </w:r>
    </w:p>
    <w:p>
      <w:pPr>
        <w:pStyle w:val="BodyText"/>
        <w:tabs>
          <w:tab w:pos="4402" w:val="left" w:leader="none"/>
          <w:tab w:pos="6243" w:val="left" w:leader="none"/>
          <w:tab w:pos="8232" w:val="left" w:leader="none"/>
          <w:tab w:pos="9888" w:val="left" w:leader="none"/>
        </w:tabs>
        <w:spacing w:line="240" w:lineRule="auto" w:before="2"/>
        <w:ind w:left="1068" w:right="0"/>
        <w:jc w:val="left"/>
        <w:rPr>
          <w:rFonts w:ascii="Arial" w:hAnsi="Arial" w:cs="Arial" w:eastAsia="Arial" w:hint="default"/>
        </w:rPr>
      </w:pPr>
      <w:r>
        <w:rPr/>
        <w:t>减：减值准备</w:t>
        <w:tab/>
      </w:r>
      <w:r>
        <w:rPr>
          <w:rFonts w:ascii="Arial" w:hAnsi="Arial" w:cs="Arial" w:eastAsia="Arial" w:hint="default"/>
          <w:position w:val="2"/>
        </w:rPr>
        <w:t>-</w:t>
        <w:tab/>
        <w:t>-</w:t>
        <w:tab/>
        <w:t>-</w:t>
        <w:tab/>
        <w:t>-</w:t>
      </w:r>
      <w:r>
        <w:rPr>
          <w:rFonts w:ascii="Arial" w:hAnsi="Arial" w:cs="Arial" w:eastAsia="Arial" w:hint="default"/>
        </w:rPr>
      </w:r>
    </w:p>
    <w:p>
      <w:pPr>
        <w:pStyle w:val="BodyText"/>
        <w:tabs>
          <w:tab w:pos="5923" w:val="left" w:leader="none"/>
          <w:tab w:pos="8233" w:val="left" w:leader="none"/>
          <w:tab w:pos="9569" w:val="left" w:leader="none"/>
        </w:tabs>
        <w:spacing w:line="240" w:lineRule="auto" w:before="44"/>
        <w:ind w:left="4402" w:right="0"/>
        <w:jc w:val="left"/>
        <w:rPr>
          <w:rFonts w:ascii="Arial" w:hAnsi="Arial" w:cs="Arial" w:eastAsia="Arial" w:hint="default"/>
        </w:rPr>
      </w:pPr>
      <w:r>
        <w:rPr/>
        <w:pict>
          <v:group style="position:absolute;margin-left:192.479996pt;margin-top:2.056155pt;width:80.7pt;height:.1pt;mso-position-horizontal-relative:page;mso-position-vertical-relative:paragraph;z-index:2704" coordorigin="3850,41" coordsize="1614,2">
            <v:shape style="position:absolute;left:3850;top:41;width:1614;height:2" coordorigin="3850,41" coordsize="1614,0" path="m3850,41l5464,41e" filled="false" stroked="true" strokeweight=".48001pt" strokecolor="#000000">
              <v:path arrowok="t"/>
            </v:shape>
            <w10:wrap type="none"/>
          </v:group>
        </w:pict>
      </w:r>
      <w:r>
        <w:rPr/>
        <w:pict>
          <v:group style="position:absolute;margin-left:285.119995pt;margin-top:2.056155pt;width:80.1pt;height:.1pt;mso-position-horizontal-relative:page;mso-position-vertical-relative:paragraph;z-index:2728" coordorigin="5702,41" coordsize="1602,2">
            <v:shape style="position:absolute;left:5702;top:41;width:1602;height:2" coordorigin="5702,41" coordsize="1602,0" path="m5702,41l7304,41e" filled="false" stroked="true" strokeweight=".48001pt" strokecolor="#000000">
              <v:path arrowok="t"/>
            </v:shape>
            <w10:wrap type="none"/>
          </v:group>
        </w:pict>
      </w:r>
      <w:r>
        <w:rPr/>
        <w:pict>
          <v:group style="position:absolute;margin-left:377.579987pt;margin-top:2.056155pt;width:87.1pt;height:.1pt;mso-position-horizontal-relative:page;mso-position-vertical-relative:paragraph;z-index:2752" coordorigin="7552,41" coordsize="1742,2">
            <v:shape style="position:absolute;left:7552;top:41;width:1742;height:2" coordorigin="7552,41" coordsize="1742,0" path="m7552,41l9293,41e" filled="false" stroked="true" strokeweight=".48001pt" strokecolor="#000000">
              <v:path arrowok="t"/>
            </v:shape>
            <w10:wrap type="none"/>
          </v:group>
        </w:pict>
      </w:r>
      <w:r>
        <w:rPr/>
        <w:pict>
          <v:group style="position:absolute;margin-left:476.459991pt;margin-top:2.056155pt;width:71.05pt;height:.1pt;mso-position-horizontal-relative:page;mso-position-vertical-relative:paragraph;z-index:2776" coordorigin="9529,41" coordsize="1421,2">
            <v:shape style="position:absolute;left:9529;top:41;width:1421;height:2" coordorigin="9529,41" coordsize="1421,0" path="m9529,41l10950,41e" filled="false" stroked="true" strokeweight=".48001pt" strokecolor="#000000">
              <v:path arrowok="t"/>
            </v:shape>
            <w10:wrap type="none"/>
          </v:group>
        </w:pict>
      </w:r>
      <w:r>
        <w:rPr/>
        <w:pict>
          <v:group style="position:absolute;margin-left:192.479996pt;margin-top:16.90616pt;width:80.7pt;height:.1pt;mso-position-horizontal-relative:page;mso-position-vertical-relative:paragraph;z-index:2800" coordorigin="3850,338" coordsize="1614,2">
            <v:shape style="position:absolute;left:3850;top:338;width:1614;height:2" coordorigin="3850,338" coordsize="1614,0" path="m3850,338l5464,338e" filled="false" stroked="true" strokeweight="1.5pt" strokecolor="#000000">
              <v:path arrowok="t"/>
            </v:shape>
            <w10:wrap type="none"/>
          </v:group>
        </w:pict>
      </w:r>
      <w:r>
        <w:rPr/>
        <w:pict>
          <v:group style="position:absolute;margin-left:285.119995pt;margin-top:16.90616pt;width:80.1pt;height:.1pt;mso-position-horizontal-relative:page;mso-position-vertical-relative:paragraph;z-index:2824" coordorigin="5702,338" coordsize="1602,2">
            <v:shape style="position:absolute;left:5702;top:338;width:1602;height:2" coordorigin="5702,338" coordsize="1602,0" path="m5702,338l7304,338e" filled="false" stroked="true" strokeweight="1.5pt" strokecolor="#000000">
              <v:path arrowok="t"/>
            </v:shape>
            <w10:wrap type="none"/>
          </v:group>
        </w:pict>
      </w:r>
      <w:r>
        <w:rPr/>
        <w:pict>
          <v:group style="position:absolute;margin-left:377.579987pt;margin-top:16.90616pt;width:87.1pt;height:.1pt;mso-position-horizontal-relative:page;mso-position-vertical-relative:paragraph;z-index:2848" coordorigin="7552,338" coordsize="1742,2">
            <v:shape style="position:absolute;left:7552;top:338;width:1742;height:2" coordorigin="7552,338" coordsize="1742,0" path="m7552,338l9293,338e" filled="false" stroked="true" strokeweight="1.5pt" strokecolor="#000000">
              <v:path arrowok="t"/>
            </v:shape>
            <w10:wrap type="none"/>
          </v:group>
        </w:pict>
      </w:r>
      <w:r>
        <w:rPr/>
        <w:pict>
          <v:group style="position:absolute;margin-left:476.459991pt;margin-top:16.90616pt;width:71.05pt;height:.1pt;mso-position-horizontal-relative:page;mso-position-vertical-relative:paragraph;z-index:2872" coordorigin="9529,338" coordsize="1421,2">
            <v:shape style="position:absolute;left:9529;top:338;width:1421;height:2" coordorigin="9529,338" coordsize="1421,0" path="m9529,338l10950,338e" filled="false" stroked="true" strokeweight="1.5pt" strokecolor="#000000">
              <v:path arrowok="t"/>
            </v:shape>
            <w10:wrap type="none"/>
          </v:group>
        </w:pict>
      </w:r>
      <w:r>
        <w:rPr>
          <w:rFonts w:ascii="Arial"/>
        </w:rPr>
        <w:t>-</w:t>
        <w:tab/>
      </w:r>
      <w:r>
        <w:rPr>
          <w:rFonts w:ascii="Arial"/>
          <w:spacing w:val="-1"/>
        </w:rPr>
        <w:t>616</w:t>
        <w:tab/>
      </w:r>
      <w:r>
        <w:rPr>
          <w:rFonts w:ascii="Arial"/>
        </w:rPr>
        <w:t>-</w:t>
        <w:tab/>
      </w:r>
      <w:r>
        <w:rPr>
          <w:rFonts w:ascii="Arial"/>
          <w:spacing w:val="-1"/>
        </w:rPr>
        <w:t>616</w:t>
      </w:r>
      <w:r>
        <w:rPr>
          <w:rFonts w:ascii="Arial"/>
        </w:rPr>
      </w:r>
    </w:p>
    <w:p>
      <w:pPr>
        <w:pStyle w:val="BodyText"/>
        <w:spacing w:line="312" w:lineRule="exact" w:before="300"/>
        <w:ind w:left="831" w:right="0"/>
        <w:jc w:val="left"/>
      </w:pPr>
      <w:r>
        <w:rPr>
          <w:spacing w:val="19"/>
        </w:rPr>
        <w:t>本年度增加的商誉系香港苏宁镭射电器有限公司购买 </w:t>
      </w:r>
      <w:r>
        <w:rPr>
          <w:rFonts w:ascii="Arial" w:hAnsi="Arial" w:cs="Arial" w:eastAsia="Arial" w:hint="default"/>
        </w:rPr>
        <w:t>Citical Retain</w:t>
      </w:r>
      <w:r>
        <w:rPr>
          <w:rFonts w:ascii="Arial" w:hAnsi="Arial" w:cs="Arial" w:eastAsia="Arial" w:hint="default"/>
          <w:spacing w:val="65"/>
        </w:rPr>
        <w:t> </w:t>
      </w:r>
      <w:r>
        <w:rPr>
          <w:rFonts w:ascii="Arial" w:hAnsi="Arial" w:cs="Arial" w:eastAsia="Arial" w:hint="default"/>
        </w:rPr>
        <w:t>Management</w:t>
      </w:r>
      <w:r>
        <w:rPr>
          <w:rFonts w:ascii="Arial" w:hAnsi="Arial" w:cs="Arial" w:eastAsia="Arial" w:hint="default"/>
          <w:spacing w:val="-1"/>
          <w:w w:val="99"/>
        </w:rPr>
        <w:t> </w:t>
      </w:r>
      <w:r>
        <w:rPr>
          <w:rFonts w:ascii="Arial" w:hAnsi="Arial" w:cs="Arial" w:eastAsia="Arial" w:hint="default"/>
        </w:rPr>
        <w:t>Limited</w:t>
      </w:r>
      <w:r>
        <w:rPr>
          <w:rFonts w:ascii="Arial" w:hAnsi="Arial" w:cs="Arial" w:eastAsia="Arial" w:hint="default"/>
          <w:spacing w:val="-14"/>
        </w:rPr>
        <w:t> </w:t>
      </w:r>
      <w:r>
        <w:rPr/>
        <w:t>之零售业务批发所致</w:t>
      </w:r>
      <w:r>
        <w:rPr>
          <w:rFonts w:ascii="Arial" w:hAnsi="Arial" w:cs="Arial" w:eastAsia="Arial" w:hint="default"/>
        </w:rPr>
        <w:t>(</w:t>
      </w:r>
      <w:r>
        <w:rPr/>
        <w:t>附注四</w:t>
      </w:r>
      <w:r>
        <w:rPr>
          <w:rFonts w:ascii="Arial" w:hAnsi="Arial" w:cs="Arial" w:eastAsia="Arial" w:hint="default"/>
        </w:rPr>
        <w:t>(3))</w:t>
      </w:r>
      <w:r>
        <w:rPr/>
        <w:t>。</w:t>
      </w:r>
    </w:p>
    <w:p>
      <w:pPr>
        <w:spacing w:after="0" w:line="312" w:lineRule="exact"/>
        <w:jc w:val="left"/>
        <w:sectPr>
          <w:type w:val="continuous"/>
          <w:pgSz w:w="11910" w:h="16840"/>
          <w:pgMar w:top="920" w:bottom="900" w:left="880" w:right="820"/>
        </w:sectPr>
      </w:pPr>
    </w:p>
    <w:p>
      <w:pPr>
        <w:pStyle w:val="Heading2"/>
        <w:tabs>
          <w:tab w:pos="835" w:val="left" w:leader="none"/>
        </w:tabs>
        <w:spacing w:line="240" w:lineRule="auto" w:before="202"/>
        <w:ind w:left="113" w:right="0"/>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tabs>
          <w:tab w:pos="835" w:val="left" w:leader="none"/>
        </w:tabs>
        <w:spacing w:before="257"/>
        <w:ind w:left="113"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(17)</w:t>
        <w:tab/>
      </w:r>
      <w:r>
        <w:rPr>
          <w:rFonts w:ascii="宋体" w:hAnsi="宋体" w:cs="宋体" w:eastAsia="宋体" w:hint="default"/>
          <w:b/>
          <w:bCs/>
          <w:sz w:val="24"/>
          <w:szCs w:val="24"/>
        </w:rPr>
        <w:t>长期待摊费用</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755" w:footer="947" w:top="2300" w:bottom="1140" w:left="1000" w:right="700"/>
        </w:sectPr>
      </w:pPr>
    </w:p>
    <w:p>
      <w:pPr>
        <w:pStyle w:val="BodyText"/>
        <w:spacing w:line="322" w:lineRule="exact" w:before="274"/>
        <w:ind w:left="4087" w:right="3282"/>
        <w:jc w:val="center"/>
      </w:pPr>
      <w:r>
        <w:rPr>
          <w:rFonts w:ascii="Arial" w:hAnsi="Arial" w:cs="Arial" w:eastAsia="Arial" w:hint="default"/>
        </w:rPr>
        <w:t>2009</w:t>
      </w:r>
      <w:r>
        <w:rPr>
          <w:rFonts w:ascii="Arial" w:hAnsi="Arial" w:cs="Arial" w:eastAsia="Arial" w:hint="default"/>
          <w:spacing w:val="-11"/>
        </w:rPr>
        <w:t> </w:t>
      </w:r>
      <w:r>
        <w:rPr/>
        <w:t>年</w:t>
      </w:r>
    </w:p>
    <w:p>
      <w:pPr>
        <w:pStyle w:val="BodyText"/>
        <w:tabs>
          <w:tab w:pos="5679" w:val="left" w:leader="none"/>
          <w:tab w:pos="7278" w:val="left" w:leader="none"/>
        </w:tabs>
        <w:spacing w:line="322" w:lineRule="exact"/>
        <w:ind w:left="3744" w:right="-2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t>本年增加</w:t>
        <w:tab/>
        <w:t>本年摊销</w:t>
      </w:r>
    </w:p>
    <w:p>
      <w:pPr>
        <w:pStyle w:val="BodyText"/>
        <w:spacing w:line="322" w:lineRule="exact" w:before="274"/>
        <w:ind w:left="827" w:right="0"/>
        <w:jc w:val="left"/>
      </w:pPr>
      <w:r>
        <w:rPr/>
        <w:br w:type="column"/>
      </w:r>
      <w:r>
        <w:rPr>
          <w:rFonts w:ascii="Arial" w:hAnsi="Arial" w:cs="Arial" w:eastAsia="Arial" w:hint="default"/>
        </w:rPr>
        <w:t>2010</w:t>
      </w:r>
      <w:r>
        <w:rPr>
          <w:rFonts w:ascii="Arial" w:hAnsi="Arial" w:cs="Arial" w:eastAsia="Arial" w:hint="default"/>
          <w:spacing w:val="-11"/>
        </w:rPr>
        <w:t> </w:t>
      </w:r>
      <w:r>
        <w:rPr/>
        <w:t>年</w:t>
      </w:r>
    </w:p>
    <w:p>
      <w:pPr>
        <w:pStyle w:val="BodyText"/>
        <w:spacing w:line="322" w:lineRule="exact"/>
        <w:ind w:left="466" w:right="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left"/>
        <w:sectPr>
          <w:type w:val="continuous"/>
          <w:pgSz w:w="11910" w:h="16840"/>
          <w:pgMar w:top="920" w:bottom="900" w:left="1000" w:right="700"/>
          <w:cols w:num="2" w:equalWidth="0">
            <w:col w:w="8239" w:space="40"/>
            <w:col w:w="1931"/>
          </w:cols>
        </w:sectPr>
      </w:pPr>
    </w:p>
    <w:p>
      <w:pPr>
        <w:spacing w:line="240" w:lineRule="auto" w:before="6"/>
        <w:rPr>
          <w:rFonts w:ascii="宋体" w:hAnsi="宋体" w:cs="宋体" w:eastAsia="宋体" w:hint="default"/>
          <w:sz w:val="19"/>
          <w:szCs w:val="19"/>
        </w:rPr>
      </w:pPr>
    </w:p>
    <w:p>
      <w:pPr>
        <w:pStyle w:val="BodyText"/>
        <w:tabs>
          <w:tab w:pos="4020" w:val="left" w:leader="none"/>
          <w:tab w:pos="5741" w:val="left" w:leader="none"/>
          <w:tab w:pos="7285" w:val="left" w:leader="none"/>
          <w:tab w:pos="9074" w:val="left" w:leader="none"/>
        </w:tabs>
        <w:spacing w:line="332" w:lineRule="exact"/>
        <w:ind w:left="771" w:right="0"/>
        <w:jc w:val="left"/>
        <w:rPr>
          <w:rFonts w:ascii="Arial" w:hAnsi="Arial" w:cs="Arial" w:eastAsia="Arial" w:hint="default"/>
        </w:rPr>
      </w:pPr>
      <w:r>
        <w:rPr>
          <w:position w:val="2"/>
        </w:rPr>
        <w:t>经营租入固定资产改良</w:t>
        <w:tab/>
      </w:r>
      <w:r>
        <w:rPr>
          <w:rFonts w:ascii="Arial" w:hAnsi="Arial" w:cs="Arial" w:eastAsia="Arial" w:hint="default"/>
          <w:spacing w:val="-1"/>
        </w:rPr>
        <w:t>125,429</w:t>
        <w:tab/>
        <w:t>388,034</w:t>
        <w:tab/>
        <w:t>(185,309)</w:t>
        <w:tab/>
        <w:t>328,154</w:t>
      </w:r>
      <w:r>
        <w:rPr>
          <w:rFonts w:ascii="Arial" w:hAnsi="Arial" w:cs="Arial" w:eastAsia="Arial" w:hint="default"/>
        </w:rPr>
      </w:r>
    </w:p>
    <w:p>
      <w:pPr>
        <w:pStyle w:val="BodyText"/>
        <w:tabs>
          <w:tab w:pos="4153" w:val="left" w:leader="none"/>
          <w:tab w:pos="5874" w:val="left" w:leader="none"/>
          <w:tab w:pos="7418" w:val="left" w:leader="none"/>
          <w:tab w:pos="9074" w:val="left" w:leader="none"/>
        </w:tabs>
        <w:spacing w:line="312" w:lineRule="exact"/>
        <w:ind w:left="771" w:right="0"/>
        <w:jc w:val="left"/>
        <w:rPr>
          <w:rFonts w:ascii="Arial" w:hAnsi="Arial" w:cs="Arial" w:eastAsia="Arial" w:hint="default"/>
        </w:rPr>
      </w:pPr>
      <w:r>
        <w:rPr>
          <w:w w:val="95"/>
          <w:position w:val="2"/>
        </w:rPr>
        <w:t>递延延保业务费用</w:t>
      </w:r>
      <w:r>
        <w:rPr>
          <w:rFonts w:ascii="Arial" w:hAnsi="Arial" w:cs="Arial" w:eastAsia="Arial" w:hint="default"/>
          <w:w w:val="95"/>
          <w:position w:val="2"/>
        </w:rPr>
        <w:t>(a)</w:t>
        <w:tab/>
      </w:r>
      <w:r>
        <w:rPr>
          <w:rFonts w:ascii="Arial" w:hAnsi="Arial" w:cs="Arial" w:eastAsia="Arial" w:hint="default"/>
          <w:spacing w:val="-1"/>
        </w:rPr>
        <w:t>72,865</w:t>
        <w:tab/>
        <w:t>93,791</w:t>
        <w:tab/>
        <w:t>(12,828)</w:t>
        <w:tab/>
        <w:t>153,828</w:t>
      </w:r>
      <w:r>
        <w:rPr>
          <w:rFonts w:ascii="Arial" w:hAnsi="Arial" w:cs="Arial" w:eastAsia="Arial" w:hint="default"/>
        </w:rPr>
      </w:r>
    </w:p>
    <w:p>
      <w:pPr>
        <w:pStyle w:val="BodyText"/>
        <w:tabs>
          <w:tab w:pos="4153" w:val="left" w:leader="none"/>
          <w:tab w:pos="5874" w:val="left" w:leader="none"/>
          <w:tab w:pos="7552" w:val="left" w:leader="none"/>
          <w:tab w:pos="9226" w:val="left" w:leader="none"/>
        </w:tabs>
        <w:spacing w:line="312" w:lineRule="exact"/>
        <w:ind w:left="771" w:right="0"/>
        <w:jc w:val="left"/>
        <w:rPr>
          <w:rFonts w:ascii="Arial" w:hAnsi="Arial" w:cs="Arial" w:eastAsia="Arial" w:hint="default"/>
        </w:rPr>
      </w:pPr>
      <w:r>
        <w:rPr>
          <w:w w:val="95"/>
          <w:position w:val="2"/>
        </w:rPr>
        <w:t>预付长期房屋租赁费</w:t>
      </w:r>
      <w:r>
        <w:rPr>
          <w:rFonts w:ascii="Arial" w:hAnsi="Arial" w:cs="Arial" w:eastAsia="Arial" w:hint="default"/>
          <w:w w:val="95"/>
          <w:position w:val="2"/>
        </w:rPr>
        <w:t>(b)</w:t>
        <w:tab/>
      </w:r>
      <w:r>
        <w:rPr>
          <w:rFonts w:ascii="Arial" w:hAnsi="Arial" w:cs="Arial" w:eastAsia="Arial" w:hint="default"/>
          <w:spacing w:val="-1"/>
        </w:rPr>
        <w:t>32,261</w:t>
        <w:tab/>
        <w:t>15,000</w:t>
        <w:tab/>
        <w:t>(6,250)</w:t>
        <w:tab/>
      </w:r>
      <w:r>
        <w:rPr>
          <w:rFonts w:ascii="Arial" w:hAnsi="Arial" w:cs="Arial" w:eastAsia="Arial" w:hint="default"/>
          <w:spacing w:val="-4"/>
        </w:rPr>
        <w:t>41,011</w:t>
      </w:r>
    </w:p>
    <w:p>
      <w:pPr>
        <w:pStyle w:val="BodyText"/>
        <w:tabs>
          <w:tab w:pos="3557" w:val="left" w:leader="none"/>
          <w:tab w:pos="4287" w:val="left" w:leader="none"/>
          <w:tab w:pos="6527" w:val="left" w:leader="none"/>
          <w:tab w:pos="7752" w:val="left" w:leader="none"/>
          <w:tab w:pos="8519" w:val="left" w:leader="none"/>
          <w:tab w:pos="9342" w:val="left" w:leader="none"/>
          <w:tab w:pos="10078" w:val="left" w:leader="none"/>
        </w:tabs>
        <w:spacing w:line="332" w:lineRule="exact"/>
        <w:ind w:left="771" w:right="0"/>
        <w:jc w:val="left"/>
        <w:rPr>
          <w:rFonts w:ascii="Arial" w:hAnsi="Arial" w:cs="Arial" w:eastAsia="Arial" w:hint="default"/>
        </w:rPr>
      </w:pPr>
      <w:r>
        <w:rPr>
          <w:position w:val="2"/>
        </w:rPr>
        <w:t>水电设施使用费</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7,387</w:t>
      </w:r>
      <w:r>
        <w:rPr>
          <w:rFonts w:ascii="Arial" w:hAnsi="Arial" w:cs="Arial" w:eastAsia="Arial" w:hint="default"/>
          <w:spacing w:val="-1"/>
        </w:rPr>
      </w:r>
      <w:r>
        <w:rPr>
          <w:rFonts w:ascii="Arial" w:hAnsi="Arial" w:cs="Arial" w:eastAsia="Arial" w:hint="default"/>
          <w:spacing w:val="-1"/>
          <w:u w:val="single" w:color="000000"/>
        </w:rPr>
        <w:t> </w:t>
        <w:tab/>
      </w:r>
      <w:r>
        <w:rPr>
          <w:rFonts w:ascii="Arial" w:hAnsi="Arial" w:cs="Arial" w:eastAsia="Arial" w:hint="default"/>
          <w:u w:val="single" w:color="000000"/>
        </w:rPr>
        <w:t>-</w:t>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(849)</w:t>
      </w:r>
      <w:r>
        <w:rPr>
          <w:rFonts w:ascii="Arial" w:hAnsi="Arial" w:cs="Arial" w:eastAsia="Arial" w:hint="default"/>
          <w:spacing w:val="-1"/>
        </w:rPr>
        <w:tab/>
      </w:r>
      <w:r>
        <w:rPr>
          <w:rFonts w:ascii="Arial" w:hAnsi="Arial" w:cs="Arial" w:eastAsia="Arial" w:hint="default"/>
          <w:spacing w:val="-1"/>
          <w:u w:val="single" w:color="000000"/>
        </w:rPr>
        <w:t> </w:t>
        <w:tab/>
        <w:t>6,538</w:t>
        <w:tab/>
      </w:r>
      <w:r>
        <w:rPr>
          <w:rFonts w:ascii="Arial" w:hAnsi="Arial" w:cs="Arial" w:eastAsia="Arial" w:hint="default"/>
          <w:spacing w:val="-1"/>
        </w:rPr>
      </w:r>
    </w:p>
    <w:p>
      <w:pPr>
        <w:pStyle w:val="BodyText"/>
        <w:tabs>
          <w:tab w:pos="4020" w:val="left" w:leader="none"/>
          <w:tab w:pos="5741" w:val="left" w:leader="none"/>
          <w:tab w:pos="7285" w:val="left" w:leader="none"/>
          <w:tab w:pos="9074" w:val="left" w:leader="none"/>
          <w:tab w:pos="10078" w:val="left" w:leader="none"/>
        </w:tabs>
        <w:spacing w:line="240" w:lineRule="auto" w:before="5"/>
        <w:ind w:left="3557" w:right="0"/>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237,942</w:t>
      </w:r>
      <w:r>
        <w:rPr>
          <w:rFonts w:ascii="Arial"/>
          <w:spacing w:val="-1"/>
        </w:rPr>
      </w:r>
      <w:r>
        <w:rPr>
          <w:rFonts w:ascii="Arial"/>
          <w:spacing w:val="-1"/>
          <w:u w:val="thick" w:color="000000"/>
        </w:rPr>
        <w:t> </w:t>
        <w:tab/>
        <w:t>496,825</w:t>
      </w:r>
      <w:r>
        <w:rPr>
          <w:rFonts w:ascii="Arial"/>
          <w:spacing w:val="-1"/>
        </w:rPr>
      </w:r>
      <w:r>
        <w:rPr>
          <w:rFonts w:ascii="Arial"/>
          <w:spacing w:val="-1"/>
          <w:u w:val="thick" w:color="000000"/>
        </w:rPr>
        <w:t> </w:t>
        <w:tab/>
        <w:t>(205,236)</w:t>
      </w:r>
      <w:r>
        <w:rPr>
          <w:rFonts w:ascii="Arial"/>
          <w:spacing w:val="-1"/>
        </w:rPr>
      </w:r>
      <w:r>
        <w:rPr>
          <w:rFonts w:ascii="Arial"/>
          <w:spacing w:val="-1"/>
          <w:u w:val="thick" w:color="000000"/>
        </w:rPr>
        <w:t> </w:t>
        <w:tab/>
        <w:t>529,531</w:t>
        <w:tab/>
      </w:r>
      <w:r>
        <w:rPr>
          <w:rFonts w:ascii="Arial"/>
          <w:spacing w:val="-1"/>
        </w:rPr>
      </w:r>
    </w:p>
    <w:p>
      <w:pPr>
        <w:spacing w:line="240" w:lineRule="auto" w:before="7"/>
        <w:rPr>
          <w:rFonts w:ascii="Arial" w:hAnsi="Arial" w:cs="Arial" w:eastAsia="Arial" w:hint="default"/>
          <w:sz w:val="20"/>
          <w:szCs w:val="20"/>
        </w:rPr>
      </w:pPr>
    </w:p>
    <w:p>
      <w:pPr>
        <w:pStyle w:val="BodyText"/>
        <w:spacing w:line="312" w:lineRule="exact" w:before="63"/>
        <w:ind w:left="836" w:right="224" w:hanging="714"/>
        <w:jc w:val="both"/>
      </w:pPr>
      <w:r>
        <w:rPr>
          <w:rFonts w:ascii="Arial" w:hAnsi="Arial" w:cs="Arial" w:eastAsia="Arial" w:hint="default"/>
          <w:position w:val="2"/>
        </w:rPr>
        <w:t>(a)</w:t>
      </w:r>
      <w:r>
        <w:rPr>
          <w:rFonts w:ascii="Arial" w:hAnsi="Arial" w:cs="Arial" w:eastAsia="Arial" w:hint="default"/>
          <w:spacing w:val="21"/>
          <w:position w:val="2"/>
        </w:rPr>
        <w:t> </w:t>
      </w:r>
      <w:r>
        <w:rPr/>
        <w:t>本集团向顾客提供电器延长保修业务，并就提供的延长保修业务与第三方保险公司签订 保险服务协议书，支付相应保险费用以确保在日后提供延长保修期服务时可按合同规定 向保险公司收取相关赔偿。截至</w:t>
      </w:r>
      <w:r>
        <w:rPr>
          <w:spacing w:val="-55"/>
        </w:rPr>
        <w:t> </w:t>
      </w:r>
      <w:r>
        <w:rPr>
          <w:rFonts w:ascii="Arial" w:hAnsi="Arial" w:cs="Arial" w:eastAsia="Arial" w:hint="default"/>
        </w:rPr>
        <w:t>2010</w:t>
      </w:r>
      <w:r>
        <w:rPr>
          <w:rFonts w:ascii="Arial" w:hAnsi="Arial" w:cs="Arial" w:eastAsia="Arial" w:hint="default"/>
          <w:spacing w:val="-2"/>
        </w:rPr>
        <w:t> </w:t>
      </w:r>
      <w:r>
        <w:rPr/>
        <w:t>年</w:t>
      </w:r>
      <w:r>
        <w:rPr>
          <w:spacing w:val="-55"/>
        </w:rPr>
        <w:t> </w:t>
      </w:r>
      <w:r>
        <w:rPr>
          <w:rFonts w:ascii="Arial" w:hAnsi="Arial" w:cs="Arial" w:eastAsia="Arial" w:hint="default"/>
        </w:rPr>
        <w:t>12</w:t>
      </w:r>
      <w:r>
        <w:rPr>
          <w:rFonts w:ascii="Arial" w:hAnsi="Arial" w:cs="Arial" w:eastAsia="Arial" w:hint="default"/>
          <w:spacing w:val="-2"/>
        </w:rPr>
        <w:t> </w:t>
      </w:r>
      <w:r>
        <w:rPr/>
        <w:t>月</w:t>
      </w:r>
      <w:r>
        <w:rPr>
          <w:spacing w:val="-55"/>
        </w:rPr>
        <w:t> </w:t>
      </w:r>
      <w:r>
        <w:rPr>
          <w:rFonts w:ascii="Arial" w:hAnsi="Arial" w:cs="Arial" w:eastAsia="Arial" w:hint="default"/>
        </w:rPr>
        <w:t>31</w:t>
      </w:r>
      <w:r>
        <w:rPr>
          <w:rFonts w:ascii="Arial" w:hAnsi="Arial" w:cs="Arial" w:eastAsia="Arial" w:hint="default"/>
          <w:spacing w:val="-2"/>
        </w:rPr>
        <w:t> </w:t>
      </w:r>
      <w:r>
        <w:rPr/>
        <w:t>日止，本集团确认递延延保业务收入</w:t>
      </w:r>
    </w:p>
    <w:p>
      <w:pPr>
        <w:pStyle w:val="BodyText"/>
        <w:spacing w:line="300" w:lineRule="exact"/>
        <w:ind w:left="836" w:right="0"/>
        <w:jc w:val="left"/>
      </w:pPr>
      <w:r>
        <w:rPr/>
        <w:t>和费用分别约人民币</w:t>
      </w:r>
      <w:r>
        <w:rPr>
          <w:spacing w:val="-63"/>
        </w:rPr>
        <w:t> </w:t>
      </w:r>
      <w:r>
        <w:rPr>
          <w:rFonts w:ascii="Arial" w:hAnsi="Arial" w:cs="Arial" w:eastAsia="Arial" w:hint="default"/>
        </w:rPr>
        <w:t>4.31</w:t>
      </w:r>
      <w:r>
        <w:rPr>
          <w:rFonts w:ascii="Arial" w:hAnsi="Arial" w:cs="Arial" w:eastAsia="Arial" w:hint="default"/>
          <w:spacing w:val="-10"/>
        </w:rPr>
        <w:t> </w:t>
      </w:r>
      <w:r>
        <w:rPr/>
        <w:t>亿元</w:t>
      </w:r>
      <w:r>
        <w:rPr>
          <w:rFonts w:ascii="Arial" w:hAnsi="Arial" w:cs="Arial" w:eastAsia="Arial" w:hint="default"/>
        </w:rPr>
        <w:t>(</w:t>
      </w:r>
      <w:r>
        <w:rPr/>
        <w:t>附注五</w:t>
      </w:r>
      <w:r>
        <w:rPr>
          <w:rFonts w:ascii="Arial" w:hAnsi="Arial" w:cs="Arial" w:eastAsia="Arial" w:hint="default"/>
        </w:rPr>
        <w:t>(30))</w:t>
      </w:r>
      <w:r>
        <w:rPr/>
        <w:t>和约人民币</w:t>
      </w:r>
      <w:r>
        <w:rPr>
          <w:spacing w:val="-64"/>
        </w:rPr>
        <w:t> </w:t>
      </w:r>
      <w:r>
        <w:rPr>
          <w:rFonts w:ascii="Arial" w:hAnsi="Arial" w:cs="Arial" w:eastAsia="Arial" w:hint="default"/>
        </w:rPr>
        <w:t>1.54</w:t>
      </w:r>
      <w:r>
        <w:rPr>
          <w:rFonts w:ascii="Arial" w:hAnsi="Arial" w:cs="Arial" w:eastAsia="Arial" w:hint="default"/>
          <w:spacing w:val="-10"/>
        </w:rPr>
        <w:t> </w:t>
      </w:r>
      <w:r>
        <w:rPr/>
        <w:t>亿元。</w:t>
      </w:r>
    </w:p>
    <w:p>
      <w:pPr>
        <w:spacing w:line="240" w:lineRule="auto" w:before="8"/>
        <w:rPr>
          <w:rFonts w:ascii="宋体" w:hAnsi="宋体" w:cs="宋体" w:eastAsia="宋体" w:hint="default"/>
          <w:sz w:val="19"/>
          <w:szCs w:val="19"/>
        </w:rPr>
      </w:pPr>
    </w:p>
    <w:p>
      <w:pPr>
        <w:pStyle w:val="BodyText"/>
        <w:tabs>
          <w:tab w:pos="835" w:val="left" w:leader="none"/>
        </w:tabs>
        <w:spacing w:line="322" w:lineRule="exact"/>
        <w:ind w:left="122" w:right="0"/>
        <w:jc w:val="left"/>
      </w:pPr>
      <w:r>
        <w:rPr>
          <w:rFonts w:ascii="Arial" w:hAnsi="Arial" w:cs="Arial" w:eastAsia="Arial" w:hint="default"/>
          <w:w w:val="95"/>
          <w:position w:val="2"/>
        </w:rPr>
        <w:t>(b)</w:t>
        <w:tab/>
      </w:r>
      <w:r>
        <w:rPr/>
        <w:t>本集团于</w:t>
      </w:r>
      <w:r>
        <w:rPr>
          <w:spacing w:val="-59"/>
        </w:rPr>
        <w:t> </w:t>
      </w:r>
      <w:r>
        <w:rPr>
          <w:rFonts w:ascii="Arial" w:hAnsi="Arial" w:cs="Arial" w:eastAsia="Arial" w:hint="default"/>
        </w:rPr>
        <w:t>2007</w:t>
      </w:r>
      <w:r>
        <w:rPr>
          <w:rFonts w:ascii="Arial" w:hAnsi="Arial" w:cs="Arial" w:eastAsia="Arial" w:hint="default"/>
          <w:spacing w:val="-6"/>
        </w:rPr>
        <w:t> </w:t>
      </w:r>
      <w:r>
        <w:rPr/>
        <w:t>年</w:t>
      </w:r>
      <w:r>
        <w:rPr>
          <w:spacing w:val="-59"/>
        </w:rPr>
        <w:t> </w:t>
      </w:r>
      <w:r>
        <w:rPr>
          <w:rFonts w:ascii="Arial" w:hAnsi="Arial" w:cs="Arial" w:eastAsia="Arial" w:hint="default"/>
        </w:rPr>
        <w:t>12</w:t>
      </w:r>
      <w:r>
        <w:rPr>
          <w:rFonts w:ascii="Arial" w:hAnsi="Arial" w:cs="Arial" w:eastAsia="Arial" w:hint="default"/>
          <w:spacing w:val="-5"/>
        </w:rPr>
        <w:t> </w:t>
      </w:r>
      <w:r>
        <w:rPr>
          <w:spacing w:val="-3"/>
        </w:rPr>
        <w:t>月签订租赁合同，预付约人民币</w:t>
      </w:r>
      <w:r>
        <w:rPr>
          <w:spacing w:val="-59"/>
        </w:rPr>
        <w:t> </w:t>
      </w:r>
      <w:r>
        <w:rPr>
          <w:rFonts w:ascii="Arial" w:hAnsi="Arial" w:cs="Arial" w:eastAsia="Arial" w:hint="default"/>
        </w:rPr>
        <w:t>5,000</w:t>
      </w:r>
      <w:r>
        <w:rPr>
          <w:rFonts w:ascii="Arial" w:hAnsi="Arial" w:cs="Arial" w:eastAsia="Arial" w:hint="default"/>
          <w:spacing w:val="-6"/>
        </w:rPr>
        <w:t> </w:t>
      </w:r>
      <w:r>
        <w:rPr>
          <w:spacing w:val="-3"/>
        </w:rPr>
        <w:t>万元的租赁费，取得一处商</w:t>
      </w:r>
    </w:p>
    <w:p>
      <w:pPr>
        <w:pStyle w:val="BodyText"/>
        <w:spacing w:line="312" w:lineRule="exact"/>
        <w:ind w:left="836" w:right="0"/>
        <w:jc w:val="left"/>
      </w:pPr>
      <w:r>
        <w:rPr/>
        <w:t>铺为期为</w:t>
      </w:r>
      <w:r>
        <w:rPr>
          <w:spacing w:val="-61"/>
        </w:rPr>
        <w:t> </w:t>
      </w:r>
      <w:r>
        <w:rPr>
          <w:rFonts w:ascii="Arial" w:hAnsi="Arial" w:cs="Arial" w:eastAsia="Arial" w:hint="default"/>
        </w:rPr>
        <w:t>8</w:t>
      </w:r>
      <w:r>
        <w:rPr>
          <w:rFonts w:ascii="Arial" w:hAnsi="Arial" w:cs="Arial" w:eastAsia="Arial" w:hint="default"/>
          <w:spacing w:val="-8"/>
        </w:rPr>
        <w:t> </w:t>
      </w:r>
      <w:r>
        <w:rPr>
          <w:spacing w:val="-6"/>
        </w:rPr>
        <w:t>年的租赁权。于</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8"/>
        </w:rPr>
        <w:t> </w:t>
      </w:r>
      <w:r>
        <w:rPr>
          <w:spacing w:val="-3"/>
        </w:rPr>
        <w:t>月签订租赁合同，预付人民币</w:t>
      </w:r>
      <w:r>
        <w:rPr>
          <w:spacing w:val="-61"/>
        </w:rPr>
        <w:t> </w:t>
      </w:r>
      <w:r>
        <w:rPr>
          <w:rFonts w:ascii="Arial" w:hAnsi="Arial" w:cs="Arial" w:eastAsia="Arial" w:hint="default"/>
        </w:rPr>
        <w:t>1,500</w:t>
      </w:r>
      <w:r>
        <w:rPr>
          <w:rFonts w:ascii="Arial" w:hAnsi="Arial" w:cs="Arial" w:eastAsia="Arial" w:hint="default"/>
          <w:spacing w:val="-8"/>
        </w:rPr>
        <w:t> </w:t>
      </w:r>
      <w:r>
        <w:rPr/>
        <w:t>万元的租赁</w:t>
      </w:r>
    </w:p>
    <w:p>
      <w:pPr>
        <w:pStyle w:val="BodyText"/>
        <w:spacing w:line="312" w:lineRule="exact"/>
        <w:ind w:left="836" w:right="0"/>
        <w:jc w:val="left"/>
      </w:pPr>
      <w:r>
        <w:rPr/>
        <w:t>费，取得一处商铺为期为</w:t>
      </w:r>
      <w:r>
        <w:rPr>
          <w:spacing w:val="-61"/>
        </w:rPr>
        <w:t> </w:t>
      </w:r>
      <w:r>
        <w:rPr>
          <w:rFonts w:ascii="Arial" w:hAnsi="Arial" w:cs="Arial" w:eastAsia="Arial" w:hint="default"/>
        </w:rPr>
        <w:t>5</w:t>
      </w:r>
      <w:r>
        <w:rPr>
          <w:rFonts w:ascii="Arial" w:hAnsi="Arial" w:cs="Arial" w:eastAsia="Arial" w:hint="default"/>
          <w:spacing w:val="-8"/>
        </w:rPr>
        <w:t> </w:t>
      </w:r>
      <w:r>
        <w:rPr/>
        <w:t>年的租赁权。截至</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日止，其中预付的</w:t>
      </w:r>
      <w:r>
        <w:rPr>
          <w:spacing w:val="-61"/>
        </w:rPr>
        <w:t> </w:t>
      </w:r>
      <w:r>
        <w:rPr>
          <w:rFonts w:ascii="Arial" w:hAnsi="Arial" w:cs="Arial" w:eastAsia="Arial" w:hint="default"/>
        </w:rPr>
        <w:t>1</w:t>
      </w:r>
      <w:r>
        <w:rPr>
          <w:rFonts w:ascii="Arial" w:hAnsi="Arial" w:cs="Arial" w:eastAsia="Arial" w:hint="default"/>
          <w:spacing w:val="-7"/>
        </w:rPr>
        <w:t> </w:t>
      </w:r>
      <w:r>
        <w:rPr/>
        <w:t>年</w:t>
      </w:r>
    </w:p>
    <w:p>
      <w:pPr>
        <w:pStyle w:val="BodyText"/>
        <w:spacing w:line="322" w:lineRule="exact"/>
        <w:ind w:left="835" w:right="0"/>
        <w:jc w:val="left"/>
      </w:pPr>
      <w:r>
        <w:rPr/>
        <w:t>以上租赁费合计约人民币</w:t>
      </w:r>
      <w:r>
        <w:rPr>
          <w:spacing w:val="-63"/>
        </w:rPr>
        <w:t> </w:t>
      </w:r>
      <w:r>
        <w:rPr>
          <w:rFonts w:ascii="Arial" w:hAnsi="Arial" w:cs="Arial" w:eastAsia="Arial" w:hint="default"/>
        </w:rPr>
        <w:t>4,101</w:t>
      </w:r>
      <w:r>
        <w:rPr>
          <w:rFonts w:ascii="Arial" w:hAnsi="Arial" w:cs="Arial" w:eastAsia="Arial" w:hint="default"/>
          <w:spacing w:val="-10"/>
        </w:rPr>
        <w:t> </w:t>
      </w:r>
      <w:r>
        <w:rPr/>
        <w:t>万元。</w:t>
      </w:r>
    </w:p>
    <w:p>
      <w:pPr>
        <w:spacing w:line="240" w:lineRule="auto" w:before="13"/>
        <w:rPr>
          <w:rFonts w:ascii="宋体" w:hAnsi="宋体" w:cs="宋体" w:eastAsia="宋体" w:hint="default"/>
          <w:sz w:val="16"/>
          <w:szCs w:val="16"/>
        </w:rPr>
      </w:pPr>
    </w:p>
    <w:p>
      <w:pPr>
        <w:tabs>
          <w:tab w:pos="835" w:val="left" w:leader="none"/>
        </w:tabs>
        <w:spacing w:before="0"/>
        <w:ind w:left="122"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(18)</w:t>
        <w:tab/>
      </w:r>
      <w:r>
        <w:rPr>
          <w:rFonts w:ascii="宋体" w:hAnsi="宋体" w:cs="宋体" w:eastAsia="宋体" w:hint="default"/>
          <w:b/>
          <w:bCs/>
          <w:sz w:val="24"/>
          <w:szCs w:val="24"/>
        </w:rPr>
        <w:t>递延所得税资产和递延所得税负债</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835" w:val="left" w:leader="none"/>
        </w:tabs>
        <w:spacing w:line="240" w:lineRule="auto"/>
        <w:ind w:left="122" w:right="0"/>
        <w:jc w:val="left"/>
      </w:pPr>
      <w:r>
        <w:rPr>
          <w:rFonts w:ascii="Arial" w:hAnsi="Arial" w:cs="Arial" w:eastAsia="Arial" w:hint="default"/>
          <w:w w:val="95"/>
          <w:position w:val="2"/>
        </w:rPr>
        <w:t>(a)</w:t>
        <w:tab/>
      </w:r>
      <w:r>
        <w:rPr/>
        <w:t>未经抵销的递延所得税资产</w:t>
      </w:r>
    </w:p>
    <w:p>
      <w:pPr>
        <w:spacing w:line="240" w:lineRule="auto" w:before="6"/>
        <w:rPr>
          <w:rFonts w:ascii="宋体" w:hAnsi="宋体" w:cs="宋体" w:eastAsia="宋体" w:hint="default"/>
          <w:sz w:val="21"/>
          <w:szCs w:val="21"/>
        </w:rPr>
      </w:pPr>
    </w:p>
    <w:p>
      <w:pPr>
        <w:tabs>
          <w:tab w:pos="7441" w:val="left" w:leader="none"/>
        </w:tabs>
        <w:spacing w:before="0"/>
        <w:ind w:left="3709" w:right="0" w:firstLine="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after="0"/>
        <w:jc w:val="left"/>
        <w:rPr>
          <w:rFonts w:ascii="宋体" w:hAnsi="宋体" w:cs="宋体" w:eastAsia="宋体" w:hint="default"/>
          <w:sz w:val="20"/>
          <w:szCs w:val="20"/>
        </w:rPr>
        <w:sectPr>
          <w:type w:val="continuous"/>
          <w:pgSz w:w="11910" w:h="16840"/>
          <w:pgMar w:top="920" w:bottom="900" w:left="1000" w:right="700"/>
        </w:sectPr>
      </w:pPr>
    </w:p>
    <w:p>
      <w:pPr>
        <w:spacing w:line="30" w:lineRule="exact"/>
        <w:ind w:left="2834" w:right="-35" w:firstLine="0"/>
        <w:rPr>
          <w:rFonts w:ascii="宋体" w:hAnsi="宋体" w:cs="宋体" w:eastAsia="宋体" w:hint="default"/>
          <w:sz w:val="3"/>
          <w:szCs w:val="3"/>
        </w:rPr>
      </w:pPr>
      <w:r>
        <w:rPr>
          <w:rFonts w:ascii="宋体" w:hAnsi="宋体" w:cs="宋体" w:eastAsia="宋体" w:hint="default"/>
          <w:position w:val="0"/>
          <w:sz w:val="3"/>
          <w:szCs w:val="3"/>
        </w:rPr>
        <w:pict>
          <v:group style="width:173.95pt;height:1.5pt;mso-position-horizontal-relative:char;mso-position-vertical-relative:line" coordorigin="0,0" coordsize="3479,30">
            <v:group style="position:absolute;left:15;top:15;width:3449;height:2" coordorigin="15,15" coordsize="3449,2">
              <v:shape style="position:absolute;left:15;top:15;width:3449;height:2" coordorigin="15,15" coordsize="3449,0" path="m15,15l3464,15e" filled="false" stroked="true" strokeweight="1.5pt" strokecolor="#000000">
                <v:path arrowok="t"/>
              </v:shape>
            </v:group>
          </v:group>
        </w:pict>
      </w:r>
      <w:r>
        <w:rPr>
          <w:rFonts w:ascii="宋体" w:hAnsi="宋体" w:cs="宋体" w:eastAsia="宋体" w:hint="default"/>
          <w:position w:val="0"/>
          <w:sz w:val="3"/>
          <w:szCs w:val="3"/>
        </w:rPr>
      </w:r>
    </w:p>
    <w:p>
      <w:pPr>
        <w:tabs>
          <w:tab w:pos="1697" w:val="left" w:leader="none"/>
        </w:tabs>
        <w:spacing w:line="245" w:lineRule="exact" w:before="0"/>
        <w:ind w:left="0" w:right="0" w:firstLine="0"/>
        <w:jc w:val="right"/>
        <w:rPr>
          <w:rFonts w:ascii="宋体" w:hAnsi="宋体" w:cs="宋体" w:eastAsia="宋体" w:hint="default"/>
          <w:sz w:val="20"/>
          <w:szCs w:val="20"/>
        </w:rPr>
      </w:pPr>
      <w:r>
        <w:rPr>
          <w:rFonts w:ascii="宋体" w:hAnsi="宋体" w:cs="宋体" w:eastAsia="宋体" w:hint="default"/>
          <w:spacing w:val="-1"/>
          <w:sz w:val="20"/>
          <w:szCs w:val="20"/>
        </w:rPr>
        <w:t>递延所得税资产</w:t>
        <w:tab/>
        <w:t>可抵扣暂时性差异</w:t>
      </w:r>
    </w:p>
    <w:p>
      <w:pPr>
        <w:spacing w:line="261" w:lineRule="exact" w:before="0"/>
        <w:ind w:left="0" w:right="0" w:firstLine="0"/>
        <w:jc w:val="right"/>
        <w:rPr>
          <w:rFonts w:ascii="宋体" w:hAnsi="宋体" w:cs="宋体" w:eastAsia="宋体" w:hint="default"/>
          <w:sz w:val="20"/>
          <w:szCs w:val="20"/>
        </w:rPr>
      </w:pPr>
      <w:r>
        <w:rPr>
          <w:rFonts w:ascii="宋体" w:hAnsi="宋体" w:cs="宋体" w:eastAsia="宋体" w:hint="default"/>
          <w:spacing w:val="-1"/>
          <w:sz w:val="20"/>
          <w:szCs w:val="20"/>
        </w:rPr>
        <w:t>及可抵扣亏损</w:t>
      </w:r>
    </w:p>
    <w:p>
      <w:pPr>
        <w:rPr>
          <w:sz w:val="10"/>
          <w:szCs w:val="10"/>
        </w:rPr>
      </w:pPr>
      <w:r>
        <w:rPr>
          <w:sz w:val="10"/>
        </w:rPr>
        <w:br w:type="column"/>
      </w:r>
    </w:p>
    <w:p>
      <w:pPr>
        <w:spacing w:line="30" w:lineRule="exact"/>
        <w:ind w:left="169" w:right="0" w:firstLine="0"/>
        <w:rPr>
          <w:rFonts w:ascii="宋体" w:hAnsi="宋体" w:cs="宋体" w:eastAsia="宋体" w:hint="default"/>
          <w:sz w:val="3"/>
          <w:szCs w:val="3"/>
        </w:rPr>
      </w:pPr>
      <w:r>
        <w:rPr>
          <w:rFonts w:ascii="宋体" w:hAnsi="宋体" w:cs="宋体" w:eastAsia="宋体" w:hint="default"/>
          <w:position w:val="0"/>
          <w:sz w:val="3"/>
          <w:szCs w:val="3"/>
        </w:rPr>
        <w:pict>
          <v:group style="width:178.75pt;height:1.5pt;mso-position-horizontal-relative:char;mso-position-vertical-relative:line" coordorigin="0,0" coordsize="3575,30">
            <v:group style="position:absolute;left:15;top:15;width:3545;height:2" coordorigin="15,15" coordsize="3545,2">
              <v:shape style="position:absolute;left:15;top:15;width:3545;height:2" coordorigin="15,15" coordsize="3545,0" path="m15,15l3560,15e" filled="false" stroked="true" strokeweight="1.5pt" strokecolor="#000000">
                <v:path arrowok="t"/>
              </v:shape>
            </v:group>
          </v:group>
        </w:pict>
      </w:r>
      <w:r>
        <w:rPr>
          <w:rFonts w:ascii="宋体" w:hAnsi="宋体" w:cs="宋体" w:eastAsia="宋体" w:hint="default"/>
          <w:position w:val="0"/>
          <w:sz w:val="3"/>
          <w:szCs w:val="3"/>
        </w:rPr>
      </w:r>
    </w:p>
    <w:p>
      <w:pPr>
        <w:tabs>
          <w:tab w:pos="2027" w:val="left" w:leader="none"/>
        </w:tabs>
        <w:spacing w:line="245" w:lineRule="exact" w:before="0"/>
        <w:ind w:left="225" w:right="0" w:firstLine="0"/>
        <w:jc w:val="left"/>
        <w:rPr>
          <w:rFonts w:ascii="宋体" w:hAnsi="宋体" w:cs="宋体" w:eastAsia="宋体" w:hint="default"/>
          <w:sz w:val="20"/>
          <w:szCs w:val="20"/>
        </w:rPr>
      </w:pPr>
      <w:r>
        <w:rPr>
          <w:rFonts w:ascii="宋体" w:hAnsi="宋体" w:cs="宋体" w:eastAsia="宋体" w:hint="default"/>
          <w:spacing w:val="-1"/>
          <w:sz w:val="20"/>
          <w:szCs w:val="20"/>
        </w:rPr>
        <w:t>递延所得税资产</w:t>
        <w:tab/>
        <w:t>可抵扣暂时性差异</w:t>
      </w:r>
    </w:p>
    <w:p>
      <w:pPr>
        <w:spacing w:line="261" w:lineRule="exact" w:before="0"/>
        <w:ind w:left="2428" w:right="0" w:firstLine="0"/>
        <w:jc w:val="left"/>
        <w:rPr>
          <w:rFonts w:ascii="宋体" w:hAnsi="宋体" w:cs="宋体" w:eastAsia="宋体" w:hint="default"/>
          <w:sz w:val="20"/>
          <w:szCs w:val="20"/>
        </w:rPr>
      </w:pPr>
      <w:r>
        <w:rPr>
          <w:rFonts w:ascii="宋体" w:hAnsi="宋体" w:cs="宋体" w:eastAsia="宋体" w:hint="default"/>
          <w:sz w:val="20"/>
          <w:szCs w:val="20"/>
        </w:rPr>
        <w:t>及可抵扣亏损</w:t>
      </w:r>
    </w:p>
    <w:p>
      <w:pPr>
        <w:spacing w:after="0" w:line="261" w:lineRule="exact"/>
        <w:jc w:val="left"/>
        <w:rPr>
          <w:rFonts w:ascii="宋体" w:hAnsi="宋体" w:cs="宋体" w:eastAsia="宋体" w:hint="default"/>
          <w:sz w:val="20"/>
          <w:szCs w:val="20"/>
        </w:rPr>
        <w:sectPr>
          <w:type w:val="continuous"/>
          <w:pgSz w:w="11910" w:h="16840"/>
          <w:pgMar w:top="920" w:bottom="900" w:left="1000" w:right="700"/>
          <w:cols w:num="2" w:equalWidth="0">
            <w:col w:w="6310" w:space="40"/>
            <w:col w:w="3860"/>
          </w:cols>
        </w:sectPr>
      </w:pPr>
    </w:p>
    <w:p>
      <w:pPr>
        <w:spacing w:line="240" w:lineRule="auto" w:before="6"/>
        <w:rPr>
          <w:rFonts w:ascii="宋体" w:hAnsi="宋体" w:cs="宋体" w:eastAsia="宋体" w:hint="default"/>
          <w:sz w:val="14"/>
          <w:szCs w:val="14"/>
        </w:rPr>
      </w:pPr>
    </w:p>
    <w:p>
      <w:pPr>
        <w:tabs>
          <w:tab w:pos="3769" w:val="left" w:leader="none"/>
          <w:tab w:pos="5549" w:val="left" w:leader="none"/>
          <w:tab w:pos="7338" w:val="left" w:leader="none"/>
          <w:tab w:pos="9253" w:val="left" w:leader="none"/>
        </w:tabs>
        <w:spacing w:line="273" w:lineRule="exact" w:before="42"/>
        <w:ind w:left="836" w:right="0" w:firstLine="0"/>
        <w:jc w:val="left"/>
        <w:rPr>
          <w:rFonts w:ascii="Arial" w:hAnsi="Arial" w:cs="Arial" w:eastAsia="Arial" w:hint="default"/>
          <w:sz w:val="20"/>
          <w:szCs w:val="20"/>
        </w:rPr>
      </w:pPr>
      <w:r>
        <w:rPr>
          <w:rFonts w:ascii="宋体" w:hAnsi="宋体" w:cs="宋体" w:eastAsia="宋体" w:hint="default"/>
          <w:spacing w:val="-1"/>
          <w:position w:val="1"/>
          <w:sz w:val="20"/>
          <w:szCs w:val="20"/>
        </w:rPr>
        <w:t>长期待摊费用摊销</w:t>
        <w:tab/>
      </w:r>
      <w:r>
        <w:rPr>
          <w:rFonts w:ascii="Arial" w:hAnsi="Arial" w:cs="Arial" w:eastAsia="Arial" w:hint="default"/>
          <w:sz w:val="20"/>
          <w:szCs w:val="20"/>
        </w:rPr>
        <w:t>41,289</w:t>
        <w:tab/>
      </w:r>
      <w:r>
        <w:rPr>
          <w:rFonts w:ascii="Arial" w:hAnsi="Arial" w:cs="Arial" w:eastAsia="Arial" w:hint="default"/>
          <w:spacing w:val="-1"/>
          <w:sz w:val="20"/>
          <w:szCs w:val="20"/>
        </w:rPr>
        <w:t>169,919</w:t>
        <w:tab/>
      </w:r>
      <w:r>
        <w:rPr>
          <w:rFonts w:ascii="Arial" w:hAnsi="Arial" w:cs="Arial" w:eastAsia="Arial" w:hint="default"/>
          <w:sz w:val="20"/>
          <w:szCs w:val="20"/>
        </w:rPr>
        <w:t>48,689</w:t>
        <w:tab/>
      </w:r>
      <w:r>
        <w:rPr>
          <w:rFonts w:ascii="Arial" w:hAnsi="Arial" w:cs="Arial" w:eastAsia="Arial" w:hint="default"/>
          <w:spacing w:val="-1"/>
          <w:sz w:val="20"/>
          <w:szCs w:val="20"/>
        </w:rPr>
        <w:t>199,416</w:t>
      </w:r>
    </w:p>
    <w:p>
      <w:pPr>
        <w:tabs>
          <w:tab w:pos="4315" w:val="left" w:leader="none"/>
          <w:tab w:pos="6106" w:val="left" w:leader="none"/>
          <w:tab w:pos="7338" w:val="left" w:leader="none"/>
          <w:tab w:pos="9253" w:val="left" w:leader="none"/>
        </w:tabs>
        <w:spacing w:line="273" w:lineRule="exact" w:before="0"/>
        <w:ind w:left="836" w:right="0" w:firstLine="0"/>
        <w:jc w:val="left"/>
        <w:rPr>
          <w:rFonts w:ascii="Arial" w:hAnsi="Arial" w:cs="Arial" w:eastAsia="Arial" w:hint="default"/>
          <w:sz w:val="20"/>
          <w:szCs w:val="20"/>
        </w:rPr>
      </w:pPr>
      <w:r>
        <w:rPr>
          <w:rFonts w:ascii="宋体" w:hAnsi="宋体" w:cs="宋体" w:eastAsia="宋体" w:hint="default"/>
          <w:position w:val="1"/>
          <w:sz w:val="20"/>
          <w:szCs w:val="20"/>
        </w:rPr>
        <w:t>延保业务</w:t>
        <w:tab/>
      </w:r>
      <w:r>
        <w:rPr>
          <w:rFonts w:ascii="Arial" w:hAnsi="Arial" w:cs="Arial" w:eastAsia="Arial" w:hint="default"/>
          <w:sz w:val="20"/>
          <w:szCs w:val="20"/>
        </w:rPr>
        <w:t>-</w:t>
        <w:tab/>
        <w:t>-</w:t>
        <w:tab/>
        <w:t>42,651</w:t>
        <w:tab/>
        <w:t>170,603</w:t>
      </w:r>
    </w:p>
    <w:p>
      <w:pPr>
        <w:spacing w:line="240" w:lineRule="auto" w:before="8"/>
        <w:rPr>
          <w:rFonts w:ascii="Arial" w:hAnsi="Arial" w:cs="Arial" w:eastAsia="Arial" w:hint="default"/>
          <w:sz w:val="2"/>
          <w:szCs w:val="2"/>
        </w:rPr>
      </w:pPr>
    </w:p>
    <w:tbl>
      <w:tblPr>
        <w:tblW w:w="0" w:type="auto"/>
        <w:jc w:val="left"/>
        <w:tblInd w:w="800" w:type="dxa"/>
        <w:tblLayout w:type="fixed"/>
        <w:tblCellMar>
          <w:top w:w="0" w:type="dxa"/>
          <w:left w:w="0" w:type="dxa"/>
          <w:bottom w:w="0" w:type="dxa"/>
          <w:right w:w="0" w:type="dxa"/>
        </w:tblCellMar>
        <w:tblLook w:val="01E0"/>
      </w:tblPr>
      <w:tblGrid>
        <w:gridCol w:w="2041"/>
        <w:gridCol w:w="1573"/>
        <w:gridCol w:w="233"/>
        <w:gridCol w:w="1657"/>
        <w:gridCol w:w="221"/>
        <w:gridCol w:w="1510"/>
        <w:gridCol w:w="224"/>
        <w:gridCol w:w="1825"/>
      </w:tblGrid>
      <w:tr>
        <w:trPr>
          <w:trHeight w:val="242"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尚未支付的广告费</w:t>
            </w:r>
          </w:p>
        </w:tc>
        <w:tc>
          <w:tcPr>
            <w:tcW w:w="1573" w:type="dxa"/>
            <w:tcBorders>
              <w:top w:val="nil" w:sz="6" w:space="0" w:color="auto"/>
              <w:left w:val="nil" w:sz="6" w:space="0" w:color="auto"/>
              <w:bottom w:val="nil" w:sz="6" w:space="0" w:color="auto"/>
              <w:right w:val="nil" w:sz="6" w:space="0" w:color="auto"/>
            </w:tcBorders>
          </w:tcPr>
          <w:p>
            <w:pPr>
              <w:pStyle w:val="TableParagraph"/>
              <w:spacing w:line="228" w:lineRule="exact"/>
              <w:ind w:right="30"/>
              <w:jc w:val="right"/>
              <w:rPr>
                <w:rFonts w:ascii="Arial" w:hAnsi="Arial" w:cs="Arial" w:eastAsia="Arial" w:hint="default"/>
                <w:sz w:val="20"/>
                <w:szCs w:val="20"/>
              </w:rPr>
            </w:pPr>
            <w:r>
              <w:rPr>
                <w:rFonts w:ascii="Arial"/>
                <w:sz w:val="20"/>
              </w:rPr>
              <w:t>51,650</w:t>
            </w:r>
          </w:p>
        </w:tc>
        <w:tc>
          <w:tcPr>
            <w:tcW w:w="233"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28" w:lineRule="exact"/>
              <w:ind w:right="30"/>
              <w:jc w:val="right"/>
              <w:rPr>
                <w:rFonts w:ascii="Arial" w:hAnsi="Arial" w:cs="Arial" w:eastAsia="Arial" w:hint="default"/>
                <w:sz w:val="20"/>
                <w:szCs w:val="20"/>
              </w:rPr>
            </w:pPr>
            <w:r>
              <w:rPr>
                <w:rFonts w:ascii="Arial"/>
                <w:spacing w:val="-1"/>
                <w:sz w:val="20"/>
              </w:rPr>
              <w:t>210,095</w:t>
            </w:r>
          </w:p>
        </w:tc>
        <w:tc>
          <w:tcPr>
            <w:tcW w:w="221"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8" w:lineRule="exact"/>
              <w:ind w:right="82"/>
              <w:jc w:val="right"/>
              <w:rPr>
                <w:rFonts w:ascii="Arial" w:hAnsi="Arial" w:cs="Arial" w:eastAsia="Arial" w:hint="default"/>
                <w:sz w:val="20"/>
                <w:szCs w:val="20"/>
              </w:rPr>
            </w:pPr>
            <w:r>
              <w:rPr>
                <w:rFonts w:ascii="Arial"/>
                <w:sz w:val="20"/>
              </w:rPr>
              <w:t>35,771</w:t>
            </w:r>
          </w:p>
        </w:tc>
        <w:tc>
          <w:tcPr>
            <w:tcW w:w="22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28" w:lineRule="exact"/>
              <w:ind w:right="106"/>
              <w:jc w:val="right"/>
              <w:rPr>
                <w:rFonts w:ascii="Arial" w:hAnsi="Arial" w:cs="Arial" w:eastAsia="Arial" w:hint="default"/>
                <w:sz w:val="20"/>
                <w:szCs w:val="20"/>
              </w:rPr>
            </w:pPr>
            <w:r>
              <w:rPr>
                <w:rFonts w:ascii="Arial"/>
                <w:spacing w:val="-1"/>
                <w:sz w:val="20"/>
              </w:rPr>
              <w:t>152,154</w:t>
            </w:r>
          </w:p>
        </w:tc>
      </w:tr>
      <w:tr>
        <w:trPr>
          <w:trHeight w:val="260"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预提租赁费</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Arial" w:hAnsi="Arial" w:cs="Arial" w:eastAsia="Arial" w:hint="default"/>
                <w:sz w:val="20"/>
                <w:szCs w:val="20"/>
              </w:rPr>
            </w:pPr>
            <w:r>
              <w:rPr>
                <w:rFonts w:ascii="Arial"/>
                <w:sz w:val="20"/>
              </w:rPr>
              <w:t>39,323</w:t>
            </w:r>
          </w:p>
        </w:tc>
        <w:tc>
          <w:tcPr>
            <w:tcW w:w="233"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Arial" w:hAnsi="Arial" w:cs="Arial" w:eastAsia="Arial" w:hint="default"/>
                <w:sz w:val="20"/>
                <w:szCs w:val="20"/>
              </w:rPr>
            </w:pPr>
            <w:r>
              <w:rPr>
                <w:rFonts w:ascii="Arial"/>
                <w:spacing w:val="-1"/>
                <w:sz w:val="20"/>
              </w:rPr>
              <w:t>157,291</w:t>
            </w:r>
          </w:p>
        </w:tc>
        <w:tc>
          <w:tcPr>
            <w:tcW w:w="221"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20"/>
                <w:szCs w:val="20"/>
              </w:rPr>
            </w:pPr>
            <w:r>
              <w:rPr>
                <w:rFonts w:ascii="Arial"/>
                <w:sz w:val="20"/>
              </w:rPr>
              <w:t>30,990</w:t>
            </w:r>
          </w:p>
        </w:tc>
        <w:tc>
          <w:tcPr>
            <w:tcW w:w="22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0"/>
                <w:szCs w:val="20"/>
              </w:rPr>
            </w:pPr>
            <w:r>
              <w:rPr>
                <w:rFonts w:ascii="Arial"/>
                <w:spacing w:val="-1"/>
                <w:sz w:val="20"/>
              </w:rPr>
              <w:t>123,960</w:t>
            </w:r>
          </w:p>
        </w:tc>
      </w:tr>
      <w:tr>
        <w:trPr>
          <w:trHeight w:val="260"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递延广告位使用费</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Arial" w:hAnsi="Arial" w:cs="Arial" w:eastAsia="Arial" w:hint="default"/>
                <w:sz w:val="20"/>
                <w:szCs w:val="20"/>
              </w:rPr>
            </w:pPr>
            <w:r>
              <w:rPr>
                <w:rFonts w:ascii="Arial"/>
                <w:sz w:val="20"/>
              </w:rPr>
              <w:t>24,900</w:t>
            </w:r>
          </w:p>
        </w:tc>
        <w:tc>
          <w:tcPr>
            <w:tcW w:w="233"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Arial" w:hAnsi="Arial" w:cs="Arial" w:eastAsia="Arial" w:hint="default"/>
                <w:sz w:val="20"/>
                <w:szCs w:val="20"/>
              </w:rPr>
            </w:pPr>
            <w:r>
              <w:rPr>
                <w:rFonts w:ascii="Arial"/>
                <w:spacing w:val="-3"/>
                <w:sz w:val="20"/>
              </w:rPr>
              <w:t>112,178</w:t>
            </w:r>
          </w:p>
        </w:tc>
        <w:tc>
          <w:tcPr>
            <w:tcW w:w="221"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20"/>
                <w:szCs w:val="20"/>
              </w:rPr>
            </w:pPr>
            <w:r>
              <w:rPr>
                <w:rFonts w:ascii="Arial"/>
                <w:sz w:val="20"/>
              </w:rPr>
              <w:t>23,237</w:t>
            </w:r>
          </w:p>
        </w:tc>
        <w:tc>
          <w:tcPr>
            <w:tcW w:w="22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0"/>
                <w:szCs w:val="20"/>
              </w:rPr>
            </w:pPr>
            <w:r>
              <w:rPr>
                <w:rFonts w:ascii="Arial"/>
                <w:sz w:val="20"/>
              </w:rPr>
              <w:t>97,128</w:t>
            </w:r>
          </w:p>
        </w:tc>
      </w:tr>
      <w:tr>
        <w:trPr>
          <w:trHeight w:val="260"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20"/>
                <w:szCs w:val="20"/>
              </w:rPr>
            </w:pPr>
            <w:r>
              <w:rPr>
                <w:rFonts w:ascii="宋体" w:hAnsi="宋体" w:cs="宋体" w:eastAsia="宋体" w:hint="default"/>
                <w:sz w:val="20"/>
                <w:szCs w:val="20"/>
              </w:rPr>
              <w:t>积分计划</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
              <w:jc w:val="right"/>
              <w:rPr>
                <w:rFonts w:ascii="Arial" w:hAnsi="Arial" w:cs="Arial" w:eastAsia="Arial" w:hint="default"/>
                <w:sz w:val="20"/>
                <w:szCs w:val="20"/>
              </w:rPr>
            </w:pPr>
            <w:r>
              <w:rPr>
                <w:rFonts w:ascii="Arial"/>
                <w:sz w:val="20"/>
              </w:rPr>
              <w:t>23,784</w:t>
            </w:r>
          </w:p>
        </w:tc>
        <w:tc>
          <w:tcPr>
            <w:tcW w:w="233"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
              <w:jc w:val="right"/>
              <w:rPr>
                <w:rFonts w:ascii="Arial" w:hAnsi="Arial" w:cs="Arial" w:eastAsia="Arial" w:hint="default"/>
                <w:sz w:val="20"/>
                <w:szCs w:val="20"/>
              </w:rPr>
            </w:pPr>
            <w:r>
              <w:rPr>
                <w:rFonts w:ascii="Arial"/>
                <w:sz w:val="20"/>
              </w:rPr>
              <w:t>95,135</w:t>
            </w:r>
          </w:p>
        </w:tc>
        <w:tc>
          <w:tcPr>
            <w:tcW w:w="221"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20"/>
                <w:szCs w:val="20"/>
              </w:rPr>
            </w:pPr>
            <w:r>
              <w:rPr>
                <w:rFonts w:ascii="Arial"/>
                <w:sz w:val="20"/>
              </w:rPr>
              <w:t>21,103</w:t>
            </w:r>
          </w:p>
        </w:tc>
        <w:tc>
          <w:tcPr>
            <w:tcW w:w="22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20"/>
                <w:szCs w:val="20"/>
              </w:rPr>
            </w:pPr>
            <w:r>
              <w:rPr>
                <w:rFonts w:ascii="Arial"/>
                <w:sz w:val="20"/>
              </w:rPr>
              <w:t>84,641</w:t>
            </w:r>
          </w:p>
        </w:tc>
      </w:tr>
      <w:tr>
        <w:trPr>
          <w:trHeight w:val="260"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可抵扣亏损</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Arial" w:hAnsi="Arial" w:cs="Arial" w:eastAsia="Arial" w:hint="default"/>
                <w:sz w:val="20"/>
                <w:szCs w:val="20"/>
              </w:rPr>
            </w:pPr>
            <w:r>
              <w:rPr>
                <w:rFonts w:ascii="Arial"/>
                <w:sz w:val="20"/>
              </w:rPr>
              <w:t>51,879</w:t>
            </w:r>
          </w:p>
        </w:tc>
        <w:tc>
          <w:tcPr>
            <w:tcW w:w="233"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Arial" w:hAnsi="Arial" w:cs="Arial" w:eastAsia="Arial" w:hint="default"/>
                <w:sz w:val="20"/>
                <w:szCs w:val="20"/>
              </w:rPr>
            </w:pPr>
            <w:r>
              <w:rPr>
                <w:rFonts w:ascii="Arial"/>
                <w:spacing w:val="-1"/>
                <w:sz w:val="20"/>
              </w:rPr>
              <w:t>208,224</w:t>
            </w:r>
          </w:p>
        </w:tc>
        <w:tc>
          <w:tcPr>
            <w:tcW w:w="221"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20"/>
                <w:szCs w:val="20"/>
              </w:rPr>
            </w:pPr>
            <w:r>
              <w:rPr>
                <w:rFonts w:ascii="Arial"/>
                <w:sz w:val="20"/>
              </w:rPr>
              <w:t>20,143</w:t>
            </w:r>
          </w:p>
        </w:tc>
        <w:tc>
          <w:tcPr>
            <w:tcW w:w="22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0"/>
                <w:szCs w:val="20"/>
              </w:rPr>
            </w:pPr>
            <w:r>
              <w:rPr>
                <w:rFonts w:ascii="Arial"/>
                <w:sz w:val="20"/>
              </w:rPr>
              <w:t>81,309</w:t>
            </w:r>
          </w:p>
        </w:tc>
      </w:tr>
      <w:tr>
        <w:trPr>
          <w:trHeight w:val="260"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资产减值准备</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Arial" w:hAnsi="Arial" w:cs="Arial" w:eastAsia="Arial" w:hint="default"/>
                <w:sz w:val="20"/>
                <w:szCs w:val="20"/>
              </w:rPr>
            </w:pPr>
            <w:r>
              <w:rPr>
                <w:rFonts w:ascii="Arial"/>
                <w:sz w:val="20"/>
              </w:rPr>
              <w:t>26,392</w:t>
            </w:r>
          </w:p>
        </w:tc>
        <w:tc>
          <w:tcPr>
            <w:tcW w:w="233"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Arial" w:hAnsi="Arial" w:cs="Arial" w:eastAsia="Arial" w:hint="default"/>
                <w:sz w:val="20"/>
                <w:szCs w:val="20"/>
              </w:rPr>
            </w:pPr>
            <w:r>
              <w:rPr>
                <w:rFonts w:ascii="Arial"/>
                <w:spacing w:val="-1"/>
                <w:sz w:val="20"/>
              </w:rPr>
              <w:t>105,598</w:t>
            </w:r>
          </w:p>
        </w:tc>
        <w:tc>
          <w:tcPr>
            <w:tcW w:w="221"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20"/>
                <w:szCs w:val="20"/>
              </w:rPr>
            </w:pPr>
            <w:r>
              <w:rPr>
                <w:rFonts w:ascii="Arial"/>
                <w:sz w:val="20"/>
              </w:rPr>
              <w:t>14,010</w:t>
            </w:r>
          </w:p>
        </w:tc>
        <w:tc>
          <w:tcPr>
            <w:tcW w:w="22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0"/>
                <w:szCs w:val="20"/>
              </w:rPr>
            </w:pPr>
            <w:r>
              <w:rPr>
                <w:rFonts w:ascii="Arial"/>
                <w:sz w:val="20"/>
              </w:rPr>
              <w:t>55,371</w:t>
            </w:r>
          </w:p>
        </w:tc>
      </w:tr>
      <w:tr>
        <w:trPr>
          <w:trHeight w:val="260"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20"/>
                <w:szCs w:val="20"/>
              </w:rPr>
            </w:pPr>
            <w:r>
              <w:rPr>
                <w:rFonts w:ascii="宋体" w:hAnsi="宋体" w:cs="宋体" w:eastAsia="宋体" w:hint="default"/>
                <w:sz w:val="20"/>
                <w:szCs w:val="20"/>
              </w:rPr>
              <w:t>抵销内部未实现利润</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
              <w:jc w:val="right"/>
              <w:rPr>
                <w:rFonts w:ascii="Arial" w:hAnsi="Arial" w:cs="Arial" w:eastAsia="Arial" w:hint="default"/>
                <w:sz w:val="20"/>
                <w:szCs w:val="20"/>
              </w:rPr>
            </w:pPr>
            <w:r>
              <w:rPr>
                <w:rFonts w:ascii="Arial"/>
                <w:sz w:val="20"/>
              </w:rPr>
              <w:t>8,122</w:t>
            </w:r>
          </w:p>
        </w:tc>
        <w:tc>
          <w:tcPr>
            <w:tcW w:w="233"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
              <w:jc w:val="right"/>
              <w:rPr>
                <w:rFonts w:ascii="Arial" w:hAnsi="Arial" w:cs="Arial" w:eastAsia="Arial" w:hint="default"/>
                <w:sz w:val="20"/>
                <w:szCs w:val="20"/>
              </w:rPr>
            </w:pPr>
            <w:r>
              <w:rPr>
                <w:rFonts w:ascii="Arial"/>
                <w:sz w:val="20"/>
              </w:rPr>
              <w:t>32,487</w:t>
            </w:r>
          </w:p>
        </w:tc>
        <w:tc>
          <w:tcPr>
            <w:tcW w:w="221"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1"/>
              <w:jc w:val="right"/>
              <w:rPr>
                <w:rFonts w:ascii="Arial" w:hAnsi="Arial" w:cs="Arial" w:eastAsia="Arial" w:hint="default"/>
                <w:sz w:val="20"/>
                <w:szCs w:val="20"/>
              </w:rPr>
            </w:pPr>
            <w:r>
              <w:rPr>
                <w:rFonts w:ascii="Arial"/>
                <w:sz w:val="20"/>
              </w:rPr>
              <w:t>5,313</w:t>
            </w:r>
          </w:p>
        </w:tc>
        <w:tc>
          <w:tcPr>
            <w:tcW w:w="22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20"/>
                <w:szCs w:val="20"/>
              </w:rPr>
            </w:pPr>
            <w:r>
              <w:rPr>
                <w:rFonts w:ascii="Arial"/>
                <w:sz w:val="20"/>
              </w:rPr>
              <w:t>21,252</w:t>
            </w:r>
          </w:p>
        </w:tc>
      </w:tr>
      <w:tr>
        <w:trPr>
          <w:trHeight w:val="260"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资产性政府补助</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Arial" w:hAnsi="Arial" w:cs="Arial" w:eastAsia="Arial" w:hint="default"/>
                <w:sz w:val="20"/>
                <w:szCs w:val="20"/>
              </w:rPr>
            </w:pPr>
            <w:r>
              <w:rPr>
                <w:rFonts w:ascii="Arial"/>
                <w:sz w:val="20"/>
              </w:rPr>
              <w:t>15,632</w:t>
            </w:r>
          </w:p>
        </w:tc>
        <w:tc>
          <w:tcPr>
            <w:tcW w:w="233"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Arial" w:hAnsi="Arial" w:cs="Arial" w:eastAsia="Arial" w:hint="default"/>
                <w:sz w:val="20"/>
                <w:szCs w:val="20"/>
              </w:rPr>
            </w:pPr>
            <w:r>
              <w:rPr>
                <w:rFonts w:ascii="Arial"/>
                <w:sz w:val="20"/>
              </w:rPr>
              <w:t>62,531</w:t>
            </w:r>
          </w:p>
        </w:tc>
        <w:tc>
          <w:tcPr>
            <w:tcW w:w="221"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20"/>
                <w:szCs w:val="20"/>
              </w:rPr>
            </w:pPr>
            <w:r>
              <w:rPr>
                <w:rFonts w:ascii="Arial"/>
                <w:sz w:val="20"/>
              </w:rPr>
              <w:t>4,667</w:t>
            </w:r>
          </w:p>
        </w:tc>
        <w:tc>
          <w:tcPr>
            <w:tcW w:w="22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0"/>
                <w:szCs w:val="20"/>
              </w:rPr>
            </w:pPr>
            <w:r>
              <w:rPr>
                <w:rFonts w:ascii="Arial"/>
                <w:sz w:val="20"/>
              </w:rPr>
              <w:t>18,668</w:t>
            </w:r>
          </w:p>
        </w:tc>
      </w:tr>
      <w:tr>
        <w:trPr>
          <w:trHeight w:val="268"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预收房租</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Arial" w:hAnsi="Arial" w:cs="Arial" w:eastAsia="Arial" w:hint="default"/>
                <w:sz w:val="20"/>
                <w:szCs w:val="20"/>
              </w:rPr>
            </w:pPr>
            <w:r>
              <w:rPr>
                <w:rFonts w:ascii="Arial"/>
                <w:sz w:val="20"/>
              </w:rPr>
              <w:t>349</w:t>
            </w:r>
          </w:p>
        </w:tc>
        <w:tc>
          <w:tcPr>
            <w:tcW w:w="233"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Arial" w:hAnsi="Arial" w:cs="Arial" w:eastAsia="Arial" w:hint="default"/>
                <w:sz w:val="20"/>
                <w:szCs w:val="20"/>
              </w:rPr>
            </w:pPr>
            <w:r>
              <w:rPr>
                <w:rFonts w:ascii="Arial"/>
                <w:sz w:val="20"/>
              </w:rPr>
              <w:t>2,329</w:t>
            </w:r>
          </w:p>
        </w:tc>
        <w:tc>
          <w:tcPr>
            <w:tcW w:w="221"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20"/>
                <w:szCs w:val="20"/>
              </w:rPr>
            </w:pPr>
            <w:r>
              <w:rPr>
                <w:rFonts w:ascii="Arial"/>
                <w:sz w:val="20"/>
              </w:rPr>
              <w:t>4,398</w:t>
            </w:r>
          </w:p>
        </w:tc>
        <w:tc>
          <w:tcPr>
            <w:tcW w:w="22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0"/>
                <w:szCs w:val="20"/>
              </w:rPr>
            </w:pPr>
            <w:r>
              <w:rPr>
                <w:rFonts w:ascii="Arial"/>
                <w:spacing w:val="-3"/>
                <w:sz w:val="20"/>
              </w:rPr>
              <w:t>18,110</w:t>
            </w:r>
          </w:p>
        </w:tc>
      </w:tr>
      <w:tr>
        <w:trPr>
          <w:trHeight w:val="292"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20"/>
                <w:szCs w:val="20"/>
              </w:rPr>
            </w:pPr>
            <w:r>
              <w:rPr>
                <w:rFonts w:ascii="宋体" w:hAnsi="宋体" w:cs="宋体" w:eastAsia="宋体" w:hint="default"/>
                <w:sz w:val="20"/>
                <w:szCs w:val="20"/>
              </w:rPr>
              <w:t>未实现投资损失</w:t>
            </w:r>
          </w:p>
        </w:tc>
        <w:tc>
          <w:tcPr>
            <w:tcW w:w="1573" w:type="dxa"/>
            <w:tcBorders>
              <w:top w:val="nil" w:sz="6" w:space="0" w:color="auto"/>
              <w:left w:val="nil" w:sz="6" w:space="0" w:color="auto"/>
              <w:bottom w:val="nil" w:sz="6" w:space="0" w:color="auto"/>
              <w:right w:val="nil" w:sz="6" w:space="0" w:color="auto"/>
            </w:tcBorders>
          </w:tcPr>
          <w:p>
            <w:pPr>
              <w:pStyle w:val="TableParagraph"/>
              <w:tabs>
                <w:tab w:pos="1466" w:val="left" w:leader="none"/>
              </w:tabs>
              <w:spacing w:line="240" w:lineRule="auto" w:before="23"/>
              <w:ind w:right="3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33"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tabs>
                <w:tab w:pos="1535" w:val="left" w:leader="none"/>
              </w:tabs>
              <w:spacing w:line="240" w:lineRule="auto" w:before="23"/>
              <w:ind w:right="4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tabs>
                <w:tab w:pos="1083" w:val="left" w:leader="none"/>
                <w:tab w:pos="1495" w:val="left" w:leader="none"/>
              </w:tabs>
              <w:spacing w:line="240" w:lineRule="auto" w:before="23"/>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986</w:t>
              <w:tab/>
            </w:r>
            <w:r>
              <w:rPr>
                <w:rFonts w:ascii="Arial"/>
                <w:sz w:val="20"/>
              </w:rPr>
            </w:r>
          </w:p>
        </w:tc>
        <w:tc>
          <w:tcPr>
            <w:tcW w:w="22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tabs>
                <w:tab w:pos="1208" w:val="left" w:leader="none"/>
                <w:tab w:pos="1810" w:val="left" w:leader="none"/>
              </w:tabs>
              <w:spacing w:line="240" w:lineRule="auto" w:before="23"/>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3,941</w:t>
              <w:tab/>
            </w:r>
            <w:r>
              <w:rPr>
                <w:rFonts w:ascii="Arial"/>
                <w:sz w:val="20"/>
              </w:rPr>
            </w:r>
          </w:p>
        </w:tc>
      </w:tr>
      <w:tr>
        <w:trPr>
          <w:trHeight w:val="266" w:hRule="exact"/>
        </w:trPr>
        <w:tc>
          <w:tcPr>
            <w:tcW w:w="2041"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30"/>
              <w:jc w:val="right"/>
              <w:rPr>
                <w:rFonts w:ascii="Arial" w:hAnsi="Arial" w:cs="Arial" w:eastAsia="Arial" w:hint="default"/>
                <w:sz w:val="20"/>
                <w:szCs w:val="20"/>
              </w:rPr>
            </w:pPr>
            <w:r>
              <w:rPr>
                <w:rFonts w:ascii="Arial"/>
                <w:spacing w:val="-1"/>
                <w:sz w:val="20"/>
              </w:rPr>
              <w:t>283,320</w:t>
            </w:r>
          </w:p>
        </w:tc>
        <w:tc>
          <w:tcPr>
            <w:tcW w:w="233"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44"/>
              <w:jc w:val="right"/>
              <w:rPr>
                <w:rFonts w:ascii="Arial" w:hAnsi="Arial" w:cs="Arial" w:eastAsia="Arial" w:hint="default"/>
                <w:sz w:val="20"/>
                <w:szCs w:val="20"/>
              </w:rPr>
            </w:pPr>
            <w:r>
              <w:rPr>
                <w:rFonts w:ascii="Arial"/>
                <w:spacing w:val="-1"/>
                <w:sz w:val="20"/>
              </w:rPr>
              <w:t>1,155,787</w:t>
            </w:r>
          </w:p>
        </w:tc>
        <w:tc>
          <w:tcPr>
            <w:tcW w:w="221"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82"/>
              <w:jc w:val="right"/>
              <w:rPr>
                <w:rFonts w:ascii="Arial" w:hAnsi="Arial" w:cs="Arial" w:eastAsia="Arial" w:hint="default"/>
                <w:sz w:val="20"/>
                <w:szCs w:val="20"/>
              </w:rPr>
            </w:pPr>
            <w:r>
              <w:rPr>
                <w:rFonts w:ascii="Arial"/>
                <w:spacing w:val="-1"/>
                <w:sz w:val="20"/>
              </w:rPr>
              <w:t>251,958</w:t>
            </w:r>
          </w:p>
        </w:tc>
        <w:tc>
          <w:tcPr>
            <w:tcW w:w="22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105"/>
              <w:jc w:val="right"/>
              <w:rPr>
                <w:rFonts w:ascii="Arial" w:hAnsi="Arial" w:cs="Arial" w:eastAsia="Arial" w:hint="default"/>
                <w:sz w:val="20"/>
                <w:szCs w:val="20"/>
              </w:rPr>
            </w:pPr>
            <w:r>
              <w:rPr>
                <w:rFonts w:ascii="Arial"/>
                <w:spacing w:val="-1"/>
                <w:sz w:val="20"/>
              </w:rPr>
              <w:t>1,026,553</w:t>
            </w:r>
          </w:p>
        </w:tc>
      </w:tr>
    </w:tbl>
    <w:p>
      <w:pPr>
        <w:spacing w:after="0" w:line="240" w:lineRule="auto"/>
        <w:jc w:val="right"/>
        <w:rPr>
          <w:rFonts w:ascii="Arial" w:hAnsi="Arial" w:cs="Arial" w:eastAsia="Arial" w:hint="default"/>
          <w:sz w:val="20"/>
          <w:szCs w:val="20"/>
        </w:rPr>
        <w:sectPr>
          <w:type w:val="continuous"/>
          <w:pgSz w:w="11910" w:h="16840"/>
          <w:pgMar w:top="920" w:bottom="900" w:left="1000" w:right="700"/>
        </w:sectPr>
      </w:pPr>
    </w:p>
    <w:p>
      <w:pPr>
        <w:spacing w:line="240" w:lineRule="auto" w:before="4"/>
        <w:rPr>
          <w:rFonts w:ascii="Arial" w:hAnsi="Arial" w:cs="Arial" w:eastAsia="Arial" w:hint="default"/>
          <w:sz w:val="18"/>
          <w:szCs w:val="18"/>
        </w:rPr>
      </w:pPr>
    </w:p>
    <w:p>
      <w:pPr>
        <w:pStyle w:val="Heading2"/>
        <w:tabs>
          <w:tab w:pos="815" w:val="left" w:leader="none"/>
        </w:tabs>
        <w:spacing w:line="240" w:lineRule="auto"/>
        <w:ind w:left="101" w:right="0"/>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5" w:val="left" w:leader="none"/>
        </w:tabs>
        <w:spacing w:before="0"/>
        <w:ind w:left="102" w:right="0" w:firstLine="0"/>
        <w:jc w:val="left"/>
        <w:rPr>
          <w:rFonts w:ascii="Arial" w:hAnsi="Arial" w:cs="Arial" w:eastAsia="Arial" w:hint="default"/>
          <w:sz w:val="24"/>
          <w:szCs w:val="24"/>
        </w:rPr>
      </w:pPr>
      <w:r>
        <w:rPr>
          <w:rFonts w:ascii="Arial" w:hAnsi="Arial" w:cs="Arial" w:eastAsia="Arial" w:hint="default"/>
          <w:w w:val="95"/>
          <w:position w:val="2"/>
          <w:sz w:val="24"/>
          <w:szCs w:val="24"/>
        </w:rPr>
        <w:t>(18)</w:t>
        <w:tab/>
      </w:r>
      <w:r>
        <w:rPr>
          <w:rFonts w:ascii="宋体" w:hAnsi="宋体" w:cs="宋体" w:eastAsia="宋体" w:hint="default"/>
          <w:b/>
          <w:bCs/>
          <w:sz w:val="24"/>
          <w:szCs w:val="24"/>
        </w:rPr>
        <w:t>递延所得税资产和递延所得税负债</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15" w:val="left" w:leader="none"/>
        </w:tabs>
        <w:spacing w:line="240" w:lineRule="auto"/>
        <w:ind w:left="102" w:right="0"/>
        <w:jc w:val="left"/>
      </w:pPr>
      <w:r>
        <w:rPr>
          <w:rFonts w:ascii="Arial" w:hAnsi="Arial" w:cs="Arial" w:eastAsia="Arial" w:hint="default"/>
          <w:w w:val="95"/>
          <w:position w:val="2"/>
        </w:rPr>
        <w:t>(b)</w:t>
        <w:tab/>
      </w:r>
      <w:r>
        <w:rPr/>
        <w:t>未经抵销的递延所得税负债</w:t>
      </w:r>
    </w:p>
    <w:p>
      <w:pPr>
        <w:spacing w:line="240" w:lineRule="auto" w:before="11"/>
        <w:rPr>
          <w:rFonts w:ascii="宋体" w:hAnsi="宋体" w:cs="宋体" w:eastAsia="宋体" w:hint="default"/>
          <w:sz w:val="18"/>
          <w:szCs w:val="18"/>
        </w:rPr>
      </w:pPr>
    </w:p>
    <w:p>
      <w:pPr>
        <w:tabs>
          <w:tab w:pos="7432" w:val="left" w:leader="none"/>
        </w:tabs>
        <w:spacing w:before="0"/>
        <w:ind w:left="3711" w:right="0" w:firstLine="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line="240" w:lineRule="auto" w:before="5"/>
        <w:rPr>
          <w:rFonts w:ascii="宋体" w:hAnsi="宋体" w:cs="宋体" w:eastAsia="宋体" w:hint="default"/>
          <w:sz w:val="2"/>
          <w:szCs w:val="2"/>
        </w:rPr>
      </w:pPr>
    </w:p>
    <w:tbl>
      <w:tblPr>
        <w:tblW w:w="0" w:type="auto"/>
        <w:jc w:val="left"/>
        <w:tblInd w:w="782" w:type="dxa"/>
        <w:tblLayout w:type="fixed"/>
        <w:tblCellMar>
          <w:top w:w="0" w:type="dxa"/>
          <w:left w:w="0" w:type="dxa"/>
          <w:bottom w:w="0" w:type="dxa"/>
          <w:right w:w="0" w:type="dxa"/>
        </w:tblCellMar>
        <w:tblLook w:val="01E0"/>
      </w:tblPr>
      <w:tblGrid>
        <w:gridCol w:w="2059"/>
        <w:gridCol w:w="1571"/>
        <w:gridCol w:w="238"/>
        <w:gridCol w:w="1645"/>
        <w:gridCol w:w="230"/>
        <w:gridCol w:w="1525"/>
        <w:gridCol w:w="239"/>
        <w:gridCol w:w="1812"/>
      </w:tblGrid>
      <w:tr>
        <w:trPr>
          <w:trHeight w:val="820" w:hRule="exact"/>
        </w:trPr>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未实现投资收益</w:t>
            </w:r>
          </w:p>
        </w:tc>
        <w:tc>
          <w:tcPr>
            <w:tcW w:w="1571" w:type="dxa"/>
            <w:tcBorders>
              <w:top w:val="single" w:sz="12" w:space="0" w:color="000000"/>
              <w:left w:val="nil" w:sz="6" w:space="0" w:color="auto"/>
              <w:bottom w:val="nil" w:sz="6" w:space="0" w:color="auto"/>
              <w:right w:val="nil" w:sz="6" w:space="0" w:color="auto"/>
            </w:tcBorders>
          </w:tcPr>
          <w:p>
            <w:pPr>
              <w:pStyle w:val="TableParagraph"/>
              <w:spacing w:line="230" w:lineRule="exact"/>
              <w:ind w:left="157" w:right="0"/>
              <w:jc w:val="left"/>
              <w:rPr>
                <w:rFonts w:ascii="宋体" w:hAnsi="宋体" w:cs="宋体" w:eastAsia="宋体" w:hint="default"/>
                <w:sz w:val="20"/>
                <w:szCs w:val="20"/>
              </w:rPr>
            </w:pPr>
            <w:r>
              <w:rPr>
                <w:rFonts w:ascii="宋体" w:hAnsi="宋体" w:cs="宋体" w:eastAsia="宋体" w:hint="default"/>
                <w:sz w:val="20"/>
                <w:szCs w:val="20"/>
              </w:rPr>
              <w:t>递延所得税负债</w:t>
            </w: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10" w:right="0"/>
              <w:jc w:val="left"/>
              <w:rPr>
                <w:rFonts w:ascii="Arial" w:hAnsi="Arial" w:cs="Arial" w:eastAsia="Arial" w:hint="default"/>
                <w:sz w:val="20"/>
                <w:szCs w:val="20"/>
              </w:rPr>
            </w:pPr>
            <w:r>
              <w:rPr>
                <w:rFonts w:ascii="Arial"/>
                <w:sz w:val="20"/>
              </w:rPr>
              <w:t>1,245</w:t>
            </w:r>
          </w:p>
        </w:tc>
        <w:tc>
          <w:tcPr>
            <w:tcW w:w="238" w:type="dxa"/>
            <w:tcBorders>
              <w:top w:val="single" w:sz="12" w:space="0" w:color="000000"/>
              <w:left w:val="nil" w:sz="6" w:space="0" w:color="auto"/>
              <w:bottom w:val="nil" w:sz="6" w:space="0" w:color="auto"/>
              <w:right w:val="nil" w:sz="6" w:space="0" w:color="auto"/>
            </w:tcBorders>
          </w:tcPr>
          <w:p>
            <w:pPr/>
          </w:p>
        </w:tc>
        <w:tc>
          <w:tcPr>
            <w:tcW w:w="1645" w:type="dxa"/>
            <w:tcBorders>
              <w:top w:val="single" w:sz="12" w:space="0" w:color="000000"/>
              <w:left w:val="nil" w:sz="6" w:space="0" w:color="auto"/>
              <w:bottom w:val="nil" w:sz="6" w:space="0" w:color="auto"/>
              <w:right w:val="nil" w:sz="6" w:space="0" w:color="auto"/>
            </w:tcBorders>
          </w:tcPr>
          <w:p>
            <w:pPr>
              <w:pStyle w:val="TableParagraph"/>
              <w:spacing w:line="230" w:lineRule="exact"/>
              <w:ind w:left="44" w:right="0"/>
              <w:jc w:val="left"/>
              <w:rPr>
                <w:rFonts w:ascii="宋体" w:hAnsi="宋体" w:cs="宋体" w:eastAsia="宋体" w:hint="default"/>
                <w:sz w:val="20"/>
                <w:szCs w:val="20"/>
              </w:rPr>
            </w:pPr>
            <w:r>
              <w:rPr>
                <w:rFonts w:ascii="宋体" w:hAnsi="宋体" w:cs="宋体" w:eastAsia="宋体" w:hint="default"/>
                <w:spacing w:val="-1"/>
                <w:sz w:val="20"/>
                <w:szCs w:val="20"/>
              </w:rPr>
              <w:t>应纳税暂时性差异</w:t>
            </w: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87" w:right="0"/>
              <w:jc w:val="left"/>
              <w:rPr>
                <w:rFonts w:ascii="Arial" w:hAnsi="Arial" w:cs="Arial" w:eastAsia="Arial" w:hint="default"/>
                <w:sz w:val="20"/>
                <w:szCs w:val="20"/>
              </w:rPr>
            </w:pPr>
            <w:r>
              <w:rPr>
                <w:rFonts w:ascii="Arial"/>
                <w:sz w:val="20"/>
              </w:rPr>
              <w:t>4,978</w:t>
            </w:r>
          </w:p>
        </w:tc>
        <w:tc>
          <w:tcPr>
            <w:tcW w:w="230" w:type="dxa"/>
            <w:tcBorders>
              <w:top w:val="nil" w:sz="6" w:space="0" w:color="auto"/>
              <w:left w:val="nil" w:sz="6" w:space="0" w:color="auto"/>
              <w:bottom w:val="nil" w:sz="6" w:space="0" w:color="auto"/>
              <w:right w:val="nil" w:sz="6" w:space="0" w:color="auto"/>
            </w:tcBorders>
          </w:tcPr>
          <w:p>
            <w:pPr/>
          </w:p>
        </w:tc>
        <w:tc>
          <w:tcPr>
            <w:tcW w:w="1525" w:type="dxa"/>
            <w:tcBorders>
              <w:top w:val="single" w:sz="12" w:space="0" w:color="000000"/>
              <w:left w:val="nil" w:sz="6" w:space="0" w:color="auto"/>
              <w:bottom w:val="nil" w:sz="6" w:space="0" w:color="auto"/>
              <w:right w:val="nil" w:sz="6" w:space="0" w:color="auto"/>
            </w:tcBorders>
          </w:tcPr>
          <w:p>
            <w:pPr>
              <w:pStyle w:val="TableParagraph"/>
              <w:spacing w:line="230" w:lineRule="exact"/>
              <w:ind w:right="59"/>
              <w:jc w:val="right"/>
              <w:rPr>
                <w:rFonts w:ascii="宋体" w:hAnsi="宋体" w:cs="宋体" w:eastAsia="宋体" w:hint="default"/>
                <w:sz w:val="20"/>
                <w:szCs w:val="20"/>
              </w:rPr>
            </w:pPr>
            <w:r>
              <w:rPr>
                <w:rFonts w:ascii="宋体" w:hAnsi="宋体" w:cs="宋体" w:eastAsia="宋体" w:hint="default"/>
                <w:spacing w:val="-1"/>
                <w:sz w:val="20"/>
                <w:szCs w:val="20"/>
              </w:rPr>
              <w:t>递延所得税负债</w:t>
            </w: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7"/>
              <w:jc w:val="right"/>
              <w:rPr>
                <w:rFonts w:ascii="Arial" w:hAnsi="Arial" w:cs="Arial" w:eastAsia="Arial" w:hint="default"/>
                <w:sz w:val="20"/>
                <w:szCs w:val="20"/>
              </w:rPr>
            </w:pPr>
            <w:r>
              <w:rPr>
                <w:rFonts w:ascii="Arial"/>
                <w:w w:val="100"/>
                <w:sz w:val="20"/>
              </w:rPr>
              <w:t>-</w:t>
            </w:r>
          </w:p>
        </w:tc>
        <w:tc>
          <w:tcPr>
            <w:tcW w:w="239" w:type="dxa"/>
            <w:tcBorders>
              <w:top w:val="single" w:sz="12" w:space="0" w:color="000000"/>
              <w:left w:val="nil" w:sz="6" w:space="0" w:color="auto"/>
              <w:bottom w:val="nil" w:sz="6" w:space="0" w:color="auto"/>
              <w:right w:val="nil" w:sz="6" w:space="0" w:color="auto"/>
            </w:tcBorders>
          </w:tcPr>
          <w:p>
            <w:pPr/>
          </w:p>
        </w:tc>
        <w:tc>
          <w:tcPr>
            <w:tcW w:w="1812" w:type="dxa"/>
            <w:tcBorders>
              <w:top w:val="single" w:sz="12" w:space="0" w:color="000000"/>
              <w:left w:val="nil" w:sz="6" w:space="0" w:color="auto"/>
              <w:bottom w:val="nil" w:sz="6" w:space="0" w:color="auto"/>
              <w:right w:val="nil" w:sz="6" w:space="0" w:color="auto"/>
            </w:tcBorders>
          </w:tcPr>
          <w:p>
            <w:pPr>
              <w:pStyle w:val="TableParagraph"/>
              <w:spacing w:line="230" w:lineRule="exact"/>
              <w:ind w:right="132"/>
              <w:jc w:val="right"/>
              <w:rPr>
                <w:rFonts w:ascii="宋体" w:hAnsi="宋体" w:cs="宋体" w:eastAsia="宋体" w:hint="default"/>
                <w:sz w:val="20"/>
                <w:szCs w:val="20"/>
              </w:rPr>
            </w:pPr>
            <w:r>
              <w:rPr>
                <w:rFonts w:ascii="宋体" w:hAnsi="宋体" w:cs="宋体" w:eastAsia="宋体" w:hint="default"/>
                <w:spacing w:val="-1"/>
                <w:sz w:val="20"/>
                <w:szCs w:val="20"/>
              </w:rPr>
              <w:t>应纳税暂时性差异</w:t>
            </w: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61"/>
              <w:jc w:val="right"/>
              <w:rPr>
                <w:rFonts w:ascii="Arial" w:hAnsi="Arial" w:cs="Arial" w:eastAsia="Arial" w:hint="default"/>
                <w:sz w:val="20"/>
                <w:szCs w:val="20"/>
              </w:rPr>
            </w:pPr>
            <w:r>
              <w:rPr>
                <w:rFonts w:ascii="Arial"/>
                <w:w w:val="100"/>
                <w:sz w:val="20"/>
              </w:rPr>
              <w:t>-</w:t>
            </w:r>
          </w:p>
        </w:tc>
      </w:tr>
      <w:tr>
        <w:trPr>
          <w:trHeight w:val="248" w:hRule="exact"/>
        </w:trPr>
        <w:tc>
          <w:tcPr>
            <w:tcW w:w="2059"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业务合并交易中产生的</w:t>
            </w:r>
          </w:p>
        </w:tc>
        <w:tc>
          <w:tcPr>
            <w:tcW w:w="157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
        </w:tc>
      </w:tr>
      <w:tr>
        <w:trPr>
          <w:trHeight w:val="520" w:hRule="exact"/>
        </w:trPr>
        <w:tc>
          <w:tcPr>
            <w:tcW w:w="2059"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资产的暂时性差异</w:t>
            </w:r>
          </w:p>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pacing w:val="-19"/>
                <w:sz w:val="20"/>
                <w:szCs w:val="20"/>
              </w:rPr>
              <w:t>权益法核算的长期股权投</w:t>
            </w:r>
            <w:r>
              <w:rPr>
                <w:rFonts w:ascii="宋体" w:hAnsi="宋体" w:cs="宋体" w:eastAsia="宋体" w:hint="default"/>
                <w:sz w:val="20"/>
                <w:szCs w:val="20"/>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6"/>
              <w:jc w:val="right"/>
              <w:rPr>
                <w:rFonts w:ascii="Arial" w:hAnsi="Arial" w:cs="Arial" w:eastAsia="Arial" w:hint="default"/>
                <w:sz w:val="20"/>
                <w:szCs w:val="20"/>
              </w:rPr>
            </w:pPr>
            <w:r>
              <w:rPr>
                <w:rFonts w:ascii="Arial"/>
                <w:sz w:val="20"/>
              </w:rPr>
              <w:t>30,638</w:t>
            </w:r>
          </w:p>
        </w:tc>
        <w:tc>
          <w:tcPr>
            <w:tcW w:w="238"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4"/>
              <w:jc w:val="right"/>
              <w:rPr>
                <w:rFonts w:ascii="Arial" w:hAnsi="Arial" w:cs="Arial" w:eastAsia="Arial" w:hint="default"/>
                <w:sz w:val="20"/>
                <w:szCs w:val="20"/>
              </w:rPr>
            </w:pPr>
            <w:r>
              <w:rPr>
                <w:rFonts w:ascii="Arial"/>
                <w:spacing w:val="-1"/>
                <w:sz w:val="20"/>
              </w:rPr>
              <w:t>122,554</w:t>
            </w:r>
          </w:p>
        </w:tc>
        <w:tc>
          <w:tcPr>
            <w:tcW w:w="23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7"/>
              <w:jc w:val="right"/>
              <w:rPr>
                <w:rFonts w:ascii="Arial" w:hAnsi="Arial" w:cs="Arial" w:eastAsia="Arial" w:hint="default"/>
                <w:sz w:val="20"/>
                <w:szCs w:val="20"/>
              </w:rPr>
            </w:pPr>
            <w:r>
              <w:rPr>
                <w:rFonts w:ascii="Arial"/>
                <w:sz w:val="20"/>
              </w:rPr>
              <w:t>4,227</w:t>
            </w:r>
          </w:p>
        </w:tc>
        <w:tc>
          <w:tcPr>
            <w:tcW w:w="239"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35" w:right="0"/>
              <w:jc w:val="left"/>
              <w:rPr>
                <w:rFonts w:ascii="Arial" w:hAnsi="Arial" w:cs="Arial" w:eastAsia="Arial" w:hint="default"/>
                <w:sz w:val="20"/>
                <w:szCs w:val="20"/>
              </w:rPr>
            </w:pPr>
            <w:r>
              <w:rPr>
                <w:rFonts w:ascii="Arial"/>
                <w:sz w:val="20"/>
              </w:rPr>
              <w:t>16,907</w:t>
            </w:r>
          </w:p>
        </w:tc>
      </w:tr>
      <w:tr>
        <w:trPr>
          <w:trHeight w:val="260" w:hRule="exact"/>
        </w:trPr>
        <w:tc>
          <w:tcPr>
            <w:tcW w:w="2059" w:type="dxa"/>
            <w:tcBorders>
              <w:top w:val="nil" w:sz="6" w:space="0" w:color="auto"/>
              <w:left w:val="nil" w:sz="6" w:space="0" w:color="auto"/>
              <w:bottom w:val="nil" w:sz="6" w:space="0" w:color="auto"/>
              <w:right w:val="nil" w:sz="6" w:space="0" w:color="auto"/>
            </w:tcBorders>
          </w:tcPr>
          <w:p>
            <w:pPr>
              <w:pStyle w:val="TableParagraph"/>
              <w:spacing w:line="230" w:lineRule="exact"/>
              <w:ind w:right="20"/>
              <w:jc w:val="right"/>
              <w:rPr>
                <w:rFonts w:ascii="宋体" w:hAnsi="宋体" w:cs="宋体" w:eastAsia="宋体" w:hint="default"/>
                <w:sz w:val="20"/>
                <w:szCs w:val="20"/>
              </w:rPr>
            </w:pPr>
            <w:r>
              <w:rPr>
                <w:rFonts w:ascii="宋体" w:hAnsi="宋体" w:cs="宋体" w:eastAsia="宋体" w:hint="default"/>
                <w:spacing w:val="-19"/>
                <w:sz w:val="20"/>
                <w:szCs w:val="20"/>
              </w:rPr>
              <w:t>资取得时所享有的被投</w:t>
            </w:r>
            <w:r>
              <w:rPr>
                <w:rFonts w:ascii="宋体" w:hAnsi="宋体" w:cs="宋体" w:eastAsia="宋体" w:hint="default"/>
                <w:sz w:val="20"/>
                <w:szCs w:val="20"/>
              </w:rPr>
            </w:r>
          </w:p>
        </w:tc>
        <w:tc>
          <w:tcPr>
            <w:tcW w:w="157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
        </w:tc>
      </w:tr>
      <w:tr>
        <w:trPr>
          <w:trHeight w:val="260" w:hRule="exact"/>
        </w:trPr>
        <w:tc>
          <w:tcPr>
            <w:tcW w:w="2059" w:type="dxa"/>
            <w:tcBorders>
              <w:top w:val="nil" w:sz="6" w:space="0" w:color="auto"/>
              <w:left w:val="nil" w:sz="6" w:space="0" w:color="auto"/>
              <w:bottom w:val="nil" w:sz="6" w:space="0" w:color="auto"/>
              <w:right w:val="nil" w:sz="6" w:space="0" w:color="auto"/>
            </w:tcBorders>
          </w:tcPr>
          <w:p>
            <w:pPr>
              <w:pStyle w:val="TableParagraph"/>
              <w:spacing w:line="230" w:lineRule="exact"/>
              <w:ind w:right="20"/>
              <w:jc w:val="right"/>
              <w:rPr>
                <w:rFonts w:ascii="宋体" w:hAnsi="宋体" w:cs="宋体" w:eastAsia="宋体" w:hint="default"/>
                <w:sz w:val="20"/>
                <w:szCs w:val="20"/>
              </w:rPr>
            </w:pPr>
            <w:r>
              <w:rPr>
                <w:rFonts w:ascii="宋体" w:hAnsi="宋体" w:cs="宋体" w:eastAsia="宋体" w:hint="default"/>
                <w:spacing w:val="-19"/>
                <w:sz w:val="20"/>
                <w:szCs w:val="20"/>
              </w:rPr>
              <w:t>资单位可辨认净资产公</w:t>
            </w:r>
            <w:r>
              <w:rPr>
                <w:rFonts w:ascii="宋体" w:hAnsi="宋体" w:cs="宋体" w:eastAsia="宋体" w:hint="default"/>
                <w:sz w:val="20"/>
                <w:szCs w:val="20"/>
              </w:rPr>
            </w:r>
          </w:p>
        </w:tc>
        <w:tc>
          <w:tcPr>
            <w:tcW w:w="157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
        </w:tc>
      </w:tr>
      <w:tr>
        <w:trPr>
          <w:trHeight w:val="260" w:hRule="exact"/>
        </w:trPr>
        <w:tc>
          <w:tcPr>
            <w:tcW w:w="2059" w:type="dxa"/>
            <w:tcBorders>
              <w:top w:val="nil" w:sz="6" w:space="0" w:color="auto"/>
              <w:left w:val="nil" w:sz="6" w:space="0" w:color="auto"/>
              <w:bottom w:val="nil" w:sz="6" w:space="0" w:color="auto"/>
              <w:right w:val="nil" w:sz="6" w:space="0" w:color="auto"/>
            </w:tcBorders>
          </w:tcPr>
          <w:p>
            <w:pPr>
              <w:pStyle w:val="TableParagraph"/>
              <w:spacing w:line="230" w:lineRule="exact"/>
              <w:ind w:right="20"/>
              <w:jc w:val="right"/>
              <w:rPr>
                <w:rFonts w:ascii="宋体" w:hAnsi="宋体" w:cs="宋体" w:eastAsia="宋体" w:hint="default"/>
                <w:sz w:val="20"/>
                <w:szCs w:val="20"/>
              </w:rPr>
            </w:pPr>
            <w:r>
              <w:rPr>
                <w:rFonts w:ascii="宋体" w:hAnsi="宋体" w:cs="宋体" w:eastAsia="宋体" w:hint="default"/>
                <w:spacing w:val="-19"/>
                <w:sz w:val="20"/>
                <w:szCs w:val="20"/>
              </w:rPr>
              <w:t>允价值份额超过初始投</w:t>
            </w:r>
            <w:r>
              <w:rPr>
                <w:rFonts w:ascii="宋体" w:hAnsi="宋体" w:cs="宋体" w:eastAsia="宋体" w:hint="default"/>
                <w:sz w:val="20"/>
                <w:szCs w:val="20"/>
              </w:rPr>
            </w:r>
          </w:p>
        </w:tc>
        <w:tc>
          <w:tcPr>
            <w:tcW w:w="157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
        </w:tc>
      </w:tr>
      <w:tr>
        <w:trPr>
          <w:trHeight w:val="273" w:hRule="exact"/>
        </w:trPr>
        <w:tc>
          <w:tcPr>
            <w:tcW w:w="2059" w:type="dxa"/>
            <w:tcBorders>
              <w:top w:val="nil" w:sz="6" w:space="0" w:color="auto"/>
              <w:left w:val="nil" w:sz="6" w:space="0" w:color="auto"/>
              <w:bottom w:val="nil" w:sz="6" w:space="0" w:color="auto"/>
              <w:right w:val="nil" w:sz="6" w:space="0" w:color="auto"/>
            </w:tcBorders>
          </w:tcPr>
          <w:p>
            <w:pPr>
              <w:pStyle w:val="TableParagraph"/>
              <w:spacing w:line="230" w:lineRule="exact"/>
              <w:ind w:left="214" w:right="0"/>
              <w:jc w:val="left"/>
              <w:rPr>
                <w:rFonts w:ascii="宋体" w:hAnsi="宋体" w:cs="宋体" w:eastAsia="宋体" w:hint="default"/>
                <w:sz w:val="20"/>
                <w:szCs w:val="20"/>
              </w:rPr>
            </w:pPr>
            <w:r>
              <w:rPr>
                <w:rFonts w:ascii="宋体" w:hAnsi="宋体" w:cs="宋体" w:eastAsia="宋体" w:hint="default"/>
                <w:spacing w:val="-21"/>
                <w:sz w:val="20"/>
                <w:szCs w:val="20"/>
              </w:rPr>
              <w:t>资成本的部分</w:t>
            </w:r>
            <w:r>
              <w:rPr>
                <w:rFonts w:ascii="宋体" w:hAnsi="宋体" w:cs="宋体" w:eastAsia="宋体" w:hint="default"/>
                <w:sz w:val="20"/>
                <w:szCs w:val="20"/>
              </w:rPr>
            </w:r>
          </w:p>
        </w:tc>
        <w:tc>
          <w:tcPr>
            <w:tcW w:w="1571" w:type="dxa"/>
            <w:tcBorders>
              <w:top w:val="nil" w:sz="6" w:space="0" w:color="auto"/>
              <w:left w:val="nil" w:sz="6" w:space="0" w:color="auto"/>
              <w:bottom w:val="nil" w:sz="6" w:space="0" w:color="auto"/>
              <w:right w:val="nil" w:sz="6" w:space="0" w:color="auto"/>
            </w:tcBorders>
          </w:tcPr>
          <w:p>
            <w:pPr>
              <w:pStyle w:val="TableParagraph"/>
              <w:tabs>
                <w:tab w:pos="989" w:val="left" w:leader="none"/>
                <w:tab w:pos="1550" w:val="left" w:leader="none"/>
              </w:tabs>
              <w:spacing w:line="240" w:lineRule="auto" w:before="28"/>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2,512</w:t>
              <w:tab/>
            </w:r>
            <w:r>
              <w:rPr>
                <w:rFonts w:ascii="Arial"/>
                <w:sz w:val="20"/>
              </w:rPr>
            </w:r>
          </w:p>
        </w:tc>
        <w:tc>
          <w:tcPr>
            <w:tcW w:w="238"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tabs>
                <w:tab w:pos="975" w:val="left" w:leader="none"/>
              </w:tabs>
              <w:spacing w:line="240" w:lineRule="auto" w:before="28"/>
              <w:ind w:right="5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10,049</w:t>
            </w:r>
            <w:r>
              <w:rPr>
                <w:rFonts w:ascii="Arial"/>
                <w:sz w:val="20"/>
              </w:rPr>
            </w:r>
          </w:p>
        </w:tc>
        <w:tc>
          <w:tcPr>
            <w:tcW w:w="23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tabs>
                <w:tab w:pos="924" w:val="left" w:leader="none"/>
                <w:tab w:pos="1525" w:val="left" w:leader="none"/>
              </w:tabs>
              <w:spacing w:line="240" w:lineRule="auto" w:before="28"/>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2,512</w:t>
              <w:tab/>
            </w:r>
            <w:r>
              <w:rPr>
                <w:rFonts w:ascii="Arial"/>
                <w:sz w:val="20"/>
              </w:rPr>
            </w:r>
          </w:p>
        </w:tc>
        <w:tc>
          <w:tcPr>
            <w:tcW w:w="239"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tabs>
                <w:tab w:pos="1035" w:val="left" w:leader="none"/>
                <w:tab w:pos="1777" w:val="left" w:leader="none"/>
              </w:tabs>
              <w:spacing w:line="240" w:lineRule="auto" w:before="28"/>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10,049</w:t>
              <w:tab/>
            </w:r>
            <w:r>
              <w:rPr>
                <w:rFonts w:ascii="Arial"/>
                <w:sz w:val="20"/>
              </w:rPr>
            </w:r>
          </w:p>
        </w:tc>
      </w:tr>
      <w:tr>
        <w:trPr>
          <w:trHeight w:val="242" w:hRule="exact"/>
        </w:trPr>
        <w:tc>
          <w:tcPr>
            <w:tcW w:w="2059"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single" w:sz="12" w:space="0" w:color="000000"/>
              <w:right w:val="nil" w:sz="6" w:space="0" w:color="auto"/>
            </w:tcBorders>
          </w:tcPr>
          <w:p>
            <w:pPr>
              <w:pStyle w:val="TableParagraph"/>
              <w:spacing w:line="224" w:lineRule="exact"/>
              <w:ind w:right="56"/>
              <w:jc w:val="right"/>
              <w:rPr>
                <w:rFonts w:ascii="Arial" w:hAnsi="Arial" w:cs="Arial" w:eastAsia="Arial" w:hint="default"/>
                <w:sz w:val="20"/>
                <w:szCs w:val="20"/>
              </w:rPr>
            </w:pPr>
            <w:r>
              <w:rPr>
                <w:rFonts w:ascii="Arial"/>
                <w:sz w:val="20"/>
              </w:rPr>
              <w:t>34,395</w:t>
            </w:r>
          </w:p>
        </w:tc>
        <w:tc>
          <w:tcPr>
            <w:tcW w:w="238"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single" w:sz="12" w:space="0" w:color="000000"/>
              <w:right w:val="nil" w:sz="6" w:space="0" w:color="auto"/>
            </w:tcBorders>
          </w:tcPr>
          <w:p>
            <w:pPr>
              <w:pStyle w:val="TableParagraph"/>
              <w:spacing w:line="224" w:lineRule="exact"/>
              <w:ind w:right="54"/>
              <w:jc w:val="right"/>
              <w:rPr>
                <w:rFonts w:ascii="Arial" w:hAnsi="Arial" w:cs="Arial" w:eastAsia="Arial" w:hint="default"/>
                <w:sz w:val="20"/>
                <w:szCs w:val="20"/>
              </w:rPr>
            </w:pPr>
            <w:r>
              <w:rPr>
                <w:rFonts w:ascii="Arial"/>
                <w:spacing w:val="-1"/>
                <w:sz w:val="20"/>
              </w:rPr>
              <w:t>137,581</w:t>
            </w:r>
          </w:p>
        </w:tc>
        <w:tc>
          <w:tcPr>
            <w:tcW w:w="23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single" w:sz="12" w:space="0" w:color="000000"/>
              <w:right w:val="nil" w:sz="6" w:space="0" w:color="auto"/>
            </w:tcBorders>
          </w:tcPr>
          <w:p>
            <w:pPr>
              <w:pStyle w:val="TableParagraph"/>
              <w:spacing w:line="224" w:lineRule="exact"/>
              <w:ind w:right="97"/>
              <w:jc w:val="right"/>
              <w:rPr>
                <w:rFonts w:ascii="Arial" w:hAnsi="Arial" w:cs="Arial" w:eastAsia="Arial" w:hint="default"/>
                <w:sz w:val="20"/>
                <w:szCs w:val="20"/>
              </w:rPr>
            </w:pPr>
            <w:r>
              <w:rPr>
                <w:rFonts w:ascii="Arial"/>
                <w:sz w:val="20"/>
              </w:rPr>
              <w:t>6,739</w:t>
            </w:r>
          </w:p>
        </w:tc>
        <w:tc>
          <w:tcPr>
            <w:tcW w:w="239"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12" w:space="0" w:color="000000"/>
              <w:right w:val="nil" w:sz="6" w:space="0" w:color="auto"/>
            </w:tcBorders>
          </w:tcPr>
          <w:p>
            <w:pPr>
              <w:pStyle w:val="TableParagraph"/>
              <w:spacing w:line="224" w:lineRule="exact"/>
              <w:ind w:left="1035" w:right="0"/>
              <w:jc w:val="left"/>
              <w:rPr>
                <w:rFonts w:ascii="Arial" w:hAnsi="Arial" w:cs="Arial" w:eastAsia="Arial" w:hint="default"/>
                <w:sz w:val="20"/>
                <w:szCs w:val="20"/>
              </w:rPr>
            </w:pPr>
            <w:r>
              <w:rPr>
                <w:rFonts w:ascii="Arial"/>
                <w:sz w:val="20"/>
              </w:rPr>
              <w:t>26,956</w:t>
            </w:r>
          </w:p>
        </w:tc>
      </w:tr>
    </w:tbl>
    <w:p>
      <w:pPr>
        <w:spacing w:line="240" w:lineRule="auto" w:before="3"/>
        <w:rPr>
          <w:rFonts w:ascii="宋体" w:hAnsi="宋体" w:cs="宋体" w:eastAsia="宋体" w:hint="default"/>
          <w:sz w:val="17"/>
          <w:szCs w:val="17"/>
        </w:rPr>
      </w:pPr>
    </w:p>
    <w:p>
      <w:pPr>
        <w:pStyle w:val="BodyText"/>
        <w:tabs>
          <w:tab w:pos="817" w:val="left" w:leader="none"/>
        </w:tabs>
        <w:spacing w:line="312" w:lineRule="exact" w:before="63"/>
        <w:ind w:left="817" w:right="236" w:hanging="714"/>
        <w:jc w:val="left"/>
      </w:pPr>
      <w:r>
        <w:rPr>
          <w:rFonts w:ascii="Arial" w:hAnsi="Arial" w:cs="Arial" w:eastAsia="Arial" w:hint="default"/>
          <w:position w:val="2"/>
        </w:rPr>
        <w:t>(c)</w:t>
        <w:tab/>
      </w:r>
      <w:r>
        <w:rPr/>
        <w:t>于</w:t>
      </w:r>
      <w:r>
        <w:rPr>
          <w:spacing w:val="-57"/>
        </w:rPr>
        <w:t> </w:t>
      </w:r>
      <w:r>
        <w:rPr>
          <w:rFonts w:ascii="Arial" w:hAnsi="Arial" w:cs="Arial" w:eastAsia="Arial" w:hint="default"/>
        </w:rPr>
        <w:t>2010</w:t>
      </w:r>
      <w:r>
        <w:rPr>
          <w:rFonts w:ascii="Arial" w:hAnsi="Arial" w:cs="Arial" w:eastAsia="Arial" w:hint="default"/>
          <w:spacing w:val="-3"/>
        </w:rPr>
        <w:t> </w:t>
      </w:r>
      <w:r>
        <w:rPr/>
        <w:t>年</w:t>
      </w:r>
      <w:r>
        <w:rPr>
          <w:spacing w:val="-57"/>
        </w:rPr>
        <w:t> </w:t>
      </w:r>
      <w:r>
        <w:rPr>
          <w:rFonts w:ascii="Arial" w:hAnsi="Arial" w:cs="Arial" w:eastAsia="Arial" w:hint="default"/>
        </w:rPr>
        <w:t>12</w:t>
      </w:r>
      <w:r>
        <w:rPr>
          <w:rFonts w:ascii="Arial" w:hAnsi="Arial" w:cs="Arial" w:eastAsia="Arial" w:hint="default"/>
          <w:spacing w:val="-4"/>
        </w:rPr>
        <w:t> </w:t>
      </w:r>
      <w:r>
        <w:rPr/>
        <w:t>月</w:t>
      </w:r>
      <w:r>
        <w:rPr>
          <w:spacing w:val="-57"/>
        </w:rPr>
        <w:t> </w:t>
      </w:r>
      <w:r>
        <w:rPr>
          <w:rFonts w:ascii="Arial" w:hAnsi="Arial" w:cs="Arial" w:eastAsia="Arial" w:hint="default"/>
        </w:rPr>
        <w:t>31</w:t>
      </w:r>
      <w:r>
        <w:rPr>
          <w:rFonts w:ascii="Arial" w:hAnsi="Arial" w:cs="Arial" w:eastAsia="Arial" w:hint="default"/>
          <w:spacing w:val="-4"/>
        </w:rPr>
        <w:t> </w:t>
      </w:r>
      <w:r>
        <w:rPr/>
        <w:t>日及</w:t>
      </w:r>
      <w:r>
        <w:rPr>
          <w:spacing w:val="-57"/>
        </w:rPr>
        <w:t> </w:t>
      </w:r>
      <w:r>
        <w:rPr>
          <w:rFonts w:ascii="Arial" w:hAnsi="Arial" w:cs="Arial" w:eastAsia="Arial" w:hint="default"/>
        </w:rPr>
        <w:t>2009</w:t>
      </w:r>
      <w:r>
        <w:rPr>
          <w:rFonts w:ascii="Arial" w:hAnsi="Arial" w:cs="Arial" w:eastAsia="Arial" w:hint="default"/>
          <w:spacing w:val="-3"/>
        </w:rPr>
        <w:t> </w:t>
      </w:r>
      <w:r>
        <w:rPr/>
        <w:t>年</w:t>
      </w:r>
      <w:r>
        <w:rPr>
          <w:spacing w:val="-57"/>
        </w:rPr>
        <w:t> </w:t>
      </w:r>
      <w:r>
        <w:rPr>
          <w:rFonts w:ascii="Arial" w:hAnsi="Arial" w:cs="Arial" w:eastAsia="Arial" w:hint="default"/>
        </w:rPr>
        <w:t>12</w:t>
      </w:r>
      <w:r>
        <w:rPr>
          <w:rFonts w:ascii="Arial" w:hAnsi="Arial" w:cs="Arial" w:eastAsia="Arial" w:hint="default"/>
          <w:spacing w:val="-4"/>
        </w:rPr>
        <w:t> </w:t>
      </w:r>
      <w:r>
        <w:rPr/>
        <w:t>月</w:t>
      </w:r>
      <w:r>
        <w:rPr>
          <w:spacing w:val="-57"/>
        </w:rPr>
        <w:t> </w:t>
      </w:r>
      <w:r>
        <w:rPr>
          <w:rFonts w:ascii="Arial" w:hAnsi="Arial" w:cs="Arial" w:eastAsia="Arial" w:hint="default"/>
        </w:rPr>
        <w:t>31</w:t>
      </w:r>
      <w:r>
        <w:rPr>
          <w:rFonts w:ascii="Arial" w:hAnsi="Arial" w:cs="Arial" w:eastAsia="Arial" w:hint="default"/>
          <w:spacing w:val="-4"/>
        </w:rPr>
        <w:t> </w:t>
      </w:r>
      <w:r>
        <w:rPr/>
        <w:t>日，本集团没有重大的未确认递延所得税资 产的可抵扣暂时性差异及可抵扣亏损 。</w:t>
      </w:r>
    </w:p>
    <w:p>
      <w:pPr>
        <w:spacing w:line="240" w:lineRule="auto" w:before="10"/>
        <w:rPr>
          <w:rFonts w:ascii="宋体" w:hAnsi="宋体" w:cs="宋体" w:eastAsia="宋体" w:hint="default"/>
          <w:sz w:val="18"/>
          <w:szCs w:val="18"/>
        </w:rPr>
      </w:pPr>
    </w:p>
    <w:p>
      <w:pPr>
        <w:tabs>
          <w:tab w:pos="817" w:val="left" w:leader="none"/>
        </w:tabs>
        <w:spacing w:before="0"/>
        <w:ind w:left="103"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(19)</w:t>
        <w:tab/>
      </w:r>
      <w:r>
        <w:rPr>
          <w:rFonts w:ascii="宋体" w:hAnsi="宋体" w:cs="宋体" w:eastAsia="宋体" w:hint="default"/>
          <w:b/>
          <w:bCs/>
          <w:sz w:val="24"/>
          <w:szCs w:val="24"/>
        </w:rPr>
        <w:t>资产减值准备</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55" w:footer="947" w:top="2300" w:bottom="1140" w:left="1020" w:right="680"/>
        </w:sectPr>
      </w:pPr>
    </w:p>
    <w:p>
      <w:pPr>
        <w:pStyle w:val="BodyText"/>
        <w:spacing w:line="322" w:lineRule="exact" w:before="26"/>
        <w:ind w:left="4003" w:right="3240"/>
        <w:jc w:val="center"/>
      </w:pPr>
      <w:r>
        <w:rPr>
          <w:rFonts w:ascii="Arial" w:hAnsi="Arial" w:cs="Arial" w:eastAsia="Arial" w:hint="default"/>
        </w:rPr>
        <w:t>2009</w:t>
      </w:r>
      <w:r>
        <w:rPr>
          <w:rFonts w:ascii="Arial" w:hAnsi="Arial" w:cs="Arial" w:eastAsia="Arial" w:hint="default"/>
          <w:spacing w:val="-11"/>
        </w:rPr>
        <w:t> </w:t>
      </w:r>
      <w:r>
        <w:rPr/>
        <w:t>年</w:t>
      </w:r>
    </w:p>
    <w:p>
      <w:pPr>
        <w:pStyle w:val="BodyText"/>
        <w:tabs>
          <w:tab w:pos="5452" w:val="left" w:leader="none"/>
          <w:tab w:pos="7154" w:val="left" w:leader="none"/>
        </w:tabs>
        <w:spacing w:line="322" w:lineRule="exact"/>
        <w:ind w:left="3661" w:right="-2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t>本年增加</w:t>
        <w:tab/>
        <w:t>本年转销</w:t>
      </w:r>
    </w:p>
    <w:p>
      <w:pPr>
        <w:pStyle w:val="BodyText"/>
        <w:spacing w:line="322" w:lineRule="exact" w:before="26"/>
        <w:ind w:left="979" w:right="0"/>
        <w:jc w:val="left"/>
      </w:pPr>
      <w:r>
        <w:rPr/>
        <w:br w:type="column"/>
      </w:r>
      <w:r>
        <w:rPr>
          <w:rFonts w:ascii="Arial" w:hAnsi="Arial" w:cs="Arial" w:eastAsia="Arial" w:hint="default"/>
        </w:rPr>
        <w:t>2010</w:t>
      </w:r>
      <w:r>
        <w:rPr>
          <w:rFonts w:ascii="Arial" w:hAnsi="Arial" w:cs="Arial" w:eastAsia="Arial" w:hint="default"/>
          <w:spacing w:val="-11"/>
        </w:rPr>
        <w:t> </w:t>
      </w:r>
      <w:r>
        <w:rPr/>
        <w:t>年</w:t>
      </w:r>
    </w:p>
    <w:p>
      <w:pPr>
        <w:pStyle w:val="BodyText"/>
        <w:spacing w:line="322" w:lineRule="exact"/>
        <w:ind w:left="618" w:right="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left"/>
        <w:sectPr>
          <w:type w:val="continuous"/>
          <w:pgSz w:w="11910" w:h="16840"/>
          <w:pgMar w:top="920" w:bottom="900" w:left="1020" w:right="680"/>
          <w:cols w:num="2" w:equalWidth="0">
            <w:col w:w="8115" w:space="40"/>
            <w:col w:w="2055"/>
          </w:cols>
        </w:sectPr>
      </w:pPr>
    </w:p>
    <w:p>
      <w:pPr>
        <w:spacing w:line="240" w:lineRule="auto" w:before="8"/>
        <w:rPr>
          <w:rFonts w:ascii="宋体" w:hAnsi="宋体" w:cs="宋体" w:eastAsia="宋体" w:hint="default"/>
          <w:sz w:val="17"/>
          <w:szCs w:val="17"/>
        </w:rPr>
      </w:pPr>
    </w:p>
    <w:p>
      <w:pPr>
        <w:pStyle w:val="BodyText"/>
        <w:tabs>
          <w:tab w:pos="4121" w:val="left" w:leader="none"/>
          <w:tab w:pos="5679" w:val="left" w:leader="none"/>
          <w:tab w:pos="7353" w:val="left" w:leader="none"/>
          <w:tab w:pos="9232" w:val="left" w:leader="none"/>
        </w:tabs>
        <w:spacing w:line="329" w:lineRule="exact" w:before="24"/>
        <w:ind w:left="817" w:right="0"/>
        <w:jc w:val="left"/>
        <w:rPr>
          <w:rFonts w:ascii="Arial" w:hAnsi="Arial" w:cs="Arial" w:eastAsia="Arial" w:hint="default"/>
        </w:rPr>
      </w:pPr>
      <w:r>
        <w:rPr>
          <w:position w:val="2"/>
        </w:rPr>
        <w:t>坏账准备</w:t>
        <w:tab/>
      </w:r>
      <w:r>
        <w:rPr>
          <w:rFonts w:ascii="Arial" w:hAnsi="Arial" w:cs="Arial" w:eastAsia="Arial" w:hint="default"/>
          <w:spacing w:val="-1"/>
        </w:rPr>
        <w:t>28,902</w:t>
        <w:tab/>
        <w:t>21,635</w:t>
        <w:tab/>
        <w:t>(2,098)</w:t>
        <w:tab/>
        <w:t>48,439</w:t>
      </w:r>
      <w:r>
        <w:rPr>
          <w:rFonts w:ascii="Arial" w:hAnsi="Arial" w:cs="Arial" w:eastAsia="Arial" w:hint="default"/>
        </w:rPr>
      </w:r>
    </w:p>
    <w:p>
      <w:pPr>
        <w:pStyle w:val="BodyText"/>
        <w:spacing w:line="276" w:lineRule="exact"/>
        <w:ind w:left="817" w:right="0"/>
        <w:jc w:val="left"/>
      </w:pPr>
      <w:r>
        <w:rPr/>
        <w:pict>
          <v:group style="position:absolute;margin-left:85.859993pt;margin-top:.966631pt;width:469.2pt;height:57.25pt;mso-position-horizontal-relative:page;mso-position-vertical-relative:paragraph;z-index:-1003360" coordorigin="1717,19" coordsize="9384,1145">
            <v:group style="position:absolute;left:1722;top:29;width:6106;height:2" coordorigin="1722,29" coordsize="6106,2">
              <v:shape style="position:absolute;left:1722;top:29;width:6106;height:2" coordorigin="1722,29" coordsize="6106,0" path="m1722,29l7828,29e" filled="false" stroked="true" strokeweight=".48001pt" strokecolor="#000000">
                <v:path arrowok="t"/>
              </v:shape>
            </v:group>
            <v:group style="position:absolute;left:7828;top:29;width:1408;height:2" coordorigin="7828,29" coordsize="1408,2">
              <v:shape style="position:absolute;left:7828;top:29;width:1408;height:2" coordorigin="7828,29" coordsize="1408,0" path="m7828,29l9235,29e" filled="false" stroked="true" strokeweight=".48pt" strokecolor="#000000">
                <v:path arrowok="t"/>
              </v:shape>
            </v:group>
            <v:group style="position:absolute;left:9235;top:29;width:1862;height:2" coordorigin="9235,29" coordsize="1862,2">
              <v:shape style="position:absolute;left:9235;top:29;width:1862;height:2" coordorigin="9235,29" coordsize="1862,0" path="m9235,29l11096,29e" filled="false" stroked="true" strokeweight=".48001pt" strokecolor="#000000">
                <v:path arrowok="t"/>
              </v:shape>
            </v:group>
            <v:group style="position:absolute;left:1729;top:34;width:2;height:561" coordorigin="1729,34" coordsize="2,561">
              <v:shape style="position:absolute;left:1729;top:34;width:2;height:561" coordorigin="1729,34" coordsize="0,561" path="m1729,34l1729,594e" filled="false" stroked="true" strokeweight=".48pt" strokecolor="#000000">
                <v:path arrowok="t"/>
              </v:shape>
            </v:group>
            <v:group style="position:absolute;left:1729;top:594;width:2;height:561" coordorigin="1729,594" coordsize="2,561">
              <v:shape style="position:absolute;left:1729;top:594;width:2;height:561" coordorigin="1729,594" coordsize="0,561" path="m1729,594l1729,1155e" filled="false" stroked="true" strokeweight=".48pt" strokecolor="#000000">
                <v:path arrowok="t"/>
              </v:shape>
            </v:group>
            <v:group style="position:absolute;left:11094;top:24;width:2;height:1131" coordorigin="11094,24" coordsize="2,1131">
              <v:shape style="position:absolute;left:11094;top:24;width:2;height:1131" coordorigin="11094,24" coordsize="0,1131" path="m11094,24l11094,1155e" filled="false" stroked="true" strokeweight=".47998pt" strokecolor="#000000">
                <v:path arrowok="t"/>
              </v:shape>
            </v:group>
            <v:group style="position:absolute;left:1722;top:1159;width:6106;height:2" coordorigin="1722,1159" coordsize="6106,2">
              <v:shape style="position:absolute;left:1722;top:1159;width:6106;height:2" coordorigin="1722,1159" coordsize="6106,0" path="m1722,1159l7828,1159e" filled="false" stroked="true" strokeweight=".48001pt" strokecolor="#000000">
                <v:path arrowok="t"/>
              </v:shape>
            </v:group>
            <v:group style="position:absolute;left:7828;top:1159;width:1408;height:2" coordorigin="7828,1159" coordsize="1408,2">
              <v:shape style="position:absolute;left:7828;top:1159;width:1408;height:2" coordorigin="7828,1159" coordsize="1408,0" path="m7828,1159l9235,1159e" filled="false" stroked="true" strokeweight=".48pt" strokecolor="#000000">
                <v:path arrowok="t"/>
              </v:shape>
            </v:group>
            <v:group style="position:absolute;left:9235;top:1159;width:1852;height:2" coordorigin="9235,1159" coordsize="1852,2">
              <v:shape style="position:absolute;left:9235;top:1159;width:1852;height:2" coordorigin="9235,1159" coordsize="1852,0" path="m9235,1159l11087,1159e" filled="false" stroked="true" strokeweight=".48001pt" strokecolor="#000000">
                <v:path arrowok="t"/>
              </v:shape>
            </v:group>
            <w10:wrap type="none"/>
          </v:group>
        </w:pict>
      </w:r>
      <w:r>
        <w:rPr/>
        <w:t>其中：应收账款</w:t>
      </w:r>
    </w:p>
    <w:p>
      <w:pPr>
        <w:pStyle w:val="BodyText"/>
        <w:tabs>
          <w:tab w:pos="4255" w:val="left" w:leader="none"/>
          <w:tab w:pos="5697" w:val="left" w:leader="none"/>
          <w:tab w:pos="7686" w:val="left" w:leader="none"/>
          <w:tab w:pos="9233" w:val="left" w:leader="none"/>
        </w:tabs>
        <w:spacing w:line="289" w:lineRule="exact"/>
        <w:ind w:left="1806" w:right="0"/>
        <w:jc w:val="left"/>
        <w:rPr>
          <w:rFonts w:ascii="Arial" w:hAnsi="Arial" w:cs="Arial" w:eastAsia="Arial" w:hint="default"/>
        </w:rPr>
      </w:pPr>
      <w:r>
        <w:rPr/>
        <w:t>坏账准备</w:t>
        <w:tab/>
      </w:r>
      <w:r>
        <w:rPr>
          <w:rFonts w:ascii="Arial" w:hAnsi="Arial" w:cs="Arial" w:eastAsia="Arial" w:hint="default"/>
          <w:spacing w:val="-1"/>
        </w:rPr>
        <w:t>9,029</w:t>
        <w:tab/>
      </w:r>
      <w:r>
        <w:rPr>
          <w:rFonts w:ascii="Arial" w:hAnsi="Arial" w:cs="Arial" w:eastAsia="Arial" w:hint="default"/>
          <w:spacing w:val="-4"/>
        </w:rPr>
        <w:t>19,114</w:t>
        <w:tab/>
      </w:r>
      <w:r>
        <w:rPr>
          <w:rFonts w:ascii="Arial" w:hAnsi="Arial" w:cs="Arial" w:eastAsia="Arial" w:hint="default"/>
          <w:spacing w:val="-1"/>
        </w:rPr>
        <w:t>(10)</w:t>
        <w:tab/>
        <w:t>28,133</w:t>
      </w:r>
      <w:r>
        <w:rPr>
          <w:rFonts w:ascii="Arial" w:hAnsi="Arial" w:cs="Arial" w:eastAsia="Arial" w:hint="default"/>
        </w:rPr>
      </w:r>
    </w:p>
    <w:p>
      <w:pPr>
        <w:pStyle w:val="BodyText"/>
        <w:spacing w:line="272" w:lineRule="exact"/>
        <w:ind w:left="1576" w:right="0"/>
        <w:jc w:val="left"/>
      </w:pPr>
      <w:r>
        <w:rPr/>
        <w:t>其他应收款</w:t>
      </w:r>
    </w:p>
    <w:p>
      <w:pPr>
        <w:pStyle w:val="BodyText"/>
        <w:tabs>
          <w:tab w:pos="4121" w:val="left" w:leader="none"/>
          <w:tab w:pos="5812" w:val="left" w:leader="none"/>
          <w:tab w:pos="7353" w:val="left" w:leader="none"/>
          <w:tab w:pos="9232" w:val="left" w:leader="none"/>
        </w:tabs>
        <w:spacing w:line="301" w:lineRule="exact"/>
        <w:ind w:left="1855" w:right="0"/>
        <w:jc w:val="left"/>
        <w:rPr>
          <w:rFonts w:ascii="Arial" w:hAnsi="Arial" w:cs="Arial" w:eastAsia="Arial" w:hint="default"/>
        </w:rPr>
      </w:pPr>
      <w:r>
        <w:rPr/>
        <w:t>坏账准备</w:t>
        <w:tab/>
      </w:r>
      <w:r>
        <w:rPr>
          <w:rFonts w:ascii="Arial" w:hAnsi="Arial" w:cs="Arial" w:eastAsia="Arial" w:hint="default"/>
          <w:spacing w:val="-1"/>
        </w:rPr>
        <w:t>19,873</w:t>
        <w:tab/>
        <w:t>2,521</w:t>
        <w:tab/>
        <w:t>(2,088)</w:t>
        <w:tab/>
        <w:t>20,306</w:t>
      </w:r>
      <w:r>
        <w:rPr>
          <w:rFonts w:ascii="Arial" w:hAnsi="Arial" w:cs="Arial" w:eastAsia="Arial" w:hint="default"/>
        </w:rPr>
      </w:r>
    </w:p>
    <w:p>
      <w:pPr>
        <w:pStyle w:val="BodyText"/>
        <w:tabs>
          <w:tab w:pos="3254" w:val="left" w:leader="none"/>
          <w:tab w:pos="4121" w:val="left" w:leader="none"/>
          <w:tab w:pos="5237" w:val="left" w:leader="none"/>
          <w:tab w:pos="5679" w:val="left" w:leader="none"/>
          <w:tab w:pos="6797" w:val="left" w:leader="none"/>
          <w:tab w:pos="7220" w:val="left" w:leader="none"/>
          <w:tab w:pos="8499" w:val="left" w:leader="none"/>
          <w:tab w:pos="9232" w:val="left" w:leader="none"/>
          <w:tab w:pos="10066" w:val="left" w:leader="none"/>
        </w:tabs>
        <w:spacing w:line="336" w:lineRule="exact"/>
        <w:ind w:left="817" w:right="0"/>
        <w:jc w:val="left"/>
        <w:rPr>
          <w:rFonts w:ascii="Arial" w:hAnsi="Arial" w:cs="Arial" w:eastAsia="Arial" w:hint="default"/>
        </w:rPr>
      </w:pPr>
      <w:r>
        <w:rPr>
          <w:position w:val="2"/>
        </w:rPr>
        <w:t>存货跌价准备</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26,469</w:t>
      </w:r>
      <w:r>
        <w:rPr>
          <w:rFonts w:ascii="Arial" w:hAnsi="Arial" w:cs="Arial" w:eastAsia="Arial" w:hint="default"/>
          <w:spacing w:val="-1"/>
        </w:rPr>
        <w:tab/>
      </w:r>
      <w:r>
        <w:rPr>
          <w:rFonts w:ascii="Arial" w:hAnsi="Arial" w:cs="Arial" w:eastAsia="Arial" w:hint="default"/>
          <w:spacing w:val="-1"/>
          <w:u w:val="single" w:color="000000"/>
        </w:rPr>
        <w:t> </w:t>
        <w:tab/>
        <w:t>54,289</w:t>
      </w:r>
      <w:r>
        <w:rPr>
          <w:rFonts w:ascii="Arial" w:hAnsi="Arial" w:cs="Arial" w:eastAsia="Arial" w:hint="default"/>
          <w:spacing w:val="-1"/>
        </w:rPr>
        <w:tab/>
      </w:r>
      <w:r>
        <w:rPr>
          <w:rFonts w:ascii="Arial" w:hAnsi="Arial" w:cs="Arial" w:eastAsia="Arial" w:hint="default"/>
          <w:spacing w:val="-1"/>
          <w:u w:val="single" w:color="000000"/>
        </w:rPr>
        <w:t> </w:t>
        <w:tab/>
        <w:t>(23,599)</w:t>
      </w:r>
      <w:r>
        <w:rPr>
          <w:rFonts w:ascii="Arial" w:hAnsi="Arial" w:cs="Arial" w:eastAsia="Arial" w:hint="default"/>
          <w:spacing w:val="-1"/>
        </w:rPr>
        <w:tab/>
      </w:r>
      <w:r>
        <w:rPr>
          <w:rFonts w:ascii="Arial" w:hAnsi="Arial" w:cs="Arial" w:eastAsia="Arial" w:hint="default"/>
          <w:spacing w:val="-1"/>
          <w:u w:val="single" w:color="000000"/>
        </w:rPr>
        <w:t> </w:t>
        <w:tab/>
        <w:t>57,159</w:t>
        <w:tab/>
      </w:r>
      <w:r>
        <w:rPr>
          <w:rFonts w:ascii="Arial" w:hAnsi="Arial" w:cs="Arial" w:eastAsia="Arial" w:hint="default"/>
          <w:spacing w:val="-1"/>
        </w:rPr>
      </w:r>
    </w:p>
    <w:p>
      <w:pPr>
        <w:pStyle w:val="BodyText"/>
        <w:tabs>
          <w:tab w:pos="4122" w:val="left" w:leader="none"/>
          <w:tab w:pos="5230" w:val="left" w:leader="none"/>
          <w:tab w:pos="5679" w:val="left" w:leader="none"/>
          <w:tab w:pos="6790" w:val="left" w:leader="none"/>
          <w:tab w:pos="7220" w:val="left" w:leader="none"/>
          <w:tab w:pos="8492" w:val="left" w:leader="none"/>
          <w:tab w:pos="9099" w:val="left" w:leader="none"/>
          <w:tab w:pos="10073" w:val="left" w:leader="none"/>
        </w:tabs>
        <w:spacing w:line="240" w:lineRule="auto" w:before="5"/>
        <w:ind w:left="3247" w:right="0"/>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55,371</w:t>
      </w:r>
      <w:r>
        <w:rPr>
          <w:rFonts w:ascii="Arial"/>
          <w:spacing w:val="-1"/>
        </w:rPr>
        <w:tab/>
      </w:r>
      <w:r>
        <w:rPr>
          <w:rFonts w:ascii="Arial"/>
          <w:spacing w:val="-1"/>
          <w:u w:val="thick" w:color="000000"/>
        </w:rPr>
        <w:t> </w:t>
        <w:tab/>
        <w:t>75,924</w:t>
      </w:r>
      <w:r>
        <w:rPr>
          <w:rFonts w:ascii="Arial"/>
          <w:spacing w:val="-1"/>
        </w:rPr>
        <w:tab/>
      </w:r>
      <w:r>
        <w:rPr>
          <w:rFonts w:ascii="Arial"/>
          <w:spacing w:val="-1"/>
          <w:u w:val="thick" w:color="000000"/>
        </w:rPr>
        <w:t> </w:t>
        <w:tab/>
        <w:t>(25,697)</w:t>
      </w:r>
      <w:r>
        <w:rPr>
          <w:rFonts w:ascii="Arial"/>
          <w:spacing w:val="-1"/>
        </w:rPr>
        <w:tab/>
      </w:r>
      <w:r>
        <w:rPr>
          <w:rFonts w:ascii="Arial"/>
          <w:spacing w:val="-1"/>
          <w:u w:val="thick" w:color="000000"/>
        </w:rPr>
        <w:t> </w:t>
        <w:tab/>
        <w:t>105,598</w:t>
        <w:tab/>
      </w:r>
      <w:r>
        <w:rPr>
          <w:rFonts w:ascii="Arial"/>
          <w:spacing w:val="-1"/>
        </w:rPr>
      </w:r>
    </w:p>
    <w:p>
      <w:pPr>
        <w:spacing w:line="240" w:lineRule="auto" w:before="5"/>
        <w:rPr>
          <w:rFonts w:ascii="Arial" w:hAnsi="Arial" w:cs="Arial" w:eastAsia="Arial" w:hint="default"/>
          <w:sz w:val="17"/>
          <w:szCs w:val="17"/>
        </w:rPr>
      </w:pPr>
    </w:p>
    <w:p>
      <w:pPr>
        <w:tabs>
          <w:tab w:pos="817" w:val="left" w:leader="none"/>
        </w:tabs>
        <w:spacing w:before="32"/>
        <w:ind w:left="107"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(20)</w:t>
        <w:tab/>
      </w:r>
      <w:r>
        <w:rPr>
          <w:rFonts w:ascii="宋体" w:hAnsi="宋体" w:cs="宋体" w:eastAsia="宋体" w:hint="default"/>
          <w:b/>
          <w:bCs/>
          <w:sz w:val="24"/>
          <w:szCs w:val="24"/>
        </w:rPr>
        <w:t>短期借款</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817" w:val="left" w:leader="none"/>
        </w:tabs>
        <w:spacing w:line="240" w:lineRule="auto"/>
        <w:ind w:left="107" w:right="0"/>
        <w:jc w:val="left"/>
      </w:pPr>
      <w:r>
        <w:rPr>
          <w:rFonts w:ascii="Arial" w:hAnsi="Arial" w:cs="Arial" w:eastAsia="Arial" w:hint="default"/>
          <w:w w:val="95"/>
          <w:position w:val="2"/>
        </w:rPr>
        <w:t>(a)</w:t>
        <w:tab/>
      </w:r>
      <w:r>
        <w:rPr/>
        <w:t>短期借款分类</w:t>
      </w:r>
    </w:p>
    <w:p>
      <w:pPr>
        <w:spacing w:line="240" w:lineRule="auto" w:before="12"/>
        <w:rPr>
          <w:rFonts w:ascii="宋体" w:hAnsi="宋体" w:cs="宋体" w:eastAsia="宋体" w:hint="default"/>
          <w:sz w:val="18"/>
          <w:szCs w:val="18"/>
        </w:rPr>
      </w:pPr>
    </w:p>
    <w:p>
      <w:pPr>
        <w:pStyle w:val="BodyText"/>
        <w:tabs>
          <w:tab w:pos="3083" w:val="left" w:leader="none"/>
          <w:tab w:pos="4522" w:val="left" w:leader="none"/>
          <w:tab w:pos="4685" w:val="left" w:leader="none"/>
          <w:tab w:pos="5834" w:val="left" w:leader="none"/>
          <w:tab w:pos="7559" w:val="left" w:leader="none"/>
          <w:tab w:pos="7846" w:val="left" w:leader="none"/>
          <w:tab w:pos="9774" w:val="left" w:leader="none"/>
          <w:tab w:pos="10049" w:val="left" w:leader="none"/>
        </w:tabs>
        <w:spacing w:line="424" w:lineRule="auto" w:before="26"/>
        <w:ind w:left="817" w:right="135" w:firstLine="2266"/>
        <w:jc w:val="left"/>
        <w:rPr>
          <w:rFonts w:ascii="Arial" w:hAnsi="Arial" w:cs="Arial" w:eastAsia="Arial" w:hint="default"/>
        </w:rPr>
      </w:pPr>
      <w:r>
        <w:rPr/>
        <w:t>币种</w:t>
        <w:tab/>
        <w:tab/>
      </w: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 </w:t>
      </w:r>
      <w:r>
        <w:rPr>
          <w:position w:val="2"/>
        </w:rPr>
        <w:t>质押借款</w:t>
        <w:tab/>
        <w:t>人民币</w:t>
        <w:tab/>
      </w:r>
      <w:r>
        <w:rPr>
          <w:rFonts w:ascii="Arial" w:hAnsi="Arial" w:cs="Arial" w:eastAsia="Arial" w:hint="default"/>
        </w:rPr>
      </w:r>
      <w:r>
        <w:rPr>
          <w:rFonts w:ascii="Arial" w:hAnsi="Arial" w:cs="Arial" w:eastAsia="Arial" w:hint="default"/>
          <w:u w:val="thick" w:color="000000"/>
        </w:rPr>
        <w:t> </w:t>
        <w:tab/>
        <w:tab/>
      </w:r>
      <w:r>
        <w:rPr>
          <w:rFonts w:ascii="Arial" w:hAnsi="Arial" w:cs="Arial" w:eastAsia="Arial" w:hint="default"/>
          <w:spacing w:val="-1"/>
          <w:u w:val="thick" w:color="000000"/>
        </w:rPr>
        <w:t>317,789</w:t>
      </w:r>
      <w:r>
        <w:rPr>
          <w:rFonts w:ascii="Arial" w:hAnsi="Arial" w:cs="Arial" w:eastAsia="Arial" w:hint="default"/>
          <w:spacing w:val="-1"/>
        </w:rPr>
        <w:tab/>
      </w:r>
      <w:r>
        <w:rPr>
          <w:rFonts w:ascii="Arial" w:hAnsi="Arial" w:cs="Arial" w:eastAsia="Arial" w:hint="default"/>
          <w:spacing w:val="-1"/>
          <w:u w:val="thick" w:color="000000"/>
        </w:rPr>
        <w:t> </w:t>
        <w:tab/>
        <w:tab/>
      </w:r>
      <w:r>
        <w:rPr>
          <w:rFonts w:ascii="Arial" w:hAnsi="Arial" w:cs="Arial" w:eastAsia="Arial" w:hint="default"/>
          <w:u w:val="thick" w:color="000000"/>
        </w:rPr>
        <w:t>-</w:t>
        <w:tab/>
      </w:r>
      <w:r>
        <w:rPr>
          <w:rFonts w:ascii="Arial" w:hAnsi="Arial" w:cs="Arial" w:eastAsia="Arial" w:hint="default"/>
          <w:w w:val="25"/>
          <w:u w:val="thick" w:color="000000"/>
        </w:rPr>
        <w:t> </w:t>
      </w:r>
      <w:r>
        <w:rPr>
          <w:rFonts w:ascii="Arial" w:hAnsi="Arial" w:cs="Arial" w:eastAsia="Arial" w:hint="default"/>
          <w:u w:val="thick" w:color="000000"/>
        </w:rPr>
      </w:r>
      <w:r>
        <w:rPr>
          <w:rFonts w:ascii="Arial" w:hAnsi="Arial" w:cs="Arial" w:eastAsia="Arial" w:hint="default"/>
        </w:rPr>
      </w:r>
    </w:p>
    <w:p>
      <w:pPr>
        <w:pStyle w:val="BodyText"/>
        <w:spacing w:line="240" w:lineRule="auto" w:before="2"/>
        <w:ind w:left="709" w:right="0"/>
        <w:jc w:val="left"/>
        <w:rPr>
          <w:rFonts w:ascii="Arial" w:hAnsi="Arial" w:cs="Arial" w:eastAsia="Arial" w:hint="default"/>
        </w:rPr>
      </w:pPr>
      <w:r>
        <w:rPr/>
        <w:t>于</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日，质押借款为</w:t>
      </w:r>
      <w:r>
        <w:rPr>
          <w:spacing w:val="-61"/>
        </w:rPr>
        <w:t> </w:t>
      </w:r>
      <w:r>
        <w:rPr>
          <w:rFonts w:ascii="Arial" w:hAnsi="Arial" w:cs="Arial" w:eastAsia="Arial" w:hint="default"/>
        </w:rPr>
        <w:t>3.75</w:t>
      </w:r>
      <w:r>
        <w:rPr>
          <w:rFonts w:ascii="Arial" w:hAnsi="Arial" w:cs="Arial" w:eastAsia="Arial" w:hint="default"/>
          <w:spacing w:val="-8"/>
        </w:rPr>
        <w:t> </w:t>
      </w:r>
      <w:r>
        <w:rPr/>
        <w:t>亿港元</w:t>
      </w:r>
      <w:r>
        <w:rPr>
          <w:rFonts w:ascii="Arial" w:hAnsi="Arial" w:cs="Arial" w:eastAsia="Arial" w:hint="default"/>
        </w:rPr>
        <w:t>(2009</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50"/>
        </w:rPr>
        <w:t> </w:t>
      </w:r>
      <w:r>
        <w:rPr/>
        <w:t>月</w:t>
      </w:r>
      <w:r>
        <w:rPr>
          <w:spacing w:val="-61"/>
        </w:rPr>
        <w:t> </w:t>
      </w:r>
      <w:r>
        <w:rPr>
          <w:rFonts w:ascii="Arial" w:hAnsi="Arial" w:cs="Arial" w:eastAsia="Arial" w:hint="default"/>
        </w:rPr>
        <w:t>31</w:t>
      </w:r>
      <w:r>
        <w:rPr>
          <w:rFonts w:ascii="Arial" w:hAnsi="Arial" w:cs="Arial" w:eastAsia="Arial" w:hint="default"/>
          <w:spacing w:val="51"/>
        </w:rPr>
        <w:t> </w:t>
      </w:r>
      <w:r>
        <w:rPr/>
        <w:t>日：无</w:t>
      </w:r>
      <w:r>
        <w:rPr>
          <w:rFonts w:ascii="Arial" w:hAnsi="Arial" w:cs="Arial" w:eastAsia="Arial" w:hint="default"/>
        </w:rPr>
        <w:t>)</w:t>
      </w:r>
    </w:p>
    <w:p>
      <w:pPr>
        <w:spacing w:after="0" w:line="240" w:lineRule="auto"/>
        <w:jc w:val="left"/>
        <w:rPr>
          <w:rFonts w:ascii="Arial" w:hAnsi="Arial" w:cs="Arial" w:eastAsia="Arial" w:hint="default"/>
        </w:rPr>
        <w:sectPr>
          <w:type w:val="continuous"/>
          <w:pgSz w:w="11910" w:h="16840"/>
          <w:pgMar w:top="920" w:bottom="900" w:left="1020" w:right="680"/>
        </w:sectPr>
      </w:pPr>
    </w:p>
    <w:p>
      <w:pPr>
        <w:spacing w:line="240" w:lineRule="auto" w:before="8"/>
        <w:rPr>
          <w:rFonts w:ascii="Arial" w:hAnsi="Arial" w:cs="Arial" w:eastAsia="Arial" w:hint="default"/>
          <w:sz w:val="18"/>
          <w:szCs w:val="18"/>
        </w:rPr>
      </w:pPr>
    </w:p>
    <w:p>
      <w:pPr>
        <w:pStyle w:val="Heading2"/>
        <w:tabs>
          <w:tab w:pos="817" w:val="left" w:leader="none"/>
        </w:tabs>
        <w:spacing w:line="240" w:lineRule="auto"/>
        <w:ind w:right="104"/>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07" w:right="104" w:firstLine="0"/>
        <w:jc w:val="left"/>
        <w:rPr>
          <w:rFonts w:ascii="Arial" w:hAnsi="Arial" w:cs="Arial" w:eastAsia="Arial" w:hint="default"/>
          <w:sz w:val="24"/>
          <w:szCs w:val="24"/>
        </w:rPr>
      </w:pPr>
      <w:r>
        <w:rPr>
          <w:rFonts w:ascii="Arial" w:hAnsi="Arial" w:cs="Arial" w:eastAsia="Arial" w:hint="default"/>
          <w:w w:val="95"/>
          <w:position w:val="2"/>
          <w:sz w:val="24"/>
          <w:szCs w:val="24"/>
        </w:rPr>
        <w:t>(20)</w:t>
        <w:tab/>
      </w:r>
      <w:r>
        <w:rPr>
          <w:rFonts w:ascii="宋体" w:hAnsi="宋体" w:cs="宋体" w:eastAsia="宋体" w:hint="default"/>
          <w:b/>
          <w:bCs/>
          <w:sz w:val="24"/>
          <w:szCs w:val="24"/>
        </w:rPr>
        <w:t>短期借款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0"/>
        <w:rPr>
          <w:rFonts w:ascii="Arial" w:hAnsi="Arial" w:cs="Arial" w:eastAsia="Arial" w:hint="default"/>
          <w:b/>
          <w:bCs/>
          <w:sz w:val="25"/>
          <w:szCs w:val="25"/>
        </w:rPr>
      </w:pPr>
    </w:p>
    <w:p>
      <w:pPr>
        <w:pStyle w:val="BodyText"/>
        <w:spacing w:line="312" w:lineRule="exact"/>
        <w:ind w:left="817" w:right="210"/>
        <w:jc w:val="left"/>
      </w:pPr>
      <w:r>
        <w:rPr/>
        <w:t>于</w:t>
      </w:r>
      <w:r>
        <w:rPr>
          <w:spacing w:val="-58"/>
        </w:rPr>
        <w:t> </w:t>
      </w:r>
      <w:r>
        <w:rPr>
          <w:rFonts w:ascii="Arial" w:hAnsi="Arial" w:cs="Arial" w:eastAsia="Arial" w:hint="default"/>
        </w:rPr>
        <w:t>2010</w:t>
      </w:r>
      <w:r>
        <w:rPr>
          <w:rFonts w:ascii="Arial" w:hAnsi="Arial" w:cs="Arial" w:eastAsia="Arial" w:hint="default"/>
          <w:spacing w:val="-5"/>
        </w:rPr>
        <w:t> </w:t>
      </w:r>
      <w:r>
        <w:rPr/>
        <w:t>年</w:t>
      </w:r>
      <w:r>
        <w:rPr>
          <w:spacing w:val="-57"/>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t>日，所有的质押借款以本集团存于银行的保函保证金</w:t>
      </w:r>
      <w:r>
        <w:rPr>
          <w:spacing w:val="-58"/>
        </w:rPr>
        <w:t> </w:t>
      </w:r>
      <w:r>
        <w:rPr>
          <w:rFonts w:ascii="Arial" w:hAnsi="Arial" w:cs="Arial" w:eastAsia="Arial" w:hint="default"/>
        </w:rPr>
        <w:t>3</w:t>
      </w:r>
      <w:r>
        <w:rPr>
          <w:rFonts w:ascii="Arial" w:hAnsi="Arial" w:cs="Arial" w:eastAsia="Arial" w:hint="default"/>
          <w:spacing w:val="-5"/>
        </w:rPr>
        <w:t> </w:t>
      </w:r>
      <w:r>
        <w:rPr/>
        <w:t>亿元人民币 作为质押物。</w:t>
      </w:r>
    </w:p>
    <w:p>
      <w:pPr>
        <w:spacing w:line="240" w:lineRule="auto" w:before="10"/>
        <w:rPr>
          <w:rFonts w:ascii="宋体" w:hAnsi="宋体" w:cs="宋体" w:eastAsia="宋体" w:hint="default"/>
          <w:sz w:val="18"/>
          <w:szCs w:val="18"/>
        </w:rPr>
      </w:pPr>
    </w:p>
    <w:p>
      <w:pPr>
        <w:pStyle w:val="BodyText"/>
        <w:spacing w:line="240" w:lineRule="auto"/>
        <w:ind w:left="817" w:right="104"/>
        <w:jc w:val="left"/>
      </w:pPr>
      <w:r>
        <w:rPr/>
        <w:t>于</w:t>
      </w:r>
      <w:r>
        <w:rPr>
          <w:spacing w:val="-62"/>
        </w:rPr>
        <w:t> </w:t>
      </w:r>
      <w:r>
        <w:rPr>
          <w:rFonts w:ascii="Arial" w:hAnsi="Arial" w:cs="Arial" w:eastAsia="Arial" w:hint="default"/>
        </w:rPr>
        <w:t>2010</w:t>
      </w:r>
      <w:r>
        <w:rPr>
          <w:rFonts w:ascii="Arial" w:hAnsi="Arial" w:cs="Arial" w:eastAsia="Arial" w:hint="default"/>
          <w:spacing w:val="-9"/>
        </w:rPr>
        <w:t> </w:t>
      </w:r>
      <w:r>
        <w:rPr/>
        <w:t>年</w:t>
      </w:r>
      <w:r>
        <w:rPr>
          <w:spacing w:val="-61"/>
        </w:rPr>
        <w:t> </w:t>
      </w:r>
      <w:r>
        <w:rPr>
          <w:rFonts w:ascii="Arial" w:hAnsi="Arial" w:cs="Arial" w:eastAsia="Arial" w:hint="default"/>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日，短期借款的加权平均年利率为</w:t>
      </w:r>
      <w:r>
        <w:rPr>
          <w:spacing w:val="-62"/>
        </w:rPr>
        <w:t> </w:t>
      </w:r>
      <w:r>
        <w:rPr>
          <w:rFonts w:ascii="Arial" w:hAnsi="Arial" w:cs="Arial" w:eastAsia="Arial" w:hint="default"/>
        </w:rPr>
        <w:t>1.04%</w:t>
      </w:r>
      <w:r>
        <w:rPr/>
        <w:t>。</w:t>
      </w:r>
    </w:p>
    <w:p>
      <w:pPr>
        <w:spacing w:line="240" w:lineRule="auto" w:before="8"/>
        <w:rPr>
          <w:rFonts w:ascii="宋体" w:hAnsi="宋体" w:cs="宋体" w:eastAsia="宋体" w:hint="default"/>
          <w:sz w:val="19"/>
          <w:szCs w:val="19"/>
        </w:rPr>
      </w:pPr>
    </w:p>
    <w:p>
      <w:pPr>
        <w:tabs>
          <w:tab w:pos="817" w:val="left" w:leader="none"/>
        </w:tabs>
        <w:spacing w:before="0"/>
        <w:ind w:left="107"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(21)</w:t>
        <w:tab/>
      </w:r>
      <w:r>
        <w:rPr>
          <w:rFonts w:ascii="宋体" w:hAnsi="宋体" w:cs="宋体" w:eastAsia="宋体" w:hint="default"/>
          <w:b/>
          <w:bCs/>
          <w:sz w:val="24"/>
          <w:szCs w:val="24"/>
        </w:rPr>
        <w:t>应付票据</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7879" w:val="left" w:leader="none"/>
        </w:tabs>
        <w:spacing w:line="240" w:lineRule="auto"/>
        <w:ind w:left="4686" w:right="104"/>
        <w:jc w:val="left"/>
      </w:pP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spacing w:line="240" w:lineRule="auto" w:before="6"/>
        <w:rPr>
          <w:rFonts w:ascii="宋体" w:hAnsi="宋体" w:cs="宋体" w:eastAsia="宋体" w:hint="default"/>
          <w:sz w:val="19"/>
          <w:szCs w:val="19"/>
        </w:rPr>
      </w:pPr>
    </w:p>
    <w:p>
      <w:pPr>
        <w:pStyle w:val="BodyText"/>
        <w:tabs>
          <w:tab w:pos="4522" w:val="left" w:leader="none"/>
          <w:tab w:pos="5499" w:val="left" w:leader="none"/>
          <w:tab w:pos="7559" w:val="left" w:leader="none"/>
          <w:tab w:pos="8721" w:val="left" w:leader="none"/>
          <w:tab w:pos="10066" w:val="left" w:leader="none"/>
        </w:tabs>
        <w:spacing w:line="240" w:lineRule="auto"/>
        <w:ind w:left="811" w:right="104"/>
        <w:jc w:val="left"/>
        <w:rPr>
          <w:rFonts w:ascii="Arial" w:hAnsi="Arial" w:cs="Arial" w:eastAsia="Arial" w:hint="default"/>
        </w:rPr>
      </w:pPr>
      <w:r>
        <w:rPr>
          <w:position w:val="2"/>
        </w:rPr>
        <w:t>银行承兑汇票</w:t>
        <w:tab/>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14,277,320</w:t>
      </w:r>
      <w:r>
        <w:rPr>
          <w:rFonts w:ascii="Arial" w:hAnsi="Arial" w:cs="Arial" w:eastAsia="Arial" w:hint="default"/>
          <w:spacing w:val="-1"/>
        </w:rPr>
        <w:tab/>
      </w:r>
      <w:r>
        <w:rPr>
          <w:rFonts w:ascii="Arial" w:hAnsi="Arial" w:cs="Arial" w:eastAsia="Arial" w:hint="default"/>
          <w:spacing w:val="-1"/>
          <w:u w:val="thick" w:color="000000"/>
        </w:rPr>
        <w:t> </w:t>
        <w:tab/>
        <w:t>13,999,191</w:t>
        <w:tab/>
      </w:r>
      <w:r>
        <w:rPr>
          <w:rFonts w:ascii="Arial" w:hAnsi="Arial" w:cs="Arial" w:eastAsia="Arial" w:hint="default"/>
          <w:spacing w:val="-1"/>
        </w:rPr>
      </w:r>
    </w:p>
    <w:p>
      <w:pPr>
        <w:spacing w:line="240" w:lineRule="auto" w:before="1"/>
        <w:rPr>
          <w:rFonts w:ascii="Arial" w:hAnsi="Arial" w:cs="Arial" w:eastAsia="Arial" w:hint="default"/>
          <w:sz w:val="21"/>
          <w:szCs w:val="21"/>
        </w:rPr>
      </w:pPr>
    </w:p>
    <w:p>
      <w:pPr>
        <w:pStyle w:val="BodyText"/>
        <w:spacing w:line="322" w:lineRule="exact" w:before="26"/>
        <w:ind w:left="811" w:right="104"/>
        <w:jc w:val="left"/>
      </w:pPr>
      <w:r>
        <w:rPr/>
        <w:t>于</w:t>
      </w:r>
      <w:r>
        <w:rPr>
          <w:spacing w:val="-50"/>
        </w:rPr>
        <w:t> </w:t>
      </w:r>
      <w:r>
        <w:rPr>
          <w:rFonts w:ascii="Arial" w:hAnsi="Arial" w:cs="Arial" w:eastAsia="Arial" w:hint="default"/>
        </w:rPr>
        <w:t>2010</w:t>
      </w:r>
      <w:r>
        <w:rPr>
          <w:rFonts w:ascii="Arial" w:hAnsi="Arial" w:cs="Arial" w:eastAsia="Arial" w:hint="default"/>
          <w:spacing w:val="4"/>
        </w:rPr>
        <w:t> </w:t>
      </w:r>
      <w:r>
        <w:rPr/>
        <w:t>年</w:t>
      </w:r>
      <w:r>
        <w:rPr>
          <w:spacing w:val="-50"/>
        </w:rPr>
        <w:t> </w:t>
      </w:r>
      <w:r>
        <w:rPr>
          <w:rFonts w:ascii="Arial" w:hAnsi="Arial" w:cs="Arial" w:eastAsia="Arial" w:hint="default"/>
        </w:rPr>
        <w:t>12</w:t>
      </w:r>
      <w:r>
        <w:rPr>
          <w:rFonts w:ascii="Arial" w:hAnsi="Arial" w:cs="Arial" w:eastAsia="Arial" w:hint="default"/>
          <w:spacing w:val="3"/>
        </w:rPr>
        <w:t> </w:t>
      </w:r>
      <w:r>
        <w:rPr/>
        <w:t>月</w:t>
      </w:r>
      <w:r>
        <w:rPr>
          <w:spacing w:val="-50"/>
        </w:rPr>
        <w:t> </w:t>
      </w:r>
      <w:r>
        <w:rPr>
          <w:rFonts w:ascii="Arial" w:hAnsi="Arial" w:cs="Arial" w:eastAsia="Arial" w:hint="default"/>
        </w:rPr>
        <w:t>31</w:t>
      </w:r>
      <w:r>
        <w:rPr>
          <w:rFonts w:ascii="Arial" w:hAnsi="Arial" w:cs="Arial" w:eastAsia="Arial" w:hint="default"/>
          <w:spacing w:val="3"/>
        </w:rPr>
        <w:t> </w:t>
      </w:r>
      <w:r>
        <w:rPr/>
        <w:t>日，预计将于一年内到期的金额为约人民币</w:t>
      </w:r>
      <w:r>
        <w:rPr>
          <w:spacing w:val="-50"/>
        </w:rPr>
        <w:t> </w:t>
      </w:r>
      <w:r>
        <w:rPr>
          <w:rFonts w:ascii="Arial" w:hAnsi="Arial" w:cs="Arial" w:eastAsia="Arial" w:hint="default"/>
        </w:rPr>
        <w:t>142.77</w:t>
      </w:r>
      <w:r>
        <w:rPr>
          <w:rFonts w:ascii="Arial" w:hAnsi="Arial" w:cs="Arial" w:eastAsia="Arial" w:hint="default"/>
          <w:spacing w:val="4"/>
        </w:rPr>
        <w:t> </w:t>
      </w:r>
      <w:r>
        <w:rPr/>
        <w:t>亿元</w:t>
      </w:r>
      <w:r>
        <w:rPr>
          <w:spacing w:val="-3"/>
        </w:rPr>
        <w:t> </w:t>
      </w:r>
      <w:r>
        <w:rPr>
          <w:rFonts w:ascii="Arial" w:hAnsi="Arial" w:cs="Arial" w:eastAsia="Arial" w:hint="default"/>
        </w:rPr>
        <w:t>(2009</w:t>
      </w:r>
      <w:r>
        <w:rPr>
          <w:rFonts w:ascii="Arial" w:hAnsi="Arial" w:cs="Arial" w:eastAsia="Arial" w:hint="default"/>
          <w:spacing w:val="3"/>
        </w:rPr>
        <w:t> </w:t>
      </w:r>
      <w:r>
        <w:rPr/>
        <w:t>年</w:t>
      </w:r>
    </w:p>
    <w:p>
      <w:pPr>
        <w:pStyle w:val="BodyText"/>
        <w:spacing w:line="322" w:lineRule="exact"/>
        <w:ind w:left="811" w:right="104"/>
        <w:jc w:val="left"/>
      </w:pPr>
      <w:r>
        <w:rPr>
          <w:rFonts w:ascii="Arial" w:hAnsi="Arial" w:cs="Arial" w:eastAsia="Arial" w:hint="default"/>
        </w:rPr>
        <w:t>12</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日：约人民币</w:t>
      </w:r>
      <w:r>
        <w:rPr>
          <w:spacing w:val="-62"/>
        </w:rPr>
        <w:t> </w:t>
      </w:r>
      <w:r>
        <w:rPr>
          <w:rFonts w:ascii="Arial" w:hAnsi="Arial" w:cs="Arial" w:eastAsia="Arial" w:hint="default"/>
        </w:rPr>
        <w:t>139.99</w:t>
      </w:r>
      <w:r>
        <w:rPr>
          <w:rFonts w:ascii="Arial" w:hAnsi="Arial" w:cs="Arial" w:eastAsia="Arial" w:hint="default"/>
          <w:spacing w:val="-8"/>
        </w:rPr>
        <w:t> </w:t>
      </w:r>
      <w:r>
        <w:rPr/>
        <w:t>亿元</w:t>
      </w:r>
      <w:r>
        <w:rPr>
          <w:rFonts w:ascii="Arial" w:hAnsi="Arial" w:cs="Arial" w:eastAsia="Arial" w:hint="default"/>
        </w:rPr>
        <w:t>)</w:t>
      </w:r>
      <w:r>
        <w:rPr/>
        <w:t>。</w:t>
      </w:r>
    </w:p>
    <w:p>
      <w:pPr>
        <w:spacing w:line="240" w:lineRule="auto" w:before="8"/>
        <w:rPr>
          <w:rFonts w:ascii="宋体" w:hAnsi="宋体" w:cs="宋体" w:eastAsia="宋体" w:hint="default"/>
          <w:sz w:val="19"/>
          <w:szCs w:val="19"/>
        </w:rPr>
      </w:pPr>
    </w:p>
    <w:p>
      <w:pPr>
        <w:pStyle w:val="BodyText"/>
        <w:spacing w:line="322" w:lineRule="exact"/>
        <w:ind w:left="811" w:right="104"/>
        <w:jc w:val="left"/>
      </w:pPr>
      <w:r>
        <w:rPr/>
        <w:t>于 </w:t>
      </w:r>
      <w:r>
        <w:rPr>
          <w:rFonts w:ascii="Arial" w:hAnsi="Arial" w:cs="Arial" w:eastAsia="Arial" w:hint="default"/>
        </w:rPr>
        <w:t>2010 </w:t>
      </w:r>
      <w:r>
        <w:rPr/>
        <w:t>年 </w:t>
      </w:r>
      <w:r>
        <w:rPr>
          <w:rFonts w:ascii="Arial" w:hAnsi="Arial" w:cs="Arial" w:eastAsia="Arial" w:hint="default"/>
        </w:rPr>
        <w:t>12 </w:t>
      </w:r>
      <w:r>
        <w:rPr/>
        <w:t>月 </w:t>
      </w:r>
      <w:r>
        <w:rPr>
          <w:rFonts w:ascii="Arial" w:hAnsi="Arial" w:cs="Arial" w:eastAsia="Arial" w:hint="default"/>
        </w:rPr>
        <w:t>31</w:t>
      </w:r>
      <w:r>
        <w:rPr>
          <w:rFonts w:ascii="Arial" w:hAnsi="Arial" w:cs="Arial" w:eastAsia="Arial" w:hint="default"/>
          <w:spacing w:val="-24"/>
        </w:rPr>
        <w:t> </w:t>
      </w:r>
      <w:r>
        <w:rPr/>
        <w:t>日，本集团开立的银行承兑汇票以存于银行的汇票保证金约人民</w:t>
      </w:r>
    </w:p>
    <w:p>
      <w:pPr>
        <w:pStyle w:val="BodyText"/>
        <w:spacing w:line="322" w:lineRule="exact"/>
        <w:ind w:left="811" w:right="104"/>
        <w:jc w:val="left"/>
      </w:pPr>
      <w:r>
        <w:rPr/>
        <w:t>币</w:t>
      </w:r>
      <w:r>
        <w:rPr>
          <w:spacing w:val="-62"/>
        </w:rPr>
        <w:t> </w:t>
      </w:r>
      <w:r>
        <w:rPr>
          <w:rFonts w:ascii="Arial" w:hAnsi="Arial" w:cs="Arial" w:eastAsia="Arial" w:hint="default"/>
        </w:rPr>
        <w:t>71.4</w:t>
      </w:r>
      <w:r>
        <w:rPr>
          <w:rFonts w:ascii="Arial" w:hAnsi="Arial" w:cs="Arial" w:eastAsia="Arial" w:hint="default"/>
          <w:spacing w:val="49"/>
        </w:rPr>
        <w:t> </w:t>
      </w:r>
      <w:r>
        <w:rPr/>
        <w:t>亿元</w:t>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49"/>
        </w:rPr>
        <w:t> </w:t>
      </w:r>
      <w:r>
        <w:rPr/>
        <w:t>月</w:t>
      </w:r>
      <w:r>
        <w:rPr>
          <w:spacing w:val="-62"/>
        </w:rPr>
        <w:t> </w:t>
      </w:r>
      <w:r>
        <w:rPr>
          <w:rFonts w:ascii="Arial" w:hAnsi="Arial" w:cs="Arial" w:eastAsia="Arial" w:hint="default"/>
        </w:rPr>
        <w:t>31</w:t>
      </w:r>
      <w:r>
        <w:rPr>
          <w:rFonts w:ascii="Arial" w:hAnsi="Arial" w:cs="Arial" w:eastAsia="Arial" w:hint="default"/>
          <w:spacing w:val="50"/>
        </w:rPr>
        <w:t> </w:t>
      </w:r>
      <w:r>
        <w:rPr/>
        <w:t>日：约人民币</w:t>
      </w:r>
      <w:r>
        <w:rPr>
          <w:spacing w:val="-62"/>
        </w:rPr>
        <w:t> </w:t>
      </w:r>
      <w:r>
        <w:rPr>
          <w:rFonts w:ascii="Arial" w:hAnsi="Arial" w:cs="Arial" w:eastAsia="Arial" w:hint="default"/>
        </w:rPr>
        <w:t>86.2</w:t>
      </w:r>
      <w:r>
        <w:rPr>
          <w:rFonts w:ascii="Arial" w:hAnsi="Arial" w:cs="Arial" w:eastAsia="Arial" w:hint="default"/>
          <w:spacing w:val="49"/>
        </w:rPr>
        <w:t> </w:t>
      </w:r>
      <w:r>
        <w:rPr/>
        <w:t>亿元</w:t>
      </w:r>
      <w:r>
        <w:rPr>
          <w:rFonts w:ascii="Arial" w:hAnsi="Arial" w:cs="Arial" w:eastAsia="Arial" w:hint="default"/>
        </w:rPr>
        <w:t>)(</w:t>
      </w:r>
      <w:r>
        <w:rPr/>
        <w:t>附注五</w:t>
      </w:r>
      <w:r>
        <w:rPr>
          <w:rFonts w:ascii="Arial" w:hAnsi="Arial" w:cs="Arial" w:eastAsia="Arial" w:hint="default"/>
        </w:rPr>
        <w:t>(1))</w:t>
      </w:r>
      <w:r>
        <w:rPr/>
        <w:t>作为质押保证。</w:t>
      </w:r>
    </w:p>
    <w:p>
      <w:pPr>
        <w:spacing w:line="240" w:lineRule="auto" w:before="13"/>
        <w:rPr>
          <w:rFonts w:ascii="宋体" w:hAnsi="宋体" w:cs="宋体" w:eastAsia="宋体" w:hint="default"/>
          <w:sz w:val="21"/>
          <w:szCs w:val="21"/>
        </w:rPr>
      </w:pPr>
    </w:p>
    <w:p>
      <w:pPr>
        <w:pStyle w:val="BodyText"/>
        <w:spacing w:line="312" w:lineRule="exact"/>
        <w:ind w:left="811" w:right="185"/>
        <w:jc w:val="left"/>
      </w:pPr>
      <w:r>
        <w:rPr/>
        <w:t>于</w:t>
      </w:r>
      <w:r>
        <w:rPr>
          <w:spacing w:val="-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46"/>
        </w:rPr>
        <w:t> </w:t>
      </w:r>
      <w:r>
        <w:rPr/>
        <w:t>月</w:t>
      </w:r>
      <w:r>
        <w:rPr>
          <w:spacing w:val="-61"/>
        </w:rPr>
        <w:t> </w:t>
      </w:r>
      <w:r>
        <w:rPr>
          <w:rFonts w:ascii="Arial" w:hAnsi="Arial" w:cs="Arial" w:eastAsia="Arial" w:hint="default"/>
        </w:rPr>
        <w:t>31</w:t>
      </w:r>
      <w:r>
        <w:rPr>
          <w:rFonts w:ascii="Arial" w:hAnsi="Arial" w:cs="Arial" w:eastAsia="Arial" w:hint="default"/>
          <w:spacing w:val="46"/>
        </w:rPr>
        <w:t> </w:t>
      </w:r>
      <w:r>
        <w:rPr>
          <w:spacing w:val="-3"/>
        </w:rPr>
        <w:t>日，本集团无</w:t>
      </w:r>
      <w:r>
        <w:rPr>
          <w:rFonts w:ascii="Arial" w:hAnsi="Arial" w:cs="Arial" w:eastAsia="Arial" w:hint="default"/>
          <w:spacing w:val="-3"/>
        </w:rPr>
        <w:t>(2009</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46"/>
        </w:rPr>
        <w:t> </w:t>
      </w:r>
      <w:r>
        <w:rPr/>
        <w:t>月</w:t>
      </w:r>
      <w:r>
        <w:rPr>
          <w:spacing w:val="-61"/>
        </w:rPr>
        <w:t> </w:t>
      </w:r>
      <w:r>
        <w:rPr>
          <w:rFonts w:ascii="Arial" w:hAnsi="Arial" w:cs="Arial" w:eastAsia="Arial" w:hint="default"/>
        </w:rPr>
        <w:t>31</w:t>
      </w:r>
      <w:r>
        <w:rPr>
          <w:rFonts w:ascii="Arial" w:hAnsi="Arial" w:cs="Arial" w:eastAsia="Arial" w:hint="default"/>
          <w:spacing w:val="46"/>
        </w:rPr>
        <w:t> </w:t>
      </w:r>
      <w:r>
        <w:rPr>
          <w:spacing w:val="-5"/>
        </w:rPr>
        <w:t>日：约人民币</w:t>
      </w:r>
      <w:r>
        <w:rPr>
          <w:spacing w:val="-61"/>
        </w:rPr>
        <w:t> </w:t>
      </w:r>
      <w:r>
        <w:rPr>
          <w:rFonts w:ascii="Arial" w:hAnsi="Arial" w:cs="Arial" w:eastAsia="Arial" w:hint="default"/>
        </w:rPr>
        <w:t>6</w:t>
      </w:r>
      <w:r>
        <w:rPr>
          <w:rFonts w:ascii="Arial" w:hAnsi="Arial" w:cs="Arial" w:eastAsia="Arial" w:hint="default"/>
          <w:spacing w:val="-8"/>
        </w:rPr>
        <w:t> </w:t>
      </w:r>
      <w:r>
        <w:rPr/>
        <w:t>亿元</w:t>
      </w:r>
      <w:r>
        <w:rPr>
          <w:rFonts w:ascii="Arial" w:hAnsi="Arial" w:cs="Arial" w:eastAsia="Arial" w:hint="default"/>
        </w:rPr>
        <w:t>)</w:t>
      </w:r>
      <w:r>
        <w:rPr/>
        <w:t>以本公司股 东苏宁电器集团有限公司提供的担保作为保证开立的银行承兑汇票。</w:t>
      </w:r>
    </w:p>
    <w:p>
      <w:pPr>
        <w:spacing w:line="240" w:lineRule="auto" w:before="10"/>
        <w:rPr>
          <w:rFonts w:ascii="宋体" w:hAnsi="宋体" w:cs="宋体" w:eastAsia="宋体" w:hint="default"/>
          <w:sz w:val="18"/>
          <w:szCs w:val="18"/>
        </w:rPr>
      </w:pPr>
    </w:p>
    <w:p>
      <w:pPr>
        <w:tabs>
          <w:tab w:pos="811" w:val="left" w:leader="none"/>
        </w:tabs>
        <w:spacing w:before="0"/>
        <w:ind w:left="108"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(22)</w:t>
        <w:tab/>
      </w:r>
      <w:r>
        <w:rPr>
          <w:rFonts w:ascii="宋体" w:hAnsi="宋体" w:cs="宋体" w:eastAsia="宋体" w:hint="default"/>
          <w:b/>
          <w:bCs/>
          <w:sz w:val="24"/>
          <w:szCs w:val="24"/>
        </w:rPr>
        <w:t>应付账款</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7711" w:val="left" w:leader="none"/>
        </w:tabs>
        <w:spacing w:line="240" w:lineRule="auto"/>
        <w:ind w:left="4518" w:right="0"/>
        <w:jc w:val="center"/>
      </w:pP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spacing w:line="240" w:lineRule="auto" w:before="6"/>
        <w:rPr>
          <w:rFonts w:ascii="宋体" w:hAnsi="宋体" w:cs="宋体" w:eastAsia="宋体" w:hint="default"/>
          <w:sz w:val="19"/>
          <w:szCs w:val="19"/>
        </w:rPr>
      </w:pPr>
    </w:p>
    <w:p>
      <w:pPr>
        <w:pStyle w:val="BodyText"/>
        <w:tabs>
          <w:tab w:pos="5672" w:val="left" w:leader="none"/>
          <w:tab w:pos="8850" w:val="left" w:leader="none"/>
        </w:tabs>
        <w:spacing w:line="332" w:lineRule="exact"/>
        <w:ind w:left="811" w:right="104"/>
        <w:jc w:val="left"/>
        <w:rPr>
          <w:rFonts w:ascii="Arial" w:hAnsi="Arial" w:cs="Arial" w:eastAsia="Arial" w:hint="default"/>
        </w:rPr>
      </w:pPr>
      <w:r>
        <w:rPr>
          <w:position w:val="2"/>
        </w:rPr>
        <w:t>应付货款</w:t>
        <w:tab/>
      </w:r>
      <w:r>
        <w:rPr>
          <w:rFonts w:ascii="Arial" w:hAnsi="Arial" w:cs="Arial" w:eastAsia="Arial" w:hint="default"/>
          <w:spacing w:val="-1"/>
        </w:rPr>
        <w:t>6,839,024</w:t>
        <w:tab/>
        <w:t>5,002,900</w:t>
      </w:r>
      <w:r>
        <w:rPr>
          <w:rFonts w:ascii="Arial" w:hAnsi="Arial" w:cs="Arial" w:eastAsia="Arial" w:hint="default"/>
        </w:rPr>
      </w:r>
    </w:p>
    <w:p>
      <w:pPr>
        <w:pStyle w:val="BodyText"/>
        <w:tabs>
          <w:tab w:pos="4522" w:val="left" w:leader="none"/>
          <w:tab w:pos="6659" w:val="left" w:leader="none"/>
          <w:tab w:pos="7559" w:val="left" w:leader="none"/>
          <w:tab w:pos="9519" w:val="left" w:leader="none"/>
          <w:tab w:pos="10066" w:val="left" w:leader="none"/>
        </w:tabs>
        <w:spacing w:line="332" w:lineRule="exact"/>
        <w:ind w:left="811" w:right="104"/>
        <w:jc w:val="left"/>
        <w:rPr>
          <w:rFonts w:ascii="Arial" w:hAnsi="Arial" w:cs="Arial" w:eastAsia="Arial" w:hint="default"/>
        </w:rPr>
      </w:pPr>
      <w:r>
        <w:rPr>
          <w:position w:val="2"/>
        </w:rPr>
        <w:t>其他</w:t>
        <w:tab/>
      </w:r>
      <w:r>
        <w:rPr>
          <w:rFonts w:ascii="Arial" w:hAnsi="Arial" w:cs="Arial" w:eastAsia="Arial" w:hint="default"/>
        </w:rPr>
      </w:r>
      <w:r>
        <w:rPr>
          <w:rFonts w:ascii="Arial" w:hAnsi="Arial" w:cs="Arial" w:eastAsia="Arial" w:hint="default"/>
          <w:u w:val="single" w:color="000000"/>
        </w:rPr>
        <w:t> </w:t>
        <w:tab/>
        <w:t>-</w:t>
      </w:r>
      <w:r>
        <w:rPr>
          <w:rFonts w:ascii="Arial" w:hAnsi="Arial" w:cs="Arial" w:eastAsia="Arial" w:hint="default"/>
        </w:rPr>
        <w:tab/>
      </w:r>
      <w:r>
        <w:rPr>
          <w:rFonts w:ascii="Arial" w:hAnsi="Arial" w:cs="Arial" w:eastAsia="Arial" w:hint="default"/>
          <w:u w:val="single" w:color="000000"/>
        </w:rPr>
        <w:t> </w:t>
        <w:tab/>
        <w:t>217</w:t>
        <w:tab/>
      </w:r>
      <w:r>
        <w:rPr>
          <w:rFonts w:ascii="Arial" w:hAnsi="Arial" w:cs="Arial" w:eastAsia="Arial" w:hint="default"/>
        </w:rPr>
      </w:r>
    </w:p>
    <w:p>
      <w:pPr>
        <w:pStyle w:val="BodyText"/>
        <w:tabs>
          <w:tab w:pos="5554" w:val="left" w:leader="none"/>
          <w:tab w:pos="7442" w:val="left" w:leader="none"/>
          <w:tab w:pos="8752" w:val="left" w:leader="none"/>
          <w:tab w:pos="9949" w:val="left" w:leader="none"/>
        </w:tabs>
        <w:spacing w:line="240" w:lineRule="auto" w:before="9"/>
        <w:ind w:left="4405" w:right="0"/>
        <w:jc w:val="center"/>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6,839,024</w:t>
      </w:r>
      <w:r>
        <w:rPr>
          <w:rFonts w:ascii="Arial"/>
          <w:spacing w:val="-1"/>
        </w:rPr>
        <w:tab/>
      </w:r>
      <w:r>
        <w:rPr>
          <w:rFonts w:ascii="Arial"/>
          <w:spacing w:val="-1"/>
          <w:u w:val="thick" w:color="000000"/>
        </w:rPr>
        <w:t> </w:t>
        <w:tab/>
      </w:r>
      <w:r>
        <w:rPr>
          <w:rFonts w:ascii="Arial"/>
          <w:spacing w:val="-3"/>
          <w:u w:val="thick" w:color="000000"/>
        </w:rPr>
        <w:t>5,003,117</w:t>
        <w:tab/>
      </w:r>
      <w:r>
        <w:rPr>
          <w:rFonts w:ascii="Arial"/>
          <w:spacing w:val="-3"/>
        </w:rPr>
      </w:r>
    </w:p>
    <w:p>
      <w:pPr>
        <w:spacing w:line="240" w:lineRule="auto" w:before="8"/>
        <w:rPr>
          <w:rFonts w:ascii="Arial" w:hAnsi="Arial" w:cs="Arial" w:eastAsia="Arial" w:hint="default"/>
          <w:sz w:val="20"/>
          <w:szCs w:val="20"/>
        </w:rPr>
      </w:pPr>
    </w:p>
    <w:p>
      <w:pPr>
        <w:pStyle w:val="BodyText"/>
        <w:tabs>
          <w:tab w:pos="817" w:val="left" w:leader="none"/>
        </w:tabs>
        <w:spacing w:line="322" w:lineRule="exact" w:before="32"/>
        <w:ind w:left="116" w:right="104"/>
        <w:jc w:val="left"/>
        <w:rPr>
          <w:rFonts w:ascii="Arial" w:hAnsi="Arial" w:cs="Arial" w:eastAsia="Arial" w:hint="default"/>
        </w:rPr>
      </w:pPr>
      <w:r>
        <w:rPr>
          <w:rFonts w:ascii="Arial" w:hAnsi="Arial" w:cs="Arial" w:eastAsia="Arial" w:hint="default"/>
          <w:w w:val="99"/>
          <w:position w:val="2"/>
        </w:rPr>
        <w:t>(a)</w:t>
      </w:r>
      <w:r>
        <w:rPr>
          <w:rFonts w:ascii="Arial" w:hAnsi="Arial" w:cs="Arial" w:eastAsia="Arial" w:hint="default"/>
          <w:position w:val="2"/>
        </w:rPr>
        <w:tab/>
      </w:r>
      <w:r>
        <w:rPr/>
        <w:t>于</w:t>
      </w:r>
      <w:r>
        <w:rPr>
          <w:spacing w:val="-64"/>
        </w:rPr>
        <w:t> </w:t>
      </w:r>
      <w:r>
        <w:rPr>
          <w:rFonts w:ascii="Arial" w:hAnsi="Arial" w:cs="Arial" w:eastAsia="Arial" w:hint="default"/>
          <w:spacing w:val="-1"/>
          <w:w w:val="99"/>
        </w:rPr>
        <w:t>201</w:t>
      </w:r>
      <w:r>
        <w:rPr>
          <w:rFonts w:ascii="Arial" w:hAnsi="Arial" w:cs="Arial" w:eastAsia="Arial" w:hint="default"/>
          <w:w w:val="99"/>
        </w:rPr>
        <w:t>0</w:t>
      </w:r>
      <w:r>
        <w:rPr>
          <w:rFonts w:ascii="Arial" w:hAnsi="Arial" w:cs="Arial" w:eastAsia="Arial" w:hint="default"/>
          <w:spacing w:val="-11"/>
        </w:rPr>
        <w:t> </w:t>
      </w:r>
      <w:r>
        <w:rPr/>
        <w:t>年</w:t>
      </w:r>
      <w:r>
        <w:rPr>
          <w:spacing w:val="-64"/>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11"/>
        </w:rPr>
        <w:t> </w:t>
      </w:r>
      <w:r>
        <w:rPr/>
        <w:t>月</w:t>
      </w:r>
      <w:r>
        <w:rPr>
          <w:spacing w:val="-64"/>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11"/>
        </w:rPr>
        <w:t> </w:t>
      </w:r>
      <w:r>
        <w:rPr/>
        <w:t>日及</w:t>
      </w:r>
      <w:r>
        <w:rPr>
          <w:spacing w:val="-64"/>
        </w:rPr>
        <w:t> </w:t>
      </w:r>
      <w:r>
        <w:rPr>
          <w:rFonts w:ascii="Arial" w:hAnsi="Arial" w:cs="Arial" w:eastAsia="Arial" w:hint="default"/>
          <w:spacing w:val="-1"/>
          <w:w w:val="99"/>
        </w:rPr>
        <w:t>200</w:t>
      </w:r>
      <w:r>
        <w:rPr>
          <w:rFonts w:ascii="Arial" w:hAnsi="Arial" w:cs="Arial" w:eastAsia="Arial" w:hint="default"/>
          <w:w w:val="99"/>
        </w:rPr>
        <w:t>9</w:t>
      </w:r>
      <w:r>
        <w:rPr>
          <w:rFonts w:ascii="Arial" w:hAnsi="Arial" w:cs="Arial" w:eastAsia="Arial" w:hint="default"/>
          <w:spacing w:val="-11"/>
        </w:rPr>
        <w:t> </w:t>
      </w:r>
      <w:r>
        <w:rPr/>
        <w:t>年</w:t>
      </w:r>
      <w:r>
        <w:rPr>
          <w:spacing w:val="-64"/>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11"/>
        </w:rPr>
        <w:t> </w:t>
      </w:r>
      <w:r>
        <w:rPr/>
        <w:t>月</w:t>
      </w:r>
      <w:r>
        <w:rPr>
          <w:spacing w:val="-64"/>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11"/>
        </w:rPr>
        <w:t> </w:t>
      </w:r>
      <w:r>
        <w:rPr/>
        <w:t>日</w:t>
      </w:r>
      <w:r>
        <w:rPr>
          <w:spacing w:val="-120"/>
        </w:rPr>
        <w:t>，</w:t>
      </w:r>
      <w:r>
        <w:rPr/>
        <w:t>应付账款中无应付持有本公司</w:t>
      </w:r>
      <w:r>
        <w:rPr>
          <w:spacing w:val="-64"/>
        </w:rPr>
        <w:t> </w:t>
      </w:r>
      <w:r>
        <w:rPr>
          <w:rFonts w:ascii="Arial" w:hAnsi="Arial" w:cs="Arial" w:eastAsia="Arial" w:hint="default"/>
          <w:spacing w:val="-1"/>
          <w:w w:val="99"/>
        </w:rPr>
        <w:t>5%</w:t>
      </w:r>
      <w:r>
        <w:rPr>
          <w:rFonts w:ascii="Arial" w:hAnsi="Arial" w:cs="Arial" w:eastAsia="Arial" w:hint="default"/>
          <w:w w:val="99"/>
        </w:rPr>
        <w:t>(</w:t>
      </w:r>
      <w:r>
        <w:rPr/>
        <w:t>含</w:t>
      </w:r>
      <w:r>
        <w:rPr>
          <w:spacing w:val="-64"/>
        </w:rPr>
        <w:t> </w:t>
      </w:r>
      <w:r>
        <w:rPr>
          <w:rFonts w:ascii="Arial" w:hAnsi="Arial" w:cs="Arial" w:eastAsia="Arial" w:hint="default"/>
          <w:spacing w:val="-1"/>
          <w:w w:val="99"/>
        </w:rPr>
        <w:t>5%)</w:t>
      </w:r>
      <w:r>
        <w:rPr>
          <w:rFonts w:ascii="Arial" w:hAnsi="Arial" w:cs="Arial" w:eastAsia="Arial" w:hint="default"/>
        </w:rPr>
      </w:r>
    </w:p>
    <w:p>
      <w:pPr>
        <w:pStyle w:val="BodyText"/>
        <w:spacing w:line="304" w:lineRule="exact"/>
        <w:ind w:left="817" w:right="104"/>
        <w:jc w:val="left"/>
      </w:pPr>
      <w:r>
        <w:rPr/>
        <w:t>以上表决权股份的股东的款项。</w:t>
      </w:r>
    </w:p>
    <w:p>
      <w:pPr>
        <w:spacing w:line="240" w:lineRule="auto" w:before="12"/>
        <w:rPr>
          <w:rFonts w:ascii="宋体" w:hAnsi="宋体" w:cs="宋体" w:eastAsia="宋体" w:hint="default"/>
          <w:sz w:val="20"/>
          <w:szCs w:val="20"/>
        </w:rPr>
      </w:pPr>
    </w:p>
    <w:p>
      <w:pPr>
        <w:pStyle w:val="BodyText"/>
        <w:tabs>
          <w:tab w:pos="817" w:val="left" w:leader="none"/>
        </w:tabs>
        <w:spacing w:line="240" w:lineRule="auto"/>
        <w:ind w:left="116" w:right="104"/>
        <w:jc w:val="left"/>
      </w:pPr>
      <w:r>
        <w:rPr>
          <w:rFonts w:ascii="Arial" w:hAnsi="Arial" w:cs="Arial" w:eastAsia="Arial" w:hint="default"/>
          <w:w w:val="95"/>
          <w:position w:val="2"/>
        </w:rPr>
        <w:t>(b)</w:t>
        <w:tab/>
      </w:r>
      <w:r>
        <w:rPr/>
        <w:t>于</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日及</w:t>
      </w:r>
      <w:r>
        <w:rPr>
          <w:spacing w:val="-61"/>
        </w:rPr>
        <w:t> </w:t>
      </w:r>
      <w:r>
        <w:rPr>
          <w:rFonts w:ascii="Arial" w:hAnsi="Arial" w:cs="Arial" w:eastAsia="Arial" w:hint="default"/>
        </w:rPr>
        <w:t>2009</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日，应付账款中无应付关联方的款项。</w:t>
      </w:r>
    </w:p>
    <w:p>
      <w:pPr>
        <w:spacing w:line="240" w:lineRule="auto" w:before="13"/>
        <w:rPr>
          <w:rFonts w:ascii="宋体" w:hAnsi="宋体" w:cs="宋体" w:eastAsia="宋体" w:hint="default"/>
          <w:sz w:val="21"/>
          <w:szCs w:val="21"/>
        </w:rPr>
      </w:pPr>
    </w:p>
    <w:p>
      <w:pPr>
        <w:pStyle w:val="BodyText"/>
        <w:spacing w:line="312" w:lineRule="exact"/>
        <w:ind w:left="817" w:right="191" w:hanging="701"/>
        <w:jc w:val="both"/>
      </w:pPr>
      <w:r>
        <w:rPr>
          <w:rFonts w:ascii="Arial" w:hAnsi="Arial" w:cs="Arial" w:eastAsia="Arial" w:hint="default"/>
          <w:w w:val="99"/>
          <w:position w:val="2"/>
        </w:rPr>
        <w:t>(c)</w:t>
      </w:r>
      <w:r>
        <w:rPr>
          <w:rFonts w:ascii="Arial" w:hAnsi="Arial" w:cs="Arial" w:eastAsia="Arial" w:hint="default"/>
          <w:spacing w:val="28"/>
          <w:w w:val="99"/>
          <w:position w:val="2"/>
        </w:rPr>
        <w:t> </w:t>
      </w:r>
      <w:r>
        <w:rPr>
          <w:w w:val="99"/>
        </w:rPr>
        <w:t>于</w:t>
      </w:r>
      <w:r>
        <w:rPr>
          <w:spacing w:val="-59"/>
          <w:w w:val="99"/>
        </w:rPr>
        <w:t> </w:t>
      </w:r>
      <w:r>
        <w:rPr>
          <w:rFonts w:ascii="Arial" w:hAnsi="Arial" w:cs="Arial" w:eastAsia="Arial" w:hint="default"/>
          <w:spacing w:val="-1"/>
          <w:w w:val="99"/>
        </w:rPr>
        <w:t>2010</w:t>
      </w:r>
      <w:r>
        <w:rPr>
          <w:rFonts w:ascii="Arial" w:hAnsi="Arial" w:cs="Arial" w:eastAsia="Arial" w:hint="default"/>
          <w:spacing w:val="-6"/>
          <w:w w:val="99"/>
        </w:rPr>
        <w:t> </w:t>
      </w:r>
      <w:r>
        <w:rPr/>
        <w:t>年</w:t>
      </w:r>
      <w:r>
        <w:rPr>
          <w:spacing w:val="-59"/>
        </w:rPr>
        <w:t> </w:t>
      </w:r>
      <w:r>
        <w:rPr>
          <w:rFonts w:ascii="Arial" w:hAnsi="Arial" w:cs="Arial" w:eastAsia="Arial" w:hint="default"/>
          <w:spacing w:val="-1"/>
          <w:w w:val="99"/>
        </w:rPr>
        <w:t>12</w:t>
      </w:r>
      <w:r>
        <w:rPr>
          <w:rFonts w:ascii="Arial" w:hAnsi="Arial" w:cs="Arial" w:eastAsia="Arial" w:hint="default"/>
          <w:spacing w:val="-6"/>
          <w:w w:val="99"/>
        </w:rPr>
        <w:t> </w:t>
      </w:r>
      <w:r>
        <w:rPr/>
        <w:t>月</w:t>
      </w:r>
      <w:r>
        <w:rPr>
          <w:spacing w:val="-59"/>
        </w:rPr>
        <w:t> </w:t>
      </w:r>
      <w:r>
        <w:rPr>
          <w:rFonts w:ascii="Arial" w:hAnsi="Arial" w:cs="Arial" w:eastAsia="Arial" w:hint="default"/>
          <w:spacing w:val="-1"/>
          <w:w w:val="99"/>
        </w:rPr>
        <w:t>31</w:t>
      </w:r>
      <w:r>
        <w:rPr>
          <w:rFonts w:ascii="Arial" w:hAnsi="Arial" w:cs="Arial" w:eastAsia="Arial" w:hint="default"/>
          <w:spacing w:val="-6"/>
          <w:w w:val="99"/>
        </w:rPr>
        <w:t> </w:t>
      </w:r>
      <w:r>
        <w:rPr>
          <w:spacing w:val="-8"/>
        </w:rPr>
        <w:t>日，账龄超过一年的应付账款约人民币</w:t>
      </w:r>
      <w:r>
        <w:rPr>
          <w:spacing w:val="-59"/>
        </w:rPr>
        <w:t> </w:t>
      </w:r>
      <w:r>
        <w:rPr>
          <w:rFonts w:ascii="Arial" w:hAnsi="Arial" w:cs="Arial" w:eastAsia="Arial" w:hint="default"/>
          <w:spacing w:val="-1"/>
          <w:w w:val="99"/>
        </w:rPr>
        <w:t>9,395</w:t>
      </w:r>
      <w:r>
        <w:rPr>
          <w:rFonts w:ascii="Arial" w:hAnsi="Arial" w:cs="Arial" w:eastAsia="Arial" w:hint="default"/>
          <w:spacing w:val="-6"/>
          <w:w w:val="99"/>
        </w:rPr>
        <w:t> </w:t>
      </w:r>
      <w:r>
        <w:rPr>
          <w:spacing w:val="-1"/>
          <w:w w:val="99"/>
        </w:rPr>
        <w:t>万元</w:t>
      </w:r>
      <w:r>
        <w:rPr>
          <w:rFonts w:ascii="Arial" w:hAnsi="Arial" w:cs="Arial" w:eastAsia="Arial" w:hint="default"/>
          <w:spacing w:val="-1"/>
          <w:w w:val="99"/>
        </w:rPr>
        <w:t>(2009</w:t>
      </w:r>
      <w:r>
        <w:rPr>
          <w:rFonts w:ascii="Arial" w:hAnsi="Arial" w:cs="Arial" w:eastAsia="Arial" w:hint="default"/>
          <w:spacing w:val="-6"/>
          <w:w w:val="99"/>
        </w:rPr>
        <w:t> </w:t>
      </w:r>
      <w:r>
        <w:rPr/>
        <w:t>年</w:t>
      </w:r>
      <w:r>
        <w:rPr>
          <w:spacing w:val="-59"/>
        </w:rPr>
        <w:t> </w:t>
      </w:r>
      <w:r>
        <w:rPr>
          <w:rFonts w:ascii="Arial" w:hAnsi="Arial" w:cs="Arial" w:eastAsia="Arial" w:hint="default"/>
          <w:spacing w:val="-1"/>
          <w:w w:val="99"/>
        </w:rPr>
        <w:t>12</w:t>
      </w:r>
      <w:r>
        <w:rPr>
          <w:rFonts w:ascii="Arial" w:hAnsi="Arial" w:cs="Arial" w:eastAsia="Arial" w:hint="default"/>
          <w:spacing w:val="-6"/>
          <w:w w:val="99"/>
        </w:rPr>
        <w:t> </w:t>
      </w:r>
      <w:r>
        <w:rPr/>
        <w:t>月</w:t>
      </w:r>
      <w:r>
        <w:rPr>
          <w:spacing w:val="-59"/>
        </w:rPr>
        <w:t> </w:t>
      </w:r>
      <w:r>
        <w:rPr>
          <w:rFonts w:ascii="Arial" w:hAnsi="Arial" w:cs="Arial" w:eastAsia="Arial" w:hint="default"/>
          <w:spacing w:val="-1"/>
          <w:w w:val="99"/>
        </w:rPr>
        <w:t>31 </w:t>
      </w:r>
      <w:r>
        <w:rPr/>
        <w:t>日：约人民币 </w:t>
      </w:r>
      <w:r>
        <w:rPr>
          <w:rFonts w:ascii="Arial" w:hAnsi="Arial" w:cs="Arial" w:eastAsia="Arial" w:hint="default"/>
        </w:rPr>
        <w:t>3,645 </w:t>
      </w:r>
      <w:r>
        <w:rPr/>
        <w:t>万元</w:t>
      </w:r>
      <w:r>
        <w:rPr>
          <w:rFonts w:ascii="Arial" w:hAnsi="Arial" w:cs="Arial" w:eastAsia="Arial" w:hint="default"/>
        </w:rPr>
        <w:t>)</w:t>
      </w:r>
      <w:r>
        <w:rPr>
          <w:rFonts w:ascii="Arial" w:hAnsi="Arial" w:cs="Arial" w:eastAsia="Arial" w:hint="default"/>
          <w:spacing w:val="8"/>
        </w:rPr>
        <w:t> </w:t>
      </w:r>
      <w:r>
        <w:rPr/>
        <w:t>，主要为以前年度滚存的供应商货款，供应商未及时与本集 团进行结算，截至本财务报表批准报出日止，已偿还约人民币</w:t>
      </w:r>
      <w:r>
        <w:rPr>
          <w:spacing w:val="-63"/>
        </w:rPr>
        <w:t> </w:t>
      </w:r>
      <w:r>
        <w:rPr>
          <w:rFonts w:ascii="Arial" w:hAnsi="Arial" w:cs="Arial" w:eastAsia="Arial" w:hint="default"/>
        </w:rPr>
        <w:t>2,300</w:t>
      </w:r>
      <w:r>
        <w:rPr>
          <w:rFonts w:ascii="Arial" w:hAnsi="Arial" w:cs="Arial" w:eastAsia="Arial" w:hint="default"/>
          <w:spacing w:val="-10"/>
        </w:rPr>
        <w:t> </w:t>
      </w:r>
      <w:r>
        <w:rPr/>
        <w:t>万元</w:t>
      </w:r>
      <w:r>
        <w:rPr>
          <w:rFonts w:ascii="Arial" w:hAnsi="Arial" w:cs="Arial" w:eastAsia="Arial" w:hint="default"/>
        </w:rPr>
        <w:t>(</w:t>
      </w:r>
      <w:r>
        <w:rPr/>
        <w:t>附注九</w:t>
      </w:r>
      <w:r>
        <w:rPr>
          <w:rFonts w:ascii="Arial" w:hAnsi="Arial" w:cs="Arial" w:eastAsia="Arial" w:hint="default"/>
        </w:rPr>
        <w:t>(1))</w:t>
      </w:r>
      <w:r>
        <w:rPr/>
        <w:t>。</w:t>
      </w:r>
    </w:p>
    <w:p>
      <w:pPr>
        <w:spacing w:after="0" w:line="312" w:lineRule="exact"/>
        <w:jc w:val="both"/>
        <w:sectPr>
          <w:pgSz w:w="11910" w:h="16840"/>
          <w:pgMar w:header="755" w:footer="947" w:top="2300" w:bottom="1140" w:left="1020" w:right="700"/>
        </w:sectPr>
      </w:pPr>
    </w:p>
    <w:p>
      <w:pPr>
        <w:spacing w:line="240" w:lineRule="auto" w:before="6"/>
        <w:rPr>
          <w:rFonts w:ascii="宋体" w:hAnsi="宋体" w:cs="宋体" w:eastAsia="宋体" w:hint="default"/>
          <w:sz w:val="13"/>
          <w:szCs w:val="13"/>
        </w:rPr>
      </w:pPr>
    </w:p>
    <w:p>
      <w:pPr>
        <w:pStyle w:val="Heading2"/>
        <w:tabs>
          <w:tab w:pos="817" w:val="left" w:leader="none"/>
        </w:tabs>
        <w:spacing w:line="240" w:lineRule="auto"/>
        <w:ind w:left="116" w:right="104"/>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7" w:val="left" w:leader="none"/>
        </w:tabs>
        <w:spacing w:before="0"/>
        <w:ind w:left="116" w:right="104" w:firstLine="0"/>
        <w:jc w:val="left"/>
        <w:rPr>
          <w:rFonts w:ascii="Arial" w:hAnsi="Arial" w:cs="Arial" w:eastAsia="Arial" w:hint="default"/>
          <w:sz w:val="24"/>
          <w:szCs w:val="24"/>
        </w:rPr>
      </w:pPr>
      <w:r>
        <w:rPr>
          <w:rFonts w:ascii="Arial" w:hAnsi="Arial" w:cs="Arial" w:eastAsia="Arial" w:hint="default"/>
          <w:w w:val="95"/>
          <w:position w:val="2"/>
          <w:sz w:val="24"/>
          <w:szCs w:val="24"/>
        </w:rPr>
        <w:t>(22)</w:t>
        <w:tab/>
      </w:r>
      <w:r>
        <w:rPr>
          <w:rFonts w:ascii="宋体" w:hAnsi="宋体" w:cs="宋体" w:eastAsia="宋体" w:hint="default"/>
          <w:b/>
          <w:bCs/>
          <w:sz w:val="24"/>
          <w:szCs w:val="24"/>
        </w:rPr>
        <w:t>应付账款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BodyText"/>
        <w:tabs>
          <w:tab w:pos="817" w:val="left" w:leader="none"/>
        </w:tabs>
        <w:spacing w:line="240" w:lineRule="auto" w:before="222"/>
        <w:ind w:left="103" w:right="104"/>
        <w:jc w:val="left"/>
      </w:pPr>
      <w:r>
        <w:rPr>
          <w:rFonts w:ascii="Arial" w:hAnsi="Arial" w:cs="Arial" w:eastAsia="Arial" w:hint="default"/>
          <w:w w:val="95"/>
          <w:position w:val="2"/>
        </w:rPr>
        <w:t>(d)</w:t>
        <w:tab/>
      </w:r>
      <w:r>
        <w:rPr/>
        <w:t>应付账款中包括以下外币余额：</w:t>
      </w:r>
    </w:p>
    <w:p>
      <w:pPr>
        <w:spacing w:line="240" w:lineRule="auto" w:before="6"/>
        <w:rPr>
          <w:rFonts w:ascii="宋体" w:hAnsi="宋体" w:cs="宋体" w:eastAsia="宋体" w:hint="default"/>
          <w:sz w:val="21"/>
          <w:szCs w:val="21"/>
        </w:rPr>
      </w:pPr>
    </w:p>
    <w:p>
      <w:pPr>
        <w:tabs>
          <w:tab w:pos="5769" w:val="left" w:leader="none"/>
        </w:tabs>
        <w:spacing w:before="0"/>
        <w:ind w:left="1693" w:right="0" w:firstLine="0"/>
        <w:jc w:val="center"/>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tabs>
          <w:tab w:pos="3346" w:val="left" w:leader="none"/>
          <w:tab w:pos="4301" w:val="left" w:leader="none"/>
          <w:tab w:pos="5919" w:val="left" w:leader="none"/>
          <w:tab w:pos="7454" w:val="left" w:leader="none"/>
          <w:tab w:pos="8333" w:val="left" w:leader="none"/>
        </w:tabs>
        <w:spacing w:before="14"/>
        <w:ind w:left="1834" w:right="0" w:firstLine="0"/>
        <w:jc w:val="center"/>
        <w:rPr>
          <w:rFonts w:ascii="宋体" w:hAnsi="宋体" w:cs="宋体" w:eastAsia="宋体" w:hint="default"/>
          <w:sz w:val="20"/>
          <w:szCs w:val="20"/>
        </w:rPr>
      </w:pPr>
      <w:r>
        <w:rPr/>
        <w:pict>
          <v:group style="position:absolute;margin-left:149.880005pt;margin-top:1.550313pt;width:191.4pt;height:.1pt;mso-position-horizontal-relative:page;mso-position-vertical-relative:paragraph;z-index:-1003288" coordorigin="2998,31" coordsize="3828,2">
            <v:shape style="position:absolute;left:2998;top:31;width:3828;height:2" coordorigin="2998,31" coordsize="3828,0" path="m2998,31l6826,31e" filled="false" stroked="true" strokeweight="1.5pt" strokecolor="#000000">
              <v:path arrowok="t"/>
            </v:shape>
            <w10:wrap type="none"/>
          </v:group>
        </w:pict>
      </w:r>
      <w:r>
        <w:rPr/>
        <w:pict>
          <v:group style="position:absolute;margin-left:355.920013pt;margin-top:1.550313pt;width:187pt;height:.1pt;mso-position-horizontal-relative:page;mso-position-vertical-relative:paragraph;z-index:-1003264" coordorigin="7118,31" coordsize="3740,2">
            <v:shape style="position:absolute;left:7118;top:31;width:3740;height:2" coordorigin="7118,31" coordsize="3740,0" path="m7118,31l10858,31e" filled="false" stroked="true" strokeweight="1.5pt" strokecolor="#000000">
              <v:path arrowok="t"/>
            </v:shape>
            <w10:wrap type="none"/>
          </v:group>
        </w:pict>
      </w:r>
      <w:r>
        <w:rPr>
          <w:rFonts w:ascii="宋体" w:hAnsi="宋体" w:cs="宋体" w:eastAsia="宋体" w:hint="default"/>
          <w:sz w:val="20"/>
          <w:szCs w:val="20"/>
        </w:rPr>
        <w:t>外币金额</w:t>
        <w:tab/>
        <w:t>汇率</w:t>
        <w:tab/>
      </w:r>
      <w:r>
        <w:rPr>
          <w:rFonts w:ascii="宋体" w:hAnsi="宋体" w:cs="宋体" w:eastAsia="宋体" w:hint="default"/>
          <w:spacing w:val="-1"/>
          <w:sz w:val="20"/>
          <w:szCs w:val="20"/>
        </w:rPr>
        <w:t>折合人民币</w:t>
        <w:tab/>
      </w:r>
      <w:r>
        <w:rPr>
          <w:rFonts w:ascii="宋体" w:hAnsi="宋体" w:cs="宋体" w:eastAsia="宋体" w:hint="default"/>
          <w:sz w:val="20"/>
          <w:szCs w:val="20"/>
        </w:rPr>
        <w:t>外币金额</w:t>
        <w:tab/>
        <w:t>汇率</w:t>
        <w:tab/>
      </w:r>
      <w:r>
        <w:rPr>
          <w:rFonts w:ascii="宋体" w:hAnsi="宋体" w:cs="宋体" w:eastAsia="宋体" w:hint="default"/>
          <w:spacing w:val="-1"/>
          <w:sz w:val="20"/>
          <w:szCs w:val="20"/>
        </w:rPr>
        <w:t>折合人民币</w:t>
      </w:r>
    </w:p>
    <w:p>
      <w:pPr>
        <w:spacing w:line="240" w:lineRule="auto" w:before="6"/>
        <w:rPr>
          <w:rFonts w:ascii="宋体" w:hAnsi="宋体" w:cs="宋体" w:eastAsia="宋体" w:hint="default"/>
          <w:sz w:val="14"/>
          <w:szCs w:val="14"/>
        </w:rPr>
      </w:pPr>
    </w:p>
    <w:p>
      <w:pPr>
        <w:tabs>
          <w:tab w:pos="2447" w:val="left" w:leader="none"/>
          <w:tab w:pos="3625" w:val="left" w:leader="none"/>
          <w:tab w:pos="5114" w:val="left" w:leader="none"/>
          <w:tab w:pos="7021" w:val="left" w:leader="none"/>
          <w:tab w:pos="8155" w:val="left" w:leader="none"/>
          <w:tab w:pos="9657" w:val="left" w:leader="none"/>
        </w:tabs>
        <w:spacing w:before="42"/>
        <w:ind w:left="925" w:right="104" w:firstLine="0"/>
        <w:jc w:val="left"/>
        <w:rPr>
          <w:rFonts w:ascii="Arial" w:hAnsi="Arial" w:cs="Arial" w:eastAsia="Arial" w:hint="default"/>
          <w:sz w:val="20"/>
          <w:szCs w:val="20"/>
        </w:rPr>
      </w:pPr>
      <w:r>
        <w:rPr>
          <w:rFonts w:ascii="宋体" w:hAnsi="宋体" w:cs="宋体" w:eastAsia="宋体" w:hint="default"/>
          <w:position w:val="1"/>
          <w:sz w:val="20"/>
          <w:szCs w:val="20"/>
        </w:rPr>
        <w:t>港元</w:t>
        <w:tab/>
      </w:r>
      <w:r>
        <w:rPr>
          <w:rFonts w:ascii="Arial" w:hAnsi="Arial" w:cs="Arial" w:eastAsia="Arial" w:hint="default"/>
          <w:sz w:val="20"/>
          <w:szCs w:val="20"/>
        </w:rPr>
        <w:t>69,730</w:t>
        <w:tab/>
        <w:t>0.8509</w:t>
        <w:tab/>
        <w:t>59,333</w:t>
        <w:tab/>
        <w:t>-</w:t>
        <w:tab/>
        <w:t>-</w:t>
        <w:tab/>
        <w:t>-</w:t>
      </w:r>
    </w:p>
    <w:p>
      <w:pPr>
        <w:tabs>
          <w:tab w:pos="8573" w:val="left" w:leader="none"/>
        </w:tabs>
        <w:spacing w:line="30" w:lineRule="exact"/>
        <w:ind w:left="4507" w:right="0" w:firstLine="0"/>
        <w:rPr>
          <w:rFonts w:ascii="Arial" w:hAnsi="Arial" w:cs="Arial" w:eastAsia="Arial" w:hint="default"/>
          <w:sz w:val="3"/>
          <w:szCs w:val="3"/>
        </w:rPr>
      </w:pPr>
      <w:r>
        <w:rPr>
          <w:rFonts w:ascii="Arial"/>
          <w:position w:val="0"/>
          <w:sz w:val="3"/>
        </w:rPr>
        <w:pict>
          <v:group style="width:66pt;height:1.5pt;mso-position-horizontal-relative:char;mso-position-vertical-relative:line" coordorigin="0,0" coordsize="1320,30">
            <v:group style="position:absolute;left:15;top:15;width:1290;height:2" coordorigin="15,15" coordsize="1290,2">
              <v:shape style="position:absolute;left:15;top:15;width:1290;height:2" coordorigin="15,15" coordsize="1290,0" path="m15,15l1305,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64.3500pt;height:1.5pt;mso-position-horizontal-relative:char;mso-position-vertical-relative:line" coordorigin="0,0" coordsize="1287,30">
            <v:group style="position:absolute;left:15;top:15;width:1257;height:2" coordorigin="15,15" coordsize="1257,2">
              <v:shape style="position:absolute;left:15;top:15;width:1257;height:2" coordorigin="15,15" coordsize="1257,0" path="m15,15l1271,15e" filled="false" stroked="true" strokeweight="1.5pt" strokecolor="#000000">
                <v:path arrowok="t"/>
              </v:shape>
            </v:group>
          </v:group>
        </w:pict>
      </w:r>
      <w:r>
        <w:rPr>
          <w:rFonts w:ascii="Arial"/>
          <w:position w:val="0"/>
          <w:sz w:val="3"/>
        </w:rPr>
      </w:r>
    </w:p>
    <w:p>
      <w:pPr>
        <w:spacing w:line="240" w:lineRule="auto" w:before="1"/>
        <w:rPr>
          <w:rFonts w:ascii="Arial" w:hAnsi="Arial" w:cs="Arial" w:eastAsia="Arial" w:hint="default"/>
          <w:sz w:val="15"/>
          <w:szCs w:val="15"/>
        </w:rPr>
      </w:pPr>
    </w:p>
    <w:p>
      <w:pPr>
        <w:tabs>
          <w:tab w:pos="819" w:val="left" w:leader="none"/>
        </w:tabs>
        <w:spacing w:before="32"/>
        <w:ind w:left="107"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(23)</w:t>
        <w:tab/>
      </w:r>
      <w:r>
        <w:rPr>
          <w:rFonts w:ascii="宋体" w:hAnsi="宋体" w:cs="宋体" w:eastAsia="宋体" w:hint="default"/>
          <w:b/>
          <w:bCs/>
          <w:sz w:val="24"/>
          <w:szCs w:val="24"/>
        </w:rPr>
        <w:t>预收款项</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pStyle w:val="BodyText"/>
        <w:tabs>
          <w:tab w:pos="7720" w:val="left" w:leader="none"/>
        </w:tabs>
        <w:spacing w:line="240" w:lineRule="auto" w:before="26"/>
        <w:ind w:left="4876" w:right="0"/>
        <w:jc w:val="center"/>
      </w:pPr>
      <w:r>
        <w:rPr>
          <w:rFonts w:ascii="Arial" w:hAnsi="Arial" w:cs="Arial" w:eastAsia="Arial" w:hint="default"/>
        </w:rPr>
        <w:t>2010</w:t>
      </w:r>
      <w:r>
        <w:rPr>
          <w:rFonts w:ascii="Arial" w:hAnsi="Arial" w:cs="Arial" w:eastAsia="Arial" w:hint="default"/>
          <w:spacing w:val="-12"/>
        </w:rPr>
        <w:t> </w:t>
      </w:r>
      <w:r>
        <w:rPr/>
        <w:t>年</w:t>
      </w:r>
      <w:r>
        <w:rPr>
          <w:spacing w:val="-65"/>
        </w:rPr>
        <w:t> </w:t>
      </w:r>
      <w:r>
        <w:rPr>
          <w:rFonts w:ascii="Arial" w:hAnsi="Arial" w:cs="Arial" w:eastAsia="Arial" w:hint="default"/>
        </w:rPr>
        <w:t>12</w:t>
      </w:r>
      <w:r>
        <w:rPr>
          <w:rFonts w:ascii="Arial" w:hAnsi="Arial" w:cs="Arial" w:eastAsia="Arial" w:hint="default"/>
          <w:spacing w:val="-11"/>
        </w:rPr>
        <w:t> </w:t>
      </w:r>
      <w:r>
        <w:rPr/>
        <w:t>月</w:t>
      </w:r>
      <w:r>
        <w:rPr>
          <w:spacing w:val="-65"/>
        </w:rPr>
        <w:t> </w:t>
      </w:r>
      <w:r>
        <w:rPr>
          <w:rFonts w:ascii="Arial" w:hAnsi="Arial" w:cs="Arial" w:eastAsia="Arial" w:hint="default"/>
        </w:rPr>
        <w:t>31</w:t>
      </w:r>
      <w:r>
        <w:rPr>
          <w:rFonts w:ascii="Arial" w:hAnsi="Arial" w:cs="Arial" w:eastAsia="Arial" w:hint="default"/>
          <w:spacing w:val="-12"/>
        </w:rPr>
        <w:t> </w:t>
      </w:r>
      <w:r>
        <w:rPr/>
        <w:t>日</w:t>
        <w:tab/>
      </w:r>
      <w:r>
        <w:rPr>
          <w:rFonts w:ascii="Arial" w:hAnsi="Arial" w:cs="Arial" w:eastAsia="Arial" w:hint="default"/>
        </w:rPr>
        <w:t>2009</w:t>
      </w:r>
      <w:r>
        <w:rPr>
          <w:rFonts w:ascii="Arial" w:hAnsi="Arial" w:cs="Arial" w:eastAsia="Arial" w:hint="default"/>
          <w:spacing w:val="-10"/>
        </w:rPr>
        <w:t> </w:t>
      </w:r>
      <w:r>
        <w:rPr/>
        <w:t>年</w:t>
      </w:r>
      <w:r>
        <w:rPr>
          <w:spacing w:val="-64"/>
        </w:rPr>
        <w:t> </w:t>
      </w:r>
      <w:r>
        <w:rPr>
          <w:rFonts w:ascii="Arial" w:hAnsi="Arial" w:cs="Arial" w:eastAsia="Arial" w:hint="default"/>
        </w:rPr>
        <w:t>12</w:t>
      </w:r>
      <w:r>
        <w:rPr>
          <w:rFonts w:ascii="Arial" w:hAnsi="Arial" w:cs="Arial" w:eastAsia="Arial" w:hint="default"/>
          <w:spacing w:val="-11"/>
        </w:rPr>
        <w:t> </w:t>
      </w:r>
      <w:r>
        <w:rPr/>
        <w:t>月</w:t>
      </w:r>
      <w:r>
        <w:rPr>
          <w:spacing w:val="-64"/>
        </w:rPr>
        <w:t> </w:t>
      </w:r>
      <w:r>
        <w:rPr>
          <w:rFonts w:ascii="Arial" w:hAnsi="Arial" w:cs="Arial" w:eastAsia="Arial" w:hint="default"/>
        </w:rPr>
        <w:t>31</w:t>
      </w:r>
      <w:r>
        <w:rPr>
          <w:rFonts w:ascii="Arial" w:hAnsi="Arial" w:cs="Arial" w:eastAsia="Arial" w:hint="default"/>
          <w:spacing w:val="-11"/>
        </w:rPr>
        <w:t> </w:t>
      </w:r>
      <w:r>
        <w:rPr/>
        <w:t>日</w:t>
      </w:r>
    </w:p>
    <w:p>
      <w:pPr>
        <w:spacing w:line="240" w:lineRule="auto" w:before="12"/>
        <w:rPr>
          <w:rFonts w:ascii="宋体" w:hAnsi="宋体" w:cs="宋体" w:eastAsia="宋体" w:hint="default"/>
          <w:sz w:val="20"/>
          <w:szCs w:val="20"/>
        </w:rPr>
      </w:pPr>
    </w:p>
    <w:p>
      <w:pPr>
        <w:pStyle w:val="BodyText"/>
        <w:tabs>
          <w:tab w:pos="6225" w:val="left" w:leader="none"/>
          <w:tab w:pos="9080" w:val="left" w:leader="none"/>
        </w:tabs>
        <w:spacing w:line="337" w:lineRule="exact"/>
        <w:ind w:left="819" w:right="104"/>
        <w:jc w:val="left"/>
        <w:rPr>
          <w:rFonts w:ascii="Arial" w:hAnsi="Arial" w:cs="Arial" w:eastAsia="Arial" w:hint="default"/>
        </w:rPr>
      </w:pPr>
      <w:r>
        <w:rPr>
          <w:position w:val="2"/>
        </w:rPr>
        <w:t>预收货款</w:t>
        <w:tab/>
      </w:r>
      <w:r>
        <w:rPr>
          <w:rFonts w:ascii="Arial" w:hAnsi="Arial" w:cs="Arial" w:eastAsia="Arial" w:hint="default"/>
          <w:spacing w:val="-1"/>
        </w:rPr>
        <w:t>356,143</w:t>
        <w:tab/>
        <w:t>258,682</w:t>
      </w:r>
      <w:r>
        <w:rPr>
          <w:rFonts w:ascii="Arial" w:hAnsi="Arial" w:cs="Arial" w:eastAsia="Arial" w:hint="default"/>
        </w:rPr>
      </w:r>
    </w:p>
    <w:p>
      <w:pPr>
        <w:pStyle w:val="BodyText"/>
        <w:tabs>
          <w:tab w:pos="4953" w:val="left" w:leader="none"/>
          <w:tab w:pos="6358" w:val="left" w:leader="none"/>
          <w:tab w:pos="7797" w:val="left" w:leader="none"/>
          <w:tab w:pos="9231" w:val="left" w:leader="none"/>
          <w:tab w:pos="10066" w:val="left" w:leader="none"/>
        </w:tabs>
        <w:spacing w:line="337" w:lineRule="exact"/>
        <w:ind w:left="819" w:right="104"/>
        <w:jc w:val="left"/>
        <w:rPr>
          <w:rFonts w:ascii="Arial" w:hAnsi="Arial" w:cs="Arial" w:eastAsia="Arial" w:hint="default"/>
        </w:rPr>
      </w:pPr>
      <w:r>
        <w:rPr>
          <w:position w:val="2"/>
        </w:rPr>
        <w:t>预收房租</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37,677</w:t>
      </w:r>
      <w:r>
        <w:rPr>
          <w:rFonts w:ascii="Arial" w:hAnsi="Arial" w:cs="Arial" w:eastAsia="Arial" w:hint="default"/>
          <w:spacing w:val="-1"/>
        </w:rPr>
        <w:tab/>
      </w:r>
      <w:r>
        <w:rPr>
          <w:rFonts w:ascii="Arial" w:hAnsi="Arial" w:cs="Arial" w:eastAsia="Arial" w:hint="default"/>
          <w:spacing w:val="-1"/>
          <w:u w:val="single" w:color="000000"/>
        </w:rPr>
        <w:t> </w:t>
        <w:tab/>
      </w:r>
      <w:r>
        <w:rPr>
          <w:rFonts w:ascii="Arial" w:hAnsi="Arial" w:cs="Arial" w:eastAsia="Arial" w:hint="default"/>
          <w:spacing w:val="-4"/>
          <w:u w:val="single" w:color="000000"/>
        </w:rPr>
        <w:t>18,110</w:t>
        <w:tab/>
      </w:r>
      <w:r>
        <w:rPr>
          <w:rFonts w:ascii="Arial" w:hAnsi="Arial" w:cs="Arial" w:eastAsia="Arial" w:hint="default"/>
          <w:spacing w:val="-4"/>
        </w:rPr>
      </w:r>
    </w:p>
    <w:p>
      <w:pPr>
        <w:pStyle w:val="BodyText"/>
        <w:tabs>
          <w:tab w:pos="6107" w:val="left" w:leader="none"/>
          <w:tab w:pos="7694" w:val="left" w:leader="none"/>
          <w:tab w:pos="8962" w:val="left" w:leader="none"/>
          <w:tab w:pos="9949" w:val="left" w:leader="none"/>
        </w:tabs>
        <w:spacing w:line="240" w:lineRule="auto" w:before="9"/>
        <w:ind w:left="4850" w:right="0"/>
        <w:jc w:val="center"/>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393,820</w:t>
      </w:r>
      <w:r>
        <w:rPr>
          <w:rFonts w:ascii="Arial"/>
          <w:spacing w:val="-1"/>
        </w:rPr>
        <w:tab/>
      </w:r>
      <w:r>
        <w:rPr>
          <w:rFonts w:ascii="Arial"/>
          <w:spacing w:val="-1"/>
          <w:u w:val="thick" w:color="000000"/>
        </w:rPr>
        <w:t> </w:t>
        <w:tab/>
        <w:t>276,792</w:t>
        <w:tab/>
      </w:r>
      <w:r>
        <w:rPr>
          <w:rFonts w:ascii="Arial"/>
          <w:spacing w:val="-1"/>
        </w:rPr>
      </w:r>
    </w:p>
    <w:p>
      <w:pPr>
        <w:spacing w:line="240" w:lineRule="auto" w:before="6"/>
        <w:rPr>
          <w:rFonts w:ascii="Arial" w:hAnsi="Arial" w:cs="Arial" w:eastAsia="Arial" w:hint="default"/>
          <w:sz w:val="17"/>
          <w:szCs w:val="17"/>
        </w:rPr>
      </w:pPr>
    </w:p>
    <w:p>
      <w:pPr>
        <w:pStyle w:val="BodyText"/>
        <w:tabs>
          <w:tab w:pos="819" w:val="left" w:leader="none"/>
        </w:tabs>
        <w:spacing w:line="322" w:lineRule="exact" w:before="32"/>
        <w:ind w:left="107" w:right="104"/>
        <w:jc w:val="left"/>
        <w:rPr>
          <w:rFonts w:ascii="Arial" w:hAnsi="Arial" w:cs="Arial" w:eastAsia="Arial" w:hint="default"/>
        </w:rPr>
      </w:pPr>
      <w:r>
        <w:rPr>
          <w:rFonts w:ascii="Arial" w:hAnsi="Arial" w:cs="Arial" w:eastAsia="Arial" w:hint="default"/>
          <w:w w:val="99"/>
          <w:position w:val="2"/>
        </w:rPr>
        <w:t>(a)</w:t>
      </w:r>
      <w:r>
        <w:rPr>
          <w:rFonts w:ascii="Arial" w:hAnsi="Arial" w:cs="Arial" w:eastAsia="Arial" w:hint="default"/>
          <w:position w:val="2"/>
        </w:rPr>
        <w:tab/>
      </w:r>
      <w:r>
        <w:rPr/>
        <w:t>于</w:t>
      </w:r>
      <w:r>
        <w:rPr>
          <w:spacing w:val="-65"/>
        </w:rPr>
        <w:t> </w:t>
      </w:r>
      <w:r>
        <w:rPr>
          <w:rFonts w:ascii="Arial" w:hAnsi="Arial" w:cs="Arial" w:eastAsia="Arial" w:hint="default"/>
          <w:spacing w:val="-1"/>
          <w:w w:val="99"/>
        </w:rPr>
        <w:t>201</w:t>
      </w:r>
      <w:r>
        <w:rPr>
          <w:rFonts w:ascii="Arial" w:hAnsi="Arial" w:cs="Arial" w:eastAsia="Arial" w:hint="default"/>
          <w:w w:val="99"/>
        </w:rPr>
        <w:t>0</w:t>
      </w:r>
      <w:r>
        <w:rPr>
          <w:rFonts w:ascii="Arial" w:hAnsi="Arial" w:cs="Arial" w:eastAsia="Arial" w:hint="default"/>
          <w:spacing w:val="-12"/>
        </w:rPr>
        <w:t> </w:t>
      </w:r>
      <w:r>
        <w:rPr/>
        <w:t>年</w:t>
      </w:r>
      <w:r>
        <w:rPr>
          <w:spacing w:val="-64"/>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12"/>
        </w:rPr>
        <w:t> </w:t>
      </w:r>
      <w:r>
        <w:rPr/>
        <w:t>月</w:t>
      </w:r>
      <w:r>
        <w:rPr>
          <w:spacing w:val="-65"/>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12"/>
        </w:rPr>
        <w:t> </w:t>
      </w:r>
      <w:r>
        <w:rPr>
          <w:spacing w:val="1"/>
        </w:rPr>
        <w:t>日</w:t>
      </w:r>
      <w:r>
        <w:rPr/>
        <w:t>及</w:t>
      </w:r>
      <w:r>
        <w:rPr>
          <w:spacing w:val="-65"/>
        </w:rPr>
        <w:t> </w:t>
      </w:r>
      <w:r>
        <w:rPr>
          <w:rFonts w:ascii="Arial" w:hAnsi="Arial" w:cs="Arial" w:eastAsia="Arial" w:hint="default"/>
          <w:spacing w:val="-1"/>
          <w:w w:val="99"/>
        </w:rPr>
        <w:t>200</w:t>
      </w:r>
      <w:r>
        <w:rPr>
          <w:rFonts w:ascii="Arial" w:hAnsi="Arial" w:cs="Arial" w:eastAsia="Arial" w:hint="default"/>
          <w:w w:val="99"/>
        </w:rPr>
        <w:t>9</w:t>
      </w:r>
      <w:r>
        <w:rPr>
          <w:rFonts w:ascii="Arial" w:hAnsi="Arial" w:cs="Arial" w:eastAsia="Arial" w:hint="default"/>
          <w:spacing w:val="-12"/>
        </w:rPr>
        <w:t> </w:t>
      </w:r>
      <w:r>
        <w:rPr/>
        <w:t>年</w:t>
      </w:r>
      <w:r>
        <w:rPr>
          <w:spacing w:val="-64"/>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12"/>
        </w:rPr>
        <w:t> </w:t>
      </w:r>
      <w:r>
        <w:rPr/>
        <w:t>月</w:t>
      </w:r>
      <w:r>
        <w:rPr>
          <w:spacing w:val="-65"/>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12"/>
        </w:rPr>
        <w:t> </w:t>
      </w:r>
      <w:r>
        <w:rPr>
          <w:spacing w:val="1"/>
        </w:rPr>
        <w:t>日</w:t>
      </w:r>
      <w:r>
        <w:rPr>
          <w:spacing w:val="-120"/>
        </w:rPr>
        <w:t>，</w:t>
      </w:r>
      <w:r>
        <w:rPr/>
        <w:t>预收款项中无预收持有本公司</w:t>
      </w:r>
      <w:r>
        <w:rPr>
          <w:spacing w:val="-65"/>
        </w:rPr>
        <w:t> </w:t>
      </w:r>
      <w:r>
        <w:rPr>
          <w:rFonts w:ascii="Arial" w:hAnsi="Arial" w:cs="Arial" w:eastAsia="Arial" w:hint="default"/>
          <w:spacing w:val="-1"/>
          <w:w w:val="99"/>
        </w:rPr>
        <w:t>5%</w:t>
      </w:r>
      <w:r>
        <w:rPr>
          <w:rFonts w:ascii="Arial" w:hAnsi="Arial" w:cs="Arial" w:eastAsia="Arial" w:hint="default"/>
          <w:w w:val="99"/>
        </w:rPr>
        <w:t>(</w:t>
      </w:r>
      <w:r>
        <w:rPr/>
        <w:t>含</w:t>
      </w:r>
      <w:r>
        <w:rPr>
          <w:spacing w:val="-65"/>
        </w:rPr>
        <w:t> </w:t>
      </w:r>
      <w:r>
        <w:rPr>
          <w:rFonts w:ascii="Arial" w:hAnsi="Arial" w:cs="Arial" w:eastAsia="Arial" w:hint="default"/>
          <w:spacing w:val="-1"/>
          <w:w w:val="99"/>
        </w:rPr>
        <w:t>5%)</w:t>
      </w:r>
      <w:r>
        <w:rPr>
          <w:rFonts w:ascii="Arial" w:hAnsi="Arial" w:cs="Arial" w:eastAsia="Arial" w:hint="default"/>
        </w:rPr>
      </w:r>
    </w:p>
    <w:p>
      <w:pPr>
        <w:pStyle w:val="BodyText"/>
        <w:spacing w:line="304" w:lineRule="exact"/>
        <w:ind w:left="819" w:right="104"/>
        <w:jc w:val="left"/>
      </w:pPr>
      <w:r>
        <w:rPr/>
        <w:t>以上表决权股份的股东的款项。</w:t>
      </w:r>
    </w:p>
    <w:p>
      <w:pPr>
        <w:spacing w:line="240" w:lineRule="auto" w:before="6"/>
        <w:rPr>
          <w:rFonts w:ascii="宋体" w:hAnsi="宋体" w:cs="宋体" w:eastAsia="宋体" w:hint="default"/>
          <w:sz w:val="18"/>
          <w:szCs w:val="18"/>
        </w:rPr>
      </w:pPr>
    </w:p>
    <w:p>
      <w:pPr>
        <w:pStyle w:val="BodyText"/>
        <w:tabs>
          <w:tab w:pos="819" w:val="left" w:leader="none"/>
        </w:tabs>
        <w:spacing w:line="313" w:lineRule="exact" w:before="32"/>
        <w:ind w:left="108" w:right="104"/>
        <w:jc w:val="left"/>
      </w:pPr>
      <w:r>
        <w:rPr>
          <w:rFonts w:ascii="Arial" w:hAnsi="Arial" w:cs="Arial" w:eastAsia="Arial" w:hint="default"/>
          <w:w w:val="95"/>
          <w:position w:val="2"/>
        </w:rPr>
        <w:t>(b)</w:t>
        <w:tab/>
      </w:r>
      <w:r>
        <w:rPr/>
        <w:t>预收关联方的预收账款：</w:t>
      </w:r>
    </w:p>
    <w:p>
      <w:pPr>
        <w:pStyle w:val="BodyText"/>
        <w:tabs>
          <w:tab w:pos="7905" w:val="left" w:leader="none"/>
        </w:tabs>
        <w:spacing w:line="330" w:lineRule="exact"/>
        <w:ind w:left="5062" w:right="104"/>
        <w:jc w:val="left"/>
      </w:pP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spacing w:line="240" w:lineRule="auto" w:before="8"/>
        <w:rPr>
          <w:rFonts w:ascii="宋体" w:hAnsi="宋体" w:cs="宋体" w:eastAsia="宋体" w:hint="default"/>
          <w:sz w:val="17"/>
          <w:szCs w:val="17"/>
        </w:rPr>
      </w:pPr>
    </w:p>
    <w:p>
      <w:pPr>
        <w:pStyle w:val="BodyText"/>
        <w:tabs>
          <w:tab w:pos="4958" w:val="left" w:leader="none"/>
          <w:tab w:pos="7069" w:val="left" w:leader="none"/>
          <w:tab w:pos="7799" w:val="left" w:leader="none"/>
          <w:tab w:pos="9535" w:val="left" w:leader="none"/>
          <w:tab w:pos="10066" w:val="left" w:leader="none"/>
        </w:tabs>
        <w:spacing w:line="240" w:lineRule="auto" w:before="24"/>
        <w:ind w:left="819" w:right="104"/>
        <w:jc w:val="left"/>
        <w:rPr>
          <w:rFonts w:ascii="Arial" w:hAnsi="Arial" w:cs="Arial" w:eastAsia="Arial" w:hint="default"/>
        </w:rPr>
      </w:pPr>
      <w:r>
        <w:rPr>
          <w:spacing w:val="-1"/>
          <w:position w:val="2"/>
        </w:rPr>
        <w:t>预收苏宁置业</w:t>
      </w:r>
      <w:r>
        <w:rPr>
          <w:rFonts w:ascii="Arial" w:hAnsi="Arial" w:cs="Arial" w:eastAsia="Arial" w:hint="default"/>
          <w:spacing w:val="-1"/>
          <w:position w:val="2"/>
        </w:rPr>
        <w:t>(</w:t>
      </w:r>
      <w:r>
        <w:rPr>
          <w:spacing w:val="-1"/>
          <w:position w:val="2"/>
        </w:rPr>
        <w:t>附注六</w:t>
      </w:r>
      <w:r>
        <w:rPr>
          <w:rFonts w:ascii="Arial" w:hAnsi="Arial" w:cs="Arial" w:eastAsia="Arial" w:hint="default"/>
          <w:spacing w:val="-1"/>
          <w:position w:val="2"/>
        </w:rPr>
        <w:t>(6))</w:t>
        <w:tab/>
      </w:r>
      <w:r>
        <w:rPr>
          <w:rFonts w:ascii="Arial" w:hAnsi="Arial" w:cs="Arial" w:eastAsia="Arial" w:hint="default"/>
          <w:spacing w:val="-1"/>
        </w:rPr>
      </w:r>
      <w:r>
        <w:rPr>
          <w:rFonts w:ascii="Arial" w:hAnsi="Arial" w:cs="Arial" w:eastAsia="Arial" w:hint="default"/>
          <w:spacing w:val="-1"/>
          <w:u w:val="thick" w:color="000000"/>
        </w:rPr>
        <w:t> </w:t>
        <w:tab/>
      </w:r>
      <w:r>
        <w:rPr>
          <w:rFonts w:ascii="Arial" w:hAnsi="Arial" w:cs="Arial" w:eastAsia="Arial" w:hint="default"/>
          <w:u w:val="thick" w:color="000000"/>
        </w:rPr>
        <w:t>-</w:t>
      </w:r>
      <w:r>
        <w:rPr>
          <w:rFonts w:ascii="Arial" w:hAnsi="Arial" w:cs="Arial" w:eastAsia="Arial" w:hint="default"/>
        </w:rPr>
        <w:tab/>
      </w:r>
      <w:r>
        <w:rPr>
          <w:rFonts w:ascii="Arial" w:hAnsi="Arial" w:cs="Arial" w:eastAsia="Arial" w:hint="default"/>
          <w:u w:val="thick" w:color="000000"/>
        </w:rPr>
        <w:t> </w:t>
        <w:tab/>
      </w:r>
      <w:r>
        <w:rPr>
          <w:rFonts w:ascii="Arial" w:hAnsi="Arial" w:cs="Arial" w:eastAsia="Arial" w:hint="default"/>
          <w:spacing w:val="-1"/>
          <w:u w:val="thick" w:color="000000"/>
        </w:rPr>
        <w:t>730</w:t>
        <w:tab/>
      </w:r>
      <w:r>
        <w:rPr>
          <w:rFonts w:ascii="Arial" w:hAnsi="Arial" w:cs="Arial" w:eastAsia="Arial" w:hint="default"/>
          <w:spacing w:val="-1"/>
        </w:rPr>
      </w:r>
    </w:p>
    <w:p>
      <w:pPr>
        <w:spacing w:line="240" w:lineRule="auto" w:before="8"/>
        <w:rPr>
          <w:rFonts w:ascii="Arial" w:hAnsi="Arial" w:cs="Arial" w:eastAsia="Arial" w:hint="default"/>
          <w:sz w:val="17"/>
          <w:szCs w:val="17"/>
        </w:rPr>
      </w:pPr>
    </w:p>
    <w:p>
      <w:pPr>
        <w:pStyle w:val="BodyText"/>
        <w:tabs>
          <w:tab w:pos="820" w:val="left" w:leader="none"/>
        </w:tabs>
        <w:spacing w:line="321" w:lineRule="exact" w:before="32"/>
        <w:ind w:left="107" w:right="104"/>
        <w:jc w:val="left"/>
      </w:pPr>
      <w:r>
        <w:rPr>
          <w:rFonts w:ascii="Arial" w:hAnsi="Arial" w:cs="Arial" w:eastAsia="Arial" w:hint="default"/>
          <w:position w:val="2"/>
        </w:rPr>
        <w:t>(c)</w:t>
        <w:tab/>
      </w:r>
      <w:r>
        <w:rPr/>
        <w:t>于</w:t>
      </w:r>
      <w:r>
        <w:rPr>
          <w:spacing w:val="-44"/>
        </w:rPr>
        <w:t> </w:t>
      </w:r>
      <w:r>
        <w:rPr>
          <w:rFonts w:ascii="Arial" w:hAnsi="Arial" w:cs="Arial" w:eastAsia="Arial" w:hint="default"/>
        </w:rPr>
        <w:t>2010</w:t>
      </w:r>
      <w:r>
        <w:rPr>
          <w:rFonts w:ascii="Arial" w:hAnsi="Arial" w:cs="Arial" w:eastAsia="Arial" w:hint="default"/>
          <w:spacing w:val="9"/>
        </w:rPr>
        <w:t> </w:t>
      </w:r>
      <w:r>
        <w:rPr/>
        <w:t>年</w:t>
      </w:r>
      <w:r>
        <w:rPr>
          <w:spacing w:val="-44"/>
        </w:rPr>
        <w:t> </w:t>
      </w:r>
      <w:r>
        <w:rPr>
          <w:rFonts w:ascii="Arial" w:hAnsi="Arial" w:cs="Arial" w:eastAsia="Arial" w:hint="default"/>
        </w:rPr>
        <w:t>12</w:t>
      </w:r>
      <w:r>
        <w:rPr>
          <w:rFonts w:ascii="Arial" w:hAnsi="Arial" w:cs="Arial" w:eastAsia="Arial" w:hint="default"/>
          <w:spacing w:val="9"/>
        </w:rPr>
        <w:t> </w:t>
      </w:r>
      <w:r>
        <w:rPr/>
        <w:t>月</w:t>
      </w:r>
      <w:r>
        <w:rPr>
          <w:spacing w:val="-44"/>
        </w:rPr>
        <w:t> </w:t>
      </w:r>
      <w:r>
        <w:rPr>
          <w:rFonts w:ascii="Arial" w:hAnsi="Arial" w:cs="Arial" w:eastAsia="Arial" w:hint="default"/>
        </w:rPr>
        <w:t>31</w:t>
      </w:r>
      <w:r>
        <w:rPr>
          <w:rFonts w:ascii="Arial" w:hAnsi="Arial" w:cs="Arial" w:eastAsia="Arial" w:hint="default"/>
          <w:spacing w:val="9"/>
        </w:rPr>
        <w:t> </w:t>
      </w:r>
      <w:r>
        <w:rPr/>
        <w:t>日，账龄超过一年的预收款项约人民币</w:t>
      </w:r>
      <w:r>
        <w:rPr>
          <w:spacing w:val="-44"/>
        </w:rPr>
        <w:t> </w:t>
      </w:r>
      <w:r>
        <w:rPr>
          <w:rFonts w:ascii="Arial" w:hAnsi="Arial" w:cs="Arial" w:eastAsia="Arial" w:hint="default"/>
        </w:rPr>
        <w:t>2,056</w:t>
      </w:r>
      <w:r>
        <w:rPr>
          <w:rFonts w:ascii="Arial" w:hAnsi="Arial" w:cs="Arial" w:eastAsia="Arial" w:hint="default"/>
          <w:spacing w:val="9"/>
        </w:rPr>
        <w:t> </w:t>
      </w:r>
      <w:r>
        <w:rPr/>
        <w:t>万元</w:t>
      </w:r>
      <w:r>
        <w:rPr>
          <w:rFonts w:ascii="Arial" w:hAnsi="Arial" w:cs="Arial" w:eastAsia="Arial" w:hint="default"/>
        </w:rPr>
        <w:t>(2009</w:t>
      </w:r>
      <w:r>
        <w:rPr>
          <w:rFonts w:ascii="Arial" w:hAnsi="Arial" w:cs="Arial" w:eastAsia="Arial" w:hint="default"/>
          <w:spacing w:val="9"/>
        </w:rPr>
        <w:t> </w:t>
      </w:r>
      <w:r>
        <w:rPr/>
        <w:t>年</w:t>
      </w:r>
      <w:r>
        <w:rPr>
          <w:spacing w:val="-44"/>
        </w:rPr>
        <w:t> </w:t>
      </w:r>
      <w:r>
        <w:rPr>
          <w:rFonts w:ascii="Arial" w:hAnsi="Arial" w:cs="Arial" w:eastAsia="Arial" w:hint="default"/>
        </w:rPr>
        <w:t>12</w:t>
      </w:r>
      <w:r>
        <w:rPr>
          <w:rFonts w:ascii="Arial" w:hAnsi="Arial" w:cs="Arial" w:eastAsia="Arial" w:hint="default"/>
          <w:spacing w:val="7"/>
        </w:rPr>
        <w:t> </w:t>
      </w:r>
      <w:r>
        <w:rPr/>
        <w:t>月</w:t>
      </w:r>
    </w:p>
    <w:p>
      <w:pPr>
        <w:pStyle w:val="BodyText"/>
        <w:spacing w:line="311" w:lineRule="exact"/>
        <w:ind w:left="820" w:right="104"/>
        <w:jc w:val="left"/>
      </w:pPr>
      <w:r>
        <w:rPr>
          <w:rFonts w:ascii="Arial" w:hAnsi="Arial" w:cs="Arial" w:eastAsia="Arial" w:hint="default"/>
        </w:rPr>
        <w:t>31</w:t>
      </w:r>
      <w:r>
        <w:rPr>
          <w:rFonts w:ascii="Arial" w:hAnsi="Arial" w:cs="Arial" w:eastAsia="Arial" w:hint="default"/>
          <w:spacing w:val="-3"/>
        </w:rPr>
        <w:t> </w:t>
      </w:r>
      <w:r>
        <w:rPr>
          <w:spacing w:val="-6"/>
        </w:rPr>
        <w:t>日：约人民币</w:t>
      </w:r>
      <w:r>
        <w:rPr>
          <w:spacing w:val="-56"/>
        </w:rPr>
        <w:t> </w:t>
      </w:r>
      <w:r>
        <w:rPr>
          <w:rFonts w:ascii="Arial" w:hAnsi="Arial" w:cs="Arial" w:eastAsia="Arial" w:hint="default"/>
          <w:spacing w:val="-4"/>
        </w:rPr>
        <w:t>1,118</w:t>
      </w:r>
      <w:r>
        <w:rPr>
          <w:rFonts w:ascii="Arial" w:hAnsi="Arial" w:cs="Arial" w:eastAsia="Arial" w:hint="default"/>
          <w:spacing w:val="-3"/>
        </w:rPr>
        <w:t> </w:t>
      </w:r>
      <w:r>
        <w:rPr>
          <w:spacing w:val="-3"/>
        </w:rPr>
        <w:t>万元</w:t>
      </w:r>
      <w:r>
        <w:rPr>
          <w:rFonts w:ascii="Arial" w:hAnsi="Arial" w:cs="Arial" w:eastAsia="Arial" w:hint="default"/>
          <w:spacing w:val="-3"/>
        </w:rPr>
        <w:t>)</w:t>
      </w:r>
      <w:r>
        <w:rPr>
          <w:spacing w:val="-3"/>
        </w:rPr>
        <w:t>，主要为尚未与客户结算的尾款。截至财务报告批准报出日</w:t>
      </w:r>
    </w:p>
    <w:p>
      <w:pPr>
        <w:pStyle w:val="BodyText"/>
        <w:spacing w:line="322" w:lineRule="exact"/>
        <w:ind w:left="820" w:right="104"/>
        <w:jc w:val="left"/>
      </w:pPr>
      <w:r>
        <w:rPr/>
        <w:t>止，已结转收入约人民币</w:t>
      </w:r>
      <w:r>
        <w:rPr>
          <w:spacing w:val="-63"/>
        </w:rPr>
        <w:t> </w:t>
      </w:r>
      <w:r>
        <w:rPr>
          <w:rFonts w:ascii="Arial" w:hAnsi="Arial" w:cs="Arial" w:eastAsia="Arial" w:hint="default"/>
        </w:rPr>
        <w:t>921</w:t>
      </w:r>
      <w:r>
        <w:rPr>
          <w:rFonts w:ascii="Arial" w:hAnsi="Arial" w:cs="Arial" w:eastAsia="Arial" w:hint="default"/>
          <w:spacing w:val="-10"/>
        </w:rPr>
        <w:t> </w:t>
      </w:r>
      <w:r>
        <w:rPr/>
        <w:t>万元</w:t>
      </w:r>
      <w:r>
        <w:rPr>
          <w:rFonts w:ascii="Arial" w:hAnsi="Arial" w:cs="Arial" w:eastAsia="Arial" w:hint="default"/>
        </w:rPr>
        <w:t>(</w:t>
      </w:r>
      <w:r>
        <w:rPr/>
        <w:t>附注九</w:t>
      </w:r>
      <w:r>
        <w:rPr>
          <w:rFonts w:ascii="Arial" w:hAnsi="Arial" w:cs="Arial" w:eastAsia="Arial" w:hint="default"/>
        </w:rPr>
        <w:t>(1))</w:t>
      </w:r>
      <w:r>
        <w:rPr/>
        <w:t>。</w:t>
      </w:r>
    </w:p>
    <w:p>
      <w:pPr>
        <w:spacing w:line="240" w:lineRule="auto" w:before="8"/>
        <w:rPr>
          <w:rFonts w:ascii="宋体" w:hAnsi="宋体" w:cs="宋体" w:eastAsia="宋体" w:hint="default"/>
          <w:sz w:val="19"/>
          <w:szCs w:val="19"/>
        </w:rPr>
      </w:pPr>
    </w:p>
    <w:p>
      <w:pPr>
        <w:pStyle w:val="BodyText"/>
        <w:tabs>
          <w:tab w:pos="820" w:val="left" w:leader="none"/>
        </w:tabs>
        <w:spacing w:line="240" w:lineRule="auto"/>
        <w:ind w:left="107" w:right="104"/>
        <w:jc w:val="left"/>
      </w:pPr>
      <w:r>
        <w:rPr>
          <w:rFonts w:ascii="Arial" w:hAnsi="Arial" w:cs="Arial" w:eastAsia="Arial" w:hint="default"/>
          <w:w w:val="95"/>
          <w:position w:val="2"/>
        </w:rPr>
        <w:t>(d)</w:t>
        <w:tab/>
      </w:r>
      <w:r>
        <w:rPr/>
        <w:t>预收账款中包括以下外币余额：</w:t>
      </w:r>
    </w:p>
    <w:p>
      <w:pPr>
        <w:spacing w:line="240" w:lineRule="auto" w:before="13"/>
        <w:rPr>
          <w:rFonts w:ascii="宋体" w:hAnsi="宋体" w:cs="宋体" w:eastAsia="宋体" w:hint="default"/>
          <w:sz w:val="17"/>
          <w:szCs w:val="17"/>
        </w:rPr>
      </w:pPr>
    </w:p>
    <w:p>
      <w:pPr>
        <w:tabs>
          <w:tab w:pos="7109" w:val="left" w:leader="none"/>
        </w:tabs>
        <w:spacing w:before="0"/>
        <w:ind w:left="3033" w:right="104" w:firstLine="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line="240" w:lineRule="auto" w:before="5"/>
        <w:rPr>
          <w:rFonts w:ascii="宋体" w:hAnsi="宋体" w:cs="宋体" w:eastAsia="宋体" w:hint="default"/>
          <w:sz w:val="2"/>
          <w:szCs w:val="2"/>
        </w:rPr>
      </w:pPr>
    </w:p>
    <w:tbl>
      <w:tblPr>
        <w:tblW w:w="0" w:type="auto"/>
        <w:jc w:val="left"/>
        <w:tblInd w:w="893" w:type="dxa"/>
        <w:tblLayout w:type="fixed"/>
        <w:tblCellMar>
          <w:top w:w="0" w:type="dxa"/>
          <w:left w:w="0" w:type="dxa"/>
          <w:bottom w:w="0" w:type="dxa"/>
          <w:right w:w="0" w:type="dxa"/>
        </w:tblCellMar>
        <w:tblLook w:val="01E0"/>
      </w:tblPr>
      <w:tblGrid>
        <w:gridCol w:w="1087"/>
        <w:gridCol w:w="1366"/>
        <w:gridCol w:w="1180"/>
        <w:gridCol w:w="1283"/>
        <w:gridCol w:w="293"/>
        <w:gridCol w:w="1414"/>
        <w:gridCol w:w="1076"/>
        <w:gridCol w:w="1249"/>
      </w:tblGrid>
      <w:tr>
        <w:trPr>
          <w:trHeight w:val="389" w:hRule="exact"/>
        </w:trPr>
        <w:tc>
          <w:tcPr>
            <w:tcW w:w="1087" w:type="dxa"/>
            <w:tcBorders>
              <w:top w:val="nil" w:sz="6" w:space="0" w:color="auto"/>
              <w:left w:val="nil" w:sz="6" w:space="0" w:color="auto"/>
              <w:bottom w:val="nil" w:sz="6" w:space="0" w:color="auto"/>
              <w:right w:val="nil" w:sz="6" w:space="0" w:color="auto"/>
            </w:tcBorders>
          </w:tcPr>
          <w:p>
            <w:pPr/>
          </w:p>
        </w:tc>
        <w:tc>
          <w:tcPr>
            <w:tcW w:w="1366" w:type="dxa"/>
            <w:tcBorders>
              <w:top w:val="single" w:sz="12" w:space="0" w:color="000000"/>
              <w:left w:val="nil" w:sz="6" w:space="0" w:color="auto"/>
              <w:bottom w:val="nil" w:sz="6" w:space="0" w:color="auto"/>
              <w:right w:val="nil" w:sz="6" w:space="0" w:color="auto"/>
            </w:tcBorders>
          </w:tcPr>
          <w:p>
            <w:pPr>
              <w:pStyle w:val="TableParagraph"/>
              <w:spacing w:line="230" w:lineRule="exact"/>
              <w:ind w:right="279"/>
              <w:jc w:val="right"/>
              <w:rPr>
                <w:rFonts w:ascii="宋体" w:hAnsi="宋体" w:cs="宋体" w:eastAsia="宋体" w:hint="default"/>
                <w:sz w:val="20"/>
                <w:szCs w:val="20"/>
              </w:rPr>
            </w:pPr>
            <w:r>
              <w:rPr>
                <w:rFonts w:ascii="宋体" w:hAnsi="宋体" w:cs="宋体" w:eastAsia="宋体" w:hint="default"/>
                <w:sz w:val="20"/>
                <w:szCs w:val="20"/>
              </w:rPr>
              <w:t>外币金额</w:t>
            </w:r>
          </w:p>
        </w:tc>
        <w:tc>
          <w:tcPr>
            <w:tcW w:w="1180" w:type="dxa"/>
            <w:tcBorders>
              <w:top w:val="single" w:sz="12" w:space="0" w:color="000000"/>
              <w:left w:val="nil" w:sz="6" w:space="0" w:color="auto"/>
              <w:bottom w:val="nil" w:sz="6" w:space="0" w:color="auto"/>
              <w:right w:val="nil" w:sz="6" w:space="0" w:color="auto"/>
            </w:tcBorders>
          </w:tcPr>
          <w:p>
            <w:pPr>
              <w:pStyle w:val="TableParagraph"/>
              <w:spacing w:line="230" w:lineRule="exact"/>
              <w:ind w:left="78" w:right="0"/>
              <w:jc w:val="center"/>
              <w:rPr>
                <w:rFonts w:ascii="宋体" w:hAnsi="宋体" w:cs="宋体" w:eastAsia="宋体" w:hint="default"/>
                <w:sz w:val="20"/>
                <w:szCs w:val="20"/>
              </w:rPr>
            </w:pPr>
            <w:r>
              <w:rPr>
                <w:rFonts w:ascii="宋体" w:hAnsi="宋体" w:cs="宋体" w:eastAsia="宋体" w:hint="default"/>
                <w:sz w:val="20"/>
                <w:szCs w:val="20"/>
              </w:rPr>
              <w:t>汇率</w:t>
            </w:r>
          </w:p>
        </w:tc>
        <w:tc>
          <w:tcPr>
            <w:tcW w:w="1283" w:type="dxa"/>
            <w:tcBorders>
              <w:top w:val="single" w:sz="12" w:space="0" w:color="000000"/>
              <w:left w:val="nil" w:sz="6" w:space="0" w:color="auto"/>
              <w:bottom w:val="nil" w:sz="6" w:space="0" w:color="auto"/>
              <w:right w:val="nil" w:sz="6" w:space="0" w:color="auto"/>
            </w:tcBorders>
          </w:tcPr>
          <w:p>
            <w:pPr>
              <w:pStyle w:val="TableParagraph"/>
              <w:spacing w:line="230" w:lineRule="exact"/>
              <w:ind w:right="77"/>
              <w:jc w:val="right"/>
              <w:rPr>
                <w:rFonts w:ascii="宋体" w:hAnsi="宋体" w:cs="宋体" w:eastAsia="宋体" w:hint="default"/>
                <w:sz w:val="20"/>
                <w:szCs w:val="20"/>
              </w:rPr>
            </w:pPr>
            <w:r>
              <w:rPr>
                <w:rFonts w:ascii="宋体" w:hAnsi="宋体" w:cs="宋体" w:eastAsia="宋体" w:hint="default"/>
                <w:spacing w:val="-1"/>
                <w:sz w:val="20"/>
                <w:szCs w:val="20"/>
              </w:rPr>
              <w:t>折合人民币</w:t>
            </w:r>
          </w:p>
        </w:tc>
        <w:tc>
          <w:tcPr>
            <w:tcW w:w="293" w:type="dxa"/>
            <w:tcBorders>
              <w:top w:val="nil" w:sz="6" w:space="0" w:color="auto"/>
              <w:left w:val="nil" w:sz="6" w:space="0" w:color="auto"/>
              <w:bottom w:val="nil" w:sz="6" w:space="0" w:color="auto"/>
              <w:right w:val="nil" w:sz="6" w:space="0" w:color="auto"/>
            </w:tcBorders>
          </w:tcPr>
          <w:p>
            <w:pPr/>
          </w:p>
        </w:tc>
        <w:tc>
          <w:tcPr>
            <w:tcW w:w="1414" w:type="dxa"/>
            <w:tcBorders>
              <w:top w:val="single" w:sz="12" w:space="0" w:color="000000"/>
              <w:left w:val="nil" w:sz="6" w:space="0" w:color="auto"/>
              <w:bottom w:val="nil" w:sz="6" w:space="0" w:color="auto"/>
              <w:right w:val="nil" w:sz="6" w:space="0" w:color="auto"/>
            </w:tcBorders>
          </w:tcPr>
          <w:p>
            <w:pPr>
              <w:pStyle w:val="TableParagraph"/>
              <w:spacing w:line="230" w:lineRule="exact"/>
              <w:ind w:right="364"/>
              <w:jc w:val="right"/>
              <w:rPr>
                <w:rFonts w:ascii="宋体" w:hAnsi="宋体" w:cs="宋体" w:eastAsia="宋体" w:hint="default"/>
                <w:sz w:val="20"/>
                <w:szCs w:val="20"/>
              </w:rPr>
            </w:pPr>
            <w:r>
              <w:rPr>
                <w:rFonts w:ascii="宋体" w:hAnsi="宋体" w:cs="宋体" w:eastAsia="宋体" w:hint="default"/>
                <w:sz w:val="20"/>
                <w:szCs w:val="20"/>
              </w:rPr>
              <w:t>外币金额</w:t>
            </w:r>
          </w:p>
        </w:tc>
        <w:tc>
          <w:tcPr>
            <w:tcW w:w="1076" w:type="dxa"/>
            <w:tcBorders>
              <w:top w:val="single" w:sz="12" w:space="0" w:color="000000"/>
              <w:left w:val="nil" w:sz="6" w:space="0" w:color="auto"/>
              <w:bottom w:val="nil" w:sz="6" w:space="0" w:color="auto"/>
              <w:right w:val="nil" w:sz="6" w:space="0" w:color="auto"/>
            </w:tcBorders>
          </w:tcPr>
          <w:p>
            <w:pPr>
              <w:pStyle w:val="TableParagraph"/>
              <w:spacing w:line="230" w:lineRule="exact"/>
              <w:ind w:right="306"/>
              <w:jc w:val="right"/>
              <w:rPr>
                <w:rFonts w:ascii="宋体" w:hAnsi="宋体" w:cs="宋体" w:eastAsia="宋体" w:hint="default"/>
                <w:sz w:val="20"/>
                <w:szCs w:val="20"/>
              </w:rPr>
            </w:pPr>
            <w:r>
              <w:rPr>
                <w:rFonts w:ascii="宋体" w:hAnsi="宋体" w:cs="宋体" w:eastAsia="宋体" w:hint="default"/>
                <w:sz w:val="20"/>
                <w:szCs w:val="20"/>
              </w:rPr>
              <w:t>汇率</w:t>
            </w:r>
          </w:p>
        </w:tc>
        <w:tc>
          <w:tcPr>
            <w:tcW w:w="1249" w:type="dxa"/>
            <w:tcBorders>
              <w:top w:val="single" w:sz="12" w:space="0" w:color="000000"/>
              <w:left w:val="nil" w:sz="6" w:space="0" w:color="auto"/>
              <w:bottom w:val="nil" w:sz="6" w:space="0" w:color="auto"/>
              <w:right w:val="nil" w:sz="6" w:space="0" w:color="auto"/>
            </w:tcBorders>
          </w:tcPr>
          <w:p>
            <w:pPr>
              <w:pStyle w:val="TableParagraph"/>
              <w:spacing w:line="230" w:lineRule="exact"/>
              <w:ind w:right="77"/>
              <w:jc w:val="right"/>
              <w:rPr>
                <w:rFonts w:ascii="宋体" w:hAnsi="宋体" w:cs="宋体" w:eastAsia="宋体" w:hint="default"/>
                <w:sz w:val="20"/>
                <w:szCs w:val="20"/>
              </w:rPr>
            </w:pPr>
            <w:r>
              <w:rPr>
                <w:rFonts w:ascii="宋体" w:hAnsi="宋体" w:cs="宋体" w:eastAsia="宋体" w:hint="default"/>
                <w:spacing w:val="-1"/>
                <w:sz w:val="20"/>
                <w:szCs w:val="20"/>
              </w:rPr>
              <w:t>折合人民币</w:t>
            </w:r>
          </w:p>
        </w:tc>
      </w:tr>
      <w:tr>
        <w:trPr>
          <w:trHeight w:val="391"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20"/>
                <w:szCs w:val="20"/>
              </w:rPr>
            </w:pPr>
            <w:r>
              <w:rPr>
                <w:rFonts w:ascii="宋体" w:hAnsi="宋体" w:cs="宋体" w:eastAsia="宋体" w:hint="default"/>
                <w:sz w:val="20"/>
                <w:szCs w:val="20"/>
              </w:rPr>
              <w:t>港元</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13"/>
              <w:jc w:val="right"/>
              <w:rPr>
                <w:rFonts w:ascii="Arial" w:hAnsi="Arial" w:cs="Arial" w:eastAsia="Arial" w:hint="default"/>
                <w:sz w:val="20"/>
                <w:szCs w:val="20"/>
              </w:rPr>
            </w:pPr>
            <w:r>
              <w:rPr>
                <w:rFonts w:ascii="Arial"/>
                <w:sz w:val="20"/>
              </w:rPr>
              <w:t>79</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0"/>
              <w:jc w:val="center"/>
              <w:rPr>
                <w:rFonts w:ascii="Arial" w:hAnsi="Arial" w:cs="Arial" w:eastAsia="Arial" w:hint="default"/>
                <w:sz w:val="20"/>
                <w:szCs w:val="20"/>
              </w:rPr>
            </w:pPr>
            <w:r>
              <w:rPr>
                <w:rFonts w:ascii="Arial"/>
                <w:sz w:val="20"/>
              </w:rPr>
              <w:t>0.8509</w:t>
            </w:r>
          </w:p>
        </w:tc>
        <w:tc>
          <w:tcPr>
            <w:tcW w:w="1283" w:type="dxa"/>
            <w:tcBorders>
              <w:top w:val="nil" w:sz="6" w:space="0" w:color="auto"/>
              <w:left w:val="nil" w:sz="6" w:space="0" w:color="auto"/>
              <w:bottom w:val="single" w:sz="12" w:space="0" w:color="000000"/>
              <w:right w:val="nil" w:sz="6" w:space="0" w:color="auto"/>
            </w:tcBorders>
          </w:tcPr>
          <w:p>
            <w:pPr>
              <w:pStyle w:val="TableParagraph"/>
              <w:spacing w:line="240" w:lineRule="auto" w:before="127"/>
              <w:ind w:right="127"/>
              <w:jc w:val="right"/>
              <w:rPr>
                <w:rFonts w:ascii="Arial" w:hAnsi="Arial" w:cs="Arial" w:eastAsia="Arial" w:hint="default"/>
                <w:sz w:val="20"/>
                <w:szCs w:val="20"/>
              </w:rPr>
            </w:pPr>
            <w:r>
              <w:rPr>
                <w:rFonts w:ascii="Arial"/>
                <w:sz w:val="20"/>
              </w:rPr>
              <w:t>67</w:t>
            </w:r>
          </w:p>
        </w:tc>
        <w:tc>
          <w:tcPr>
            <w:tcW w:w="293"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422"/>
              <w:jc w:val="right"/>
              <w:rPr>
                <w:rFonts w:ascii="Arial" w:hAnsi="Arial" w:cs="Arial" w:eastAsia="Arial" w:hint="default"/>
                <w:sz w:val="20"/>
                <w:szCs w:val="20"/>
              </w:rPr>
            </w:pPr>
            <w:r>
              <w:rPr>
                <w:rFonts w:ascii="Arial"/>
                <w:w w:val="100"/>
                <w:sz w:val="20"/>
              </w:rPr>
              <w:t>-</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64"/>
              <w:jc w:val="right"/>
              <w:rPr>
                <w:rFonts w:ascii="Arial" w:hAnsi="Arial" w:cs="Arial" w:eastAsia="Arial" w:hint="default"/>
                <w:sz w:val="20"/>
                <w:szCs w:val="20"/>
              </w:rPr>
            </w:pPr>
            <w:r>
              <w:rPr>
                <w:rFonts w:ascii="Arial"/>
                <w:w w:val="100"/>
                <w:sz w:val="20"/>
              </w:rPr>
              <w:t>-</w:t>
            </w:r>
          </w:p>
        </w:tc>
        <w:tc>
          <w:tcPr>
            <w:tcW w:w="1249" w:type="dxa"/>
            <w:tcBorders>
              <w:top w:val="nil" w:sz="6" w:space="0" w:color="auto"/>
              <w:left w:val="nil" w:sz="6" w:space="0" w:color="auto"/>
              <w:bottom w:val="single" w:sz="12" w:space="0" w:color="000000"/>
              <w:right w:val="nil" w:sz="6" w:space="0" w:color="auto"/>
            </w:tcBorders>
          </w:tcPr>
          <w:p>
            <w:pPr>
              <w:pStyle w:val="TableParagraph"/>
              <w:spacing w:line="240" w:lineRule="auto" w:before="142"/>
              <w:ind w:right="85"/>
              <w:jc w:val="right"/>
              <w:rPr>
                <w:rFonts w:ascii="Arial" w:hAnsi="Arial" w:cs="Arial" w:eastAsia="Arial" w:hint="default"/>
                <w:sz w:val="20"/>
                <w:szCs w:val="20"/>
              </w:rPr>
            </w:pPr>
            <w:r>
              <w:rPr>
                <w:rFonts w:ascii="Arial"/>
                <w:w w:val="100"/>
                <w:sz w:val="20"/>
              </w:rPr>
              <w:t>-</w:t>
            </w:r>
          </w:p>
        </w:tc>
      </w:tr>
    </w:tbl>
    <w:p>
      <w:pPr>
        <w:spacing w:after="0" w:line="240" w:lineRule="auto"/>
        <w:jc w:val="right"/>
        <w:rPr>
          <w:rFonts w:ascii="Arial" w:hAnsi="Arial" w:cs="Arial" w:eastAsia="Arial" w:hint="default"/>
          <w:sz w:val="20"/>
          <w:szCs w:val="20"/>
        </w:rPr>
        <w:sectPr>
          <w:pgSz w:w="11910" w:h="16840"/>
          <w:pgMar w:header="755" w:footer="947" w:top="2300" w:bottom="1140" w:left="1020" w:right="700"/>
        </w:sectPr>
      </w:pPr>
    </w:p>
    <w:p>
      <w:pPr>
        <w:spacing w:line="240" w:lineRule="auto" w:before="6"/>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640"/>
        <w:gridCol w:w="4385"/>
        <w:gridCol w:w="282"/>
        <w:gridCol w:w="1277"/>
        <w:gridCol w:w="283"/>
        <w:gridCol w:w="1276"/>
        <w:gridCol w:w="284"/>
        <w:gridCol w:w="1574"/>
      </w:tblGrid>
      <w:tr>
        <w:trPr>
          <w:trHeight w:val="1099" w:hRule="exact"/>
        </w:trPr>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5" w:right="0"/>
              <w:jc w:val="left"/>
              <w:rPr>
                <w:rFonts w:ascii="Arial" w:hAnsi="Arial" w:cs="Arial" w:eastAsia="Arial" w:hint="default"/>
                <w:sz w:val="24"/>
                <w:szCs w:val="24"/>
              </w:rPr>
            </w:pPr>
            <w:r>
              <w:rPr>
                <w:rFonts w:ascii="Arial"/>
                <w:sz w:val="24"/>
              </w:rPr>
              <w:t>(24)</w:t>
            </w:r>
          </w:p>
        </w:tc>
        <w:tc>
          <w:tcPr>
            <w:tcW w:w="438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7"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24"/>
                <w:szCs w:val="24"/>
              </w:rPr>
            </w:pPr>
            <w:r>
              <w:rPr>
                <w:rFonts w:ascii="宋体" w:hAnsi="宋体" w:cs="宋体" w:eastAsia="宋体" w:hint="default"/>
                <w:b/>
                <w:bCs/>
                <w:sz w:val="24"/>
                <w:szCs w:val="24"/>
              </w:rPr>
              <w:t>应付职工薪酬</w:t>
            </w:r>
            <w:r>
              <w:rPr>
                <w:rFonts w:ascii="宋体" w:hAnsi="宋体" w:cs="宋体" w:eastAsia="宋体" w:hint="default"/>
                <w:sz w:val="24"/>
                <w:szCs w:val="24"/>
              </w:rPr>
            </w:r>
          </w:p>
        </w:tc>
        <w:tc>
          <w:tcPr>
            <w:tcW w:w="4976" w:type="dxa"/>
            <w:gridSpan w:val="6"/>
            <w:tcBorders>
              <w:top w:val="nil" w:sz="6" w:space="0" w:color="auto"/>
              <w:left w:val="nil" w:sz="6" w:space="0" w:color="auto"/>
              <w:bottom w:val="nil" w:sz="6" w:space="0" w:color="auto"/>
              <w:right w:val="nil" w:sz="6" w:space="0" w:color="auto"/>
            </w:tcBorders>
          </w:tcPr>
          <w:p>
            <w:pPr/>
          </w:p>
        </w:tc>
      </w:tr>
      <w:tr>
        <w:trPr>
          <w:trHeight w:val="407" w:hRule="exact"/>
        </w:trPr>
        <w:tc>
          <w:tcPr>
            <w:tcW w:w="640" w:type="dxa"/>
            <w:tcBorders>
              <w:top w:val="nil" w:sz="6" w:space="0" w:color="auto"/>
              <w:left w:val="nil" w:sz="6" w:space="0" w:color="auto"/>
              <w:bottom w:val="nil" w:sz="6" w:space="0" w:color="auto"/>
              <w:right w:val="nil" w:sz="6" w:space="0" w:color="auto"/>
            </w:tcBorders>
          </w:tcPr>
          <w:p>
            <w:pPr/>
          </w:p>
        </w:tc>
        <w:tc>
          <w:tcPr>
            <w:tcW w:w="438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2"/>
              <w:jc w:val="righ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28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36"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p>
        </w:tc>
      </w:tr>
      <w:tr>
        <w:trPr>
          <w:trHeight w:val="385" w:hRule="exact"/>
        </w:trPr>
        <w:tc>
          <w:tcPr>
            <w:tcW w:w="640" w:type="dxa"/>
            <w:tcBorders>
              <w:top w:val="nil" w:sz="6" w:space="0" w:color="auto"/>
              <w:left w:val="nil" w:sz="6" w:space="0" w:color="auto"/>
              <w:bottom w:val="nil" w:sz="6" w:space="0" w:color="auto"/>
              <w:right w:val="nil" w:sz="6" w:space="0" w:color="auto"/>
            </w:tcBorders>
          </w:tcPr>
          <w:p>
            <w:pPr/>
          </w:p>
        </w:tc>
        <w:tc>
          <w:tcPr>
            <w:tcW w:w="4385" w:type="dxa"/>
            <w:tcBorders>
              <w:top w:val="nil" w:sz="6" w:space="0" w:color="auto"/>
              <w:left w:val="nil" w:sz="6" w:space="0" w:color="auto"/>
              <w:bottom w:val="nil" w:sz="6" w:space="0" w:color="auto"/>
              <w:right w:val="nil" w:sz="6" w:space="0" w:color="auto"/>
            </w:tcBorders>
          </w:tcPr>
          <w:p>
            <w:pPr>
              <w:pStyle w:val="TableParagraph"/>
              <w:spacing w:line="240" w:lineRule="exact"/>
              <w:ind w:right="98"/>
              <w:jc w:val="righ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28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25" w:lineRule="exact"/>
              <w:ind w:right="99"/>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28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25" w:lineRule="exact"/>
              <w:ind w:right="98"/>
              <w:jc w:val="right"/>
              <w:rPr>
                <w:rFonts w:ascii="宋体" w:hAnsi="宋体" w:cs="宋体" w:eastAsia="宋体" w:hint="default"/>
                <w:sz w:val="20"/>
                <w:szCs w:val="20"/>
              </w:rPr>
            </w:pPr>
            <w:r>
              <w:rPr>
                <w:rFonts w:ascii="宋体" w:hAnsi="宋体" w:cs="宋体" w:eastAsia="宋体" w:hint="default"/>
                <w:sz w:val="20"/>
                <w:szCs w:val="20"/>
              </w:rPr>
              <w:t>本年减少</w:t>
            </w:r>
          </w:p>
        </w:tc>
        <w:tc>
          <w:tcPr>
            <w:tcW w:w="284"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exact"/>
              <w:ind w:left="436"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r>
      <w:tr>
        <w:trPr>
          <w:trHeight w:val="397" w:hRule="exact"/>
        </w:trPr>
        <w:tc>
          <w:tcPr>
            <w:tcW w:w="640" w:type="dxa"/>
            <w:tcBorders>
              <w:top w:val="nil" w:sz="6" w:space="0" w:color="auto"/>
              <w:left w:val="nil" w:sz="6" w:space="0" w:color="auto"/>
              <w:bottom w:val="nil" w:sz="6" w:space="0" w:color="auto"/>
              <w:right w:val="nil" w:sz="6" w:space="0" w:color="auto"/>
            </w:tcBorders>
          </w:tcPr>
          <w:p>
            <w:pPr/>
          </w:p>
        </w:tc>
        <w:tc>
          <w:tcPr>
            <w:tcW w:w="4385" w:type="dxa"/>
            <w:tcBorders>
              <w:top w:val="nil" w:sz="6" w:space="0" w:color="auto"/>
              <w:left w:val="nil" w:sz="6" w:space="0" w:color="auto"/>
              <w:bottom w:val="nil" w:sz="6" w:space="0" w:color="auto"/>
              <w:right w:val="nil" w:sz="6" w:space="0" w:color="auto"/>
            </w:tcBorders>
          </w:tcPr>
          <w:p>
            <w:pPr>
              <w:pStyle w:val="TableParagraph"/>
              <w:tabs>
                <w:tab w:pos="3543" w:val="left" w:leader="none"/>
              </w:tabs>
              <w:spacing w:line="240" w:lineRule="auto" w:before="91"/>
              <w:ind w:left="108" w:right="0"/>
              <w:jc w:val="left"/>
              <w:rPr>
                <w:rFonts w:ascii="Arial" w:hAnsi="Arial" w:cs="Arial" w:eastAsia="Arial" w:hint="default"/>
                <w:sz w:val="20"/>
                <w:szCs w:val="20"/>
              </w:rPr>
            </w:pPr>
            <w:r>
              <w:rPr>
                <w:rFonts w:ascii="宋体" w:hAnsi="宋体" w:cs="宋体" w:eastAsia="宋体" w:hint="default"/>
                <w:spacing w:val="-1"/>
                <w:position w:val="1"/>
                <w:sz w:val="20"/>
                <w:szCs w:val="20"/>
              </w:rPr>
              <w:t>工资、奖金、津贴和补贴</w:t>
              <w:tab/>
            </w:r>
            <w:r>
              <w:rPr>
                <w:rFonts w:ascii="Arial" w:hAnsi="Arial" w:cs="Arial" w:eastAsia="Arial" w:hint="default"/>
                <w:spacing w:val="-3"/>
                <w:sz w:val="20"/>
                <w:szCs w:val="20"/>
              </w:rPr>
              <w:t>119,223</w:t>
            </w:r>
          </w:p>
        </w:tc>
        <w:tc>
          <w:tcPr>
            <w:tcW w:w="28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76" w:right="0"/>
              <w:jc w:val="left"/>
              <w:rPr>
                <w:rFonts w:ascii="Arial" w:hAnsi="Arial" w:cs="Arial" w:eastAsia="Arial" w:hint="default"/>
                <w:sz w:val="20"/>
                <w:szCs w:val="20"/>
              </w:rPr>
            </w:pPr>
            <w:r>
              <w:rPr>
                <w:rFonts w:ascii="Arial"/>
                <w:sz w:val="20"/>
              </w:rPr>
              <w:t>1,958,239</w:t>
            </w:r>
          </w:p>
        </w:tc>
        <w:tc>
          <w:tcPr>
            <w:tcW w:w="28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51" w:right="0"/>
              <w:jc w:val="left"/>
              <w:rPr>
                <w:rFonts w:ascii="Arial" w:hAnsi="Arial" w:cs="Arial" w:eastAsia="Arial" w:hint="default"/>
                <w:sz w:val="20"/>
                <w:szCs w:val="20"/>
              </w:rPr>
            </w:pPr>
            <w:r>
              <w:rPr>
                <w:rFonts w:ascii="Arial"/>
                <w:sz w:val="20"/>
              </w:rPr>
              <w:t>(1,895,098)</w:t>
            </w:r>
          </w:p>
        </w:tc>
        <w:tc>
          <w:tcPr>
            <w:tcW w:w="284"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684" w:right="0"/>
              <w:jc w:val="left"/>
              <w:rPr>
                <w:rFonts w:ascii="Arial" w:hAnsi="Arial" w:cs="Arial" w:eastAsia="Arial" w:hint="default"/>
                <w:sz w:val="20"/>
                <w:szCs w:val="20"/>
              </w:rPr>
            </w:pPr>
            <w:r>
              <w:rPr>
                <w:rFonts w:ascii="Arial"/>
                <w:sz w:val="20"/>
              </w:rPr>
              <w:t>182,364</w:t>
            </w:r>
          </w:p>
        </w:tc>
      </w:tr>
      <w:tr>
        <w:trPr>
          <w:trHeight w:val="270" w:hRule="exact"/>
        </w:trPr>
        <w:tc>
          <w:tcPr>
            <w:tcW w:w="640" w:type="dxa"/>
            <w:tcBorders>
              <w:top w:val="nil" w:sz="6" w:space="0" w:color="auto"/>
              <w:left w:val="nil" w:sz="6" w:space="0" w:color="auto"/>
              <w:bottom w:val="nil" w:sz="6" w:space="0" w:color="auto"/>
              <w:right w:val="nil" w:sz="6" w:space="0" w:color="auto"/>
            </w:tcBorders>
          </w:tcPr>
          <w:p>
            <w:pPr/>
          </w:p>
        </w:tc>
        <w:tc>
          <w:tcPr>
            <w:tcW w:w="4385" w:type="dxa"/>
            <w:tcBorders>
              <w:top w:val="nil" w:sz="6" w:space="0" w:color="auto"/>
              <w:left w:val="nil" w:sz="6" w:space="0" w:color="auto"/>
              <w:bottom w:val="nil" w:sz="6" w:space="0" w:color="auto"/>
              <w:right w:val="nil" w:sz="6" w:space="0" w:color="auto"/>
            </w:tcBorders>
          </w:tcPr>
          <w:p>
            <w:pPr>
              <w:pStyle w:val="TableParagraph"/>
              <w:tabs>
                <w:tab w:pos="4185" w:val="left" w:leader="none"/>
              </w:tabs>
              <w:spacing w:line="251" w:lineRule="exact"/>
              <w:ind w:left="108" w:right="0"/>
              <w:jc w:val="left"/>
              <w:rPr>
                <w:rFonts w:ascii="Arial" w:hAnsi="Arial" w:cs="Arial" w:eastAsia="Arial" w:hint="default"/>
                <w:sz w:val="20"/>
                <w:szCs w:val="20"/>
              </w:rPr>
            </w:pPr>
            <w:r>
              <w:rPr>
                <w:rFonts w:ascii="宋体" w:hAnsi="宋体" w:cs="宋体" w:eastAsia="宋体" w:hint="default"/>
                <w:spacing w:val="-1"/>
                <w:position w:val="1"/>
                <w:sz w:val="20"/>
                <w:szCs w:val="20"/>
              </w:rPr>
              <w:t>职工福利费</w:t>
              <w:tab/>
            </w:r>
            <w:r>
              <w:rPr>
                <w:rFonts w:ascii="Arial" w:hAnsi="Arial" w:cs="Arial" w:eastAsia="Arial" w:hint="default"/>
                <w:sz w:val="20"/>
                <w:szCs w:val="20"/>
              </w:rPr>
              <w:t>-</w:t>
            </w:r>
          </w:p>
        </w:tc>
        <w:tc>
          <w:tcPr>
            <w:tcW w:w="28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8"/>
              <w:jc w:val="right"/>
              <w:rPr>
                <w:rFonts w:ascii="Arial" w:hAnsi="Arial" w:cs="Arial" w:eastAsia="Arial" w:hint="default"/>
                <w:sz w:val="20"/>
                <w:szCs w:val="20"/>
              </w:rPr>
            </w:pPr>
            <w:r>
              <w:rPr>
                <w:rFonts w:ascii="Arial"/>
                <w:spacing w:val="-1"/>
                <w:sz w:val="20"/>
              </w:rPr>
              <w:t>107,192</w:t>
            </w:r>
          </w:p>
        </w:tc>
        <w:tc>
          <w:tcPr>
            <w:tcW w:w="28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18" w:right="0"/>
              <w:jc w:val="left"/>
              <w:rPr>
                <w:rFonts w:ascii="Arial" w:hAnsi="Arial" w:cs="Arial" w:eastAsia="Arial" w:hint="default"/>
                <w:sz w:val="20"/>
                <w:szCs w:val="20"/>
              </w:rPr>
            </w:pPr>
            <w:r>
              <w:rPr>
                <w:rFonts w:ascii="Arial"/>
                <w:sz w:val="20"/>
              </w:rPr>
              <w:t>(107,152)</w:t>
            </w:r>
          </w:p>
        </w:tc>
        <w:tc>
          <w:tcPr>
            <w:tcW w:w="284"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4"/>
              <w:jc w:val="right"/>
              <w:rPr>
                <w:rFonts w:ascii="Arial" w:hAnsi="Arial" w:cs="Arial" w:eastAsia="Arial" w:hint="default"/>
                <w:sz w:val="20"/>
                <w:szCs w:val="20"/>
              </w:rPr>
            </w:pPr>
            <w:r>
              <w:rPr>
                <w:rFonts w:ascii="Arial"/>
                <w:sz w:val="20"/>
              </w:rPr>
              <w:t>40</w:t>
            </w:r>
          </w:p>
        </w:tc>
      </w:tr>
      <w:tr>
        <w:trPr>
          <w:trHeight w:val="259" w:hRule="exact"/>
        </w:trPr>
        <w:tc>
          <w:tcPr>
            <w:tcW w:w="640" w:type="dxa"/>
            <w:tcBorders>
              <w:top w:val="nil" w:sz="6" w:space="0" w:color="auto"/>
              <w:left w:val="nil" w:sz="6" w:space="0" w:color="auto"/>
              <w:bottom w:val="nil" w:sz="6" w:space="0" w:color="auto"/>
              <w:right w:val="nil" w:sz="6" w:space="0" w:color="auto"/>
            </w:tcBorders>
          </w:tcPr>
          <w:p>
            <w:pPr/>
          </w:p>
        </w:tc>
        <w:tc>
          <w:tcPr>
            <w:tcW w:w="4385" w:type="dxa"/>
            <w:tcBorders>
              <w:top w:val="nil" w:sz="6" w:space="0" w:color="auto"/>
              <w:left w:val="nil" w:sz="6" w:space="0" w:color="auto"/>
              <w:bottom w:val="single" w:sz="4" w:space="0" w:color="000000"/>
              <w:right w:val="nil" w:sz="6" w:space="0" w:color="auto"/>
            </w:tcBorders>
          </w:tcPr>
          <w:p>
            <w:pPr>
              <w:pStyle w:val="TableParagraph"/>
              <w:tabs>
                <w:tab w:pos="3751" w:val="left" w:leader="none"/>
              </w:tabs>
              <w:spacing w:line="251" w:lineRule="exact"/>
              <w:ind w:left="108" w:right="0"/>
              <w:jc w:val="left"/>
              <w:rPr>
                <w:rFonts w:ascii="Arial" w:hAnsi="Arial" w:cs="Arial" w:eastAsia="Arial" w:hint="default"/>
                <w:sz w:val="20"/>
                <w:szCs w:val="20"/>
              </w:rPr>
            </w:pPr>
            <w:r>
              <w:rPr>
                <w:rFonts w:ascii="宋体" w:hAnsi="宋体" w:cs="宋体" w:eastAsia="宋体" w:hint="default"/>
                <w:spacing w:val="-1"/>
                <w:position w:val="1"/>
                <w:sz w:val="20"/>
                <w:szCs w:val="20"/>
              </w:rPr>
              <w:t>社会保险费</w:t>
              <w:tab/>
            </w:r>
            <w:r>
              <w:rPr>
                <w:rFonts w:ascii="Arial" w:hAnsi="Arial" w:cs="Arial" w:eastAsia="Arial" w:hint="default"/>
                <w:sz w:val="20"/>
                <w:szCs w:val="20"/>
              </w:rPr>
              <w:t>1,552</w:t>
            </w:r>
          </w:p>
        </w:tc>
        <w:tc>
          <w:tcPr>
            <w:tcW w:w="282"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08"/>
              <w:jc w:val="right"/>
              <w:rPr>
                <w:rFonts w:ascii="Arial" w:hAnsi="Arial" w:cs="Arial" w:eastAsia="Arial" w:hint="default"/>
                <w:sz w:val="20"/>
                <w:szCs w:val="20"/>
              </w:rPr>
            </w:pPr>
            <w:r>
              <w:rPr>
                <w:rFonts w:ascii="Arial"/>
                <w:spacing w:val="-1"/>
                <w:sz w:val="20"/>
              </w:rPr>
              <w:t>307,919</w:t>
            </w:r>
          </w:p>
        </w:tc>
        <w:tc>
          <w:tcPr>
            <w:tcW w:w="283" w:type="dxa"/>
            <w:tcBorders>
              <w:top w:val="nil" w:sz="6" w:space="0" w:color="auto"/>
              <w:left w:val="nil" w:sz="6" w:space="0" w:color="auto"/>
              <w:bottom w:val="single" w:sz="4" w:space="0" w:color="000000"/>
              <w:right w:val="nil" w:sz="6" w:space="0" w:color="auto"/>
            </w:tcBorders>
          </w:tcPr>
          <w:p>
            <w:pP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318" w:right="0"/>
              <w:jc w:val="left"/>
              <w:rPr>
                <w:rFonts w:ascii="Arial" w:hAnsi="Arial" w:cs="Arial" w:eastAsia="Arial" w:hint="default"/>
                <w:sz w:val="20"/>
                <w:szCs w:val="20"/>
              </w:rPr>
            </w:pPr>
            <w:r>
              <w:rPr>
                <w:rFonts w:ascii="Arial"/>
                <w:sz w:val="20"/>
              </w:rPr>
              <w:t>(308,905)</w:t>
            </w:r>
          </w:p>
        </w:tc>
        <w:tc>
          <w:tcPr>
            <w:tcW w:w="284" w:type="dxa"/>
            <w:tcBorders>
              <w:top w:val="nil" w:sz="6" w:space="0" w:color="auto"/>
              <w:left w:val="nil" w:sz="6" w:space="0" w:color="auto"/>
              <w:bottom w:val="single" w:sz="4" w:space="0" w:color="000000"/>
              <w:right w:val="nil" w:sz="6" w:space="0" w:color="auto"/>
            </w:tcBorders>
          </w:tcPr>
          <w:p>
            <w:pP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64"/>
              <w:jc w:val="right"/>
              <w:rPr>
                <w:rFonts w:ascii="Arial" w:hAnsi="Arial" w:cs="Arial" w:eastAsia="Arial" w:hint="default"/>
                <w:sz w:val="20"/>
                <w:szCs w:val="20"/>
              </w:rPr>
            </w:pPr>
            <w:r>
              <w:rPr>
                <w:rFonts w:ascii="Arial"/>
                <w:sz w:val="20"/>
              </w:rPr>
              <w:t>566</w:t>
            </w:r>
          </w:p>
        </w:tc>
      </w:tr>
      <w:tr>
        <w:trPr>
          <w:trHeight w:val="281" w:hRule="exact"/>
        </w:trPr>
        <w:tc>
          <w:tcPr>
            <w:tcW w:w="640" w:type="dxa"/>
            <w:tcBorders>
              <w:top w:val="nil" w:sz="6" w:space="0" w:color="auto"/>
              <w:left w:val="nil" w:sz="6" w:space="0" w:color="auto"/>
              <w:bottom w:val="nil" w:sz="6" w:space="0" w:color="auto"/>
              <w:right w:val="single" w:sz="4" w:space="0" w:color="000000"/>
            </w:tcBorders>
          </w:tcPr>
          <w:p>
            <w:pPr/>
          </w:p>
        </w:tc>
        <w:tc>
          <w:tcPr>
            <w:tcW w:w="4385" w:type="dxa"/>
            <w:tcBorders>
              <w:top w:val="single" w:sz="4" w:space="0" w:color="000000"/>
              <w:left w:val="single" w:sz="4" w:space="0" w:color="000000"/>
              <w:bottom w:val="nil" w:sz="6" w:space="0" w:color="auto"/>
              <w:right w:val="nil" w:sz="6" w:space="0" w:color="auto"/>
            </w:tcBorders>
          </w:tcPr>
          <w:p>
            <w:pPr>
              <w:pStyle w:val="TableParagraph"/>
              <w:tabs>
                <w:tab w:pos="4247" w:val="right" w:leader="none"/>
              </w:tabs>
              <w:spacing w:line="257" w:lineRule="exact"/>
              <w:ind w:left="103" w:right="0"/>
              <w:jc w:val="left"/>
              <w:rPr>
                <w:rFonts w:ascii="Arial" w:hAnsi="Arial" w:cs="Arial" w:eastAsia="Arial" w:hint="default"/>
                <w:sz w:val="20"/>
                <w:szCs w:val="20"/>
              </w:rPr>
            </w:pPr>
            <w:r>
              <w:rPr>
                <w:rFonts w:ascii="宋体" w:hAnsi="宋体" w:cs="宋体" w:eastAsia="宋体" w:hint="default"/>
                <w:position w:val="1"/>
                <w:sz w:val="20"/>
                <w:szCs w:val="20"/>
              </w:rPr>
              <w:t>其中：医疗保险费</w:t>
            </w:r>
            <w:r>
              <w:rPr>
                <w:rFonts w:ascii="Arial" w:hAnsi="Arial" w:cs="Arial" w:eastAsia="Arial" w:hint="default"/>
                <w:sz w:val="20"/>
                <w:szCs w:val="20"/>
              </w:rPr>
              <w:tab/>
              <w:t>569</w:t>
            </w:r>
          </w:p>
        </w:tc>
        <w:tc>
          <w:tcPr>
            <w:tcW w:w="282"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8"/>
              <w:jc w:val="right"/>
              <w:rPr>
                <w:rFonts w:ascii="Arial" w:hAnsi="Arial" w:cs="Arial" w:eastAsia="Arial" w:hint="default"/>
                <w:sz w:val="20"/>
                <w:szCs w:val="20"/>
              </w:rPr>
            </w:pPr>
            <w:r>
              <w:rPr>
                <w:rFonts w:ascii="Arial"/>
                <w:spacing w:val="-3"/>
                <w:sz w:val="20"/>
              </w:rPr>
              <w:t>112,890</w:t>
            </w:r>
          </w:p>
        </w:tc>
        <w:tc>
          <w:tcPr>
            <w:tcW w:w="283" w:type="dxa"/>
            <w:tcBorders>
              <w:top w:val="single" w:sz="4" w:space="0" w:color="000000"/>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332" w:right="0"/>
              <w:jc w:val="left"/>
              <w:rPr>
                <w:rFonts w:ascii="Arial" w:hAnsi="Arial" w:cs="Arial" w:eastAsia="Arial" w:hint="default"/>
                <w:sz w:val="20"/>
                <w:szCs w:val="20"/>
              </w:rPr>
            </w:pPr>
            <w:r>
              <w:rPr>
                <w:rFonts w:ascii="Arial"/>
                <w:sz w:val="20"/>
              </w:rPr>
              <w:t>(113,252)</w:t>
            </w:r>
          </w:p>
        </w:tc>
        <w:tc>
          <w:tcPr>
            <w:tcW w:w="284" w:type="dxa"/>
            <w:tcBorders>
              <w:top w:val="single" w:sz="4" w:space="0" w:color="000000"/>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single" w:sz="4" w:space="0" w:color="000000"/>
            </w:tcBorders>
          </w:tcPr>
          <w:p>
            <w:pPr>
              <w:pStyle w:val="TableParagraph"/>
              <w:spacing w:line="240" w:lineRule="auto" w:before="27"/>
              <w:ind w:right="160"/>
              <w:jc w:val="right"/>
              <w:rPr>
                <w:rFonts w:ascii="Arial" w:hAnsi="Arial" w:cs="Arial" w:eastAsia="Arial" w:hint="default"/>
                <w:sz w:val="20"/>
                <w:szCs w:val="20"/>
              </w:rPr>
            </w:pPr>
            <w:r>
              <w:rPr>
                <w:rFonts w:ascii="Arial"/>
                <w:sz w:val="20"/>
              </w:rPr>
              <w:t>207</w:t>
            </w:r>
          </w:p>
        </w:tc>
      </w:tr>
      <w:tr>
        <w:trPr>
          <w:trHeight w:val="270" w:hRule="exact"/>
        </w:trPr>
        <w:tc>
          <w:tcPr>
            <w:tcW w:w="640" w:type="dxa"/>
            <w:tcBorders>
              <w:top w:val="nil" w:sz="6" w:space="0" w:color="auto"/>
              <w:left w:val="nil" w:sz="6" w:space="0" w:color="auto"/>
              <w:bottom w:val="nil" w:sz="6" w:space="0" w:color="auto"/>
              <w:right w:val="single" w:sz="4" w:space="0" w:color="000000"/>
            </w:tcBorders>
          </w:tcPr>
          <w:p>
            <w:pPr/>
          </w:p>
        </w:tc>
        <w:tc>
          <w:tcPr>
            <w:tcW w:w="4385" w:type="dxa"/>
            <w:tcBorders>
              <w:top w:val="nil" w:sz="6" w:space="0" w:color="auto"/>
              <w:left w:val="single" w:sz="4" w:space="0" w:color="000000"/>
              <w:bottom w:val="nil" w:sz="6" w:space="0" w:color="auto"/>
              <w:right w:val="nil" w:sz="6" w:space="0" w:color="auto"/>
            </w:tcBorders>
          </w:tcPr>
          <w:p>
            <w:pPr>
              <w:pStyle w:val="TableParagraph"/>
              <w:tabs>
                <w:tab w:pos="3582" w:val="right" w:leader="none"/>
              </w:tabs>
              <w:spacing w:line="251" w:lineRule="exact"/>
              <w:ind w:right="130"/>
              <w:jc w:val="right"/>
              <w:rPr>
                <w:rFonts w:ascii="Arial" w:hAnsi="Arial" w:cs="Arial" w:eastAsia="Arial" w:hint="default"/>
                <w:sz w:val="20"/>
                <w:szCs w:val="20"/>
              </w:rPr>
            </w:pPr>
            <w:r>
              <w:rPr>
                <w:rFonts w:ascii="宋体" w:hAnsi="宋体" w:cs="宋体" w:eastAsia="宋体" w:hint="default"/>
                <w:position w:val="1"/>
                <w:sz w:val="20"/>
                <w:szCs w:val="20"/>
              </w:rPr>
              <w:t>基本养老保险</w:t>
            </w:r>
            <w:r>
              <w:rPr>
                <w:rFonts w:ascii="Arial" w:hAnsi="Arial" w:cs="Arial" w:eastAsia="Arial" w:hint="default"/>
                <w:sz w:val="20"/>
                <w:szCs w:val="20"/>
              </w:rPr>
              <w:tab/>
              <w:t>748</w:t>
            </w:r>
          </w:p>
        </w:tc>
        <w:tc>
          <w:tcPr>
            <w:tcW w:w="28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8"/>
              <w:jc w:val="right"/>
              <w:rPr>
                <w:rFonts w:ascii="Arial" w:hAnsi="Arial" w:cs="Arial" w:eastAsia="Arial" w:hint="default"/>
                <w:sz w:val="20"/>
                <w:szCs w:val="20"/>
              </w:rPr>
            </w:pPr>
            <w:r>
              <w:rPr>
                <w:rFonts w:ascii="Arial"/>
                <w:spacing w:val="-1"/>
                <w:sz w:val="20"/>
              </w:rPr>
              <w:t>148,404</w:t>
            </w:r>
          </w:p>
        </w:tc>
        <w:tc>
          <w:tcPr>
            <w:tcW w:w="28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18" w:right="0"/>
              <w:jc w:val="left"/>
              <w:rPr>
                <w:rFonts w:ascii="Arial" w:hAnsi="Arial" w:cs="Arial" w:eastAsia="Arial" w:hint="default"/>
                <w:sz w:val="20"/>
                <w:szCs w:val="20"/>
              </w:rPr>
            </w:pPr>
            <w:r>
              <w:rPr>
                <w:rFonts w:ascii="Arial"/>
                <w:sz w:val="20"/>
              </w:rPr>
              <w:t>(148,879)</w:t>
            </w:r>
          </w:p>
        </w:tc>
        <w:tc>
          <w:tcPr>
            <w:tcW w:w="284"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right="159"/>
              <w:jc w:val="right"/>
              <w:rPr>
                <w:rFonts w:ascii="Arial" w:hAnsi="Arial" w:cs="Arial" w:eastAsia="Arial" w:hint="default"/>
                <w:sz w:val="20"/>
                <w:szCs w:val="20"/>
              </w:rPr>
            </w:pPr>
            <w:r>
              <w:rPr>
                <w:rFonts w:ascii="Arial"/>
                <w:sz w:val="20"/>
              </w:rPr>
              <w:t>273</w:t>
            </w:r>
          </w:p>
        </w:tc>
      </w:tr>
      <w:tr>
        <w:trPr>
          <w:trHeight w:val="265" w:hRule="exact"/>
        </w:trPr>
        <w:tc>
          <w:tcPr>
            <w:tcW w:w="640" w:type="dxa"/>
            <w:tcBorders>
              <w:top w:val="nil" w:sz="6" w:space="0" w:color="auto"/>
              <w:left w:val="nil" w:sz="6" w:space="0" w:color="auto"/>
              <w:bottom w:val="nil" w:sz="6" w:space="0" w:color="auto"/>
              <w:right w:val="single" w:sz="4" w:space="0" w:color="000000"/>
            </w:tcBorders>
          </w:tcPr>
          <w:p>
            <w:pPr/>
          </w:p>
        </w:tc>
        <w:tc>
          <w:tcPr>
            <w:tcW w:w="4385" w:type="dxa"/>
            <w:tcBorders>
              <w:top w:val="nil" w:sz="6" w:space="0" w:color="auto"/>
              <w:left w:val="single" w:sz="4" w:space="0" w:color="000000"/>
              <w:bottom w:val="nil" w:sz="6" w:space="0" w:color="auto"/>
              <w:right w:val="nil" w:sz="6" w:space="0" w:color="auto"/>
            </w:tcBorders>
          </w:tcPr>
          <w:p>
            <w:pPr>
              <w:pStyle w:val="TableParagraph"/>
              <w:tabs>
                <w:tab w:pos="3582" w:val="right" w:leader="none"/>
              </w:tabs>
              <w:spacing w:line="251" w:lineRule="exact"/>
              <w:ind w:right="130"/>
              <w:jc w:val="right"/>
              <w:rPr>
                <w:rFonts w:ascii="Arial" w:hAnsi="Arial" w:cs="Arial" w:eastAsia="Arial" w:hint="default"/>
                <w:sz w:val="20"/>
                <w:szCs w:val="20"/>
              </w:rPr>
            </w:pPr>
            <w:r>
              <w:rPr>
                <w:rFonts w:ascii="宋体" w:hAnsi="宋体" w:cs="宋体" w:eastAsia="宋体" w:hint="default"/>
                <w:position w:val="1"/>
                <w:sz w:val="20"/>
                <w:szCs w:val="20"/>
              </w:rPr>
              <w:t>失业保险费</w:t>
            </w:r>
            <w:r>
              <w:rPr>
                <w:rFonts w:ascii="Arial" w:hAnsi="Arial" w:cs="Arial" w:eastAsia="Arial" w:hint="default"/>
                <w:sz w:val="20"/>
                <w:szCs w:val="20"/>
              </w:rPr>
              <w:tab/>
              <w:t>134</w:t>
            </w:r>
          </w:p>
        </w:tc>
        <w:tc>
          <w:tcPr>
            <w:tcW w:w="28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8"/>
              <w:jc w:val="right"/>
              <w:rPr>
                <w:rFonts w:ascii="Arial" w:hAnsi="Arial" w:cs="Arial" w:eastAsia="Arial" w:hint="default"/>
                <w:sz w:val="20"/>
                <w:szCs w:val="20"/>
              </w:rPr>
            </w:pPr>
            <w:r>
              <w:rPr>
                <w:rFonts w:ascii="Arial"/>
                <w:sz w:val="20"/>
              </w:rPr>
              <w:t>26,586</w:t>
            </w:r>
          </w:p>
        </w:tc>
        <w:tc>
          <w:tcPr>
            <w:tcW w:w="28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9"/>
              <w:jc w:val="right"/>
              <w:rPr>
                <w:rFonts w:ascii="Arial" w:hAnsi="Arial" w:cs="Arial" w:eastAsia="Arial" w:hint="default"/>
                <w:sz w:val="20"/>
                <w:szCs w:val="20"/>
              </w:rPr>
            </w:pPr>
            <w:r>
              <w:rPr>
                <w:rFonts w:ascii="Arial"/>
                <w:spacing w:val="-1"/>
                <w:sz w:val="20"/>
              </w:rPr>
              <w:t>(26,671)</w:t>
            </w:r>
          </w:p>
        </w:tc>
        <w:tc>
          <w:tcPr>
            <w:tcW w:w="284"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right="160"/>
              <w:jc w:val="right"/>
              <w:rPr>
                <w:rFonts w:ascii="Arial" w:hAnsi="Arial" w:cs="Arial" w:eastAsia="Arial" w:hint="default"/>
                <w:sz w:val="20"/>
                <w:szCs w:val="20"/>
              </w:rPr>
            </w:pPr>
            <w:r>
              <w:rPr>
                <w:rFonts w:ascii="Arial"/>
                <w:sz w:val="20"/>
              </w:rPr>
              <w:t>49</w:t>
            </w:r>
          </w:p>
        </w:tc>
      </w:tr>
      <w:tr>
        <w:trPr>
          <w:trHeight w:val="260" w:hRule="exact"/>
        </w:trPr>
        <w:tc>
          <w:tcPr>
            <w:tcW w:w="640" w:type="dxa"/>
            <w:tcBorders>
              <w:top w:val="nil" w:sz="6" w:space="0" w:color="auto"/>
              <w:left w:val="nil" w:sz="6" w:space="0" w:color="auto"/>
              <w:bottom w:val="nil" w:sz="6" w:space="0" w:color="auto"/>
              <w:right w:val="single" w:sz="4" w:space="0" w:color="000000"/>
            </w:tcBorders>
          </w:tcPr>
          <w:p>
            <w:pPr/>
          </w:p>
        </w:tc>
        <w:tc>
          <w:tcPr>
            <w:tcW w:w="4385" w:type="dxa"/>
            <w:tcBorders>
              <w:top w:val="nil" w:sz="6" w:space="0" w:color="auto"/>
              <w:left w:val="single" w:sz="4" w:space="0" w:color="000000"/>
              <w:bottom w:val="nil" w:sz="6" w:space="0" w:color="auto"/>
              <w:right w:val="nil" w:sz="6" w:space="0" w:color="auto"/>
            </w:tcBorders>
          </w:tcPr>
          <w:p>
            <w:pPr>
              <w:pStyle w:val="TableParagraph"/>
              <w:tabs>
                <w:tab w:pos="3583" w:val="right" w:leader="none"/>
              </w:tabs>
              <w:spacing w:line="246" w:lineRule="exact"/>
              <w:ind w:right="130"/>
              <w:jc w:val="right"/>
              <w:rPr>
                <w:rFonts w:ascii="Arial" w:hAnsi="Arial" w:cs="Arial" w:eastAsia="Arial" w:hint="default"/>
                <w:sz w:val="20"/>
                <w:szCs w:val="20"/>
              </w:rPr>
            </w:pPr>
            <w:r>
              <w:rPr>
                <w:rFonts w:ascii="宋体" w:hAnsi="宋体" w:cs="宋体" w:eastAsia="宋体" w:hint="default"/>
                <w:position w:val="1"/>
                <w:sz w:val="20"/>
                <w:szCs w:val="20"/>
              </w:rPr>
              <w:t>工伤保险费</w:t>
            </w:r>
            <w:r>
              <w:rPr>
                <w:rFonts w:ascii="Arial" w:hAnsi="Arial" w:cs="Arial" w:eastAsia="Arial" w:hint="default"/>
                <w:sz w:val="20"/>
                <w:szCs w:val="20"/>
              </w:rPr>
              <w:tab/>
              <w:t>37</w:t>
            </w:r>
          </w:p>
        </w:tc>
        <w:tc>
          <w:tcPr>
            <w:tcW w:w="28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8"/>
              <w:jc w:val="right"/>
              <w:rPr>
                <w:rFonts w:ascii="Arial" w:hAnsi="Arial" w:cs="Arial" w:eastAsia="Arial" w:hint="default"/>
                <w:sz w:val="20"/>
                <w:szCs w:val="20"/>
              </w:rPr>
            </w:pPr>
            <w:r>
              <w:rPr>
                <w:rFonts w:ascii="Arial"/>
                <w:sz w:val="20"/>
              </w:rPr>
              <w:t>7,341</w:t>
            </w:r>
          </w:p>
        </w:tc>
        <w:tc>
          <w:tcPr>
            <w:tcW w:w="28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pacing w:val="-1"/>
                <w:sz w:val="20"/>
              </w:rPr>
              <w:t>(7,364)</w:t>
            </w:r>
          </w:p>
        </w:tc>
        <w:tc>
          <w:tcPr>
            <w:tcW w:w="284"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right="159"/>
              <w:jc w:val="right"/>
              <w:rPr>
                <w:rFonts w:ascii="Arial" w:hAnsi="Arial" w:cs="Arial" w:eastAsia="Arial" w:hint="default"/>
                <w:sz w:val="20"/>
                <w:szCs w:val="20"/>
              </w:rPr>
            </w:pPr>
            <w:r>
              <w:rPr>
                <w:rFonts w:ascii="Arial"/>
                <w:sz w:val="20"/>
              </w:rPr>
              <w:t>14</w:t>
            </w:r>
          </w:p>
        </w:tc>
      </w:tr>
      <w:tr>
        <w:trPr>
          <w:trHeight w:val="254" w:hRule="exact"/>
        </w:trPr>
        <w:tc>
          <w:tcPr>
            <w:tcW w:w="640" w:type="dxa"/>
            <w:tcBorders>
              <w:top w:val="nil" w:sz="6" w:space="0" w:color="auto"/>
              <w:left w:val="nil" w:sz="6" w:space="0" w:color="auto"/>
              <w:bottom w:val="nil" w:sz="6" w:space="0" w:color="auto"/>
              <w:right w:val="single" w:sz="4" w:space="0" w:color="000000"/>
            </w:tcBorders>
          </w:tcPr>
          <w:p>
            <w:pPr/>
          </w:p>
        </w:tc>
        <w:tc>
          <w:tcPr>
            <w:tcW w:w="4385" w:type="dxa"/>
            <w:tcBorders>
              <w:top w:val="nil" w:sz="6" w:space="0" w:color="auto"/>
              <w:left w:val="single" w:sz="4" w:space="0" w:color="000000"/>
              <w:bottom w:val="single" w:sz="4" w:space="0" w:color="000000"/>
              <w:right w:val="nil" w:sz="6" w:space="0" w:color="auto"/>
            </w:tcBorders>
          </w:tcPr>
          <w:p>
            <w:pPr>
              <w:pStyle w:val="TableParagraph"/>
              <w:tabs>
                <w:tab w:pos="3582" w:val="right" w:leader="none"/>
              </w:tabs>
              <w:spacing w:line="246" w:lineRule="exact"/>
              <w:ind w:right="130"/>
              <w:jc w:val="right"/>
              <w:rPr>
                <w:rFonts w:ascii="Arial" w:hAnsi="Arial" w:cs="Arial" w:eastAsia="Arial" w:hint="default"/>
                <w:sz w:val="20"/>
                <w:szCs w:val="20"/>
              </w:rPr>
            </w:pPr>
            <w:r>
              <w:rPr>
                <w:rFonts w:ascii="宋体" w:hAnsi="宋体" w:cs="宋体" w:eastAsia="宋体" w:hint="default"/>
                <w:position w:val="1"/>
                <w:sz w:val="20"/>
                <w:szCs w:val="20"/>
              </w:rPr>
              <w:t>生育保险费</w:t>
            </w:r>
            <w:r>
              <w:rPr>
                <w:rFonts w:ascii="Arial" w:hAnsi="Arial" w:cs="Arial" w:eastAsia="Arial" w:hint="default"/>
                <w:sz w:val="20"/>
                <w:szCs w:val="20"/>
              </w:rPr>
              <w:tab/>
              <w:t>64</w:t>
            </w:r>
          </w:p>
        </w:tc>
        <w:tc>
          <w:tcPr>
            <w:tcW w:w="282"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108"/>
              <w:jc w:val="right"/>
              <w:rPr>
                <w:rFonts w:ascii="Arial" w:hAnsi="Arial" w:cs="Arial" w:eastAsia="Arial" w:hint="default"/>
                <w:sz w:val="20"/>
                <w:szCs w:val="20"/>
              </w:rPr>
            </w:pPr>
            <w:r>
              <w:rPr>
                <w:rFonts w:ascii="Arial"/>
                <w:sz w:val="20"/>
              </w:rPr>
              <w:t>12,698</w:t>
            </w:r>
          </w:p>
        </w:tc>
        <w:tc>
          <w:tcPr>
            <w:tcW w:w="283" w:type="dxa"/>
            <w:tcBorders>
              <w:top w:val="nil" w:sz="6" w:space="0" w:color="auto"/>
              <w:left w:val="nil" w:sz="6" w:space="0" w:color="auto"/>
              <w:bottom w:val="single" w:sz="4" w:space="0" w:color="000000"/>
              <w:right w:val="nil" w:sz="6" w:space="0" w:color="auto"/>
            </w:tcBorders>
          </w:tcPr>
          <w:p>
            <w:pP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99"/>
              <w:jc w:val="right"/>
              <w:rPr>
                <w:rFonts w:ascii="Arial" w:hAnsi="Arial" w:cs="Arial" w:eastAsia="Arial" w:hint="default"/>
                <w:sz w:val="20"/>
                <w:szCs w:val="20"/>
              </w:rPr>
            </w:pPr>
            <w:r>
              <w:rPr>
                <w:rFonts w:ascii="Arial"/>
                <w:spacing w:val="-1"/>
                <w:sz w:val="20"/>
              </w:rPr>
              <w:t>(12,739)</w:t>
            </w:r>
          </w:p>
        </w:tc>
        <w:tc>
          <w:tcPr>
            <w:tcW w:w="284" w:type="dxa"/>
            <w:tcBorders>
              <w:top w:val="nil" w:sz="6" w:space="0" w:color="auto"/>
              <w:left w:val="nil" w:sz="6" w:space="0" w:color="auto"/>
              <w:bottom w:val="single" w:sz="4" w:space="0" w:color="000000"/>
              <w:right w:val="nil" w:sz="6" w:space="0" w:color="auto"/>
            </w:tcBorders>
          </w:tcPr>
          <w:p>
            <w:pPr/>
          </w:p>
        </w:tc>
        <w:tc>
          <w:tcPr>
            <w:tcW w:w="1574" w:type="dxa"/>
            <w:tcBorders>
              <w:top w:val="nil" w:sz="6" w:space="0" w:color="auto"/>
              <w:left w:val="nil" w:sz="6" w:space="0" w:color="auto"/>
              <w:bottom w:val="single" w:sz="4" w:space="0" w:color="000000"/>
              <w:right w:val="single" w:sz="4" w:space="0" w:color="000000"/>
            </w:tcBorders>
          </w:tcPr>
          <w:p>
            <w:pPr>
              <w:pStyle w:val="TableParagraph"/>
              <w:spacing w:line="240" w:lineRule="auto" w:before="15"/>
              <w:ind w:right="160"/>
              <w:jc w:val="right"/>
              <w:rPr>
                <w:rFonts w:ascii="Arial" w:hAnsi="Arial" w:cs="Arial" w:eastAsia="Arial" w:hint="default"/>
                <w:sz w:val="20"/>
                <w:szCs w:val="20"/>
              </w:rPr>
            </w:pPr>
            <w:r>
              <w:rPr>
                <w:rFonts w:ascii="Arial"/>
                <w:sz w:val="20"/>
              </w:rPr>
              <w:t>23</w:t>
            </w:r>
          </w:p>
        </w:tc>
      </w:tr>
      <w:tr>
        <w:trPr>
          <w:trHeight w:val="276" w:hRule="exact"/>
        </w:trPr>
        <w:tc>
          <w:tcPr>
            <w:tcW w:w="640" w:type="dxa"/>
            <w:tcBorders>
              <w:top w:val="nil" w:sz="6" w:space="0" w:color="auto"/>
              <w:left w:val="nil" w:sz="6" w:space="0" w:color="auto"/>
              <w:bottom w:val="nil" w:sz="6" w:space="0" w:color="auto"/>
              <w:right w:val="nil" w:sz="6" w:space="0" w:color="auto"/>
            </w:tcBorders>
          </w:tcPr>
          <w:p>
            <w:pPr/>
          </w:p>
        </w:tc>
        <w:tc>
          <w:tcPr>
            <w:tcW w:w="4385" w:type="dxa"/>
            <w:tcBorders>
              <w:top w:val="single" w:sz="4" w:space="0" w:color="000000"/>
              <w:left w:val="nil" w:sz="6" w:space="0" w:color="auto"/>
              <w:bottom w:val="nil" w:sz="6" w:space="0" w:color="auto"/>
              <w:right w:val="nil" w:sz="6" w:space="0" w:color="auto"/>
            </w:tcBorders>
          </w:tcPr>
          <w:p>
            <w:pPr>
              <w:pStyle w:val="TableParagraph"/>
              <w:tabs>
                <w:tab w:pos="4252" w:val="right" w:leader="none"/>
              </w:tabs>
              <w:spacing w:line="257" w:lineRule="exact"/>
              <w:ind w:left="101" w:right="0"/>
              <w:jc w:val="left"/>
              <w:rPr>
                <w:rFonts w:ascii="Arial" w:hAnsi="Arial" w:cs="Arial" w:eastAsia="Arial" w:hint="default"/>
                <w:sz w:val="20"/>
                <w:szCs w:val="20"/>
              </w:rPr>
            </w:pPr>
            <w:r>
              <w:rPr>
                <w:rFonts w:ascii="宋体" w:hAnsi="宋体" w:cs="宋体" w:eastAsia="宋体" w:hint="default"/>
                <w:position w:val="1"/>
                <w:sz w:val="20"/>
                <w:szCs w:val="20"/>
              </w:rPr>
              <w:t>住房公积金</w:t>
            </w:r>
            <w:r>
              <w:rPr>
                <w:rFonts w:ascii="Arial" w:hAnsi="Arial" w:cs="Arial" w:eastAsia="Arial" w:hint="default"/>
                <w:sz w:val="20"/>
                <w:szCs w:val="20"/>
              </w:rPr>
              <w:tab/>
              <w:t>653</w:t>
            </w:r>
          </w:p>
        </w:tc>
        <w:tc>
          <w:tcPr>
            <w:tcW w:w="282"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8"/>
              <w:jc w:val="right"/>
              <w:rPr>
                <w:rFonts w:ascii="Arial" w:hAnsi="Arial" w:cs="Arial" w:eastAsia="Arial" w:hint="default"/>
                <w:sz w:val="20"/>
                <w:szCs w:val="20"/>
              </w:rPr>
            </w:pPr>
            <w:r>
              <w:rPr>
                <w:rFonts w:ascii="Arial"/>
                <w:sz w:val="20"/>
              </w:rPr>
              <w:t>53,363</w:t>
            </w:r>
          </w:p>
        </w:tc>
        <w:tc>
          <w:tcPr>
            <w:tcW w:w="283" w:type="dxa"/>
            <w:tcBorders>
              <w:top w:val="single" w:sz="4" w:space="0" w:color="000000"/>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99"/>
              <w:jc w:val="right"/>
              <w:rPr>
                <w:rFonts w:ascii="Arial" w:hAnsi="Arial" w:cs="Arial" w:eastAsia="Arial" w:hint="default"/>
                <w:sz w:val="20"/>
                <w:szCs w:val="20"/>
              </w:rPr>
            </w:pPr>
            <w:r>
              <w:rPr>
                <w:rFonts w:ascii="Arial"/>
                <w:spacing w:val="-1"/>
                <w:sz w:val="20"/>
              </w:rPr>
              <w:t>(52,654)</w:t>
            </w:r>
          </w:p>
        </w:tc>
        <w:tc>
          <w:tcPr>
            <w:tcW w:w="284" w:type="dxa"/>
            <w:tcBorders>
              <w:top w:val="single" w:sz="4" w:space="0" w:color="000000"/>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905" w:right="0"/>
              <w:jc w:val="left"/>
              <w:rPr>
                <w:rFonts w:ascii="Arial" w:hAnsi="Arial" w:cs="Arial" w:eastAsia="Arial" w:hint="default"/>
                <w:sz w:val="20"/>
                <w:szCs w:val="20"/>
              </w:rPr>
            </w:pPr>
            <w:r>
              <w:rPr>
                <w:rFonts w:ascii="Arial"/>
                <w:sz w:val="20"/>
              </w:rPr>
              <w:t>1,362</w:t>
            </w:r>
          </w:p>
        </w:tc>
      </w:tr>
      <w:tr>
        <w:trPr>
          <w:trHeight w:val="260" w:hRule="exact"/>
        </w:trPr>
        <w:tc>
          <w:tcPr>
            <w:tcW w:w="640" w:type="dxa"/>
            <w:tcBorders>
              <w:top w:val="nil" w:sz="6" w:space="0" w:color="auto"/>
              <w:left w:val="nil" w:sz="6" w:space="0" w:color="auto"/>
              <w:bottom w:val="nil" w:sz="6" w:space="0" w:color="auto"/>
              <w:right w:val="nil" w:sz="6" w:space="0" w:color="auto"/>
            </w:tcBorders>
          </w:tcPr>
          <w:p>
            <w:pPr/>
          </w:p>
        </w:tc>
        <w:tc>
          <w:tcPr>
            <w:tcW w:w="4385" w:type="dxa"/>
            <w:tcBorders>
              <w:top w:val="nil" w:sz="6" w:space="0" w:color="auto"/>
              <w:left w:val="nil" w:sz="6" w:space="0" w:color="auto"/>
              <w:bottom w:val="nil" w:sz="6" w:space="0" w:color="auto"/>
              <w:right w:val="nil" w:sz="6" w:space="0" w:color="auto"/>
            </w:tcBorders>
          </w:tcPr>
          <w:p>
            <w:pPr>
              <w:pStyle w:val="TableParagraph"/>
              <w:tabs>
                <w:tab w:pos="3639" w:val="left" w:leader="none"/>
              </w:tabs>
              <w:spacing w:line="246" w:lineRule="exact"/>
              <w:ind w:left="107" w:right="0"/>
              <w:jc w:val="left"/>
              <w:rPr>
                <w:rFonts w:ascii="Arial" w:hAnsi="Arial" w:cs="Arial" w:eastAsia="Arial" w:hint="default"/>
                <w:sz w:val="20"/>
                <w:szCs w:val="20"/>
              </w:rPr>
            </w:pPr>
            <w:r>
              <w:rPr>
                <w:rFonts w:ascii="宋体" w:hAnsi="宋体" w:cs="宋体" w:eastAsia="宋体" w:hint="default"/>
                <w:spacing w:val="-1"/>
                <w:position w:val="1"/>
                <w:sz w:val="20"/>
                <w:szCs w:val="20"/>
              </w:rPr>
              <w:t>工会经费和职工教育经费</w:t>
              <w:tab/>
            </w:r>
            <w:r>
              <w:rPr>
                <w:rFonts w:ascii="Arial" w:hAnsi="Arial" w:cs="Arial" w:eastAsia="Arial" w:hint="default"/>
                <w:sz w:val="20"/>
                <w:szCs w:val="20"/>
              </w:rPr>
              <w:t>17,695</w:t>
            </w:r>
          </w:p>
        </w:tc>
        <w:tc>
          <w:tcPr>
            <w:tcW w:w="28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20"/>
                <w:szCs w:val="20"/>
              </w:rPr>
            </w:pPr>
            <w:r>
              <w:rPr>
                <w:rFonts w:ascii="Arial"/>
                <w:sz w:val="20"/>
              </w:rPr>
              <w:t>10,065</w:t>
            </w:r>
          </w:p>
        </w:tc>
        <w:tc>
          <w:tcPr>
            <w:tcW w:w="28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pacing w:val="-3"/>
                <w:sz w:val="20"/>
              </w:rPr>
              <w:t>(11,102)</w:t>
            </w:r>
          </w:p>
        </w:tc>
        <w:tc>
          <w:tcPr>
            <w:tcW w:w="284"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94" w:right="0"/>
              <w:jc w:val="left"/>
              <w:rPr>
                <w:rFonts w:ascii="Arial" w:hAnsi="Arial" w:cs="Arial" w:eastAsia="Arial" w:hint="default"/>
                <w:sz w:val="20"/>
                <w:szCs w:val="20"/>
              </w:rPr>
            </w:pPr>
            <w:r>
              <w:rPr>
                <w:rFonts w:ascii="Arial"/>
                <w:sz w:val="20"/>
              </w:rPr>
              <w:t>16,658</w:t>
            </w:r>
          </w:p>
        </w:tc>
      </w:tr>
      <w:tr>
        <w:trPr>
          <w:trHeight w:val="260" w:hRule="exact"/>
        </w:trPr>
        <w:tc>
          <w:tcPr>
            <w:tcW w:w="640" w:type="dxa"/>
            <w:tcBorders>
              <w:top w:val="nil" w:sz="6" w:space="0" w:color="auto"/>
              <w:left w:val="nil" w:sz="6" w:space="0" w:color="auto"/>
              <w:bottom w:val="nil" w:sz="6" w:space="0" w:color="auto"/>
              <w:right w:val="nil" w:sz="6" w:space="0" w:color="auto"/>
            </w:tcBorders>
          </w:tcPr>
          <w:p>
            <w:pPr/>
          </w:p>
        </w:tc>
        <w:tc>
          <w:tcPr>
            <w:tcW w:w="4385" w:type="dxa"/>
            <w:tcBorders>
              <w:top w:val="nil" w:sz="6" w:space="0" w:color="auto"/>
              <w:left w:val="nil" w:sz="6" w:space="0" w:color="auto"/>
              <w:bottom w:val="nil" w:sz="6" w:space="0" w:color="auto"/>
              <w:right w:val="nil" w:sz="6" w:space="0" w:color="auto"/>
            </w:tcBorders>
          </w:tcPr>
          <w:p>
            <w:pPr>
              <w:pStyle w:val="TableParagraph"/>
              <w:tabs>
                <w:tab w:pos="4252" w:val="right" w:leader="none"/>
              </w:tabs>
              <w:spacing w:line="246" w:lineRule="exact"/>
              <w:ind w:left="101" w:right="0"/>
              <w:jc w:val="left"/>
              <w:rPr>
                <w:rFonts w:ascii="Arial" w:hAnsi="Arial" w:cs="Arial" w:eastAsia="Arial" w:hint="default"/>
                <w:sz w:val="20"/>
                <w:szCs w:val="20"/>
              </w:rPr>
            </w:pPr>
            <w:r>
              <w:rPr>
                <w:rFonts w:ascii="宋体" w:hAnsi="宋体" w:cs="宋体" w:eastAsia="宋体" w:hint="default"/>
                <w:position w:val="1"/>
                <w:sz w:val="20"/>
                <w:szCs w:val="20"/>
              </w:rPr>
              <w:t>劳务薪资</w:t>
            </w:r>
            <w:r>
              <w:rPr>
                <w:rFonts w:ascii="Arial" w:hAnsi="Arial" w:cs="Arial" w:eastAsia="Arial" w:hint="default"/>
                <w:sz w:val="20"/>
                <w:szCs w:val="20"/>
              </w:rPr>
              <w:tab/>
              <w:t>392</w:t>
            </w:r>
          </w:p>
        </w:tc>
        <w:tc>
          <w:tcPr>
            <w:tcW w:w="28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8"/>
              <w:jc w:val="right"/>
              <w:rPr>
                <w:rFonts w:ascii="Arial" w:hAnsi="Arial" w:cs="Arial" w:eastAsia="Arial" w:hint="default"/>
                <w:sz w:val="20"/>
                <w:szCs w:val="20"/>
              </w:rPr>
            </w:pPr>
            <w:r>
              <w:rPr>
                <w:rFonts w:ascii="Arial"/>
                <w:spacing w:val="-3"/>
                <w:sz w:val="20"/>
              </w:rPr>
              <w:t>11,764</w:t>
            </w:r>
          </w:p>
        </w:tc>
        <w:tc>
          <w:tcPr>
            <w:tcW w:w="28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pacing w:val="-3"/>
                <w:sz w:val="20"/>
              </w:rPr>
              <w:t>(11,857)</w:t>
            </w:r>
          </w:p>
        </w:tc>
        <w:tc>
          <w:tcPr>
            <w:tcW w:w="284"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64"/>
              <w:jc w:val="right"/>
              <w:rPr>
                <w:rFonts w:ascii="Arial" w:hAnsi="Arial" w:cs="Arial" w:eastAsia="Arial" w:hint="default"/>
                <w:sz w:val="20"/>
                <w:szCs w:val="20"/>
              </w:rPr>
            </w:pPr>
            <w:r>
              <w:rPr>
                <w:rFonts w:ascii="Arial"/>
                <w:sz w:val="20"/>
              </w:rPr>
              <w:t>299</w:t>
            </w:r>
          </w:p>
        </w:tc>
      </w:tr>
      <w:tr>
        <w:trPr>
          <w:trHeight w:val="265" w:hRule="exact"/>
        </w:trPr>
        <w:tc>
          <w:tcPr>
            <w:tcW w:w="640" w:type="dxa"/>
            <w:tcBorders>
              <w:top w:val="nil" w:sz="6" w:space="0" w:color="auto"/>
              <w:left w:val="nil" w:sz="6" w:space="0" w:color="auto"/>
              <w:bottom w:val="nil" w:sz="6" w:space="0" w:color="auto"/>
              <w:right w:val="nil" w:sz="6" w:space="0" w:color="auto"/>
            </w:tcBorders>
          </w:tcPr>
          <w:p>
            <w:pPr/>
          </w:p>
        </w:tc>
        <w:tc>
          <w:tcPr>
            <w:tcW w:w="4385" w:type="dxa"/>
            <w:tcBorders>
              <w:top w:val="nil" w:sz="6" w:space="0" w:color="auto"/>
              <w:left w:val="nil" w:sz="6" w:space="0" w:color="auto"/>
              <w:bottom w:val="nil" w:sz="6" w:space="0" w:color="auto"/>
              <w:right w:val="nil" w:sz="6" w:space="0" w:color="auto"/>
            </w:tcBorders>
          </w:tcPr>
          <w:p>
            <w:pPr>
              <w:pStyle w:val="TableParagraph"/>
              <w:tabs>
                <w:tab w:pos="2716" w:val="left" w:leader="none"/>
                <w:tab w:pos="3921" w:val="left" w:leader="none"/>
                <w:tab w:pos="4276" w:val="left" w:leader="none"/>
              </w:tabs>
              <w:spacing w:line="246" w:lineRule="exact"/>
              <w:ind w:right="0"/>
              <w:jc w:val="right"/>
              <w:rPr>
                <w:rFonts w:ascii="Arial" w:hAnsi="Arial" w:cs="Arial" w:eastAsia="Arial" w:hint="default"/>
                <w:sz w:val="20"/>
                <w:szCs w:val="20"/>
              </w:rPr>
            </w:pPr>
            <w:r>
              <w:rPr>
                <w:rFonts w:ascii="宋体" w:hAnsi="宋体" w:cs="宋体" w:eastAsia="宋体" w:hint="default"/>
                <w:position w:val="1"/>
                <w:sz w:val="20"/>
                <w:szCs w:val="20"/>
              </w:rPr>
              <w:t>其他</w:t>
              <w:tab/>
            </w:r>
            <w:r>
              <w:rPr>
                <w:rFonts w:ascii="Arial" w:hAnsi="Arial" w:cs="Arial" w:eastAsia="Arial" w:hint="default"/>
                <w:sz w:val="20"/>
                <w:szCs w:val="20"/>
              </w:rPr>
            </w:r>
            <w:r>
              <w:rPr>
                <w:rFonts w:ascii="Arial" w:hAnsi="Arial" w:cs="Arial" w:eastAsia="Arial" w:hint="default"/>
                <w:sz w:val="20"/>
                <w:szCs w:val="20"/>
                <w:u w:val="single" w:color="000000"/>
              </w:rPr>
              <w:t> </w:t>
              <w:tab/>
              <w:t>15</w:t>
              <w:tab/>
            </w:r>
            <w:r>
              <w:rPr>
                <w:rFonts w:ascii="Arial" w:hAnsi="Arial" w:cs="Arial" w:eastAsia="Arial" w:hint="default"/>
                <w:sz w:val="20"/>
                <w:szCs w:val="20"/>
              </w:rPr>
            </w:r>
          </w:p>
        </w:tc>
        <w:tc>
          <w:tcPr>
            <w:tcW w:w="28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tabs>
                <w:tab w:pos="442" w:val="left" w:leader="none"/>
                <w:tab w:pos="1276" w:val="left" w:leader="none"/>
              </w:tabs>
              <w:spacing w:line="240" w:lineRule="auto" w:before="15"/>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193,386</w:t>
              <w:tab/>
            </w:r>
            <w:r>
              <w:rPr>
                <w:rFonts w:ascii="Arial"/>
                <w:spacing w:val="-1"/>
                <w:sz w:val="20"/>
              </w:rPr>
            </w:r>
          </w:p>
        </w:tc>
        <w:tc>
          <w:tcPr>
            <w:tcW w:w="28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tabs>
                <w:tab w:pos="318" w:val="left" w:leader="none"/>
                <w:tab w:pos="1275" w:val="left" w:leader="none"/>
              </w:tabs>
              <w:spacing w:line="240" w:lineRule="auto" w:before="15"/>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(193,395)</w:t>
              <w:tab/>
            </w:r>
            <w:r>
              <w:rPr>
                <w:rFonts w:ascii="Arial"/>
                <w:spacing w:val="-1"/>
                <w:sz w:val="20"/>
              </w:rPr>
            </w:r>
          </w:p>
        </w:tc>
        <w:tc>
          <w:tcPr>
            <w:tcW w:w="284"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tabs>
                <w:tab w:pos="1295" w:val="left" w:leader="none"/>
                <w:tab w:pos="1567" w:val="left" w:leader="none"/>
              </w:tabs>
              <w:spacing w:line="240" w:lineRule="auto" w:before="15"/>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6</w:t>
              <w:tab/>
            </w:r>
            <w:r>
              <w:rPr>
                <w:rFonts w:ascii="Arial"/>
                <w:sz w:val="20"/>
              </w:rPr>
            </w:r>
          </w:p>
        </w:tc>
      </w:tr>
      <w:tr>
        <w:trPr>
          <w:trHeight w:val="245" w:hRule="exact"/>
        </w:trPr>
        <w:tc>
          <w:tcPr>
            <w:tcW w:w="640" w:type="dxa"/>
            <w:tcBorders>
              <w:top w:val="nil" w:sz="6" w:space="0" w:color="auto"/>
              <w:left w:val="nil" w:sz="6" w:space="0" w:color="auto"/>
              <w:bottom w:val="nil" w:sz="6" w:space="0" w:color="auto"/>
              <w:right w:val="nil" w:sz="6" w:space="0" w:color="auto"/>
            </w:tcBorders>
          </w:tcPr>
          <w:p>
            <w:pPr/>
          </w:p>
        </w:tc>
        <w:tc>
          <w:tcPr>
            <w:tcW w:w="4385" w:type="dxa"/>
            <w:tcBorders>
              <w:top w:val="nil" w:sz="6" w:space="0" w:color="auto"/>
              <w:left w:val="nil" w:sz="6" w:space="0" w:color="auto"/>
              <w:bottom w:val="single" w:sz="12" w:space="0" w:color="000000"/>
              <w:right w:val="nil" w:sz="6" w:space="0" w:color="auto"/>
            </w:tcBorders>
          </w:tcPr>
          <w:p>
            <w:pPr>
              <w:pStyle w:val="TableParagraph"/>
              <w:spacing w:line="228" w:lineRule="exact"/>
              <w:ind w:right="130"/>
              <w:jc w:val="right"/>
              <w:rPr>
                <w:rFonts w:ascii="Arial" w:hAnsi="Arial" w:cs="Arial" w:eastAsia="Arial" w:hint="default"/>
                <w:sz w:val="20"/>
                <w:szCs w:val="20"/>
              </w:rPr>
            </w:pPr>
            <w:r>
              <w:rPr>
                <w:rFonts w:ascii="Arial"/>
                <w:spacing w:val="-1"/>
                <w:sz w:val="20"/>
              </w:rPr>
              <w:t>139,530</w:t>
            </w:r>
          </w:p>
        </w:tc>
        <w:tc>
          <w:tcPr>
            <w:tcW w:w="28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12" w:space="0" w:color="000000"/>
              <w:right w:val="nil" w:sz="6" w:space="0" w:color="auto"/>
            </w:tcBorders>
          </w:tcPr>
          <w:p>
            <w:pPr>
              <w:pStyle w:val="TableParagraph"/>
              <w:spacing w:line="228" w:lineRule="exact"/>
              <w:ind w:left="275" w:right="0"/>
              <w:jc w:val="left"/>
              <w:rPr>
                <w:rFonts w:ascii="Arial" w:hAnsi="Arial" w:cs="Arial" w:eastAsia="Arial" w:hint="default"/>
                <w:sz w:val="20"/>
                <w:szCs w:val="20"/>
              </w:rPr>
            </w:pPr>
            <w:r>
              <w:rPr>
                <w:rFonts w:ascii="Arial"/>
                <w:sz w:val="20"/>
              </w:rPr>
              <w:t>2,641,928</w:t>
            </w:r>
          </w:p>
        </w:tc>
        <w:tc>
          <w:tcPr>
            <w:tcW w:w="28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single" w:sz="12" w:space="0" w:color="000000"/>
              <w:right w:val="nil" w:sz="6" w:space="0" w:color="auto"/>
            </w:tcBorders>
          </w:tcPr>
          <w:p>
            <w:pPr>
              <w:pStyle w:val="TableParagraph"/>
              <w:spacing w:line="228" w:lineRule="exact"/>
              <w:ind w:left="151" w:right="0"/>
              <w:jc w:val="left"/>
              <w:rPr>
                <w:rFonts w:ascii="Arial" w:hAnsi="Arial" w:cs="Arial" w:eastAsia="Arial" w:hint="default"/>
                <w:sz w:val="20"/>
                <w:szCs w:val="20"/>
              </w:rPr>
            </w:pPr>
            <w:r>
              <w:rPr>
                <w:rFonts w:ascii="Arial"/>
                <w:sz w:val="20"/>
              </w:rPr>
              <w:t>(2,580,163)</w:t>
            </w:r>
          </w:p>
        </w:tc>
        <w:tc>
          <w:tcPr>
            <w:tcW w:w="284"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12" w:space="0" w:color="000000"/>
              <w:right w:val="nil" w:sz="6" w:space="0" w:color="auto"/>
            </w:tcBorders>
          </w:tcPr>
          <w:p>
            <w:pPr>
              <w:pStyle w:val="TableParagraph"/>
              <w:spacing w:line="228" w:lineRule="exact"/>
              <w:ind w:left="672" w:right="0"/>
              <w:jc w:val="left"/>
              <w:rPr>
                <w:rFonts w:ascii="Arial" w:hAnsi="Arial" w:cs="Arial" w:eastAsia="Arial" w:hint="default"/>
                <w:sz w:val="20"/>
                <w:szCs w:val="20"/>
              </w:rPr>
            </w:pPr>
            <w:r>
              <w:rPr>
                <w:rFonts w:ascii="Arial"/>
                <w:sz w:val="20"/>
              </w:rPr>
              <w:t>201,295</w:t>
            </w:r>
          </w:p>
        </w:tc>
      </w:tr>
    </w:tbl>
    <w:p>
      <w:pPr>
        <w:spacing w:line="240" w:lineRule="auto" w:before="13"/>
        <w:rPr>
          <w:rFonts w:ascii="宋体" w:hAnsi="宋体" w:cs="宋体" w:eastAsia="宋体" w:hint="default"/>
          <w:sz w:val="14"/>
          <w:szCs w:val="14"/>
        </w:rPr>
      </w:pPr>
    </w:p>
    <w:p>
      <w:pPr>
        <w:pStyle w:val="BodyText"/>
        <w:spacing w:line="322" w:lineRule="exact" w:before="26"/>
        <w:ind w:left="860" w:right="0"/>
        <w:jc w:val="left"/>
      </w:pPr>
      <w:r>
        <w:rPr/>
        <w:t>于</w:t>
      </w:r>
      <w:r>
        <w:rPr>
          <w:spacing w:val="-53"/>
        </w:rPr>
        <w:t> </w:t>
      </w:r>
      <w:r>
        <w:rPr>
          <w:rFonts w:ascii="Arial" w:hAnsi="Arial" w:cs="Arial" w:eastAsia="Arial" w:hint="default"/>
        </w:rPr>
        <w:t>2010</w:t>
      </w:r>
      <w:r>
        <w:rPr>
          <w:rFonts w:ascii="Arial" w:hAnsi="Arial" w:cs="Arial" w:eastAsia="Arial" w:hint="default"/>
          <w:spacing w:val="1"/>
        </w:rPr>
        <w:t> </w:t>
      </w:r>
      <w:r>
        <w:rPr/>
        <w:t>年</w:t>
      </w:r>
      <w:r>
        <w:rPr>
          <w:spacing w:val="-52"/>
        </w:rPr>
        <w:t> </w:t>
      </w:r>
      <w:r>
        <w:rPr>
          <w:rFonts w:ascii="Arial" w:hAnsi="Arial" w:cs="Arial" w:eastAsia="Arial" w:hint="default"/>
        </w:rPr>
        <w:t>12 </w:t>
      </w:r>
      <w:r>
        <w:rPr/>
        <w:t>月</w:t>
      </w:r>
      <w:r>
        <w:rPr>
          <w:spacing w:val="-53"/>
        </w:rPr>
        <w:t> </w:t>
      </w:r>
      <w:r>
        <w:rPr>
          <w:rFonts w:ascii="Arial" w:hAnsi="Arial" w:cs="Arial" w:eastAsia="Arial" w:hint="default"/>
        </w:rPr>
        <w:t>31 </w:t>
      </w:r>
      <w:r>
        <w:rPr/>
        <w:t>日，应付职工薪酬中没有属于拖欠性质的应付款，且该余额预计将</w:t>
      </w:r>
    </w:p>
    <w:p>
      <w:pPr>
        <w:pStyle w:val="BodyText"/>
        <w:spacing w:line="322" w:lineRule="exact"/>
        <w:ind w:left="860" w:right="0"/>
        <w:jc w:val="left"/>
      </w:pPr>
      <w:r>
        <w:rPr/>
        <w:t>于</w:t>
      </w:r>
      <w:r>
        <w:rPr>
          <w:spacing w:val="-59"/>
        </w:rPr>
        <w:t> </w:t>
      </w:r>
      <w:r>
        <w:rPr>
          <w:rFonts w:ascii="Arial" w:hAnsi="Arial" w:cs="Arial" w:eastAsia="Arial" w:hint="default"/>
          <w:spacing w:val="-6"/>
        </w:rPr>
        <w:t>2011 </w:t>
      </w:r>
      <w:r>
        <w:rPr/>
        <w:t>年度全部发放和使用完毕。</w:t>
      </w:r>
    </w:p>
    <w:p>
      <w:pPr>
        <w:spacing w:line="240" w:lineRule="auto" w:before="7"/>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605"/>
        <w:gridCol w:w="3982"/>
        <w:gridCol w:w="2423"/>
        <w:gridCol w:w="559"/>
        <w:gridCol w:w="2459"/>
      </w:tblGrid>
      <w:tr>
        <w:trPr>
          <w:trHeight w:val="1114" w:hRule="exact"/>
        </w:trPr>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Arial" w:hAnsi="Arial" w:cs="Arial" w:eastAsia="Arial" w:hint="default"/>
                <w:sz w:val="24"/>
                <w:szCs w:val="24"/>
              </w:rPr>
            </w:pPr>
            <w:r>
              <w:rPr>
                <w:rFonts w:ascii="Arial"/>
                <w:sz w:val="24"/>
              </w:rPr>
              <w:t>(25)</w:t>
            </w:r>
          </w:p>
        </w:tc>
        <w:tc>
          <w:tcPr>
            <w:tcW w:w="398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2" w:right="0"/>
              <w:jc w:val="left"/>
              <w:rPr>
                <w:rFonts w:ascii="宋体" w:hAnsi="宋体" w:cs="宋体" w:eastAsia="宋体" w:hint="default"/>
                <w:sz w:val="24"/>
                <w:szCs w:val="24"/>
              </w:rPr>
            </w:pPr>
            <w:r>
              <w:rPr>
                <w:rFonts w:ascii="宋体" w:hAnsi="宋体" w:cs="宋体" w:eastAsia="宋体" w:hint="default"/>
                <w:b/>
                <w:bCs/>
                <w:sz w:val="24"/>
                <w:szCs w:val="24"/>
              </w:rPr>
              <w:t>应交税费</w:t>
            </w:r>
            <w:r>
              <w:rPr>
                <w:rFonts w:ascii="宋体" w:hAnsi="宋体" w:cs="宋体" w:eastAsia="宋体" w:hint="default"/>
                <w:sz w:val="24"/>
                <w:szCs w:val="24"/>
              </w:rPr>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7"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559" w:type="dxa"/>
            <w:tcBorders>
              <w:top w:val="nil" w:sz="6" w:space="0" w:color="auto"/>
              <w:left w:val="nil" w:sz="6" w:space="0" w:color="auto"/>
              <w:bottom w:val="nil" w:sz="6" w:space="0" w:color="auto"/>
              <w:right w:val="nil" w:sz="6" w:space="0" w:color="auto"/>
            </w:tcBorders>
          </w:tcPr>
          <w:p>
            <w:pP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7" w:right="0"/>
              <w:jc w:val="lef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9" w:hRule="exact"/>
        </w:trPr>
        <w:tc>
          <w:tcPr>
            <w:tcW w:w="605" w:type="dxa"/>
            <w:tcBorders>
              <w:top w:val="nil" w:sz="6" w:space="0" w:color="auto"/>
              <w:left w:val="nil" w:sz="6" w:space="0" w:color="auto"/>
              <w:bottom w:val="nil" w:sz="6" w:space="0" w:color="auto"/>
              <w:right w:val="nil" w:sz="6" w:space="0" w:color="auto"/>
            </w:tcBorders>
          </w:tcPr>
          <w:p>
            <w:pPr/>
          </w:p>
        </w:tc>
        <w:tc>
          <w:tcPr>
            <w:tcW w:w="398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2" w:right="0"/>
              <w:jc w:val="left"/>
              <w:rPr>
                <w:rFonts w:ascii="宋体" w:hAnsi="宋体" w:cs="宋体" w:eastAsia="宋体" w:hint="default"/>
                <w:sz w:val="24"/>
                <w:szCs w:val="24"/>
              </w:rPr>
            </w:pPr>
            <w:r>
              <w:rPr>
                <w:rFonts w:ascii="宋体" w:hAnsi="宋体" w:cs="宋体" w:eastAsia="宋体" w:hint="default"/>
                <w:sz w:val="24"/>
                <w:szCs w:val="24"/>
              </w:rPr>
              <w:t>应交企业所得税</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398" w:right="0"/>
              <w:jc w:val="left"/>
              <w:rPr>
                <w:rFonts w:ascii="Arial" w:hAnsi="Arial" w:cs="Arial" w:eastAsia="Arial" w:hint="default"/>
                <w:sz w:val="24"/>
                <w:szCs w:val="24"/>
              </w:rPr>
            </w:pPr>
            <w:r>
              <w:rPr>
                <w:rFonts w:ascii="Arial"/>
                <w:sz w:val="24"/>
              </w:rPr>
              <w:t>478,764</w:t>
            </w:r>
          </w:p>
        </w:tc>
        <w:tc>
          <w:tcPr>
            <w:tcW w:w="559" w:type="dxa"/>
            <w:tcBorders>
              <w:top w:val="nil" w:sz="6" w:space="0" w:color="auto"/>
              <w:left w:val="nil" w:sz="6" w:space="0" w:color="auto"/>
              <w:bottom w:val="nil" w:sz="6" w:space="0" w:color="auto"/>
              <w:right w:val="nil" w:sz="6" w:space="0" w:color="auto"/>
            </w:tcBorders>
          </w:tcPr>
          <w:p>
            <w:pP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75"/>
              <w:jc w:val="right"/>
              <w:rPr>
                <w:rFonts w:ascii="Arial" w:hAnsi="Arial" w:cs="Arial" w:eastAsia="Arial" w:hint="default"/>
                <w:sz w:val="24"/>
                <w:szCs w:val="24"/>
              </w:rPr>
            </w:pPr>
            <w:r>
              <w:rPr>
                <w:rFonts w:ascii="Arial"/>
                <w:spacing w:val="-1"/>
                <w:w w:val="95"/>
                <w:sz w:val="24"/>
              </w:rPr>
              <w:t>293,137</w:t>
            </w:r>
            <w:r>
              <w:rPr>
                <w:rFonts w:ascii="Arial"/>
                <w:sz w:val="24"/>
              </w:rPr>
            </w:r>
          </w:p>
        </w:tc>
      </w:tr>
      <w:tr>
        <w:trPr>
          <w:trHeight w:val="312" w:hRule="exact"/>
        </w:trPr>
        <w:tc>
          <w:tcPr>
            <w:tcW w:w="605" w:type="dxa"/>
            <w:tcBorders>
              <w:top w:val="nil" w:sz="6" w:space="0" w:color="auto"/>
              <w:left w:val="nil" w:sz="6" w:space="0" w:color="auto"/>
              <w:bottom w:val="nil" w:sz="6" w:space="0" w:color="auto"/>
              <w:right w:val="nil" w:sz="6" w:space="0" w:color="auto"/>
            </w:tcBorders>
          </w:tcPr>
          <w:p>
            <w:pPr/>
          </w:p>
        </w:tc>
        <w:tc>
          <w:tcPr>
            <w:tcW w:w="3982" w:type="dxa"/>
            <w:tcBorders>
              <w:top w:val="nil" w:sz="6" w:space="0" w:color="auto"/>
              <w:left w:val="nil" w:sz="6" w:space="0" w:color="auto"/>
              <w:bottom w:val="nil" w:sz="6" w:space="0" w:color="auto"/>
              <w:right w:val="nil" w:sz="6" w:space="0" w:color="auto"/>
            </w:tcBorders>
          </w:tcPr>
          <w:p>
            <w:pPr>
              <w:pStyle w:val="TableParagraph"/>
              <w:spacing w:line="261" w:lineRule="exact"/>
              <w:ind w:left="142" w:right="0"/>
              <w:jc w:val="left"/>
              <w:rPr>
                <w:rFonts w:ascii="宋体" w:hAnsi="宋体" w:cs="宋体" w:eastAsia="宋体" w:hint="default"/>
                <w:sz w:val="24"/>
                <w:szCs w:val="24"/>
              </w:rPr>
            </w:pPr>
            <w:r>
              <w:rPr>
                <w:rFonts w:ascii="宋体" w:hAnsi="宋体" w:cs="宋体" w:eastAsia="宋体" w:hint="default"/>
                <w:sz w:val="24"/>
                <w:szCs w:val="24"/>
              </w:rPr>
              <w:t>应交城市维护建设税</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531" w:right="0"/>
              <w:jc w:val="left"/>
              <w:rPr>
                <w:rFonts w:ascii="Arial" w:hAnsi="Arial" w:cs="Arial" w:eastAsia="Arial" w:hint="default"/>
                <w:sz w:val="24"/>
                <w:szCs w:val="24"/>
              </w:rPr>
            </w:pPr>
            <w:r>
              <w:rPr>
                <w:rFonts w:ascii="Arial"/>
                <w:sz w:val="24"/>
              </w:rPr>
              <w:t>24,157</w:t>
            </w:r>
          </w:p>
        </w:tc>
        <w:tc>
          <w:tcPr>
            <w:tcW w:w="559" w:type="dxa"/>
            <w:tcBorders>
              <w:top w:val="nil" w:sz="6" w:space="0" w:color="auto"/>
              <w:left w:val="nil" w:sz="6" w:space="0" w:color="auto"/>
              <w:bottom w:val="nil" w:sz="6" w:space="0" w:color="auto"/>
              <w:right w:val="nil" w:sz="6" w:space="0" w:color="auto"/>
            </w:tcBorders>
          </w:tcPr>
          <w:p>
            <w:pP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6"/>
              <w:jc w:val="right"/>
              <w:rPr>
                <w:rFonts w:ascii="Arial" w:hAnsi="Arial" w:cs="Arial" w:eastAsia="Arial" w:hint="default"/>
                <w:sz w:val="24"/>
                <w:szCs w:val="24"/>
              </w:rPr>
            </w:pPr>
            <w:r>
              <w:rPr>
                <w:rFonts w:ascii="Arial"/>
                <w:spacing w:val="-1"/>
                <w:w w:val="95"/>
                <w:sz w:val="24"/>
              </w:rPr>
              <w:t>26,540</w:t>
            </w:r>
            <w:r>
              <w:rPr>
                <w:rFonts w:ascii="Arial"/>
                <w:sz w:val="24"/>
              </w:rPr>
            </w:r>
          </w:p>
        </w:tc>
      </w:tr>
      <w:tr>
        <w:trPr>
          <w:trHeight w:val="312" w:hRule="exact"/>
        </w:trPr>
        <w:tc>
          <w:tcPr>
            <w:tcW w:w="605" w:type="dxa"/>
            <w:tcBorders>
              <w:top w:val="nil" w:sz="6" w:space="0" w:color="auto"/>
              <w:left w:val="nil" w:sz="6" w:space="0" w:color="auto"/>
              <w:bottom w:val="nil" w:sz="6" w:space="0" w:color="auto"/>
              <w:right w:val="nil" w:sz="6" w:space="0" w:color="auto"/>
            </w:tcBorders>
          </w:tcPr>
          <w:p>
            <w:pPr/>
          </w:p>
        </w:tc>
        <w:tc>
          <w:tcPr>
            <w:tcW w:w="3982" w:type="dxa"/>
            <w:tcBorders>
              <w:top w:val="nil" w:sz="6" w:space="0" w:color="auto"/>
              <w:left w:val="nil" w:sz="6" w:space="0" w:color="auto"/>
              <w:bottom w:val="nil" w:sz="6" w:space="0" w:color="auto"/>
              <w:right w:val="nil" w:sz="6" w:space="0" w:color="auto"/>
            </w:tcBorders>
          </w:tcPr>
          <w:p>
            <w:pPr>
              <w:pStyle w:val="TableParagraph"/>
              <w:spacing w:line="261" w:lineRule="exact"/>
              <w:ind w:left="142" w:right="0"/>
              <w:jc w:val="left"/>
              <w:rPr>
                <w:rFonts w:ascii="宋体" w:hAnsi="宋体" w:cs="宋体" w:eastAsia="宋体" w:hint="default"/>
                <w:sz w:val="24"/>
                <w:szCs w:val="24"/>
              </w:rPr>
            </w:pPr>
            <w:r>
              <w:rPr>
                <w:rFonts w:ascii="宋体" w:hAnsi="宋体" w:cs="宋体" w:eastAsia="宋体" w:hint="default"/>
                <w:sz w:val="24"/>
                <w:szCs w:val="24"/>
              </w:rPr>
              <w:t>应交个人所得税</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Arial" w:hAnsi="Arial" w:cs="Arial" w:eastAsia="Arial" w:hint="default"/>
                <w:sz w:val="24"/>
                <w:szCs w:val="24"/>
              </w:rPr>
            </w:pPr>
            <w:r>
              <w:rPr>
                <w:rFonts w:ascii="Arial"/>
                <w:spacing w:val="-1"/>
                <w:w w:val="95"/>
                <w:sz w:val="24"/>
              </w:rPr>
              <w:t>2,783</w:t>
            </w:r>
            <w:r>
              <w:rPr>
                <w:rFonts w:ascii="Arial"/>
                <w:sz w:val="24"/>
              </w:rPr>
            </w:r>
          </w:p>
        </w:tc>
        <w:tc>
          <w:tcPr>
            <w:tcW w:w="559" w:type="dxa"/>
            <w:tcBorders>
              <w:top w:val="nil" w:sz="6" w:space="0" w:color="auto"/>
              <w:left w:val="nil" w:sz="6" w:space="0" w:color="auto"/>
              <w:bottom w:val="nil" w:sz="6" w:space="0" w:color="auto"/>
              <w:right w:val="nil" w:sz="6" w:space="0" w:color="auto"/>
            </w:tcBorders>
          </w:tcPr>
          <w:p>
            <w:pP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5"/>
              <w:jc w:val="right"/>
              <w:rPr>
                <w:rFonts w:ascii="Arial" w:hAnsi="Arial" w:cs="Arial" w:eastAsia="Arial" w:hint="default"/>
                <w:sz w:val="24"/>
                <w:szCs w:val="24"/>
              </w:rPr>
            </w:pPr>
            <w:r>
              <w:rPr>
                <w:rFonts w:ascii="Arial"/>
                <w:spacing w:val="-1"/>
                <w:w w:val="95"/>
                <w:sz w:val="24"/>
              </w:rPr>
              <w:t>21,615</w:t>
            </w:r>
            <w:r>
              <w:rPr>
                <w:rFonts w:ascii="Arial"/>
                <w:sz w:val="24"/>
              </w:rPr>
            </w:r>
          </w:p>
        </w:tc>
      </w:tr>
      <w:tr>
        <w:trPr>
          <w:trHeight w:val="312" w:hRule="exact"/>
        </w:trPr>
        <w:tc>
          <w:tcPr>
            <w:tcW w:w="605" w:type="dxa"/>
            <w:tcBorders>
              <w:top w:val="nil" w:sz="6" w:space="0" w:color="auto"/>
              <w:left w:val="nil" w:sz="6" w:space="0" w:color="auto"/>
              <w:bottom w:val="nil" w:sz="6" w:space="0" w:color="auto"/>
              <w:right w:val="nil" w:sz="6" w:space="0" w:color="auto"/>
            </w:tcBorders>
          </w:tcPr>
          <w:p>
            <w:pPr/>
          </w:p>
        </w:tc>
        <w:tc>
          <w:tcPr>
            <w:tcW w:w="3982" w:type="dxa"/>
            <w:tcBorders>
              <w:top w:val="nil" w:sz="6" w:space="0" w:color="auto"/>
              <w:left w:val="nil" w:sz="6" w:space="0" w:color="auto"/>
              <w:bottom w:val="nil" w:sz="6" w:space="0" w:color="auto"/>
              <w:right w:val="nil" w:sz="6" w:space="0" w:color="auto"/>
            </w:tcBorders>
          </w:tcPr>
          <w:p>
            <w:pPr>
              <w:pStyle w:val="TableParagraph"/>
              <w:spacing w:line="261" w:lineRule="exact"/>
              <w:ind w:left="142" w:right="0"/>
              <w:jc w:val="left"/>
              <w:rPr>
                <w:rFonts w:ascii="宋体" w:hAnsi="宋体" w:cs="宋体" w:eastAsia="宋体" w:hint="default"/>
                <w:sz w:val="24"/>
                <w:szCs w:val="24"/>
              </w:rPr>
            </w:pPr>
            <w:r>
              <w:rPr>
                <w:rFonts w:ascii="宋体" w:hAnsi="宋体" w:cs="宋体" w:eastAsia="宋体" w:hint="default"/>
                <w:sz w:val="24"/>
                <w:szCs w:val="24"/>
              </w:rPr>
              <w:t>应交教育费附加</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531" w:right="0"/>
              <w:jc w:val="left"/>
              <w:rPr>
                <w:rFonts w:ascii="Arial" w:hAnsi="Arial" w:cs="Arial" w:eastAsia="Arial" w:hint="default"/>
                <w:sz w:val="24"/>
                <w:szCs w:val="24"/>
              </w:rPr>
            </w:pPr>
            <w:r>
              <w:rPr>
                <w:rFonts w:ascii="Arial"/>
                <w:sz w:val="24"/>
              </w:rPr>
              <w:t>13,153</w:t>
            </w:r>
          </w:p>
        </w:tc>
        <w:tc>
          <w:tcPr>
            <w:tcW w:w="559" w:type="dxa"/>
            <w:tcBorders>
              <w:top w:val="nil" w:sz="6" w:space="0" w:color="auto"/>
              <w:left w:val="nil" w:sz="6" w:space="0" w:color="auto"/>
              <w:bottom w:val="nil" w:sz="6" w:space="0" w:color="auto"/>
              <w:right w:val="nil" w:sz="6" w:space="0" w:color="auto"/>
            </w:tcBorders>
          </w:tcPr>
          <w:p>
            <w:pP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6"/>
              <w:jc w:val="right"/>
              <w:rPr>
                <w:rFonts w:ascii="Arial" w:hAnsi="Arial" w:cs="Arial" w:eastAsia="Arial" w:hint="default"/>
                <w:sz w:val="24"/>
                <w:szCs w:val="24"/>
              </w:rPr>
            </w:pPr>
            <w:r>
              <w:rPr>
                <w:rFonts w:ascii="Arial"/>
                <w:spacing w:val="-1"/>
                <w:w w:val="95"/>
                <w:sz w:val="24"/>
              </w:rPr>
              <w:t>14,978</w:t>
            </w:r>
            <w:r>
              <w:rPr>
                <w:rFonts w:ascii="Arial"/>
                <w:sz w:val="24"/>
              </w:rPr>
            </w:r>
          </w:p>
        </w:tc>
      </w:tr>
      <w:tr>
        <w:trPr>
          <w:trHeight w:val="312" w:hRule="exact"/>
        </w:trPr>
        <w:tc>
          <w:tcPr>
            <w:tcW w:w="605" w:type="dxa"/>
            <w:tcBorders>
              <w:top w:val="nil" w:sz="6" w:space="0" w:color="auto"/>
              <w:left w:val="nil" w:sz="6" w:space="0" w:color="auto"/>
              <w:bottom w:val="nil" w:sz="6" w:space="0" w:color="auto"/>
              <w:right w:val="nil" w:sz="6" w:space="0" w:color="auto"/>
            </w:tcBorders>
          </w:tcPr>
          <w:p>
            <w:pPr/>
          </w:p>
        </w:tc>
        <w:tc>
          <w:tcPr>
            <w:tcW w:w="3982" w:type="dxa"/>
            <w:tcBorders>
              <w:top w:val="nil" w:sz="6" w:space="0" w:color="auto"/>
              <w:left w:val="nil" w:sz="6" w:space="0" w:color="auto"/>
              <w:bottom w:val="nil" w:sz="6" w:space="0" w:color="auto"/>
              <w:right w:val="nil" w:sz="6" w:space="0" w:color="auto"/>
            </w:tcBorders>
          </w:tcPr>
          <w:p>
            <w:pPr>
              <w:pStyle w:val="TableParagraph"/>
              <w:spacing w:line="261" w:lineRule="exact"/>
              <w:ind w:left="142" w:right="0"/>
              <w:jc w:val="left"/>
              <w:rPr>
                <w:rFonts w:ascii="宋体" w:hAnsi="宋体" w:cs="宋体" w:eastAsia="宋体" w:hint="default"/>
                <w:sz w:val="24"/>
                <w:szCs w:val="24"/>
              </w:rPr>
            </w:pPr>
            <w:r>
              <w:rPr>
                <w:rFonts w:ascii="宋体" w:hAnsi="宋体" w:cs="宋体" w:eastAsia="宋体" w:hint="default"/>
                <w:sz w:val="24"/>
                <w:szCs w:val="24"/>
              </w:rPr>
              <w:t>应交营业税</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Arial" w:hAnsi="Arial" w:cs="Arial" w:eastAsia="Arial" w:hint="default"/>
                <w:sz w:val="24"/>
                <w:szCs w:val="24"/>
              </w:rPr>
            </w:pPr>
            <w:r>
              <w:rPr>
                <w:rFonts w:ascii="Arial"/>
                <w:spacing w:val="-1"/>
                <w:w w:val="95"/>
                <w:sz w:val="24"/>
              </w:rPr>
              <w:t>9,791</w:t>
            </w:r>
            <w:r>
              <w:rPr>
                <w:rFonts w:ascii="Arial"/>
                <w:sz w:val="24"/>
              </w:rPr>
            </w:r>
          </w:p>
        </w:tc>
        <w:tc>
          <w:tcPr>
            <w:tcW w:w="559" w:type="dxa"/>
            <w:tcBorders>
              <w:top w:val="nil" w:sz="6" w:space="0" w:color="auto"/>
              <w:left w:val="nil" w:sz="6" w:space="0" w:color="auto"/>
              <w:bottom w:val="nil" w:sz="6" w:space="0" w:color="auto"/>
              <w:right w:val="nil" w:sz="6" w:space="0" w:color="auto"/>
            </w:tcBorders>
          </w:tcPr>
          <w:p>
            <w:pP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4"/>
              <w:jc w:val="right"/>
              <w:rPr>
                <w:rFonts w:ascii="Arial" w:hAnsi="Arial" w:cs="Arial" w:eastAsia="Arial" w:hint="default"/>
                <w:sz w:val="24"/>
                <w:szCs w:val="24"/>
              </w:rPr>
            </w:pPr>
            <w:r>
              <w:rPr>
                <w:rFonts w:ascii="Arial"/>
                <w:spacing w:val="-1"/>
                <w:w w:val="95"/>
                <w:sz w:val="24"/>
              </w:rPr>
              <w:t>6,861</w:t>
            </w:r>
            <w:r>
              <w:rPr>
                <w:rFonts w:ascii="Arial"/>
                <w:sz w:val="24"/>
              </w:rPr>
            </w:r>
          </w:p>
        </w:tc>
      </w:tr>
      <w:tr>
        <w:trPr>
          <w:trHeight w:val="312" w:hRule="exact"/>
        </w:trPr>
        <w:tc>
          <w:tcPr>
            <w:tcW w:w="605" w:type="dxa"/>
            <w:tcBorders>
              <w:top w:val="nil" w:sz="6" w:space="0" w:color="auto"/>
              <w:left w:val="nil" w:sz="6" w:space="0" w:color="auto"/>
              <w:bottom w:val="nil" w:sz="6" w:space="0" w:color="auto"/>
              <w:right w:val="nil" w:sz="6" w:space="0" w:color="auto"/>
            </w:tcBorders>
          </w:tcPr>
          <w:p>
            <w:pPr/>
          </w:p>
        </w:tc>
        <w:tc>
          <w:tcPr>
            <w:tcW w:w="3982" w:type="dxa"/>
            <w:tcBorders>
              <w:top w:val="nil" w:sz="6" w:space="0" w:color="auto"/>
              <w:left w:val="nil" w:sz="6" w:space="0" w:color="auto"/>
              <w:bottom w:val="nil" w:sz="6" w:space="0" w:color="auto"/>
              <w:right w:val="nil" w:sz="6" w:space="0" w:color="auto"/>
            </w:tcBorders>
          </w:tcPr>
          <w:p>
            <w:pPr>
              <w:pStyle w:val="TableParagraph"/>
              <w:spacing w:line="261" w:lineRule="exact"/>
              <w:ind w:left="142" w:right="0"/>
              <w:jc w:val="left"/>
              <w:rPr>
                <w:rFonts w:ascii="宋体" w:hAnsi="宋体" w:cs="宋体" w:eastAsia="宋体" w:hint="default"/>
                <w:sz w:val="24"/>
                <w:szCs w:val="24"/>
              </w:rPr>
            </w:pPr>
            <w:r>
              <w:rPr>
                <w:rFonts w:ascii="宋体" w:hAnsi="宋体" w:cs="宋体" w:eastAsia="宋体" w:hint="default"/>
                <w:sz w:val="24"/>
                <w:szCs w:val="24"/>
              </w:rPr>
              <w:t>待抵扣增值税</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8"/>
              <w:jc w:val="right"/>
              <w:rPr>
                <w:rFonts w:ascii="Arial" w:hAnsi="Arial" w:cs="Arial" w:eastAsia="Arial" w:hint="default"/>
                <w:sz w:val="24"/>
                <w:szCs w:val="24"/>
              </w:rPr>
            </w:pPr>
            <w:r>
              <w:rPr>
                <w:rFonts w:ascii="Arial"/>
                <w:spacing w:val="-1"/>
                <w:w w:val="95"/>
                <w:sz w:val="24"/>
              </w:rPr>
              <w:t>(6,321)</w:t>
            </w:r>
            <w:r>
              <w:rPr>
                <w:rFonts w:ascii="Arial"/>
                <w:sz w:val="24"/>
              </w:rPr>
            </w:r>
          </w:p>
        </w:tc>
        <w:tc>
          <w:tcPr>
            <w:tcW w:w="559" w:type="dxa"/>
            <w:tcBorders>
              <w:top w:val="nil" w:sz="6" w:space="0" w:color="auto"/>
              <w:left w:val="nil" w:sz="6" w:space="0" w:color="auto"/>
              <w:bottom w:val="nil" w:sz="6" w:space="0" w:color="auto"/>
              <w:right w:val="nil" w:sz="6" w:space="0" w:color="auto"/>
            </w:tcBorders>
          </w:tcPr>
          <w:p>
            <w:pP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5"/>
              <w:jc w:val="right"/>
              <w:rPr>
                <w:rFonts w:ascii="Arial" w:hAnsi="Arial" w:cs="Arial" w:eastAsia="Arial" w:hint="default"/>
                <w:sz w:val="24"/>
                <w:szCs w:val="24"/>
              </w:rPr>
            </w:pPr>
            <w:r>
              <w:rPr>
                <w:rFonts w:ascii="Arial"/>
                <w:spacing w:val="-1"/>
                <w:w w:val="95"/>
                <w:sz w:val="24"/>
              </w:rPr>
              <w:t>(71,232)</w:t>
            </w:r>
            <w:r>
              <w:rPr>
                <w:rFonts w:ascii="Arial"/>
                <w:sz w:val="24"/>
              </w:rPr>
            </w:r>
          </w:p>
        </w:tc>
      </w:tr>
      <w:tr>
        <w:trPr>
          <w:trHeight w:val="314" w:hRule="exact"/>
        </w:trPr>
        <w:tc>
          <w:tcPr>
            <w:tcW w:w="605" w:type="dxa"/>
            <w:tcBorders>
              <w:top w:val="nil" w:sz="6" w:space="0" w:color="auto"/>
              <w:left w:val="nil" w:sz="6" w:space="0" w:color="auto"/>
              <w:bottom w:val="nil" w:sz="6" w:space="0" w:color="auto"/>
              <w:right w:val="nil" w:sz="6" w:space="0" w:color="auto"/>
            </w:tcBorders>
          </w:tcPr>
          <w:p>
            <w:pPr/>
          </w:p>
        </w:tc>
        <w:tc>
          <w:tcPr>
            <w:tcW w:w="3982" w:type="dxa"/>
            <w:tcBorders>
              <w:top w:val="nil" w:sz="6" w:space="0" w:color="auto"/>
              <w:left w:val="nil" w:sz="6" w:space="0" w:color="auto"/>
              <w:bottom w:val="nil" w:sz="6" w:space="0" w:color="auto"/>
              <w:right w:val="nil" w:sz="6" w:space="0" w:color="auto"/>
            </w:tcBorders>
          </w:tcPr>
          <w:p>
            <w:pPr>
              <w:pStyle w:val="TableParagraph"/>
              <w:spacing w:line="261" w:lineRule="exact"/>
              <w:ind w:left="14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423" w:type="dxa"/>
            <w:tcBorders>
              <w:top w:val="nil" w:sz="6" w:space="0" w:color="auto"/>
              <w:left w:val="nil" w:sz="6" w:space="0" w:color="auto"/>
              <w:bottom w:val="nil" w:sz="6" w:space="0" w:color="auto"/>
              <w:right w:val="nil" w:sz="6" w:space="0" w:color="auto"/>
            </w:tcBorders>
          </w:tcPr>
          <w:p>
            <w:pPr>
              <w:pStyle w:val="TableParagraph"/>
              <w:tabs>
                <w:tab w:pos="1657" w:val="left" w:leader="none"/>
                <w:tab w:pos="2408" w:val="left" w:leader="none"/>
              </w:tabs>
              <w:spacing w:line="240" w:lineRule="auto" w:before="20"/>
              <w:ind w:right="5"/>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3,423</w:t>
              <w:tab/>
            </w:r>
            <w:r>
              <w:rPr>
                <w:rFonts w:ascii="Arial"/>
                <w:spacing w:val="-1"/>
                <w:sz w:val="24"/>
              </w:rPr>
            </w:r>
          </w:p>
        </w:tc>
        <w:tc>
          <w:tcPr>
            <w:tcW w:w="559" w:type="dxa"/>
            <w:tcBorders>
              <w:top w:val="nil" w:sz="6" w:space="0" w:color="auto"/>
              <w:left w:val="nil" w:sz="6" w:space="0" w:color="auto"/>
              <w:bottom w:val="nil" w:sz="6" w:space="0" w:color="auto"/>
              <w:right w:val="nil" w:sz="6" w:space="0" w:color="auto"/>
            </w:tcBorders>
          </w:tcPr>
          <w:p>
            <w:pPr/>
          </w:p>
        </w:tc>
        <w:tc>
          <w:tcPr>
            <w:tcW w:w="2459" w:type="dxa"/>
            <w:tcBorders>
              <w:top w:val="nil" w:sz="6" w:space="0" w:color="auto"/>
              <w:left w:val="nil" w:sz="6" w:space="0" w:color="auto"/>
              <w:bottom w:val="nil" w:sz="6" w:space="0" w:color="auto"/>
              <w:right w:val="nil" w:sz="6" w:space="0" w:color="auto"/>
            </w:tcBorders>
          </w:tcPr>
          <w:p>
            <w:pPr>
              <w:pStyle w:val="TableParagraph"/>
              <w:tabs>
                <w:tab w:pos="1674" w:val="left" w:leader="none"/>
                <w:tab w:pos="2409" w:val="left" w:leader="none"/>
              </w:tabs>
              <w:spacing w:line="240" w:lineRule="auto" w:before="20"/>
              <w:ind w:right="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9,643</w:t>
              <w:tab/>
            </w:r>
            <w:r>
              <w:rPr>
                <w:rFonts w:ascii="Arial"/>
                <w:spacing w:val="-1"/>
                <w:sz w:val="24"/>
              </w:rPr>
            </w:r>
          </w:p>
        </w:tc>
      </w:tr>
      <w:tr>
        <w:trPr>
          <w:trHeight w:val="417" w:hRule="exact"/>
        </w:trPr>
        <w:tc>
          <w:tcPr>
            <w:tcW w:w="605" w:type="dxa"/>
            <w:tcBorders>
              <w:top w:val="nil" w:sz="6" w:space="0" w:color="auto"/>
              <w:left w:val="nil" w:sz="6" w:space="0" w:color="auto"/>
              <w:bottom w:val="nil" w:sz="6" w:space="0" w:color="auto"/>
              <w:right w:val="nil" w:sz="6" w:space="0" w:color="auto"/>
            </w:tcBorders>
          </w:tcPr>
          <w:p>
            <w:pPr/>
          </w:p>
        </w:tc>
        <w:tc>
          <w:tcPr>
            <w:tcW w:w="3982" w:type="dxa"/>
            <w:tcBorders>
              <w:top w:val="nil" w:sz="6" w:space="0" w:color="auto"/>
              <w:left w:val="nil" w:sz="6" w:space="0" w:color="auto"/>
              <w:bottom w:val="nil" w:sz="6" w:space="0" w:color="auto"/>
              <w:right w:val="nil" w:sz="6" w:space="0" w:color="auto"/>
            </w:tcBorders>
          </w:tcPr>
          <w:p>
            <w:pPr/>
          </w:p>
        </w:tc>
        <w:tc>
          <w:tcPr>
            <w:tcW w:w="2423" w:type="dxa"/>
            <w:tcBorders>
              <w:top w:val="nil" w:sz="6" w:space="0" w:color="auto"/>
              <w:left w:val="nil" w:sz="6" w:space="0" w:color="auto"/>
              <w:bottom w:val="nil" w:sz="6" w:space="0" w:color="auto"/>
              <w:right w:val="nil" w:sz="6" w:space="0" w:color="auto"/>
            </w:tcBorders>
          </w:tcPr>
          <w:p>
            <w:pPr>
              <w:pStyle w:val="TableParagraph"/>
              <w:tabs>
                <w:tab w:pos="1398" w:val="left" w:leader="none"/>
                <w:tab w:pos="2422" w:val="left" w:leader="none"/>
              </w:tabs>
              <w:spacing w:line="268" w:lineRule="exact"/>
              <w:ind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525,750</w:t>
              <w:tab/>
            </w:r>
            <w:r>
              <w:rPr>
                <w:rFonts w:ascii="Arial"/>
                <w:spacing w:val="-1"/>
                <w:sz w:val="24"/>
              </w:rPr>
            </w:r>
          </w:p>
        </w:tc>
        <w:tc>
          <w:tcPr>
            <w:tcW w:w="559" w:type="dxa"/>
            <w:tcBorders>
              <w:top w:val="nil" w:sz="6" w:space="0" w:color="auto"/>
              <w:left w:val="nil" w:sz="6" w:space="0" w:color="auto"/>
              <w:bottom w:val="nil" w:sz="6" w:space="0" w:color="auto"/>
              <w:right w:val="nil" w:sz="6" w:space="0" w:color="auto"/>
            </w:tcBorders>
          </w:tcPr>
          <w:p>
            <w:pPr/>
          </w:p>
        </w:tc>
        <w:tc>
          <w:tcPr>
            <w:tcW w:w="2459" w:type="dxa"/>
            <w:tcBorders>
              <w:top w:val="nil" w:sz="6" w:space="0" w:color="auto"/>
              <w:left w:val="nil" w:sz="6" w:space="0" w:color="auto"/>
              <w:bottom w:val="nil" w:sz="6" w:space="0" w:color="auto"/>
              <w:right w:val="nil" w:sz="6" w:space="0" w:color="auto"/>
            </w:tcBorders>
          </w:tcPr>
          <w:p>
            <w:pPr>
              <w:pStyle w:val="TableParagraph"/>
              <w:tabs>
                <w:tab w:pos="1415" w:val="left" w:leader="none"/>
                <w:tab w:pos="2423"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301,542</w:t>
              <w:tab/>
            </w:r>
            <w:r>
              <w:rPr>
                <w:rFonts w:ascii="Arial"/>
                <w:spacing w:val="-1"/>
                <w:sz w:val="24"/>
              </w:rPr>
            </w:r>
          </w:p>
        </w:tc>
      </w:tr>
      <w:tr>
        <w:trPr>
          <w:trHeight w:val="574" w:hRule="exact"/>
        </w:trPr>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Arial" w:hAnsi="Arial" w:cs="Arial" w:eastAsia="Arial" w:hint="default"/>
                <w:sz w:val="24"/>
                <w:szCs w:val="24"/>
              </w:rPr>
            </w:pPr>
            <w:r>
              <w:rPr>
                <w:rFonts w:ascii="Arial"/>
                <w:sz w:val="24"/>
              </w:rPr>
              <w:t>(26)</w:t>
            </w:r>
          </w:p>
        </w:tc>
        <w:tc>
          <w:tcPr>
            <w:tcW w:w="398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42" w:right="0"/>
              <w:jc w:val="left"/>
              <w:rPr>
                <w:rFonts w:ascii="宋体" w:hAnsi="宋体" w:cs="宋体" w:eastAsia="宋体" w:hint="default"/>
                <w:sz w:val="24"/>
                <w:szCs w:val="24"/>
              </w:rPr>
            </w:pPr>
            <w:r>
              <w:rPr>
                <w:rFonts w:ascii="宋体" w:hAnsi="宋体" w:cs="宋体" w:eastAsia="宋体" w:hint="default"/>
                <w:b/>
                <w:bCs/>
                <w:sz w:val="24"/>
                <w:szCs w:val="24"/>
              </w:rPr>
              <w:t>应付股利</w:t>
            </w:r>
            <w:r>
              <w:rPr>
                <w:rFonts w:ascii="宋体" w:hAnsi="宋体" w:cs="宋体" w:eastAsia="宋体" w:hint="default"/>
                <w:sz w:val="24"/>
                <w:szCs w:val="24"/>
              </w:rPr>
            </w:r>
          </w:p>
        </w:tc>
        <w:tc>
          <w:tcPr>
            <w:tcW w:w="2423"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2459" w:type="dxa"/>
            <w:tcBorders>
              <w:top w:val="nil" w:sz="6" w:space="0" w:color="auto"/>
              <w:left w:val="nil" w:sz="6" w:space="0" w:color="auto"/>
              <w:bottom w:val="nil" w:sz="6" w:space="0" w:color="auto"/>
              <w:right w:val="nil" w:sz="6" w:space="0" w:color="auto"/>
            </w:tcBorders>
          </w:tcPr>
          <w:p>
            <w:pPr/>
          </w:p>
        </w:tc>
      </w:tr>
      <w:tr>
        <w:trPr>
          <w:trHeight w:val="591" w:hRule="exact"/>
        </w:trPr>
        <w:tc>
          <w:tcPr>
            <w:tcW w:w="605" w:type="dxa"/>
            <w:tcBorders>
              <w:top w:val="nil" w:sz="6" w:space="0" w:color="auto"/>
              <w:left w:val="nil" w:sz="6" w:space="0" w:color="auto"/>
              <w:bottom w:val="nil" w:sz="6" w:space="0" w:color="auto"/>
              <w:right w:val="nil" w:sz="6" w:space="0" w:color="auto"/>
            </w:tcBorders>
          </w:tcPr>
          <w:p>
            <w:pPr/>
          </w:p>
        </w:tc>
        <w:tc>
          <w:tcPr>
            <w:tcW w:w="3982" w:type="dxa"/>
            <w:tcBorders>
              <w:top w:val="nil" w:sz="6" w:space="0" w:color="auto"/>
              <w:left w:val="nil" w:sz="6" w:space="0" w:color="auto"/>
              <w:bottom w:val="nil" w:sz="6" w:space="0" w:color="auto"/>
              <w:right w:val="nil" w:sz="6" w:space="0" w:color="auto"/>
            </w:tcBorders>
          </w:tcPr>
          <w:p>
            <w:pP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47"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559" w:type="dxa"/>
            <w:tcBorders>
              <w:top w:val="nil" w:sz="6" w:space="0" w:color="auto"/>
              <w:left w:val="nil" w:sz="6" w:space="0" w:color="auto"/>
              <w:bottom w:val="nil" w:sz="6" w:space="0" w:color="auto"/>
              <w:right w:val="nil" w:sz="6" w:space="0" w:color="auto"/>
            </w:tcBorders>
          </w:tcPr>
          <w:p>
            <w:pP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5"/>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63" w:hRule="exact"/>
        </w:trPr>
        <w:tc>
          <w:tcPr>
            <w:tcW w:w="605" w:type="dxa"/>
            <w:tcBorders>
              <w:top w:val="nil" w:sz="6" w:space="0" w:color="auto"/>
              <w:left w:val="nil" w:sz="6" w:space="0" w:color="auto"/>
              <w:bottom w:val="nil" w:sz="6" w:space="0" w:color="auto"/>
              <w:right w:val="nil" w:sz="6" w:space="0" w:color="auto"/>
            </w:tcBorders>
          </w:tcPr>
          <w:p>
            <w:pPr/>
          </w:p>
        </w:tc>
        <w:tc>
          <w:tcPr>
            <w:tcW w:w="398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2" w:right="0"/>
              <w:jc w:val="left"/>
              <w:rPr>
                <w:rFonts w:ascii="宋体" w:hAnsi="宋体" w:cs="宋体" w:eastAsia="宋体" w:hint="default"/>
                <w:sz w:val="24"/>
                <w:szCs w:val="24"/>
              </w:rPr>
            </w:pPr>
            <w:r>
              <w:rPr>
                <w:rFonts w:ascii="宋体" w:hAnsi="宋体" w:cs="宋体" w:eastAsia="宋体" w:hint="default"/>
                <w:sz w:val="24"/>
                <w:szCs w:val="24"/>
              </w:rPr>
              <w:t>应付淮安热电公司</w:t>
            </w:r>
          </w:p>
        </w:tc>
        <w:tc>
          <w:tcPr>
            <w:tcW w:w="2423" w:type="dxa"/>
            <w:tcBorders>
              <w:top w:val="nil" w:sz="6" w:space="0" w:color="auto"/>
              <w:left w:val="nil" w:sz="6" w:space="0" w:color="auto"/>
              <w:bottom w:val="single" w:sz="12" w:space="0" w:color="000000"/>
              <w:right w:val="nil" w:sz="6" w:space="0" w:color="auto"/>
            </w:tcBorders>
          </w:tcPr>
          <w:p>
            <w:pPr>
              <w:pStyle w:val="TableParagraph"/>
              <w:spacing w:line="240" w:lineRule="auto" w:before="134"/>
              <w:ind w:right="181"/>
              <w:jc w:val="right"/>
              <w:rPr>
                <w:rFonts w:ascii="Arial" w:hAnsi="Arial" w:cs="Arial" w:eastAsia="Arial" w:hint="default"/>
                <w:sz w:val="24"/>
                <w:szCs w:val="24"/>
              </w:rPr>
            </w:pPr>
            <w:r>
              <w:rPr>
                <w:rFonts w:ascii="Arial"/>
                <w:spacing w:val="-1"/>
                <w:w w:val="95"/>
                <w:sz w:val="24"/>
              </w:rPr>
              <w:t>9,397</w:t>
            </w:r>
            <w:r>
              <w:rPr>
                <w:rFonts w:ascii="Arial"/>
                <w:sz w:val="24"/>
              </w:rPr>
            </w:r>
          </w:p>
        </w:tc>
        <w:tc>
          <w:tcPr>
            <w:tcW w:w="559" w:type="dxa"/>
            <w:tcBorders>
              <w:top w:val="nil" w:sz="6" w:space="0" w:color="auto"/>
              <w:left w:val="nil" w:sz="6" w:space="0" w:color="auto"/>
              <w:bottom w:val="nil" w:sz="6" w:space="0" w:color="auto"/>
              <w:right w:val="nil" w:sz="6" w:space="0" w:color="auto"/>
            </w:tcBorders>
          </w:tcPr>
          <w:p>
            <w:pPr/>
          </w:p>
        </w:tc>
        <w:tc>
          <w:tcPr>
            <w:tcW w:w="2459" w:type="dxa"/>
            <w:tcBorders>
              <w:top w:val="nil" w:sz="6" w:space="0" w:color="auto"/>
              <w:left w:val="nil" w:sz="6" w:space="0" w:color="auto"/>
              <w:bottom w:val="single" w:sz="12" w:space="0" w:color="000000"/>
              <w:right w:val="nil" w:sz="6" w:space="0" w:color="auto"/>
            </w:tcBorders>
          </w:tcPr>
          <w:p>
            <w:pPr>
              <w:pStyle w:val="TableParagraph"/>
              <w:spacing w:line="240" w:lineRule="auto" w:before="134"/>
              <w:ind w:right="172"/>
              <w:jc w:val="right"/>
              <w:rPr>
                <w:rFonts w:ascii="Arial" w:hAnsi="Arial" w:cs="Arial" w:eastAsia="Arial" w:hint="default"/>
                <w:sz w:val="24"/>
                <w:szCs w:val="24"/>
              </w:rPr>
            </w:pPr>
            <w:r>
              <w:rPr>
                <w:rFonts w:ascii="Arial"/>
                <w:w w:val="99"/>
                <w:sz w:val="24"/>
              </w:rPr>
              <w:t>-</w:t>
            </w:r>
            <w:r>
              <w:rPr>
                <w:rFonts w:ascii="Arial"/>
                <w:sz w:val="24"/>
              </w:rPr>
            </w:r>
          </w:p>
        </w:tc>
      </w:tr>
    </w:tbl>
    <w:p>
      <w:pPr>
        <w:spacing w:after="0" w:line="240" w:lineRule="auto"/>
        <w:jc w:val="right"/>
        <w:rPr>
          <w:rFonts w:ascii="Arial" w:hAnsi="Arial" w:cs="Arial" w:eastAsia="Arial" w:hint="default"/>
          <w:sz w:val="24"/>
          <w:szCs w:val="24"/>
        </w:rPr>
        <w:sectPr>
          <w:pgSz w:w="11910" w:h="16840"/>
          <w:pgMar w:header="755" w:footer="947" w:top="2300" w:bottom="1140" w:left="980" w:right="680"/>
        </w:sectPr>
      </w:pPr>
    </w:p>
    <w:p>
      <w:pPr>
        <w:spacing w:line="240" w:lineRule="auto" w:before="6"/>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604"/>
        <w:gridCol w:w="3991"/>
        <w:gridCol w:w="2407"/>
        <w:gridCol w:w="575"/>
        <w:gridCol w:w="2407"/>
      </w:tblGrid>
      <w:tr>
        <w:trPr>
          <w:trHeight w:val="1102" w:hRule="exact"/>
        </w:trPr>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5" w:right="0"/>
              <w:jc w:val="left"/>
              <w:rPr>
                <w:rFonts w:ascii="Arial" w:hAnsi="Arial" w:cs="Arial" w:eastAsia="Arial" w:hint="default"/>
                <w:sz w:val="24"/>
                <w:szCs w:val="24"/>
              </w:rPr>
            </w:pPr>
            <w:r>
              <w:rPr>
                <w:rFonts w:ascii="Arial"/>
                <w:sz w:val="24"/>
              </w:rPr>
              <w:t>(27)</w:t>
            </w:r>
          </w:p>
        </w:tc>
        <w:tc>
          <w:tcPr>
            <w:tcW w:w="3991"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42" w:right="1043"/>
              <w:jc w:val="left"/>
              <w:rPr>
                <w:rFonts w:ascii="宋体" w:hAnsi="宋体" w:cs="宋体" w:eastAsia="宋体"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3"/>
                <w:w w:val="95"/>
                <w:sz w:val="24"/>
                <w:szCs w:val="24"/>
              </w:rPr>
              <w:t> </w:t>
            </w:r>
            <w:r>
              <w:rPr>
                <w:rFonts w:ascii="宋体" w:hAnsi="宋体" w:cs="宋体" w:eastAsia="宋体" w:hint="default"/>
                <w:b/>
                <w:bCs/>
                <w:sz w:val="24"/>
                <w:szCs w:val="24"/>
              </w:rPr>
              <w:t>其他应付款</w:t>
            </w:r>
            <w:r>
              <w:rPr>
                <w:rFonts w:ascii="宋体" w:hAnsi="宋体" w:cs="宋体" w:eastAsia="宋体" w:hint="default"/>
                <w:sz w:val="24"/>
                <w:szCs w:val="24"/>
              </w:rPr>
            </w:r>
          </w:p>
        </w:tc>
        <w:tc>
          <w:tcPr>
            <w:tcW w:w="5389" w:type="dxa"/>
            <w:gridSpan w:val="3"/>
            <w:tcBorders>
              <w:top w:val="nil" w:sz="6" w:space="0" w:color="auto"/>
              <w:left w:val="nil" w:sz="6" w:space="0" w:color="auto"/>
              <w:bottom w:val="nil" w:sz="6" w:space="0" w:color="auto"/>
              <w:right w:val="nil" w:sz="6" w:space="0" w:color="auto"/>
            </w:tcBorders>
          </w:tcPr>
          <w:p>
            <w:pPr/>
          </w:p>
        </w:tc>
      </w:tr>
      <w:tr>
        <w:trPr>
          <w:trHeight w:val="591" w:hRule="exact"/>
        </w:trPr>
        <w:tc>
          <w:tcPr>
            <w:tcW w:w="604" w:type="dxa"/>
            <w:tcBorders>
              <w:top w:val="nil" w:sz="6" w:space="0" w:color="auto"/>
              <w:left w:val="nil" w:sz="6" w:space="0" w:color="auto"/>
              <w:bottom w:val="nil" w:sz="6" w:space="0" w:color="auto"/>
              <w:right w:val="nil" w:sz="6" w:space="0" w:color="auto"/>
            </w:tcBorders>
          </w:tcPr>
          <w:p>
            <w:pPr/>
          </w:p>
        </w:tc>
        <w:tc>
          <w:tcPr>
            <w:tcW w:w="399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575"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44" w:hRule="exact"/>
        </w:trPr>
        <w:tc>
          <w:tcPr>
            <w:tcW w:w="604" w:type="dxa"/>
            <w:tcBorders>
              <w:top w:val="nil" w:sz="6" w:space="0" w:color="auto"/>
              <w:left w:val="nil" w:sz="6" w:space="0" w:color="auto"/>
              <w:bottom w:val="nil" w:sz="6" w:space="0" w:color="auto"/>
              <w:right w:val="nil" w:sz="6" w:space="0" w:color="auto"/>
            </w:tcBorders>
          </w:tcPr>
          <w:p>
            <w:pPr/>
          </w:p>
        </w:tc>
        <w:tc>
          <w:tcPr>
            <w:tcW w:w="399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2" w:right="0"/>
              <w:jc w:val="left"/>
              <w:rPr>
                <w:rFonts w:ascii="宋体" w:hAnsi="宋体" w:cs="宋体" w:eastAsia="宋体" w:hint="default"/>
                <w:sz w:val="24"/>
                <w:szCs w:val="24"/>
              </w:rPr>
            </w:pPr>
            <w:r>
              <w:rPr>
                <w:rFonts w:ascii="宋体" w:hAnsi="宋体" w:cs="宋体" w:eastAsia="宋体" w:hint="default"/>
                <w:sz w:val="24"/>
                <w:szCs w:val="24"/>
              </w:rPr>
              <w:t>收取的保证金及押金</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39"/>
              <w:jc w:val="right"/>
              <w:rPr>
                <w:rFonts w:ascii="Arial" w:hAnsi="Arial" w:cs="Arial" w:eastAsia="Arial" w:hint="default"/>
                <w:sz w:val="24"/>
                <w:szCs w:val="24"/>
              </w:rPr>
            </w:pPr>
            <w:r>
              <w:rPr>
                <w:rFonts w:ascii="Arial"/>
                <w:spacing w:val="-4"/>
                <w:sz w:val="24"/>
              </w:rPr>
              <w:t>411,697</w:t>
            </w:r>
            <w:r>
              <w:rPr>
                <w:rFonts w:ascii="Arial"/>
                <w:sz w:val="24"/>
              </w:rPr>
            </w:r>
          </w:p>
        </w:tc>
        <w:tc>
          <w:tcPr>
            <w:tcW w:w="575"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9"/>
              <w:jc w:val="right"/>
              <w:rPr>
                <w:rFonts w:ascii="Arial" w:hAnsi="Arial" w:cs="Arial" w:eastAsia="Arial" w:hint="default"/>
                <w:sz w:val="24"/>
                <w:szCs w:val="24"/>
              </w:rPr>
            </w:pPr>
            <w:r>
              <w:rPr>
                <w:rFonts w:ascii="Arial"/>
                <w:spacing w:val="-1"/>
                <w:w w:val="95"/>
                <w:sz w:val="24"/>
              </w:rPr>
              <w:t>314,479</w:t>
            </w:r>
            <w:r>
              <w:rPr>
                <w:rFonts w:ascii="Arial"/>
                <w:sz w:val="24"/>
              </w:rPr>
            </w:r>
          </w:p>
        </w:tc>
      </w:tr>
      <w:tr>
        <w:trPr>
          <w:trHeight w:val="312" w:hRule="exact"/>
        </w:trPr>
        <w:tc>
          <w:tcPr>
            <w:tcW w:w="604" w:type="dxa"/>
            <w:tcBorders>
              <w:top w:val="nil" w:sz="6" w:space="0" w:color="auto"/>
              <w:left w:val="nil" w:sz="6" w:space="0" w:color="auto"/>
              <w:bottom w:val="nil" w:sz="6" w:space="0" w:color="auto"/>
              <w:right w:val="nil" w:sz="6" w:space="0" w:color="auto"/>
            </w:tcBorders>
          </w:tcPr>
          <w:p>
            <w:pPr/>
          </w:p>
        </w:tc>
        <w:tc>
          <w:tcPr>
            <w:tcW w:w="3991" w:type="dxa"/>
            <w:tcBorders>
              <w:top w:val="nil" w:sz="6" w:space="0" w:color="auto"/>
              <w:left w:val="nil" w:sz="6" w:space="0" w:color="auto"/>
              <w:bottom w:val="nil" w:sz="6" w:space="0" w:color="auto"/>
              <w:right w:val="nil" w:sz="6" w:space="0" w:color="auto"/>
            </w:tcBorders>
          </w:tcPr>
          <w:p>
            <w:pPr>
              <w:pStyle w:val="TableParagraph"/>
              <w:spacing w:line="279" w:lineRule="exact"/>
              <w:ind w:left="142" w:right="0"/>
              <w:jc w:val="left"/>
              <w:rPr>
                <w:rFonts w:ascii="宋体" w:hAnsi="宋体" w:cs="宋体" w:eastAsia="宋体" w:hint="default"/>
                <w:sz w:val="24"/>
                <w:szCs w:val="24"/>
              </w:rPr>
            </w:pPr>
            <w:r>
              <w:rPr>
                <w:rFonts w:ascii="宋体" w:hAnsi="宋体" w:cs="宋体" w:eastAsia="宋体" w:hint="default"/>
                <w:sz w:val="24"/>
                <w:szCs w:val="24"/>
              </w:rPr>
              <w:t>应付广告费</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9"/>
              <w:jc w:val="right"/>
              <w:rPr>
                <w:rFonts w:ascii="Arial" w:hAnsi="Arial" w:cs="Arial" w:eastAsia="Arial" w:hint="default"/>
                <w:sz w:val="24"/>
                <w:szCs w:val="24"/>
              </w:rPr>
            </w:pPr>
            <w:r>
              <w:rPr>
                <w:rFonts w:ascii="Arial"/>
                <w:spacing w:val="-1"/>
                <w:w w:val="95"/>
                <w:sz w:val="24"/>
              </w:rPr>
              <w:t>210,095</w:t>
            </w:r>
            <w:r>
              <w:rPr>
                <w:rFonts w:ascii="Arial"/>
                <w:sz w:val="24"/>
              </w:rPr>
            </w:r>
          </w:p>
        </w:tc>
        <w:tc>
          <w:tcPr>
            <w:tcW w:w="575"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19"/>
              <w:jc w:val="right"/>
              <w:rPr>
                <w:rFonts w:ascii="Arial" w:hAnsi="Arial" w:cs="Arial" w:eastAsia="Arial" w:hint="default"/>
                <w:sz w:val="24"/>
                <w:szCs w:val="24"/>
              </w:rPr>
            </w:pPr>
            <w:r>
              <w:rPr>
                <w:rFonts w:ascii="Arial"/>
                <w:spacing w:val="-1"/>
                <w:w w:val="95"/>
                <w:sz w:val="24"/>
              </w:rPr>
              <w:t>152,154</w:t>
            </w:r>
            <w:r>
              <w:rPr>
                <w:rFonts w:ascii="Arial"/>
                <w:sz w:val="24"/>
              </w:rPr>
            </w:r>
          </w:p>
        </w:tc>
      </w:tr>
      <w:tr>
        <w:trPr>
          <w:trHeight w:val="312" w:hRule="exact"/>
        </w:trPr>
        <w:tc>
          <w:tcPr>
            <w:tcW w:w="604" w:type="dxa"/>
            <w:tcBorders>
              <w:top w:val="nil" w:sz="6" w:space="0" w:color="auto"/>
              <w:left w:val="nil" w:sz="6" w:space="0" w:color="auto"/>
              <w:bottom w:val="nil" w:sz="6" w:space="0" w:color="auto"/>
              <w:right w:val="nil" w:sz="6" w:space="0" w:color="auto"/>
            </w:tcBorders>
          </w:tcPr>
          <w:p>
            <w:pPr/>
          </w:p>
        </w:tc>
        <w:tc>
          <w:tcPr>
            <w:tcW w:w="3991" w:type="dxa"/>
            <w:tcBorders>
              <w:top w:val="nil" w:sz="6" w:space="0" w:color="auto"/>
              <w:left w:val="nil" w:sz="6" w:space="0" w:color="auto"/>
              <w:bottom w:val="nil" w:sz="6" w:space="0" w:color="auto"/>
              <w:right w:val="nil" w:sz="6" w:space="0" w:color="auto"/>
            </w:tcBorders>
          </w:tcPr>
          <w:p>
            <w:pPr>
              <w:pStyle w:val="TableParagraph"/>
              <w:spacing w:line="279" w:lineRule="exact"/>
              <w:ind w:left="142" w:right="0"/>
              <w:jc w:val="left"/>
              <w:rPr>
                <w:rFonts w:ascii="宋体" w:hAnsi="宋体" w:cs="宋体" w:eastAsia="宋体" w:hint="default"/>
                <w:sz w:val="24"/>
                <w:szCs w:val="24"/>
              </w:rPr>
            </w:pPr>
            <w:r>
              <w:rPr>
                <w:rFonts w:ascii="宋体" w:hAnsi="宋体" w:cs="宋体" w:eastAsia="宋体" w:hint="default"/>
                <w:sz w:val="24"/>
                <w:szCs w:val="24"/>
              </w:rPr>
              <w:t>应付工程款项</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9"/>
              <w:jc w:val="right"/>
              <w:rPr>
                <w:rFonts w:ascii="Arial" w:hAnsi="Arial" w:cs="Arial" w:eastAsia="Arial" w:hint="default"/>
                <w:sz w:val="24"/>
                <w:szCs w:val="24"/>
              </w:rPr>
            </w:pPr>
            <w:r>
              <w:rPr>
                <w:rFonts w:ascii="Arial"/>
                <w:spacing w:val="-1"/>
                <w:w w:val="95"/>
                <w:sz w:val="24"/>
              </w:rPr>
              <w:t>672,784</w:t>
            </w:r>
            <w:r>
              <w:rPr>
                <w:rFonts w:ascii="Arial"/>
                <w:sz w:val="24"/>
              </w:rPr>
            </w:r>
          </w:p>
        </w:tc>
        <w:tc>
          <w:tcPr>
            <w:tcW w:w="575"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19"/>
              <w:jc w:val="right"/>
              <w:rPr>
                <w:rFonts w:ascii="Arial" w:hAnsi="Arial" w:cs="Arial" w:eastAsia="Arial" w:hint="default"/>
                <w:sz w:val="24"/>
                <w:szCs w:val="24"/>
              </w:rPr>
            </w:pPr>
            <w:r>
              <w:rPr>
                <w:rFonts w:ascii="Arial"/>
                <w:spacing w:val="-1"/>
                <w:w w:val="95"/>
                <w:sz w:val="24"/>
              </w:rPr>
              <w:t>105,437</w:t>
            </w:r>
            <w:r>
              <w:rPr>
                <w:rFonts w:ascii="Arial"/>
                <w:sz w:val="24"/>
              </w:rPr>
            </w:r>
          </w:p>
        </w:tc>
      </w:tr>
      <w:tr>
        <w:trPr>
          <w:trHeight w:val="319" w:hRule="exact"/>
        </w:trPr>
        <w:tc>
          <w:tcPr>
            <w:tcW w:w="604" w:type="dxa"/>
            <w:tcBorders>
              <w:top w:val="nil" w:sz="6" w:space="0" w:color="auto"/>
              <w:left w:val="nil" w:sz="6" w:space="0" w:color="auto"/>
              <w:bottom w:val="nil" w:sz="6" w:space="0" w:color="auto"/>
              <w:right w:val="nil" w:sz="6" w:space="0" w:color="auto"/>
            </w:tcBorders>
          </w:tcPr>
          <w:p>
            <w:pPr/>
          </w:p>
        </w:tc>
        <w:tc>
          <w:tcPr>
            <w:tcW w:w="3991" w:type="dxa"/>
            <w:tcBorders>
              <w:top w:val="nil" w:sz="6" w:space="0" w:color="auto"/>
              <w:left w:val="nil" w:sz="6" w:space="0" w:color="auto"/>
              <w:bottom w:val="nil" w:sz="6" w:space="0" w:color="auto"/>
              <w:right w:val="nil" w:sz="6" w:space="0" w:color="auto"/>
            </w:tcBorders>
          </w:tcPr>
          <w:p>
            <w:pPr>
              <w:pStyle w:val="TableParagraph"/>
              <w:spacing w:line="279" w:lineRule="exact"/>
              <w:ind w:left="14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407"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139"/>
              <w:jc w:val="right"/>
              <w:rPr>
                <w:rFonts w:ascii="Arial" w:hAnsi="Arial" w:cs="Arial" w:eastAsia="Arial" w:hint="default"/>
                <w:sz w:val="24"/>
                <w:szCs w:val="24"/>
              </w:rPr>
            </w:pPr>
            <w:r>
              <w:rPr>
                <w:rFonts w:ascii="Arial"/>
                <w:spacing w:val="-1"/>
                <w:w w:val="95"/>
                <w:sz w:val="24"/>
              </w:rPr>
              <w:t>244,444</w:t>
            </w:r>
            <w:r>
              <w:rPr>
                <w:rFonts w:ascii="Arial"/>
                <w:sz w:val="24"/>
              </w:rPr>
            </w:r>
          </w:p>
        </w:tc>
        <w:tc>
          <w:tcPr>
            <w:tcW w:w="575"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119"/>
              <w:jc w:val="right"/>
              <w:rPr>
                <w:rFonts w:ascii="Arial" w:hAnsi="Arial" w:cs="Arial" w:eastAsia="Arial" w:hint="default"/>
                <w:sz w:val="24"/>
                <w:szCs w:val="24"/>
              </w:rPr>
            </w:pPr>
            <w:r>
              <w:rPr>
                <w:rFonts w:ascii="Arial"/>
                <w:spacing w:val="-1"/>
                <w:w w:val="95"/>
                <w:sz w:val="24"/>
              </w:rPr>
              <w:t>94,321</w:t>
            </w:r>
            <w:r>
              <w:rPr>
                <w:rFonts w:ascii="Arial"/>
                <w:sz w:val="24"/>
              </w:rPr>
            </w:r>
          </w:p>
        </w:tc>
      </w:tr>
      <w:tr>
        <w:trPr>
          <w:trHeight w:val="293" w:hRule="exact"/>
        </w:trPr>
        <w:tc>
          <w:tcPr>
            <w:tcW w:w="604" w:type="dxa"/>
            <w:tcBorders>
              <w:top w:val="nil" w:sz="6" w:space="0" w:color="auto"/>
              <w:left w:val="nil" w:sz="6" w:space="0" w:color="auto"/>
              <w:bottom w:val="nil" w:sz="6" w:space="0" w:color="auto"/>
              <w:right w:val="nil" w:sz="6" w:space="0" w:color="auto"/>
            </w:tcBorders>
          </w:tcPr>
          <w:p>
            <w:pPr/>
          </w:p>
        </w:tc>
        <w:tc>
          <w:tcPr>
            <w:tcW w:w="3991" w:type="dxa"/>
            <w:tcBorders>
              <w:top w:val="nil" w:sz="6" w:space="0" w:color="auto"/>
              <w:left w:val="nil" w:sz="6" w:space="0" w:color="auto"/>
              <w:bottom w:val="nil" w:sz="6" w:space="0" w:color="auto"/>
              <w:right w:val="nil" w:sz="6" w:space="0" w:color="auto"/>
            </w:tcBorders>
          </w:tcPr>
          <w:p>
            <w:pPr/>
          </w:p>
        </w:tc>
        <w:tc>
          <w:tcPr>
            <w:tcW w:w="2407"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141"/>
              <w:jc w:val="right"/>
              <w:rPr>
                <w:rFonts w:ascii="Arial" w:hAnsi="Arial" w:cs="Arial" w:eastAsia="Arial" w:hint="default"/>
                <w:sz w:val="24"/>
                <w:szCs w:val="24"/>
              </w:rPr>
            </w:pPr>
            <w:r>
              <w:rPr>
                <w:rFonts w:ascii="Arial"/>
                <w:spacing w:val="-1"/>
                <w:w w:val="95"/>
                <w:sz w:val="24"/>
              </w:rPr>
              <w:t>1,539,020</w:t>
            </w:r>
            <w:r>
              <w:rPr>
                <w:rFonts w:ascii="Arial"/>
                <w:sz w:val="24"/>
              </w:rPr>
            </w:r>
          </w:p>
        </w:tc>
        <w:tc>
          <w:tcPr>
            <w:tcW w:w="575" w:type="dxa"/>
            <w:tcBorders>
              <w:top w:val="nil" w:sz="6" w:space="0" w:color="auto"/>
              <w:left w:val="nil" w:sz="6" w:space="0" w:color="auto"/>
              <w:bottom w:val="nil" w:sz="6" w:space="0" w:color="auto"/>
              <w:right w:val="nil" w:sz="6" w:space="0" w:color="auto"/>
            </w:tcBorders>
          </w:tcPr>
          <w:p>
            <w:pPr/>
          </w:p>
        </w:tc>
        <w:tc>
          <w:tcPr>
            <w:tcW w:w="2407"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119"/>
              <w:jc w:val="right"/>
              <w:rPr>
                <w:rFonts w:ascii="Arial" w:hAnsi="Arial" w:cs="Arial" w:eastAsia="Arial" w:hint="default"/>
                <w:sz w:val="24"/>
                <w:szCs w:val="24"/>
              </w:rPr>
            </w:pPr>
            <w:r>
              <w:rPr>
                <w:rFonts w:ascii="Arial"/>
                <w:spacing w:val="-1"/>
                <w:w w:val="95"/>
                <w:sz w:val="24"/>
              </w:rPr>
              <w:t>666,391</w:t>
            </w:r>
            <w:r>
              <w:rPr>
                <w:rFonts w:ascii="Arial"/>
                <w:sz w:val="24"/>
              </w:rPr>
            </w:r>
          </w:p>
        </w:tc>
      </w:tr>
    </w:tbl>
    <w:p>
      <w:pPr>
        <w:spacing w:line="240" w:lineRule="auto" w:before="7"/>
        <w:rPr>
          <w:rFonts w:ascii="宋体" w:hAnsi="宋体" w:cs="宋体" w:eastAsia="宋体" w:hint="default"/>
          <w:sz w:val="14"/>
          <w:szCs w:val="14"/>
        </w:rPr>
      </w:pPr>
    </w:p>
    <w:p>
      <w:pPr>
        <w:pStyle w:val="BodyText"/>
        <w:tabs>
          <w:tab w:pos="859" w:val="left" w:leader="none"/>
        </w:tabs>
        <w:spacing w:line="312" w:lineRule="exact" w:before="63"/>
        <w:ind w:left="859" w:right="220" w:hanging="712"/>
        <w:jc w:val="left"/>
      </w:pPr>
      <w:r>
        <w:rPr>
          <w:rFonts w:ascii="Arial" w:hAnsi="Arial" w:cs="Arial" w:eastAsia="Arial" w:hint="default"/>
          <w:w w:val="95"/>
          <w:position w:val="2"/>
        </w:rPr>
        <w:t>(a)</w:t>
        <w:tab/>
      </w:r>
      <w:r>
        <w:rPr/>
        <w:t>于</w:t>
      </w:r>
      <w:r>
        <w:rPr>
          <w:spacing w:val="-57"/>
        </w:rPr>
        <w:t> </w:t>
      </w:r>
      <w:r>
        <w:rPr>
          <w:rFonts w:ascii="Arial" w:hAnsi="Arial" w:cs="Arial" w:eastAsia="Arial" w:hint="default"/>
        </w:rPr>
        <w:t>2010</w:t>
      </w:r>
      <w:r>
        <w:rPr>
          <w:rFonts w:ascii="Arial" w:hAnsi="Arial" w:cs="Arial" w:eastAsia="Arial" w:hint="default"/>
          <w:spacing w:val="-3"/>
        </w:rPr>
        <w:t> </w:t>
      </w:r>
      <w:r>
        <w:rPr/>
        <w:t>年</w:t>
      </w:r>
      <w:r>
        <w:rPr>
          <w:spacing w:val="-57"/>
        </w:rPr>
        <w:t> </w:t>
      </w:r>
      <w:r>
        <w:rPr>
          <w:rFonts w:ascii="Arial" w:hAnsi="Arial" w:cs="Arial" w:eastAsia="Arial" w:hint="default"/>
        </w:rPr>
        <w:t>12</w:t>
      </w:r>
      <w:r>
        <w:rPr>
          <w:rFonts w:ascii="Arial" w:hAnsi="Arial" w:cs="Arial" w:eastAsia="Arial" w:hint="default"/>
          <w:spacing w:val="-4"/>
        </w:rPr>
        <w:t> </w:t>
      </w:r>
      <w:r>
        <w:rPr/>
        <w:t>月</w:t>
      </w:r>
      <w:r>
        <w:rPr>
          <w:spacing w:val="-57"/>
        </w:rPr>
        <w:t> </w:t>
      </w:r>
      <w:r>
        <w:rPr>
          <w:rFonts w:ascii="Arial" w:hAnsi="Arial" w:cs="Arial" w:eastAsia="Arial" w:hint="default"/>
        </w:rPr>
        <w:t>31</w:t>
      </w:r>
      <w:r>
        <w:rPr>
          <w:rFonts w:ascii="Arial" w:hAnsi="Arial" w:cs="Arial" w:eastAsia="Arial" w:hint="default"/>
          <w:spacing w:val="-4"/>
        </w:rPr>
        <w:t> </w:t>
      </w:r>
      <w:r>
        <w:rPr/>
        <w:t>日及</w:t>
      </w:r>
      <w:r>
        <w:rPr>
          <w:spacing w:val="-57"/>
        </w:rPr>
        <w:t> </w:t>
      </w:r>
      <w:r>
        <w:rPr>
          <w:rFonts w:ascii="Arial" w:hAnsi="Arial" w:cs="Arial" w:eastAsia="Arial" w:hint="default"/>
        </w:rPr>
        <w:t>2009</w:t>
      </w:r>
      <w:r>
        <w:rPr>
          <w:rFonts w:ascii="Arial" w:hAnsi="Arial" w:cs="Arial" w:eastAsia="Arial" w:hint="default"/>
          <w:spacing w:val="-3"/>
        </w:rPr>
        <w:t> </w:t>
      </w:r>
      <w:r>
        <w:rPr/>
        <w:t>年</w:t>
      </w:r>
      <w:r>
        <w:rPr>
          <w:spacing w:val="-57"/>
        </w:rPr>
        <w:t> </w:t>
      </w:r>
      <w:r>
        <w:rPr>
          <w:rFonts w:ascii="Arial" w:hAnsi="Arial" w:cs="Arial" w:eastAsia="Arial" w:hint="default"/>
        </w:rPr>
        <w:t>12</w:t>
      </w:r>
      <w:r>
        <w:rPr>
          <w:rFonts w:ascii="Arial" w:hAnsi="Arial" w:cs="Arial" w:eastAsia="Arial" w:hint="default"/>
          <w:spacing w:val="-4"/>
        </w:rPr>
        <w:t> </w:t>
      </w:r>
      <w:r>
        <w:rPr/>
        <w:t>月</w:t>
      </w:r>
      <w:r>
        <w:rPr>
          <w:spacing w:val="-57"/>
        </w:rPr>
        <w:t> </w:t>
      </w:r>
      <w:r>
        <w:rPr>
          <w:rFonts w:ascii="Arial" w:hAnsi="Arial" w:cs="Arial" w:eastAsia="Arial" w:hint="default"/>
        </w:rPr>
        <w:t>31</w:t>
      </w:r>
      <w:r>
        <w:rPr>
          <w:rFonts w:ascii="Arial" w:hAnsi="Arial" w:cs="Arial" w:eastAsia="Arial" w:hint="default"/>
          <w:spacing w:val="-4"/>
        </w:rPr>
        <w:t> </w:t>
      </w:r>
      <w:r>
        <w:rPr/>
        <w:t>日，其他应付款中无应付持有本公司</w:t>
      </w:r>
      <w:r>
        <w:rPr>
          <w:spacing w:val="-57"/>
        </w:rPr>
        <w:t> </w:t>
      </w:r>
      <w:r>
        <w:rPr>
          <w:rFonts w:ascii="Arial" w:hAnsi="Arial" w:cs="Arial" w:eastAsia="Arial" w:hint="default"/>
        </w:rPr>
        <w:t>5%(</w:t>
      </w:r>
      <w:r>
        <w:rPr/>
        <w:t>含 </w:t>
      </w:r>
      <w:r>
        <w:rPr>
          <w:rFonts w:ascii="Arial" w:hAnsi="Arial" w:cs="Arial" w:eastAsia="Arial" w:hint="default"/>
        </w:rPr>
        <w:t>5%)</w:t>
      </w:r>
      <w:r>
        <w:rPr/>
        <w:t>以上表决权股份的股东的款项。</w:t>
      </w:r>
    </w:p>
    <w:p>
      <w:pPr>
        <w:spacing w:line="240" w:lineRule="auto" w:before="4"/>
        <w:rPr>
          <w:rFonts w:ascii="宋体" w:hAnsi="宋体" w:cs="宋体" w:eastAsia="宋体" w:hint="default"/>
          <w:sz w:val="16"/>
          <w:szCs w:val="16"/>
        </w:rPr>
      </w:pPr>
    </w:p>
    <w:p>
      <w:pPr>
        <w:pStyle w:val="BodyText"/>
        <w:tabs>
          <w:tab w:pos="859" w:val="left" w:leader="none"/>
        </w:tabs>
        <w:spacing w:line="313" w:lineRule="exact" w:before="32"/>
        <w:ind w:left="148" w:right="0"/>
        <w:jc w:val="left"/>
      </w:pPr>
      <w:r>
        <w:rPr>
          <w:rFonts w:ascii="Arial" w:hAnsi="Arial" w:cs="Arial" w:eastAsia="Arial" w:hint="default"/>
          <w:w w:val="95"/>
          <w:position w:val="2"/>
        </w:rPr>
        <w:t>(b)</w:t>
        <w:tab/>
      </w:r>
      <w:r>
        <w:rPr/>
        <w:t>应付关联方的其他应付款：</w:t>
      </w:r>
    </w:p>
    <w:p>
      <w:pPr>
        <w:pStyle w:val="BodyText"/>
        <w:tabs>
          <w:tab w:pos="7945" w:val="left" w:leader="none"/>
        </w:tabs>
        <w:spacing w:line="330" w:lineRule="exact"/>
        <w:ind w:left="5102" w:right="0"/>
        <w:jc w:val="left"/>
      </w:pP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spacing w:line="240" w:lineRule="auto" w:before="8"/>
        <w:rPr>
          <w:rFonts w:ascii="宋体" w:hAnsi="宋体" w:cs="宋体" w:eastAsia="宋体" w:hint="default"/>
          <w:sz w:val="17"/>
          <w:szCs w:val="17"/>
        </w:rPr>
      </w:pPr>
    </w:p>
    <w:p>
      <w:pPr>
        <w:pStyle w:val="BodyText"/>
        <w:tabs>
          <w:tab w:pos="4983" w:val="left" w:leader="none"/>
          <w:tab w:pos="6589" w:val="left" w:leader="none"/>
          <w:tab w:pos="7825" w:val="left" w:leader="none"/>
          <w:tab w:pos="9894" w:val="left" w:leader="none"/>
          <w:tab w:pos="10127" w:val="left" w:leader="none"/>
        </w:tabs>
        <w:spacing w:line="240" w:lineRule="auto" w:before="24"/>
        <w:ind w:left="859" w:right="0"/>
        <w:jc w:val="left"/>
        <w:rPr>
          <w:rFonts w:ascii="Arial" w:hAnsi="Arial" w:cs="Arial" w:eastAsia="Arial" w:hint="default"/>
        </w:rPr>
      </w:pPr>
      <w:r>
        <w:rPr>
          <w:spacing w:val="-1"/>
          <w:position w:val="2"/>
        </w:rPr>
        <w:t>应付索菲特银河大酒店</w:t>
      </w:r>
      <w:r>
        <w:rPr>
          <w:rFonts w:ascii="Arial" w:hAnsi="Arial" w:cs="Arial" w:eastAsia="Arial" w:hint="default"/>
          <w:spacing w:val="-1"/>
          <w:position w:val="2"/>
        </w:rPr>
        <w:t>(</w:t>
      </w:r>
      <w:r>
        <w:rPr>
          <w:spacing w:val="-1"/>
          <w:position w:val="2"/>
        </w:rPr>
        <w:t>附注六</w:t>
      </w:r>
      <w:r>
        <w:rPr>
          <w:rFonts w:ascii="Arial" w:hAnsi="Arial" w:cs="Arial" w:eastAsia="Arial" w:hint="default"/>
          <w:spacing w:val="-1"/>
          <w:position w:val="2"/>
        </w:rPr>
        <w:t>(6))</w:t>
        <w:tab/>
      </w:r>
      <w:r>
        <w:rPr>
          <w:rFonts w:ascii="Arial" w:hAnsi="Arial" w:cs="Arial" w:eastAsia="Arial" w:hint="default"/>
          <w:spacing w:val="-1"/>
        </w:rPr>
      </w:r>
      <w:r>
        <w:rPr>
          <w:rFonts w:ascii="Arial" w:hAnsi="Arial" w:cs="Arial" w:eastAsia="Arial" w:hint="default"/>
          <w:spacing w:val="-1"/>
          <w:u w:val="thick" w:color="000000"/>
        </w:rPr>
        <w:t> </w:t>
        <w:tab/>
        <w:t>1,503</w:t>
      </w:r>
      <w:r>
        <w:rPr>
          <w:rFonts w:ascii="Arial" w:hAnsi="Arial" w:cs="Arial" w:eastAsia="Arial" w:hint="default"/>
          <w:spacing w:val="-1"/>
        </w:rPr>
        <w:tab/>
      </w:r>
      <w:r>
        <w:rPr>
          <w:rFonts w:ascii="Arial" w:hAnsi="Arial" w:cs="Arial" w:eastAsia="Arial" w:hint="default"/>
          <w:spacing w:val="-1"/>
          <w:u w:val="thick" w:color="000000"/>
        </w:rPr>
        <w:t> </w:t>
        <w:tab/>
      </w:r>
      <w:r>
        <w:rPr>
          <w:rFonts w:ascii="Arial" w:hAnsi="Arial" w:cs="Arial" w:eastAsia="Arial" w:hint="default"/>
          <w:u w:val="thick" w:color="000000"/>
        </w:rPr>
        <w:t>-</w:t>
        <w:tab/>
      </w:r>
      <w:r>
        <w:rPr>
          <w:rFonts w:ascii="Arial" w:hAnsi="Arial" w:cs="Arial" w:eastAsia="Arial" w:hint="default"/>
        </w:rPr>
      </w:r>
    </w:p>
    <w:p>
      <w:pPr>
        <w:spacing w:line="240" w:lineRule="auto" w:before="7"/>
        <w:rPr>
          <w:rFonts w:ascii="Arial" w:hAnsi="Arial" w:cs="Arial" w:eastAsia="Arial" w:hint="default"/>
          <w:sz w:val="20"/>
          <w:szCs w:val="20"/>
        </w:rPr>
      </w:pPr>
    </w:p>
    <w:p>
      <w:pPr>
        <w:pStyle w:val="BodyText"/>
        <w:tabs>
          <w:tab w:pos="859" w:val="left" w:leader="none"/>
        </w:tabs>
        <w:spacing w:line="322" w:lineRule="exact" w:before="32"/>
        <w:ind w:left="147" w:right="0"/>
        <w:jc w:val="left"/>
      </w:pPr>
      <w:r>
        <w:rPr>
          <w:rFonts w:ascii="Arial" w:hAnsi="Arial" w:cs="Arial" w:eastAsia="Arial" w:hint="default"/>
          <w:position w:val="2"/>
        </w:rPr>
        <w:t>(c)</w:t>
        <w:tab/>
      </w:r>
      <w:r>
        <w:rPr/>
        <w:t>于</w:t>
      </w:r>
      <w:r>
        <w:rPr>
          <w:spacing w:val="-54"/>
        </w:rPr>
        <w:t> </w:t>
      </w:r>
      <w:r>
        <w:rPr>
          <w:rFonts w:ascii="Arial" w:hAnsi="Arial" w:cs="Arial" w:eastAsia="Arial" w:hint="default"/>
        </w:rPr>
        <w:t>2010</w:t>
      </w:r>
      <w:r>
        <w:rPr>
          <w:rFonts w:ascii="Arial" w:hAnsi="Arial" w:cs="Arial" w:eastAsia="Arial" w:hint="default"/>
          <w:spacing w:val="-1"/>
        </w:rPr>
        <w:t> </w:t>
      </w:r>
      <w:r>
        <w:rPr/>
        <w:t>年</w:t>
      </w:r>
      <w:r>
        <w:rPr>
          <w:spacing w:val="-54"/>
        </w:rPr>
        <w:t> </w:t>
      </w:r>
      <w:r>
        <w:rPr>
          <w:rFonts w:ascii="Arial" w:hAnsi="Arial" w:cs="Arial" w:eastAsia="Arial" w:hint="default"/>
        </w:rPr>
        <w:t>12</w:t>
      </w:r>
      <w:r>
        <w:rPr>
          <w:rFonts w:ascii="Arial" w:hAnsi="Arial" w:cs="Arial" w:eastAsia="Arial" w:hint="default"/>
          <w:spacing w:val="-1"/>
        </w:rPr>
        <w:t> </w:t>
      </w:r>
      <w:r>
        <w:rPr/>
        <w:t>月</w:t>
      </w:r>
      <w:r>
        <w:rPr>
          <w:spacing w:val="-54"/>
        </w:rPr>
        <w:t> </w:t>
      </w:r>
      <w:r>
        <w:rPr>
          <w:rFonts w:ascii="Arial" w:hAnsi="Arial" w:cs="Arial" w:eastAsia="Arial" w:hint="default"/>
        </w:rPr>
        <w:t>31</w:t>
      </w:r>
      <w:r>
        <w:rPr>
          <w:rFonts w:ascii="Arial" w:hAnsi="Arial" w:cs="Arial" w:eastAsia="Arial" w:hint="default"/>
          <w:spacing w:val="-1"/>
        </w:rPr>
        <w:t> </w:t>
      </w:r>
      <w:r>
        <w:rPr/>
        <w:t>日，账龄超过一年的其他应付款约人民币</w:t>
      </w:r>
      <w:r>
        <w:rPr>
          <w:spacing w:val="-54"/>
        </w:rPr>
        <w:t> </w:t>
      </w:r>
      <w:r>
        <w:rPr>
          <w:rFonts w:ascii="Arial" w:hAnsi="Arial" w:cs="Arial" w:eastAsia="Arial" w:hint="default"/>
        </w:rPr>
        <w:t>2.47</w:t>
      </w:r>
      <w:r>
        <w:rPr>
          <w:rFonts w:ascii="Arial" w:hAnsi="Arial" w:cs="Arial" w:eastAsia="Arial" w:hint="default"/>
          <w:spacing w:val="-2"/>
        </w:rPr>
        <w:t> </w:t>
      </w:r>
      <w:r>
        <w:rPr/>
        <w:t>亿元</w:t>
      </w:r>
      <w:r>
        <w:rPr>
          <w:rFonts w:ascii="Arial" w:hAnsi="Arial" w:cs="Arial" w:eastAsia="Arial" w:hint="default"/>
        </w:rPr>
        <w:t>(2009</w:t>
      </w:r>
      <w:r>
        <w:rPr>
          <w:rFonts w:ascii="Arial" w:hAnsi="Arial" w:cs="Arial" w:eastAsia="Arial" w:hint="default"/>
          <w:spacing w:val="-1"/>
        </w:rPr>
        <w:t> </w:t>
      </w:r>
      <w:r>
        <w:rPr/>
        <w:t>年</w:t>
      </w:r>
      <w:r>
        <w:rPr>
          <w:spacing w:val="-54"/>
        </w:rPr>
        <w:t> </w:t>
      </w:r>
      <w:r>
        <w:rPr>
          <w:rFonts w:ascii="Arial" w:hAnsi="Arial" w:cs="Arial" w:eastAsia="Arial" w:hint="default"/>
        </w:rPr>
        <w:t>12</w:t>
      </w:r>
      <w:r>
        <w:rPr>
          <w:rFonts w:ascii="Arial" w:hAnsi="Arial" w:cs="Arial" w:eastAsia="Arial" w:hint="default"/>
          <w:spacing w:val="-1"/>
        </w:rPr>
        <w:t> </w:t>
      </w:r>
      <w:r>
        <w:rPr/>
        <w:t>月</w:t>
      </w:r>
    </w:p>
    <w:p>
      <w:pPr>
        <w:pStyle w:val="BodyText"/>
        <w:spacing w:line="312" w:lineRule="exact"/>
        <w:ind w:left="859" w:right="0"/>
        <w:jc w:val="left"/>
      </w:pPr>
      <w:r>
        <w:rPr>
          <w:rFonts w:ascii="Arial" w:hAnsi="Arial" w:cs="Arial" w:eastAsia="Arial" w:hint="default"/>
        </w:rPr>
        <w:t>31</w:t>
      </w:r>
      <w:r>
        <w:rPr>
          <w:rFonts w:ascii="Arial" w:hAnsi="Arial" w:cs="Arial" w:eastAsia="Arial" w:hint="default"/>
          <w:spacing w:val="-7"/>
        </w:rPr>
        <w:t> </w:t>
      </w:r>
      <w:r>
        <w:rPr/>
        <w:t>日：约人民币</w:t>
      </w:r>
      <w:r>
        <w:rPr>
          <w:spacing w:val="-60"/>
        </w:rPr>
        <w:t> </w:t>
      </w:r>
      <w:r>
        <w:rPr>
          <w:rFonts w:ascii="Arial" w:hAnsi="Arial" w:cs="Arial" w:eastAsia="Arial" w:hint="default"/>
        </w:rPr>
        <w:t>2.67</w:t>
      </w:r>
      <w:r>
        <w:rPr>
          <w:rFonts w:ascii="Arial" w:hAnsi="Arial" w:cs="Arial" w:eastAsia="Arial" w:hint="default"/>
          <w:spacing w:val="-7"/>
        </w:rPr>
        <w:t> </w:t>
      </w:r>
      <w:r>
        <w:rPr/>
        <w:t>亿元</w:t>
      </w:r>
      <w:r>
        <w:rPr>
          <w:rFonts w:ascii="Arial" w:hAnsi="Arial" w:cs="Arial" w:eastAsia="Arial" w:hint="default"/>
        </w:rPr>
        <w:t>)</w:t>
      </w:r>
      <w:r>
        <w:rPr/>
        <w:t>，主要为收取的各类保证金和押金。截至财务报告批准报出</w:t>
      </w:r>
    </w:p>
    <w:p>
      <w:pPr>
        <w:pStyle w:val="BodyText"/>
        <w:spacing w:line="322" w:lineRule="exact"/>
        <w:ind w:left="859" w:right="0"/>
        <w:jc w:val="left"/>
      </w:pPr>
      <w:r>
        <w:rPr/>
        <w:t>日止，已偿还约人民币</w:t>
      </w:r>
      <w:r>
        <w:rPr>
          <w:spacing w:val="-63"/>
        </w:rPr>
        <w:t> </w:t>
      </w:r>
      <w:r>
        <w:rPr>
          <w:rFonts w:ascii="Arial" w:hAnsi="Arial" w:cs="Arial" w:eastAsia="Arial" w:hint="default"/>
        </w:rPr>
        <w:t>579</w:t>
      </w:r>
      <w:r>
        <w:rPr>
          <w:rFonts w:ascii="Arial" w:hAnsi="Arial" w:cs="Arial" w:eastAsia="Arial" w:hint="default"/>
          <w:spacing w:val="-10"/>
        </w:rPr>
        <w:t> </w:t>
      </w:r>
      <w:r>
        <w:rPr/>
        <w:t>万元</w:t>
      </w:r>
      <w:r>
        <w:rPr>
          <w:rFonts w:ascii="Arial" w:hAnsi="Arial" w:cs="Arial" w:eastAsia="Arial" w:hint="default"/>
        </w:rPr>
        <w:t>(</w:t>
      </w:r>
      <w:r>
        <w:rPr/>
        <w:t>附注九</w:t>
      </w:r>
      <w:r>
        <w:rPr>
          <w:rFonts w:ascii="Arial" w:hAnsi="Arial" w:cs="Arial" w:eastAsia="Arial" w:hint="default"/>
        </w:rPr>
        <w:t>(1))</w:t>
      </w:r>
      <w:r>
        <w:rPr/>
        <w:t>。</w:t>
      </w:r>
    </w:p>
    <w:p>
      <w:pPr>
        <w:spacing w:line="240" w:lineRule="auto" w:before="8"/>
        <w:rPr>
          <w:rFonts w:ascii="宋体" w:hAnsi="宋体" w:cs="宋体" w:eastAsia="宋体" w:hint="default"/>
          <w:sz w:val="19"/>
          <w:szCs w:val="19"/>
        </w:rPr>
      </w:pPr>
    </w:p>
    <w:p>
      <w:pPr>
        <w:pStyle w:val="BodyText"/>
        <w:tabs>
          <w:tab w:pos="859" w:val="left" w:leader="none"/>
        </w:tabs>
        <w:spacing w:line="240" w:lineRule="auto"/>
        <w:ind w:left="148" w:right="0"/>
        <w:jc w:val="left"/>
      </w:pPr>
      <w:r>
        <w:rPr>
          <w:rFonts w:ascii="Arial" w:hAnsi="Arial" w:cs="Arial" w:eastAsia="Arial" w:hint="default"/>
          <w:w w:val="95"/>
          <w:position w:val="2"/>
        </w:rPr>
        <w:t>(d)</w:t>
        <w:tab/>
      </w:r>
      <w:r>
        <w:rPr/>
        <w:t>其他应付款中包括以下外币余额：</w:t>
      </w:r>
    </w:p>
    <w:p>
      <w:pPr>
        <w:spacing w:line="240" w:lineRule="auto" w:before="13"/>
        <w:rPr>
          <w:rFonts w:ascii="宋体" w:hAnsi="宋体" w:cs="宋体" w:eastAsia="宋体" w:hint="default"/>
          <w:sz w:val="17"/>
          <w:szCs w:val="17"/>
        </w:rPr>
      </w:pPr>
    </w:p>
    <w:p>
      <w:pPr>
        <w:tabs>
          <w:tab w:pos="7283" w:val="left" w:leader="none"/>
        </w:tabs>
        <w:spacing w:before="0"/>
        <w:ind w:left="3139" w:right="0" w:firstLine="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line="240" w:lineRule="auto" w:before="5"/>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604"/>
        <w:gridCol w:w="2902"/>
        <w:gridCol w:w="1075"/>
        <w:gridCol w:w="2808"/>
        <w:gridCol w:w="2602"/>
      </w:tblGrid>
      <w:tr>
        <w:trPr>
          <w:trHeight w:val="780" w:hRule="exact"/>
        </w:trPr>
        <w:tc>
          <w:tcPr>
            <w:tcW w:w="604" w:type="dxa"/>
            <w:tcBorders>
              <w:top w:val="nil" w:sz="6" w:space="0" w:color="auto"/>
              <w:left w:val="nil" w:sz="6" w:space="0" w:color="auto"/>
              <w:bottom w:val="nil" w:sz="6" w:space="0" w:color="auto"/>
              <w:right w:val="nil" w:sz="6" w:space="0" w:color="auto"/>
            </w:tcBorders>
          </w:tcPr>
          <w:p>
            <w:pPr/>
          </w:p>
        </w:tc>
        <w:tc>
          <w:tcPr>
            <w:tcW w:w="2902" w:type="dxa"/>
            <w:tcBorders>
              <w:top w:val="single" w:sz="12" w:space="0" w:color="000000"/>
              <w:left w:val="nil" w:sz="6" w:space="0" w:color="auto"/>
              <w:bottom w:val="nil" w:sz="6" w:space="0" w:color="auto"/>
              <w:right w:val="nil" w:sz="6" w:space="0" w:color="auto"/>
            </w:tcBorders>
          </w:tcPr>
          <w:p>
            <w:pPr>
              <w:pStyle w:val="TableParagraph"/>
              <w:spacing w:line="230" w:lineRule="exact"/>
              <w:ind w:left="1584" w:right="0"/>
              <w:jc w:val="left"/>
              <w:rPr>
                <w:rFonts w:ascii="宋体" w:hAnsi="宋体" w:cs="宋体" w:eastAsia="宋体" w:hint="default"/>
                <w:sz w:val="20"/>
                <w:szCs w:val="20"/>
              </w:rPr>
            </w:pPr>
            <w:r>
              <w:rPr>
                <w:rFonts w:ascii="宋体" w:hAnsi="宋体" w:cs="宋体" w:eastAsia="宋体" w:hint="default"/>
                <w:sz w:val="20"/>
                <w:szCs w:val="20"/>
              </w:rPr>
              <w:t>外币金额</w:t>
            </w:r>
          </w:p>
          <w:p>
            <w:pPr>
              <w:pStyle w:val="TableParagraph"/>
              <w:spacing w:line="240" w:lineRule="auto" w:before="9"/>
              <w:ind w:right="0"/>
              <w:jc w:val="left"/>
              <w:rPr>
                <w:rFonts w:ascii="宋体" w:hAnsi="宋体" w:cs="宋体" w:eastAsia="宋体" w:hint="default"/>
                <w:sz w:val="17"/>
                <w:szCs w:val="17"/>
              </w:rPr>
            </w:pPr>
          </w:p>
          <w:p>
            <w:pPr>
              <w:pStyle w:val="TableParagraph"/>
              <w:tabs>
                <w:tab w:pos="1853" w:val="left" w:leader="none"/>
              </w:tabs>
              <w:spacing w:line="240" w:lineRule="auto"/>
              <w:ind w:left="250" w:right="0"/>
              <w:jc w:val="left"/>
              <w:rPr>
                <w:rFonts w:ascii="Arial" w:hAnsi="Arial" w:cs="Arial" w:eastAsia="Arial" w:hint="default"/>
                <w:sz w:val="20"/>
                <w:szCs w:val="20"/>
              </w:rPr>
            </w:pPr>
            <w:r>
              <w:rPr>
                <w:rFonts w:ascii="宋体" w:hAnsi="宋体" w:cs="宋体" w:eastAsia="宋体" w:hint="default"/>
                <w:position w:val="1"/>
                <w:sz w:val="20"/>
                <w:szCs w:val="20"/>
              </w:rPr>
              <w:t>港元</w:t>
              <w:tab/>
            </w:r>
            <w:r>
              <w:rPr>
                <w:rFonts w:ascii="Arial" w:hAnsi="Arial" w:cs="Arial" w:eastAsia="Arial" w:hint="default"/>
                <w:sz w:val="20"/>
                <w:szCs w:val="20"/>
              </w:rPr>
              <w:t>4,472</w:t>
            </w:r>
          </w:p>
        </w:tc>
        <w:tc>
          <w:tcPr>
            <w:tcW w:w="1075" w:type="dxa"/>
            <w:tcBorders>
              <w:top w:val="single" w:sz="12" w:space="0" w:color="000000"/>
              <w:left w:val="nil" w:sz="6" w:space="0" w:color="auto"/>
              <w:bottom w:val="nil" w:sz="6" w:space="0" w:color="auto"/>
              <w:right w:val="nil" w:sz="6" w:space="0" w:color="auto"/>
            </w:tcBorders>
          </w:tcPr>
          <w:p>
            <w:pPr>
              <w:pStyle w:val="TableParagraph"/>
              <w:spacing w:line="230" w:lineRule="exact"/>
              <w:ind w:left="117" w:right="0" w:firstLine="210"/>
              <w:jc w:val="left"/>
              <w:rPr>
                <w:rFonts w:ascii="宋体" w:hAnsi="宋体" w:cs="宋体" w:eastAsia="宋体" w:hint="default"/>
                <w:sz w:val="20"/>
                <w:szCs w:val="20"/>
              </w:rPr>
            </w:pPr>
            <w:r>
              <w:rPr>
                <w:rFonts w:ascii="宋体" w:hAnsi="宋体" w:cs="宋体" w:eastAsia="宋体" w:hint="default"/>
                <w:sz w:val="20"/>
                <w:szCs w:val="20"/>
              </w:rPr>
              <w:t>汇率</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17" w:right="0"/>
              <w:jc w:val="left"/>
              <w:rPr>
                <w:rFonts w:ascii="Arial" w:hAnsi="Arial" w:cs="Arial" w:eastAsia="Arial" w:hint="default"/>
                <w:sz w:val="20"/>
                <w:szCs w:val="20"/>
              </w:rPr>
            </w:pPr>
            <w:r>
              <w:rPr>
                <w:rFonts w:ascii="Arial"/>
                <w:sz w:val="20"/>
              </w:rPr>
              <w:t>0.8509</w:t>
            </w:r>
          </w:p>
        </w:tc>
        <w:tc>
          <w:tcPr>
            <w:tcW w:w="2808" w:type="dxa"/>
            <w:tcBorders>
              <w:top w:val="single" w:sz="12" w:space="0" w:color="000000"/>
              <w:left w:val="nil" w:sz="6" w:space="0" w:color="auto"/>
              <w:bottom w:val="single" w:sz="12" w:space="0" w:color="000000"/>
              <w:right w:val="nil" w:sz="6" w:space="0" w:color="auto"/>
            </w:tcBorders>
          </w:tcPr>
          <w:p>
            <w:pPr>
              <w:pStyle w:val="TableParagraph"/>
              <w:tabs>
                <w:tab w:pos="1826" w:val="left" w:leader="none"/>
              </w:tabs>
              <w:spacing w:line="230" w:lineRule="exact"/>
              <w:ind w:left="209" w:right="0"/>
              <w:jc w:val="left"/>
              <w:rPr>
                <w:rFonts w:ascii="宋体" w:hAnsi="宋体" w:cs="宋体" w:eastAsia="宋体" w:hint="default"/>
                <w:sz w:val="20"/>
                <w:szCs w:val="20"/>
              </w:rPr>
            </w:pPr>
            <w:r>
              <w:rPr>
                <w:rFonts w:ascii="宋体" w:hAnsi="宋体" w:cs="宋体" w:eastAsia="宋体" w:hint="default"/>
                <w:spacing w:val="-1"/>
                <w:sz w:val="20"/>
                <w:szCs w:val="20"/>
              </w:rPr>
              <w:t>折合人民币</w:t>
              <w:tab/>
            </w:r>
            <w:r>
              <w:rPr>
                <w:rFonts w:ascii="宋体" w:hAnsi="宋体" w:cs="宋体" w:eastAsia="宋体" w:hint="default"/>
                <w:sz w:val="20"/>
                <w:szCs w:val="20"/>
              </w:rPr>
              <w:t>外币金额</w:t>
            </w:r>
          </w:p>
          <w:p>
            <w:pPr>
              <w:pStyle w:val="TableParagraph"/>
              <w:spacing w:line="240" w:lineRule="auto" w:before="12"/>
              <w:ind w:right="0"/>
              <w:jc w:val="left"/>
              <w:rPr>
                <w:rFonts w:ascii="宋体" w:hAnsi="宋体" w:cs="宋体" w:eastAsia="宋体" w:hint="default"/>
                <w:sz w:val="21"/>
                <w:szCs w:val="21"/>
              </w:rPr>
            </w:pPr>
          </w:p>
          <w:p>
            <w:pPr>
              <w:pStyle w:val="TableParagraph"/>
              <w:tabs>
                <w:tab w:pos="2503" w:val="left" w:leader="none"/>
              </w:tabs>
              <w:spacing w:line="240" w:lineRule="auto"/>
              <w:ind w:left="691" w:right="0"/>
              <w:jc w:val="left"/>
              <w:rPr>
                <w:rFonts w:ascii="Arial" w:hAnsi="Arial" w:cs="Arial" w:eastAsia="Arial" w:hint="default"/>
                <w:sz w:val="20"/>
                <w:szCs w:val="20"/>
              </w:rPr>
            </w:pPr>
            <w:r>
              <w:rPr>
                <w:rFonts w:ascii="Arial"/>
                <w:sz w:val="20"/>
              </w:rPr>
              <w:t>3,805</w:t>
              <w:tab/>
              <w:t>-</w:t>
            </w:r>
          </w:p>
        </w:tc>
        <w:tc>
          <w:tcPr>
            <w:tcW w:w="2602" w:type="dxa"/>
            <w:tcBorders>
              <w:top w:val="single" w:sz="12" w:space="0" w:color="000000"/>
              <w:left w:val="nil" w:sz="6" w:space="0" w:color="auto"/>
              <w:bottom w:val="single" w:sz="12" w:space="0" w:color="000000"/>
              <w:right w:val="nil" w:sz="6" w:space="0" w:color="auto"/>
            </w:tcBorders>
          </w:tcPr>
          <w:p>
            <w:pPr>
              <w:pStyle w:val="TableParagraph"/>
              <w:tabs>
                <w:tab w:pos="1432" w:val="left" w:leader="none"/>
              </w:tabs>
              <w:spacing w:line="230" w:lineRule="exact"/>
              <w:ind w:left="553" w:right="0"/>
              <w:jc w:val="left"/>
              <w:rPr>
                <w:rFonts w:ascii="宋体" w:hAnsi="宋体" w:cs="宋体" w:eastAsia="宋体" w:hint="default"/>
                <w:sz w:val="20"/>
                <w:szCs w:val="20"/>
              </w:rPr>
            </w:pPr>
            <w:r>
              <w:rPr>
                <w:rFonts w:ascii="宋体" w:hAnsi="宋体" w:cs="宋体" w:eastAsia="宋体" w:hint="default"/>
                <w:sz w:val="20"/>
                <w:szCs w:val="20"/>
              </w:rPr>
              <w:t>汇率</w:t>
              <w:tab/>
              <w:t>折合人民币</w:t>
            </w:r>
          </w:p>
          <w:p>
            <w:pPr>
              <w:pStyle w:val="TableParagraph"/>
              <w:spacing w:line="240" w:lineRule="auto" w:before="12"/>
              <w:ind w:right="0"/>
              <w:jc w:val="left"/>
              <w:rPr>
                <w:rFonts w:ascii="宋体" w:hAnsi="宋体" w:cs="宋体" w:eastAsia="宋体" w:hint="default"/>
                <w:sz w:val="21"/>
                <w:szCs w:val="21"/>
              </w:rPr>
            </w:pPr>
          </w:p>
          <w:p>
            <w:pPr>
              <w:pStyle w:val="TableParagraph"/>
              <w:tabs>
                <w:tab w:pos="2376" w:val="left" w:leader="none"/>
              </w:tabs>
              <w:spacing w:line="240" w:lineRule="auto"/>
              <w:ind w:left="830" w:right="0"/>
              <w:jc w:val="left"/>
              <w:rPr>
                <w:rFonts w:ascii="Arial" w:hAnsi="Arial" w:cs="Arial" w:eastAsia="Arial" w:hint="default"/>
                <w:sz w:val="20"/>
                <w:szCs w:val="20"/>
              </w:rPr>
            </w:pPr>
            <w:r>
              <w:rPr>
                <w:rFonts w:ascii="Arial"/>
                <w:sz w:val="20"/>
              </w:rPr>
              <w:t>-</w:t>
              <w:tab/>
              <w:t>-</w:t>
            </w:r>
          </w:p>
        </w:tc>
      </w:tr>
      <w:tr>
        <w:trPr>
          <w:trHeight w:val="740" w:hRule="exact"/>
        </w:trPr>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5" w:right="0"/>
              <w:jc w:val="left"/>
              <w:rPr>
                <w:rFonts w:ascii="Arial" w:hAnsi="Arial" w:cs="Arial" w:eastAsia="Arial" w:hint="default"/>
                <w:sz w:val="24"/>
                <w:szCs w:val="24"/>
              </w:rPr>
            </w:pPr>
            <w:r>
              <w:rPr>
                <w:rFonts w:ascii="Arial"/>
                <w:sz w:val="24"/>
              </w:rPr>
              <w:t>(28)</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24"/>
                <w:szCs w:val="24"/>
              </w:rPr>
            </w:pPr>
            <w:r>
              <w:rPr>
                <w:rFonts w:ascii="宋体" w:hAnsi="宋体" w:cs="宋体" w:eastAsia="宋体" w:hint="default"/>
                <w:b/>
                <w:bCs/>
                <w:sz w:val="24"/>
                <w:szCs w:val="24"/>
              </w:rPr>
              <w:t>一年内到期的非流动负债</w:t>
            </w:r>
            <w:r>
              <w:rPr>
                <w:rFonts w:ascii="宋体" w:hAnsi="宋体" w:cs="宋体" w:eastAsia="宋体" w:hint="default"/>
                <w:sz w:val="24"/>
                <w:szCs w:val="24"/>
              </w:rPr>
            </w:r>
          </w:p>
        </w:tc>
        <w:tc>
          <w:tcPr>
            <w:tcW w:w="1075" w:type="dxa"/>
            <w:tcBorders>
              <w:top w:val="nil" w:sz="6" w:space="0" w:color="auto"/>
              <w:left w:val="nil" w:sz="6" w:space="0" w:color="auto"/>
              <w:bottom w:val="nil" w:sz="6" w:space="0" w:color="auto"/>
              <w:right w:val="nil" w:sz="6" w:space="0" w:color="auto"/>
            </w:tcBorders>
          </w:tcPr>
          <w:p>
            <w:pPr/>
          </w:p>
        </w:tc>
        <w:tc>
          <w:tcPr>
            <w:tcW w:w="2808" w:type="dxa"/>
            <w:tcBorders>
              <w:top w:val="single" w:sz="12" w:space="0" w:color="000000"/>
              <w:left w:val="nil" w:sz="6" w:space="0" w:color="auto"/>
              <w:bottom w:val="nil" w:sz="6" w:space="0" w:color="auto"/>
              <w:right w:val="nil" w:sz="6" w:space="0" w:color="auto"/>
            </w:tcBorders>
          </w:tcPr>
          <w:p>
            <w:pPr/>
          </w:p>
        </w:tc>
        <w:tc>
          <w:tcPr>
            <w:tcW w:w="2602" w:type="dxa"/>
            <w:tcBorders>
              <w:top w:val="single" w:sz="12" w:space="0" w:color="000000"/>
              <w:left w:val="nil" w:sz="6" w:space="0" w:color="auto"/>
              <w:bottom w:val="nil" w:sz="6" w:space="0" w:color="auto"/>
              <w:right w:val="nil" w:sz="6" w:space="0" w:color="auto"/>
            </w:tcBorders>
          </w:tcPr>
          <w:p>
            <w:pPr/>
          </w:p>
        </w:tc>
      </w:tr>
      <w:tr>
        <w:trPr>
          <w:trHeight w:val="1132" w:hRule="exact"/>
        </w:trPr>
        <w:tc>
          <w:tcPr>
            <w:tcW w:w="604" w:type="dxa"/>
            <w:tcBorders>
              <w:top w:val="nil" w:sz="6" w:space="0" w:color="auto"/>
              <w:left w:val="nil" w:sz="6" w:space="0" w:color="auto"/>
              <w:bottom w:val="nil" w:sz="6" w:space="0" w:color="auto"/>
              <w:right w:val="nil" w:sz="6" w:space="0" w:color="auto"/>
            </w:tcBorders>
          </w:tcPr>
          <w:p>
            <w:pP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42" w:right="0"/>
              <w:jc w:val="left"/>
              <w:rPr>
                <w:rFonts w:ascii="宋体" w:hAnsi="宋体" w:cs="宋体" w:eastAsia="宋体" w:hint="default"/>
                <w:sz w:val="24"/>
                <w:szCs w:val="24"/>
              </w:rPr>
            </w:pPr>
            <w:r>
              <w:rPr>
                <w:rFonts w:ascii="宋体" w:hAnsi="宋体" w:cs="宋体" w:eastAsia="宋体" w:hint="default"/>
                <w:sz w:val="24"/>
                <w:szCs w:val="24"/>
              </w:rPr>
              <w:t>递延广告位使用费收入</w:t>
            </w:r>
          </w:p>
        </w:tc>
        <w:tc>
          <w:tcPr>
            <w:tcW w:w="107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82"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p>
            <w:pPr>
              <w:pStyle w:val="TableParagraph"/>
              <w:spacing w:line="240" w:lineRule="auto" w:before="3"/>
              <w:ind w:right="0"/>
              <w:jc w:val="left"/>
              <w:rPr>
                <w:rFonts w:ascii="宋体" w:hAnsi="宋体" w:cs="宋体" w:eastAsia="宋体" w:hint="default"/>
                <w:sz w:val="25"/>
                <w:szCs w:val="25"/>
              </w:rPr>
            </w:pPr>
          </w:p>
          <w:p>
            <w:pPr>
              <w:pStyle w:val="TableParagraph"/>
              <w:tabs>
                <w:tab w:pos="1563" w:val="left" w:leader="none"/>
                <w:tab w:pos="2577" w:val="left" w:leader="none"/>
              </w:tabs>
              <w:spacing w:line="240" w:lineRule="auto"/>
              <w:ind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4"/>
                <w:sz w:val="24"/>
                <w:u w:val="thick" w:color="000000"/>
              </w:rPr>
              <w:t>112,178</w:t>
              <w:tab/>
            </w:r>
            <w:r>
              <w:rPr>
                <w:rFonts w:ascii="Arial"/>
                <w:spacing w:val="-4"/>
                <w:sz w:val="24"/>
              </w:rPr>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98" w:right="0"/>
              <w:jc w:val="center"/>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p>
            <w:pPr>
              <w:pStyle w:val="TableParagraph"/>
              <w:spacing w:line="240" w:lineRule="auto" w:before="3"/>
              <w:ind w:right="0"/>
              <w:jc w:val="left"/>
              <w:rPr>
                <w:rFonts w:ascii="宋体" w:hAnsi="宋体" w:cs="宋体" w:eastAsia="宋体" w:hint="default"/>
                <w:sz w:val="25"/>
                <w:szCs w:val="25"/>
              </w:rPr>
            </w:pPr>
          </w:p>
          <w:p>
            <w:pPr>
              <w:pStyle w:val="TableParagraph"/>
              <w:tabs>
                <w:tab w:pos="1739" w:val="left" w:leader="none"/>
                <w:tab w:pos="2601" w:val="left" w:leader="none"/>
              </w:tabs>
              <w:spacing w:line="240" w:lineRule="auto"/>
              <w:ind w:left="179" w:right="0"/>
              <w:jc w:val="center"/>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97,128</w:t>
              <w:tab/>
            </w:r>
            <w:r>
              <w:rPr>
                <w:rFonts w:ascii="Arial"/>
                <w:sz w:val="24"/>
              </w:rPr>
            </w:r>
          </w:p>
        </w:tc>
      </w:tr>
    </w:tbl>
    <w:p>
      <w:pPr>
        <w:spacing w:after="0" w:line="240" w:lineRule="auto"/>
        <w:jc w:val="center"/>
        <w:rPr>
          <w:rFonts w:ascii="Arial" w:hAnsi="Arial" w:cs="Arial" w:eastAsia="Arial" w:hint="default"/>
          <w:sz w:val="24"/>
          <w:szCs w:val="24"/>
        </w:rPr>
        <w:sectPr>
          <w:pgSz w:w="11910" w:h="16840"/>
          <w:pgMar w:header="755" w:footer="947" w:top="2300" w:bottom="1140" w:left="980" w:right="680"/>
        </w:sectPr>
      </w:pPr>
    </w:p>
    <w:p>
      <w:pPr>
        <w:spacing w:line="240" w:lineRule="auto" w:before="6"/>
        <w:rPr>
          <w:rFonts w:ascii="宋体" w:hAnsi="宋体" w:cs="宋体" w:eastAsia="宋体" w:hint="default"/>
          <w:sz w:val="13"/>
          <w:szCs w:val="13"/>
        </w:rPr>
      </w:pPr>
    </w:p>
    <w:p>
      <w:pPr>
        <w:pStyle w:val="Heading2"/>
        <w:tabs>
          <w:tab w:pos="807" w:val="left" w:leader="none"/>
        </w:tabs>
        <w:spacing w:line="240" w:lineRule="auto"/>
        <w:ind w:right="104"/>
        <w:jc w:val="left"/>
        <w:rPr>
          <w:rFonts w:ascii="Arial" w:hAnsi="Arial" w:cs="Arial" w:eastAsia="Arial" w:hint="default"/>
          <w:b w:val="0"/>
          <w:bCs w:val="0"/>
        </w:rPr>
      </w:pPr>
      <w:r>
        <w:rPr>
          <w:rFonts w:ascii="宋体" w:hAnsi="宋体" w:cs="宋体" w:eastAsia="宋体" w:hint="default"/>
          <w:b w:val="0"/>
          <w:bCs w:val="0"/>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07" w:val="left" w:leader="none"/>
        </w:tabs>
        <w:spacing w:before="0"/>
        <w:ind w:left="107"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(29)</w:t>
        <w:tab/>
      </w:r>
      <w:r>
        <w:rPr>
          <w:rFonts w:ascii="宋体" w:hAnsi="宋体" w:cs="宋体" w:eastAsia="宋体" w:hint="default"/>
          <w:b/>
          <w:bCs/>
          <w:sz w:val="24"/>
          <w:szCs w:val="24"/>
        </w:rPr>
        <w:t>其他流动负债</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pStyle w:val="BodyText"/>
        <w:tabs>
          <w:tab w:pos="7894" w:val="left" w:leader="none"/>
        </w:tabs>
        <w:spacing w:line="240" w:lineRule="auto" w:before="26"/>
        <w:ind w:left="5061" w:right="104"/>
        <w:jc w:val="left"/>
      </w:pP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spacing w:line="240" w:lineRule="auto" w:before="3"/>
        <w:rPr>
          <w:rFonts w:ascii="宋体" w:hAnsi="宋体" w:cs="宋体" w:eastAsia="宋体" w:hint="default"/>
          <w:sz w:val="20"/>
          <w:szCs w:val="20"/>
        </w:rPr>
      </w:pPr>
    </w:p>
    <w:p>
      <w:pPr>
        <w:pStyle w:val="BodyText"/>
        <w:tabs>
          <w:tab w:pos="6212" w:val="left" w:leader="none"/>
          <w:tab w:pos="9082" w:val="left" w:leader="none"/>
        </w:tabs>
        <w:spacing w:line="337" w:lineRule="exact"/>
        <w:ind w:left="807" w:right="104"/>
        <w:jc w:val="left"/>
        <w:rPr>
          <w:rFonts w:ascii="Arial" w:hAnsi="Arial" w:cs="Arial" w:eastAsia="Arial" w:hint="default"/>
        </w:rPr>
      </w:pPr>
      <w:r>
        <w:rPr>
          <w:position w:val="2"/>
        </w:rPr>
        <w:t>预提房屋租金</w:t>
        <w:tab/>
      </w:r>
      <w:r>
        <w:rPr>
          <w:rFonts w:ascii="Arial" w:hAnsi="Arial" w:cs="Arial" w:eastAsia="Arial" w:hint="default"/>
          <w:spacing w:val="-1"/>
        </w:rPr>
        <w:t>158,937</w:t>
        <w:tab/>
        <w:t>109,956</w:t>
      </w:r>
      <w:r>
        <w:rPr>
          <w:rFonts w:ascii="Arial" w:hAnsi="Arial" w:cs="Arial" w:eastAsia="Arial" w:hint="default"/>
        </w:rPr>
      </w:r>
    </w:p>
    <w:p>
      <w:pPr>
        <w:pStyle w:val="BodyText"/>
        <w:tabs>
          <w:tab w:pos="6345" w:val="left" w:leader="none"/>
          <w:tab w:pos="9215" w:val="left" w:leader="none"/>
        </w:tabs>
        <w:spacing w:line="322" w:lineRule="exact"/>
        <w:ind w:left="807" w:right="104"/>
        <w:jc w:val="left"/>
        <w:rPr>
          <w:rFonts w:ascii="Arial" w:hAnsi="Arial" w:cs="Arial" w:eastAsia="Arial" w:hint="default"/>
        </w:rPr>
      </w:pPr>
      <w:r>
        <w:rPr>
          <w:w w:val="95"/>
          <w:position w:val="2"/>
        </w:rPr>
        <w:t>积分计划</w:t>
      </w:r>
      <w:r>
        <w:rPr>
          <w:rFonts w:ascii="Arial" w:hAnsi="Arial" w:cs="Arial" w:eastAsia="Arial" w:hint="default"/>
          <w:w w:val="95"/>
          <w:position w:val="2"/>
        </w:rPr>
        <w:t>(a)</w:t>
        <w:tab/>
      </w:r>
      <w:r>
        <w:rPr>
          <w:rFonts w:ascii="Arial" w:hAnsi="Arial" w:cs="Arial" w:eastAsia="Arial" w:hint="default"/>
          <w:spacing w:val="-1"/>
        </w:rPr>
        <w:t>95,135</w:t>
        <w:tab/>
        <w:t>84,641</w:t>
      </w:r>
      <w:r>
        <w:rPr>
          <w:rFonts w:ascii="Arial" w:hAnsi="Arial" w:cs="Arial" w:eastAsia="Arial" w:hint="default"/>
        </w:rPr>
      </w:r>
    </w:p>
    <w:p>
      <w:pPr>
        <w:pStyle w:val="BodyText"/>
        <w:tabs>
          <w:tab w:pos="6345" w:val="left" w:leader="none"/>
          <w:tab w:pos="9215" w:val="left" w:leader="none"/>
        </w:tabs>
        <w:spacing w:line="322" w:lineRule="exact"/>
        <w:ind w:left="807" w:right="104"/>
        <w:jc w:val="left"/>
        <w:rPr>
          <w:rFonts w:ascii="Arial" w:hAnsi="Arial" w:cs="Arial" w:eastAsia="Arial" w:hint="default"/>
        </w:rPr>
      </w:pPr>
      <w:r>
        <w:rPr>
          <w:position w:val="2"/>
        </w:rPr>
        <w:t>预提水电费</w:t>
        <w:tab/>
      </w:r>
      <w:r>
        <w:rPr>
          <w:rFonts w:ascii="Arial" w:hAnsi="Arial" w:cs="Arial" w:eastAsia="Arial" w:hint="default"/>
          <w:spacing w:val="-1"/>
        </w:rPr>
        <w:t>63,568</w:t>
        <w:tab/>
        <w:t>40,551</w:t>
      </w:r>
      <w:r>
        <w:rPr>
          <w:rFonts w:ascii="Arial" w:hAnsi="Arial" w:cs="Arial" w:eastAsia="Arial" w:hint="default"/>
        </w:rPr>
      </w:r>
    </w:p>
    <w:p>
      <w:pPr>
        <w:pStyle w:val="BodyText"/>
        <w:tabs>
          <w:tab w:pos="4659" w:val="left" w:leader="none"/>
          <w:tab w:pos="6496" w:val="left" w:leader="none"/>
          <w:tab w:pos="7648" w:val="left" w:leader="none"/>
          <w:tab w:pos="9868" w:val="left" w:leader="none"/>
          <w:tab w:pos="10058" w:val="left" w:leader="none"/>
        </w:tabs>
        <w:spacing w:line="336" w:lineRule="exact"/>
        <w:ind w:left="807" w:right="104"/>
        <w:jc w:val="left"/>
        <w:rPr>
          <w:rFonts w:ascii="Arial" w:hAnsi="Arial" w:cs="Arial" w:eastAsia="Arial" w:hint="default"/>
        </w:rPr>
      </w:pPr>
      <w:r>
        <w:rPr>
          <w:position w:val="2"/>
        </w:rPr>
        <w:t>其他</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4"/>
          <w:w w:val="95"/>
          <w:u w:val="single" w:color="000000"/>
        </w:rPr>
        <w:t>1,115</w:t>
      </w:r>
      <w:r>
        <w:rPr>
          <w:rFonts w:ascii="Arial" w:hAnsi="Arial" w:cs="Arial" w:eastAsia="Arial" w:hint="default"/>
          <w:spacing w:val="-4"/>
          <w:w w:val="95"/>
        </w:rPr>
        <w:tab/>
      </w:r>
      <w:r>
        <w:rPr>
          <w:rFonts w:ascii="Arial" w:hAnsi="Arial" w:cs="Arial" w:eastAsia="Arial" w:hint="default"/>
          <w:spacing w:val="-4"/>
          <w:w w:val="95"/>
          <w:u w:val="single" w:color="000000"/>
        </w:rPr>
        <w:t> </w:t>
        <w:tab/>
      </w:r>
      <w:r>
        <w:rPr>
          <w:rFonts w:ascii="Arial" w:hAnsi="Arial" w:cs="Arial" w:eastAsia="Arial" w:hint="default"/>
          <w:u w:val="single" w:color="000000"/>
        </w:rPr>
        <w:t>-</w:t>
        <w:tab/>
      </w:r>
      <w:r>
        <w:rPr>
          <w:rFonts w:ascii="Arial" w:hAnsi="Arial" w:cs="Arial" w:eastAsia="Arial" w:hint="default"/>
        </w:rPr>
      </w:r>
    </w:p>
    <w:p>
      <w:pPr>
        <w:pStyle w:val="BodyText"/>
        <w:tabs>
          <w:tab w:pos="6212" w:val="left" w:leader="none"/>
          <w:tab w:pos="7648" w:val="left" w:leader="none"/>
          <w:tab w:pos="9082" w:val="left" w:leader="none"/>
          <w:tab w:pos="10058" w:val="left" w:leader="none"/>
        </w:tabs>
        <w:spacing w:line="240" w:lineRule="auto" w:before="11"/>
        <w:ind w:left="4659" w:right="104"/>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318,755</w:t>
      </w:r>
      <w:r>
        <w:rPr>
          <w:rFonts w:ascii="Arial"/>
          <w:spacing w:val="-1"/>
        </w:rPr>
        <w:tab/>
      </w:r>
      <w:r>
        <w:rPr>
          <w:rFonts w:ascii="Arial"/>
          <w:spacing w:val="-1"/>
          <w:u w:val="thick" w:color="000000"/>
        </w:rPr>
        <w:t> </w:t>
        <w:tab/>
        <w:t>235,148</w:t>
        <w:tab/>
      </w:r>
      <w:r>
        <w:rPr>
          <w:rFonts w:ascii="Arial"/>
          <w:spacing w:val="-1"/>
        </w:rPr>
      </w:r>
    </w:p>
    <w:p>
      <w:pPr>
        <w:spacing w:line="240" w:lineRule="auto" w:before="7"/>
        <w:rPr>
          <w:rFonts w:ascii="Arial" w:hAnsi="Arial" w:cs="Arial" w:eastAsia="Arial" w:hint="default"/>
          <w:sz w:val="20"/>
          <w:szCs w:val="20"/>
        </w:rPr>
      </w:pPr>
    </w:p>
    <w:p>
      <w:pPr>
        <w:pStyle w:val="BodyText"/>
        <w:tabs>
          <w:tab w:pos="807" w:val="left" w:leader="none"/>
        </w:tabs>
        <w:spacing w:line="312" w:lineRule="exact" w:before="63"/>
        <w:ind w:left="807" w:right="222" w:hanging="700"/>
        <w:jc w:val="left"/>
      </w:pPr>
      <w:r>
        <w:rPr>
          <w:rFonts w:ascii="Arial" w:hAnsi="Arial" w:cs="Arial" w:eastAsia="Arial" w:hint="default"/>
          <w:w w:val="95"/>
          <w:position w:val="2"/>
        </w:rPr>
        <w:t>(a)</w:t>
        <w:tab/>
      </w:r>
      <w:r>
        <w:rPr/>
        <w:t>根据积分计划递延确认的收益，以授予顾客的积分为基准，并根据本集团已公布的积分</w:t>
      </w:r>
      <w:r>
        <w:rPr>
          <w:spacing w:val="-103"/>
        </w:rPr>
        <w:t> </w:t>
      </w:r>
      <w:r>
        <w:rPr>
          <w:spacing w:val="-103"/>
        </w:rPr>
      </w:r>
      <w:r>
        <w:rPr/>
        <w:t>使用方法和积分的预期兑付率后，按公允价值确认。</w:t>
      </w:r>
    </w:p>
    <w:p>
      <w:pPr>
        <w:spacing w:line="240" w:lineRule="auto" w:before="10"/>
        <w:rPr>
          <w:rFonts w:ascii="宋体" w:hAnsi="宋体" w:cs="宋体" w:eastAsia="宋体" w:hint="default"/>
          <w:sz w:val="18"/>
          <w:szCs w:val="18"/>
        </w:rPr>
      </w:pPr>
    </w:p>
    <w:p>
      <w:pPr>
        <w:tabs>
          <w:tab w:pos="807" w:val="left" w:leader="none"/>
        </w:tabs>
        <w:spacing w:before="0"/>
        <w:ind w:left="107"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(30)</w:t>
        <w:tab/>
      </w:r>
      <w:r>
        <w:rPr>
          <w:rFonts w:ascii="宋体" w:hAnsi="宋体" w:cs="宋体" w:eastAsia="宋体" w:hint="default"/>
          <w:b/>
          <w:bCs/>
          <w:sz w:val="24"/>
          <w:szCs w:val="24"/>
        </w:rPr>
        <w:t>其他非流动负债</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7869" w:val="left" w:leader="none"/>
        </w:tabs>
        <w:spacing w:line="240" w:lineRule="auto"/>
        <w:ind w:left="5036" w:right="104"/>
        <w:jc w:val="left"/>
      </w:pP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spacing w:line="240" w:lineRule="auto" w:before="6"/>
        <w:rPr>
          <w:rFonts w:ascii="宋体" w:hAnsi="宋体" w:cs="宋体" w:eastAsia="宋体" w:hint="default"/>
          <w:sz w:val="19"/>
          <w:szCs w:val="19"/>
        </w:rPr>
      </w:pPr>
    </w:p>
    <w:p>
      <w:pPr>
        <w:pStyle w:val="BodyText"/>
        <w:tabs>
          <w:tab w:pos="6211" w:val="left" w:leader="none"/>
          <w:tab w:pos="9039" w:val="left" w:leader="none"/>
        </w:tabs>
        <w:spacing w:line="332" w:lineRule="exact"/>
        <w:ind w:left="807" w:right="104"/>
        <w:jc w:val="left"/>
        <w:rPr>
          <w:rFonts w:ascii="Arial" w:hAnsi="Arial" w:cs="Arial" w:eastAsia="Arial" w:hint="default"/>
        </w:rPr>
      </w:pPr>
      <w:r>
        <w:rPr>
          <w:w w:val="95"/>
          <w:position w:val="2"/>
        </w:rPr>
        <w:t>递延延保业务收入</w:t>
      </w:r>
      <w:r>
        <w:rPr>
          <w:rFonts w:ascii="Arial" w:hAnsi="Arial" w:cs="Arial" w:eastAsia="Arial" w:hint="default"/>
          <w:w w:val="95"/>
          <w:position w:val="2"/>
        </w:rPr>
        <w:t>(</w:t>
      </w:r>
      <w:r>
        <w:rPr>
          <w:w w:val="95"/>
          <w:position w:val="2"/>
        </w:rPr>
        <w:t>附注五</w:t>
      </w:r>
      <w:r>
        <w:rPr>
          <w:rFonts w:ascii="Arial" w:hAnsi="Arial" w:cs="Arial" w:eastAsia="Arial" w:hint="default"/>
          <w:w w:val="95"/>
          <w:position w:val="2"/>
        </w:rPr>
        <w:t>(17))</w:t>
        <w:tab/>
      </w:r>
      <w:r>
        <w:rPr>
          <w:rFonts w:ascii="Arial" w:hAnsi="Arial" w:cs="Arial" w:eastAsia="Arial" w:hint="default"/>
          <w:spacing w:val="-1"/>
        </w:rPr>
        <w:t>430,717</w:t>
        <w:tab/>
        <w:t>170,603</w:t>
      </w:r>
      <w:r>
        <w:rPr>
          <w:rFonts w:ascii="Arial" w:hAnsi="Arial" w:cs="Arial" w:eastAsia="Arial" w:hint="default"/>
        </w:rPr>
      </w:r>
    </w:p>
    <w:p>
      <w:pPr>
        <w:pStyle w:val="BodyText"/>
        <w:tabs>
          <w:tab w:pos="4672" w:val="left" w:leader="none"/>
          <w:tab w:pos="6344" w:val="left" w:leader="none"/>
          <w:tab w:pos="7648" w:val="left" w:leader="none"/>
          <w:tab w:pos="9172" w:val="left" w:leader="none"/>
          <w:tab w:pos="10058" w:val="left" w:leader="none"/>
        </w:tabs>
        <w:spacing w:line="332" w:lineRule="exact"/>
        <w:ind w:left="807" w:right="104"/>
        <w:jc w:val="left"/>
        <w:rPr>
          <w:rFonts w:ascii="Arial" w:hAnsi="Arial" w:cs="Arial" w:eastAsia="Arial" w:hint="default"/>
        </w:rPr>
      </w:pPr>
      <w:r>
        <w:rPr>
          <w:w w:val="95"/>
          <w:position w:val="2"/>
        </w:rPr>
        <w:t>递延收益</w:t>
      </w:r>
      <w:r>
        <w:rPr>
          <w:rFonts w:ascii="Arial" w:hAnsi="Arial" w:cs="Arial" w:eastAsia="Arial" w:hint="default"/>
          <w:w w:val="95"/>
          <w:position w:val="2"/>
        </w:rPr>
        <w:t>(a)</w:t>
        <w:tab/>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spacing w:val="-1"/>
          <w:u w:val="single" w:color="000000"/>
        </w:rPr>
        <w:t>62,531</w:t>
      </w:r>
      <w:r>
        <w:rPr>
          <w:rFonts w:ascii="Arial" w:hAnsi="Arial" w:cs="Arial" w:eastAsia="Arial" w:hint="default"/>
          <w:spacing w:val="-1"/>
        </w:rPr>
        <w:tab/>
      </w:r>
      <w:r>
        <w:rPr>
          <w:rFonts w:ascii="Arial" w:hAnsi="Arial" w:cs="Arial" w:eastAsia="Arial" w:hint="default"/>
          <w:spacing w:val="-1"/>
          <w:u w:val="single" w:color="000000"/>
        </w:rPr>
        <w:t> </w:t>
        <w:tab/>
        <w:t>18,668</w:t>
        <w:tab/>
      </w:r>
      <w:r>
        <w:rPr>
          <w:rFonts w:ascii="Arial" w:hAnsi="Arial" w:cs="Arial" w:eastAsia="Arial" w:hint="default"/>
          <w:spacing w:val="-1"/>
        </w:rPr>
      </w:r>
    </w:p>
    <w:p>
      <w:pPr>
        <w:pStyle w:val="BodyText"/>
        <w:tabs>
          <w:tab w:pos="6211" w:val="left" w:leader="none"/>
          <w:tab w:pos="7648" w:val="left" w:leader="none"/>
          <w:tab w:pos="9039" w:val="left" w:leader="none"/>
          <w:tab w:pos="10058" w:val="left" w:leader="none"/>
        </w:tabs>
        <w:spacing w:line="240" w:lineRule="auto" w:before="9"/>
        <w:ind w:left="4672" w:right="104"/>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493,248</w:t>
      </w:r>
      <w:r>
        <w:rPr>
          <w:rFonts w:ascii="Arial"/>
          <w:spacing w:val="-1"/>
        </w:rPr>
        <w:tab/>
      </w:r>
      <w:r>
        <w:rPr>
          <w:rFonts w:ascii="Arial"/>
          <w:spacing w:val="-1"/>
          <w:u w:val="thick" w:color="000000"/>
        </w:rPr>
        <w:t> </w:t>
        <w:tab/>
        <w:t>189,271</w:t>
        <w:tab/>
      </w:r>
      <w:r>
        <w:rPr>
          <w:rFonts w:ascii="Arial"/>
          <w:spacing w:val="-1"/>
        </w:rPr>
      </w:r>
    </w:p>
    <w:p>
      <w:pPr>
        <w:spacing w:line="240" w:lineRule="auto" w:before="8"/>
        <w:rPr>
          <w:rFonts w:ascii="Arial" w:hAnsi="Arial" w:cs="Arial" w:eastAsia="Arial" w:hint="default"/>
          <w:sz w:val="23"/>
          <w:szCs w:val="23"/>
        </w:rPr>
      </w:pPr>
    </w:p>
    <w:p>
      <w:pPr>
        <w:spacing w:after="0" w:line="240" w:lineRule="auto"/>
        <w:rPr>
          <w:rFonts w:ascii="Arial" w:hAnsi="Arial" w:cs="Arial" w:eastAsia="Arial" w:hint="default"/>
          <w:sz w:val="23"/>
          <w:szCs w:val="23"/>
        </w:rPr>
        <w:sectPr>
          <w:pgSz w:w="11910" w:h="16840"/>
          <w:pgMar w:header="755" w:footer="947" w:top="2300" w:bottom="1140" w:left="1020" w:right="700"/>
        </w:sectPr>
      </w:pPr>
    </w:p>
    <w:p>
      <w:pPr>
        <w:pStyle w:val="BodyText"/>
        <w:tabs>
          <w:tab w:pos="807" w:val="left" w:leader="none"/>
        </w:tabs>
        <w:spacing w:line="240" w:lineRule="auto" w:before="32"/>
        <w:ind w:left="107" w:right="-20"/>
        <w:jc w:val="left"/>
      </w:pPr>
      <w:r>
        <w:rPr>
          <w:rFonts w:ascii="Arial" w:hAnsi="Arial" w:cs="Arial" w:eastAsia="Arial" w:hint="default"/>
          <w:w w:val="95"/>
          <w:position w:val="2"/>
        </w:rPr>
        <w:t>(a)</w:t>
        <w:tab/>
      </w:r>
      <w:r>
        <w:rPr/>
        <w:t>递延收益</w:t>
      </w:r>
    </w:p>
    <w:p>
      <w:pPr>
        <w:spacing w:line="240" w:lineRule="auto" w:before="9"/>
        <w:rPr>
          <w:rFonts w:ascii="宋体" w:hAnsi="宋体" w:cs="宋体" w:eastAsia="宋体" w:hint="default"/>
          <w:sz w:val="23"/>
          <w:szCs w:val="23"/>
        </w:rPr>
      </w:pPr>
    </w:p>
    <w:p>
      <w:pPr>
        <w:pStyle w:val="BodyText"/>
        <w:spacing w:line="240" w:lineRule="auto"/>
        <w:ind w:left="807" w:right="-20"/>
        <w:jc w:val="left"/>
      </w:pPr>
      <w:r>
        <w:rPr/>
        <w:t>与资产相关的政府补助</w:t>
      </w:r>
    </w:p>
    <w:p>
      <w:pPr>
        <w:spacing w:line="240" w:lineRule="auto" w:before="4"/>
        <w:rPr>
          <w:rFonts w:ascii="宋体" w:hAnsi="宋体" w:cs="宋体" w:eastAsia="宋体" w:hint="default"/>
          <w:sz w:val="26"/>
          <w:szCs w:val="26"/>
        </w:rPr>
      </w:pPr>
      <w:r>
        <w:rPr/>
        <w:br w:type="column"/>
      </w:r>
      <w:r>
        <w:rPr>
          <w:rFonts w:ascii="宋体"/>
          <w:sz w:val="26"/>
        </w:rPr>
      </w:r>
    </w:p>
    <w:p>
      <w:pPr>
        <w:pStyle w:val="BodyText"/>
        <w:tabs>
          <w:tab w:pos="2941" w:val="left" w:leader="none"/>
        </w:tabs>
        <w:spacing w:line="240" w:lineRule="auto"/>
        <w:ind w:left="107" w:right="0"/>
        <w:jc w:val="left"/>
      </w:pP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spacing w:after="0" w:line="240" w:lineRule="auto"/>
        <w:jc w:val="left"/>
        <w:sectPr>
          <w:type w:val="continuous"/>
          <w:pgSz w:w="11910" w:h="16840"/>
          <w:pgMar w:top="920" w:bottom="900" w:left="1020" w:right="700"/>
          <w:cols w:num="2" w:equalWidth="0">
            <w:col w:w="3208" w:space="1720"/>
            <w:col w:w="5262"/>
          </w:cols>
        </w:sectPr>
      </w:pPr>
    </w:p>
    <w:p>
      <w:pPr>
        <w:pStyle w:val="BodyText"/>
        <w:tabs>
          <w:tab w:pos="6344" w:val="left" w:leader="none"/>
          <w:tab w:pos="9152" w:val="left" w:leader="none"/>
        </w:tabs>
        <w:spacing w:line="328" w:lineRule="exact"/>
        <w:ind w:left="1045" w:right="104"/>
        <w:jc w:val="left"/>
        <w:rPr>
          <w:rFonts w:ascii="Arial" w:hAnsi="Arial" w:cs="Arial" w:eastAsia="Arial" w:hint="default"/>
        </w:rPr>
      </w:pPr>
      <w:r>
        <w:rPr>
          <w:position w:val="2"/>
        </w:rPr>
        <w:t>北京物流基地</w:t>
        <w:tab/>
      </w:r>
      <w:r>
        <w:rPr>
          <w:rFonts w:ascii="Arial" w:hAnsi="Arial" w:cs="Arial" w:eastAsia="Arial" w:hint="default"/>
          <w:spacing w:val="-1"/>
        </w:rPr>
        <w:t>38,603</w:t>
        <w:tab/>
        <w:t>12,000</w:t>
      </w:r>
      <w:r>
        <w:rPr>
          <w:rFonts w:ascii="Arial" w:hAnsi="Arial" w:cs="Arial" w:eastAsia="Arial" w:hint="default"/>
        </w:rPr>
      </w:r>
    </w:p>
    <w:p>
      <w:pPr>
        <w:pStyle w:val="BodyText"/>
        <w:tabs>
          <w:tab w:pos="6477" w:val="left" w:leader="none"/>
          <w:tab w:pos="9285" w:val="left" w:leader="none"/>
        </w:tabs>
        <w:spacing w:line="312" w:lineRule="exact"/>
        <w:ind w:left="1045" w:right="104"/>
        <w:jc w:val="left"/>
        <w:rPr>
          <w:rFonts w:ascii="Arial" w:hAnsi="Arial" w:cs="Arial" w:eastAsia="Arial" w:hint="default"/>
        </w:rPr>
      </w:pPr>
      <w:r>
        <w:rPr>
          <w:position w:val="2"/>
        </w:rPr>
        <w:t>沈阳物流中心</w:t>
        <w:tab/>
      </w:r>
      <w:r>
        <w:rPr>
          <w:rFonts w:ascii="Arial" w:hAnsi="Arial" w:cs="Arial" w:eastAsia="Arial" w:hint="default"/>
          <w:spacing w:val="-1"/>
        </w:rPr>
        <w:t>6,668</w:t>
        <w:tab/>
        <w:t>6,668</w:t>
      </w:r>
      <w:r>
        <w:rPr>
          <w:rFonts w:ascii="Arial" w:hAnsi="Arial" w:cs="Arial" w:eastAsia="Arial" w:hint="default"/>
        </w:rPr>
      </w:r>
    </w:p>
    <w:p>
      <w:pPr>
        <w:pStyle w:val="BodyText"/>
        <w:tabs>
          <w:tab w:pos="4672" w:val="left" w:leader="none"/>
          <w:tab w:pos="6344" w:val="left" w:leader="none"/>
          <w:tab w:pos="7648" w:val="left" w:leader="none"/>
          <w:tab w:pos="9804" w:val="left" w:leader="none"/>
          <w:tab w:pos="10058" w:val="left" w:leader="none"/>
        </w:tabs>
        <w:spacing w:line="332" w:lineRule="exact"/>
        <w:ind w:left="1045" w:right="104"/>
        <w:jc w:val="left"/>
        <w:rPr>
          <w:rFonts w:ascii="Arial" w:hAnsi="Arial" w:cs="Arial" w:eastAsia="Arial" w:hint="default"/>
        </w:rPr>
      </w:pPr>
      <w:r>
        <w:rPr>
          <w:position w:val="2"/>
        </w:rPr>
        <w:t>盐城盐宁物流基地</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17,260</w:t>
      </w:r>
      <w:r>
        <w:rPr>
          <w:rFonts w:ascii="Arial" w:hAnsi="Arial" w:cs="Arial" w:eastAsia="Arial" w:hint="default"/>
          <w:spacing w:val="-1"/>
        </w:rPr>
        <w:tab/>
      </w:r>
      <w:r>
        <w:rPr>
          <w:rFonts w:ascii="Arial" w:hAnsi="Arial" w:cs="Arial" w:eastAsia="Arial" w:hint="default"/>
          <w:spacing w:val="-1"/>
          <w:u w:val="single" w:color="000000"/>
        </w:rPr>
        <w:t> </w:t>
        <w:tab/>
      </w:r>
      <w:r>
        <w:rPr>
          <w:rFonts w:ascii="Arial" w:hAnsi="Arial" w:cs="Arial" w:eastAsia="Arial" w:hint="default"/>
          <w:u w:val="single" w:color="000000"/>
        </w:rPr>
        <w:t>-</w:t>
        <w:tab/>
      </w:r>
      <w:r>
        <w:rPr>
          <w:rFonts w:ascii="Arial" w:hAnsi="Arial" w:cs="Arial" w:eastAsia="Arial" w:hint="default"/>
        </w:rPr>
      </w:r>
    </w:p>
    <w:p>
      <w:pPr>
        <w:pStyle w:val="BodyText"/>
        <w:tabs>
          <w:tab w:pos="6344" w:val="left" w:leader="none"/>
          <w:tab w:pos="7641" w:val="left" w:leader="none"/>
          <w:tab w:pos="9152" w:val="left" w:leader="none"/>
          <w:tab w:pos="10065" w:val="left" w:leader="none"/>
        </w:tabs>
        <w:spacing w:line="240" w:lineRule="auto" w:before="9"/>
        <w:ind w:left="4665" w:right="104"/>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62,531</w:t>
      </w:r>
      <w:r>
        <w:rPr>
          <w:rFonts w:ascii="Arial"/>
          <w:spacing w:val="-1"/>
        </w:rPr>
        <w:tab/>
      </w:r>
      <w:r>
        <w:rPr>
          <w:rFonts w:ascii="Arial"/>
          <w:spacing w:val="-1"/>
          <w:u w:val="thick" w:color="000000"/>
        </w:rPr>
        <w:t> </w:t>
        <w:tab/>
        <w:t>18,668</w:t>
        <w:tab/>
      </w:r>
      <w:r>
        <w:rPr>
          <w:rFonts w:ascii="Arial"/>
          <w:spacing w:val="-1"/>
        </w:rPr>
      </w:r>
    </w:p>
    <w:p>
      <w:pPr>
        <w:spacing w:after="0" w:line="240" w:lineRule="auto"/>
        <w:jc w:val="left"/>
        <w:rPr>
          <w:rFonts w:ascii="Arial" w:hAnsi="Arial" w:cs="Arial" w:eastAsia="Arial" w:hint="default"/>
        </w:rPr>
        <w:sectPr>
          <w:type w:val="continuous"/>
          <w:pgSz w:w="11910" w:h="16840"/>
          <w:pgMar w:top="920" w:bottom="900" w:left="1020" w:right="700"/>
        </w:sectPr>
      </w:pPr>
    </w:p>
    <w:p>
      <w:pPr>
        <w:pStyle w:val="BodyText"/>
        <w:spacing w:line="311" w:lineRule="exact"/>
        <w:ind w:left="720" w:right="0"/>
        <w:jc w:val="left"/>
        <w:rPr>
          <w:rFonts w:ascii="黑体" w:hAnsi="黑体" w:cs="黑体" w:eastAsia="黑体" w:hint="default"/>
        </w:rPr>
      </w:pPr>
      <w:r>
        <w:rPr>
          <w:rFonts w:ascii="黑体" w:hAnsi="黑体" w:cs="黑体" w:eastAsia="黑体" w:hint="default"/>
        </w:rPr>
        <w:t>苏宁电器股份有限公司</w:t>
      </w:r>
    </w:p>
    <w:p>
      <w:pPr>
        <w:spacing w:line="240" w:lineRule="auto" w:before="9"/>
        <w:rPr>
          <w:rFonts w:ascii="黑体" w:hAnsi="黑体" w:cs="黑体" w:eastAsia="黑体" w:hint="default"/>
          <w:sz w:val="23"/>
          <w:szCs w:val="23"/>
        </w:rPr>
      </w:pPr>
    </w:p>
    <w:p>
      <w:pPr>
        <w:pStyle w:val="BodyText"/>
        <w:spacing w:line="313" w:lineRule="exact"/>
        <w:ind w:left="7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ind w:left="720"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11"/>
        </w:rPr>
        <w:t> </w:t>
      </w:r>
      <w:r>
        <w:rPr>
          <w:rFonts w:ascii="黑体" w:hAnsi="黑体" w:cs="黑体" w:eastAsia="黑体" w:hint="default"/>
        </w:rPr>
        <w:t>年度</w:t>
      </w:r>
    </w:p>
    <w:p>
      <w:pPr>
        <w:pStyle w:val="BodyText"/>
        <w:spacing w:line="323" w:lineRule="exact"/>
        <w:ind w:left="7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p>
      <w:pPr>
        <w:spacing w:line="240" w:lineRule="auto" w:before="3"/>
        <w:rPr>
          <w:rFonts w:ascii="Arial" w:hAnsi="Arial" w:cs="Arial" w:eastAsia="Arial" w:hint="default"/>
          <w:sz w:val="3"/>
          <w:szCs w:val="3"/>
        </w:rPr>
      </w:pPr>
    </w:p>
    <w:p>
      <w:pPr>
        <w:spacing w:line="20" w:lineRule="exact"/>
        <w:ind w:left="683" w:right="0" w:firstLine="0"/>
        <w:rPr>
          <w:rFonts w:ascii="Arial" w:hAnsi="Arial" w:cs="Arial" w:eastAsia="Arial" w:hint="default"/>
          <w:sz w:val="2"/>
          <w:szCs w:val="2"/>
        </w:rPr>
      </w:pPr>
      <w:r>
        <w:rPr>
          <w:rFonts w:ascii="Arial" w:hAnsi="Arial" w:cs="Arial" w:eastAsia="Arial" w:hint="default"/>
          <w:sz w:val="2"/>
          <w:szCs w:val="2"/>
        </w:rPr>
        <w:pict>
          <v:group style="width:688.7pt;height:.75pt;mso-position-horizontal-relative:char;mso-position-vertical-relative:line" coordorigin="0,0" coordsize="13774,15">
            <v:group style="position:absolute;left:7;top:7;width:13760;height:2" coordorigin="7,7" coordsize="13760,2">
              <v:shape style="position:absolute;left:7;top:7;width:13760;height:2" coordorigin="7,7" coordsize="13760,0" path="m7,7l13766,7e" filled="false" stroked="true" strokeweight=".72pt" strokecolor="#000000">
                <v:path arrowok="t"/>
              </v:shape>
            </v:group>
          </v:group>
        </w:pict>
      </w:r>
      <w:r>
        <w:rPr>
          <w:rFonts w:ascii="Arial" w:hAnsi="Arial" w:cs="Arial" w:eastAsia="Arial" w:hint="default"/>
          <w:sz w:val="2"/>
          <w:szCs w:val="2"/>
        </w:rPr>
      </w:r>
    </w:p>
    <w:p>
      <w:pPr>
        <w:spacing w:line="240" w:lineRule="auto" w:before="10"/>
        <w:rPr>
          <w:rFonts w:ascii="Arial" w:hAnsi="Arial" w:cs="Arial" w:eastAsia="Arial" w:hint="default"/>
          <w:sz w:val="14"/>
          <w:szCs w:val="14"/>
        </w:rPr>
      </w:pPr>
    </w:p>
    <w:p>
      <w:pPr>
        <w:pStyle w:val="Heading2"/>
        <w:tabs>
          <w:tab w:pos="828" w:val="left" w:leader="none"/>
        </w:tabs>
        <w:spacing w:line="240" w:lineRule="auto"/>
        <w:ind w:left="119" w:right="0"/>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5"/>
        <w:rPr>
          <w:rFonts w:ascii="Arial" w:hAnsi="Arial" w:cs="Arial" w:eastAsia="Arial" w:hint="default"/>
          <w:b/>
          <w:bCs/>
          <w:sz w:val="25"/>
          <w:szCs w:val="25"/>
        </w:rPr>
      </w:pPr>
    </w:p>
    <w:p>
      <w:pPr>
        <w:tabs>
          <w:tab w:pos="828" w:val="left" w:leader="none"/>
        </w:tabs>
        <w:spacing w:before="0"/>
        <w:ind w:left="119"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(31)</w:t>
        <w:tab/>
      </w:r>
      <w:r>
        <w:rPr>
          <w:rFonts w:ascii="宋体" w:hAnsi="宋体" w:cs="宋体" w:eastAsia="宋体" w:hint="default"/>
          <w:b/>
          <w:bCs/>
          <w:sz w:val="24"/>
          <w:szCs w:val="24"/>
        </w:rPr>
        <w:t>股本</w:t>
      </w:r>
      <w:r>
        <w:rPr>
          <w:rFonts w:ascii="宋体" w:hAnsi="宋体" w:cs="宋体" w:eastAsia="宋体" w:hint="default"/>
          <w:sz w:val="24"/>
          <w:szCs w:val="24"/>
        </w:rPr>
      </w:r>
    </w:p>
    <w:p>
      <w:pPr>
        <w:spacing w:line="240" w:lineRule="auto" w:before="4"/>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headerReference w:type="default" r:id="rId69"/>
          <w:footerReference w:type="default" r:id="rId70"/>
          <w:pgSz w:w="16840" w:h="11910" w:orient="landscape"/>
          <w:pgMar w:header="0" w:footer="0" w:top="680" w:bottom="280" w:left="980" w:right="1240"/>
        </w:sectPr>
      </w:pPr>
    </w:p>
    <w:p>
      <w:pPr>
        <w:spacing w:line="240" w:lineRule="auto" w:before="2"/>
        <w:rPr>
          <w:rFonts w:ascii="宋体" w:hAnsi="宋体" w:cs="宋体" w:eastAsia="宋体" w:hint="default"/>
          <w:b/>
          <w:bCs/>
          <w:sz w:val="25"/>
          <w:szCs w:val="25"/>
        </w:rPr>
      </w:pPr>
    </w:p>
    <w:p>
      <w:pPr>
        <w:spacing w:before="0"/>
        <w:ind w:left="0" w:right="0" w:firstLine="0"/>
        <w:jc w:val="righ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p>
      <w:pPr>
        <w:spacing w:line="240" w:lineRule="auto" w:before="2"/>
        <w:rPr>
          <w:rFonts w:ascii="宋体" w:hAnsi="宋体" w:cs="宋体" w:eastAsia="宋体" w:hint="default"/>
          <w:sz w:val="25"/>
          <w:szCs w:val="25"/>
        </w:rPr>
      </w:pPr>
      <w:r>
        <w:rPr/>
        <w:br w:type="column"/>
      </w:r>
      <w:r>
        <w:rPr>
          <w:rFonts w:ascii="宋体"/>
          <w:sz w:val="25"/>
        </w:rPr>
      </w:r>
    </w:p>
    <w:p>
      <w:pPr>
        <w:tabs>
          <w:tab w:pos="1506" w:val="left" w:leader="none"/>
        </w:tabs>
        <w:spacing w:before="0"/>
        <w:ind w:left="759" w:right="-18" w:firstLine="0"/>
        <w:jc w:val="left"/>
        <w:rPr>
          <w:rFonts w:ascii="宋体" w:hAnsi="宋体" w:cs="宋体" w:eastAsia="宋体" w:hint="default"/>
          <w:sz w:val="20"/>
          <w:szCs w:val="20"/>
        </w:rPr>
      </w:pPr>
      <w:r>
        <w:rPr>
          <w:rFonts w:ascii="宋体" w:hAnsi="宋体" w:cs="宋体" w:eastAsia="宋体" w:hint="default"/>
          <w:sz w:val="20"/>
          <w:szCs w:val="20"/>
        </w:rPr>
        <w:t>分配</w:t>
        <w:tab/>
        <w:t>资本公积</w:t>
      </w:r>
    </w:p>
    <w:p>
      <w:pPr>
        <w:spacing w:before="38"/>
        <w:ind w:left="455" w:right="-13"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本年增减变动</w:t>
      </w:r>
    </w:p>
    <w:p>
      <w:pPr>
        <w:spacing w:before="28"/>
        <w:ind w:left="966" w:right="-13" w:firstLine="0"/>
        <w:jc w:val="left"/>
        <w:rPr>
          <w:rFonts w:ascii="宋体" w:hAnsi="宋体" w:cs="宋体" w:eastAsia="宋体" w:hint="default"/>
          <w:sz w:val="20"/>
          <w:szCs w:val="20"/>
        </w:rPr>
      </w:pPr>
      <w:r>
        <w:rPr/>
        <w:pict>
          <v:group style="position:absolute;margin-left:332.631012pt;margin-top:2.249700pt;width:326.1pt;height:.1pt;mso-position-horizontal-relative:page;mso-position-vertical-relative:paragraph;z-index:-1003048" coordorigin="6653,45" coordsize="6522,2">
            <v:shape style="position:absolute;left:6653;top:45;width:6522;height:2" coordorigin="6653,45" coordsize="6522,0" path="m6653,45l13175,45e" filled="false" stroked="true" strokeweight="1.5pt" strokecolor="#000000">
              <v:path arrowok="t"/>
            </v:shape>
            <w10:wrap type="none"/>
          </v:group>
        </w:pict>
      </w:r>
      <w:r>
        <w:rPr>
          <w:rFonts w:ascii="宋体" w:hAnsi="宋体" w:cs="宋体" w:eastAsia="宋体" w:hint="default"/>
          <w:sz w:val="20"/>
          <w:szCs w:val="20"/>
        </w:rPr>
        <w:t>限售股</w:t>
      </w:r>
    </w:p>
    <w:p>
      <w:pPr>
        <w:spacing w:line="240" w:lineRule="auto" w:before="2"/>
        <w:rPr>
          <w:rFonts w:ascii="宋体" w:hAnsi="宋体" w:cs="宋体" w:eastAsia="宋体" w:hint="default"/>
          <w:sz w:val="25"/>
          <w:szCs w:val="25"/>
        </w:rPr>
      </w:pPr>
      <w:r>
        <w:rPr/>
        <w:br w:type="column"/>
      </w:r>
      <w:r>
        <w:rPr>
          <w:rFonts w:ascii="宋体"/>
          <w:sz w:val="25"/>
        </w:rPr>
      </w:r>
    </w:p>
    <w:p>
      <w:pPr>
        <w:spacing w:before="0"/>
        <w:ind w:left="700" w:right="-19" w:firstLine="0"/>
        <w:jc w:val="left"/>
        <w:rPr>
          <w:rFonts w:ascii="宋体" w:hAnsi="宋体" w:cs="宋体" w:eastAsia="宋体" w:hint="default"/>
          <w:sz w:val="20"/>
          <w:szCs w:val="20"/>
        </w:rPr>
      </w:pPr>
      <w:r>
        <w:rPr>
          <w:rFonts w:ascii="宋体" w:hAnsi="宋体" w:cs="宋体" w:eastAsia="宋体" w:hint="default"/>
          <w:sz w:val="20"/>
          <w:szCs w:val="20"/>
        </w:rPr>
        <w:t>非公开</w:t>
      </w:r>
    </w:p>
    <w:p>
      <w:pPr>
        <w:spacing w:line="240" w:lineRule="auto" w:before="2"/>
        <w:rPr>
          <w:rFonts w:ascii="宋体" w:hAnsi="宋体" w:cs="宋体" w:eastAsia="宋体" w:hint="default"/>
          <w:sz w:val="25"/>
          <w:szCs w:val="25"/>
        </w:rPr>
      </w:pPr>
      <w:r>
        <w:rPr/>
        <w:br w:type="column"/>
      </w:r>
      <w:r>
        <w:rPr>
          <w:rFonts w:ascii="宋体"/>
          <w:sz w:val="25"/>
        </w:rPr>
      </w:r>
    </w:p>
    <w:p>
      <w:pPr>
        <w:tabs>
          <w:tab w:pos="2808" w:val="left" w:leader="none"/>
        </w:tabs>
        <w:spacing w:before="0"/>
        <w:ind w:left="731" w:right="0" w:firstLine="0"/>
        <w:jc w:val="left"/>
        <w:rPr>
          <w:rFonts w:ascii="宋体" w:hAnsi="宋体" w:cs="宋体" w:eastAsia="宋体" w:hint="default"/>
          <w:sz w:val="20"/>
          <w:szCs w:val="20"/>
        </w:rPr>
      </w:pPr>
      <w:r>
        <w:rPr>
          <w:rFonts w:ascii="宋体" w:hAnsi="宋体" w:cs="宋体" w:eastAsia="宋体" w:hint="default"/>
          <w:sz w:val="20"/>
          <w:szCs w:val="20"/>
        </w:rPr>
        <w:t>小计</w:t>
        <w:tab/>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p>
    <w:p>
      <w:pPr>
        <w:spacing w:after="0"/>
        <w:jc w:val="left"/>
        <w:rPr>
          <w:rFonts w:ascii="宋体" w:hAnsi="宋体" w:cs="宋体" w:eastAsia="宋体" w:hint="default"/>
          <w:sz w:val="20"/>
          <w:szCs w:val="20"/>
        </w:rPr>
        <w:sectPr>
          <w:type w:val="continuous"/>
          <w:pgSz w:w="16840" w:h="11910" w:orient="landscape"/>
          <w:pgMar w:top="920" w:bottom="900" w:left="980" w:right="1240"/>
          <w:cols w:num="5" w:equalWidth="0">
            <w:col w:w="5497" w:space="40"/>
            <w:col w:w="2309" w:space="40"/>
            <w:col w:w="1657" w:space="40"/>
            <w:col w:w="1302" w:space="40"/>
            <w:col w:w="3695"/>
          </w:cols>
        </w:sectPr>
      </w:pPr>
    </w:p>
    <w:p>
      <w:pPr>
        <w:spacing w:line="240" w:lineRule="auto" w:before="9"/>
        <w:rPr>
          <w:rFonts w:ascii="宋体" w:hAnsi="宋体" w:cs="宋体" w:eastAsia="宋体" w:hint="default"/>
          <w:sz w:val="2"/>
          <w:szCs w:val="2"/>
        </w:rPr>
      </w:pPr>
    </w:p>
    <w:tbl>
      <w:tblPr>
        <w:tblW w:w="0" w:type="auto"/>
        <w:jc w:val="left"/>
        <w:tblInd w:w="720" w:type="dxa"/>
        <w:tblLayout w:type="fixed"/>
        <w:tblCellMar>
          <w:top w:w="0" w:type="dxa"/>
          <w:left w:w="0" w:type="dxa"/>
          <w:bottom w:w="0" w:type="dxa"/>
          <w:right w:w="0" w:type="dxa"/>
        </w:tblCellMar>
        <w:tblLook w:val="01E0"/>
      </w:tblPr>
      <w:tblGrid>
        <w:gridCol w:w="2216"/>
        <w:gridCol w:w="2591"/>
        <w:gridCol w:w="140"/>
        <w:gridCol w:w="1060"/>
        <w:gridCol w:w="142"/>
        <w:gridCol w:w="992"/>
        <w:gridCol w:w="140"/>
        <w:gridCol w:w="1560"/>
        <w:gridCol w:w="142"/>
        <w:gridCol w:w="1210"/>
        <w:gridCol w:w="143"/>
        <w:gridCol w:w="1134"/>
        <w:gridCol w:w="140"/>
        <w:gridCol w:w="2163"/>
      </w:tblGrid>
      <w:tr>
        <w:trPr>
          <w:trHeight w:val="783" w:hRule="exact"/>
        </w:trPr>
        <w:tc>
          <w:tcPr>
            <w:tcW w:w="4807"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left="3775"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pStyle w:val="TableParagraph"/>
              <w:spacing w:line="261" w:lineRule="exact"/>
              <w:ind w:left="43" w:right="0"/>
              <w:jc w:val="left"/>
              <w:rPr>
                <w:rFonts w:ascii="Arial" w:hAnsi="Arial" w:cs="Arial" w:eastAsia="Arial" w:hint="default"/>
                <w:sz w:val="20"/>
                <w:szCs w:val="20"/>
              </w:rPr>
            </w:pPr>
            <w:r>
              <w:rPr>
                <w:rFonts w:ascii="宋体" w:hAnsi="宋体" w:cs="宋体" w:eastAsia="宋体" w:hint="default"/>
                <w:sz w:val="20"/>
                <w:szCs w:val="20"/>
              </w:rPr>
              <w:t>有限售条件股份</w:t>
            </w:r>
            <w:r>
              <w:rPr>
                <w:rFonts w:ascii="宋体" w:hAnsi="宋体" w:cs="宋体" w:eastAsia="宋体" w:hint="default"/>
                <w:spacing w:val="-3"/>
                <w:sz w:val="20"/>
                <w:szCs w:val="20"/>
              </w:rPr>
              <w:t> </w:t>
            </w:r>
            <w:r>
              <w:rPr>
                <w:rFonts w:ascii="Arial" w:hAnsi="Arial" w:cs="Arial" w:eastAsia="Arial" w:hint="default"/>
                <w:sz w:val="20"/>
                <w:szCs w:val="20"/>
              </w:rPr>
              <w:t>-</w:t>
            </w:r>
          </w:p>
          <w:p>
            <w:pPr>
              <w:pStyle w:val="TableParagraph"/>
              <w:tabs>
                <w:tab w:pos="4673" w:val="left" w:leader="none"/>
              </w:tabs>
              <w:spacing w:line="280" w:lineRule="exact"/>
              <w:ind w:left="219" w:right="0"/>
              <w:jc w:val="left"/>
              <w:rPr>
                <w:rFonts w:ascii="Arial" w:hAnsi="Arial" w:cs="Arial" w:eastAsia="Arial" w:hint="default"/>
                <w:sz w:val="20"/>
                <w:szCs w:val="20"/>
              </w:rPr>
            </w:pPr>
            <w:r>
              <w:rPr>
                <w:rFonts w:ascii="宋体" w:hAnsi="宋体" w:cs="宋体" w:eastAsia="宋体" w:hint="default"/>
                <w:spacing w:val="-1"/>
                <w:position w:val="1"/>
                <w:sz w:val="20"/>
                <w:szCs w:val="20"/>
              </w:rPr>
              <w:t>国有法人持股</w:t>
              <w:tab/>
            </w:r>
            <w:r>
              <w:rPr>
                <w:rFonts w:ascii="Arial" w:hAnsi="Arial" w:cs="Arial" w:eastAsia="Arial" w:hint="default"/>
                <w:sz w:val="20"/>
                <w:szCs w:val="20"/>
              </w:rPr>
              <w:t>-</w:t>
            </w:r>
          </w:p>
        </w:tc>
        <w:tc>
          <w:tcPr>
            <w:tcW w:w="14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11" w:lineRule="exact"/>
              <w:ind w:right="34"/>
              <w:jc w:val="right"/>
              <w:rPr>
                <w:rFonts w:ascii="宋体" w:hAnsi="宋体" w:cs="宋体" w:eastAsia="宋体" w:hint="default"/>
                <w:sz w:val="20"/>
                <w:szCs w:val="20"/>
              </w:rPr>
            </w:pPr>
            <w:r>
              <w:rPr>
                <w:rFonts w:ascii="宋体" w:hAnsi="宋体" w:cs="宋体" w:eastAsia="宋体" w:hint="default"/>
                <w:sz w:val="20"/>
                <w:szCs w:val="20"/>
              </w:rPr>
              <w:t>股票股利</w:t>
            </w: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56"/>
              <w:jc w:val="right"/>
              <w:rPr>
                <w:rFonts w:ascii="Arial" w:hAnsi="Arial" w:cs="Arial" w:eastAsia="Arial" w:hint="default"/>
                <w:sz w:val="20"/>
                <w:szCs w:val="20"/>
              </w:rPr>
            </w:pPr>
            <w:r>
              <w:rPr>
                <w:rFonts w:ascii="Arial"/>
                <w:w w:val="100"/>
                <w:sz w:val="20"/>
              </w:rPr>
              <w:t>-</w:t>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11" w:lineRule="exact"/>
              <w:ind w:right="34"/>
              <w:jc w:val="right"/>
              <w:rPr>
                <w:rFonts w:ascii="宋体" w:hAnsi="宋体" w:cs="宋体" w:eastAsia="宋体" w:hint="default"/>
                <w:sz w:val="20"/>
                <w:szCs w:val="20"/>
              </w:rPr>
            </w:pPr>
            <w:r>
              <w:rPr>
                <w:rFonts w:ascii="宋体" w:hAnsi="宋体" w:cs="宋体" w:eastAsia="宋体" w:hint="default"/>
                <w:sz w:val="20"/>
                <w:szCs w:val="20"/>
              </w:rPr>
              <w:t>转增股本</w:t>
            </w: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4"/>
              <w:jc w:val="right"/>
              <w:rPr>
                <w:rFonts w:ascii="Arial" w:hAnsi="Arial" w:cs="Arial" w:eastAsia="Arial" w:hint="default"/>
                <w:sz w:val="20"/>
                <w:szCs w:val="20"/>
              </w:rPr>
            </w:pPr>
            <w:r>
              <w:rPr>
                <w:rFonts w:ascii="Arial"/>
                <w:w w:val="100"/>
                <w:sz w:val="20"/>
              </w:rPr>
              <w:t>-</w:t>
            </w:r>
          </w:p>
        </w:tc>
        <w:tc>
          <w:tcPr>
            <w:tcW w:w="14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11" w:lineRule="exact"/>
              <w:ind w:right="112"/>
              <w:jc w:val="right"/>
              <w:rPr>
                <w:rFonts w:ascii="宋体" w:hAnsi="宋体" w:cs="宋体" w:eastAsia="宋体" w:hint="default"/>
                <w:sz w:val="20"/>
                <w:szCs w:val="20"/>
              </w:rPr>
            </w:pPr>
            <w:r>
              <w:rPr>
                <w:rFonts w:ascii="宋体" w:hAnsi="宋体" w:cs="宋体" w:eastAsia="宋体" w:hint="default"/>
                <w:sz w:val="20"/>
                <w:szCs w:val="20"/>
              </w:rPr>
              <w:t>解禁</w:t>
            </w: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8"/>
              <w:jc w:val="right"/>
              <w:rPr>
                <w:rFonts w:ascii="Arial" w:hAnsi="Arial" w:cs="Arial" w:eastAsia="Arial" w:hint="default"/>
                <w:sz w:val="20"/>
                <w:szCs w:val="20"/>
              </w:rPr>
            </w:pPr>
            <w:r>
              <w:rPr>
                <w:rFonts w:ascii="Arial"/>
                <w:w w:val="100"/>
                <w:sz w:val="20"/>
              </w:rPr>
              <w:t>-</w:t>
            </w:r>
          </w:p>
        </w:tc>
        <w:tc>
          <w:tcPr>
            <w:tcW w:w="142"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11" w:lineRule="exact"/>
              <w:ind w:right="32"/>
              <w:jc w:val="right"/>
              <w:rPr>
                <w:rFonts w:ascii="宋体" w:hAnsi="宋体" w:cs="宋体" w:eastAsia="宋体" w:hint="default"/>
                <w:sz w:val="20"/>
                <w:szCs w:val="20"/>
              </w:rPr>
            </w:pPr>
            <w:r>
              <w:rPr>
                <w:rFonts w:ascii="宋体" w:hAnsi="宋体" w:cs="宋体" w:eastAsia="宋体" w:hint="default"/>
                <w:sz w:val="20"/>
                <w:szCs w:val="20"/>
              </w:rPr>
              <w:t>发行股票</w:t>
            </w: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3"/>
              <w:jc w:val="right"/>
              <w:rPr>
                <w:rFonts w:ascii="Arial" w:hAnsi="Arial" w:cs="Arial" w:eastAsia="Arial" w:hint="default"/>
                <w:sz w:val="20"/>
                <w:szCs w:val="20"/>
              </w:rPr>
            </w:pPr>
            <w:r>
              <w:rPr>
                <w:rFonts w:ascii="Arial"/>
                <w:w w:val="100"/>
                <w:sz w:val="20"/>
              </w:rPr>
              <w:t>-</w:t>
            </w:r>
          </w:p>
        </w:tc>
        <w:tc>
          <w:tcPr>
            <w:tcW w:w="14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20"/>
              <w:jc w:val="right"/>
              <w:rPr>
                <w:rFonts w:ascii="Arial" w:hAnsi="Arial" w:cs="Arial" w:eastAsia="Arial" w:hint="default"/>
                <w:sz w:val="20"/>
                <w:szCs w:val="20"/>
              </w:rPr>
            </w:pPr>
            <w:r>
              <w:rPr>
                <w:rFonts w:ascii="Arial"/>
                <w:w w:val="100"/>
                <w:sz w:val="20"/>
              </w:rPr>
              <w:t>-</w:t>
            </w:r>
          </w:p>
        </w:tc>
        <w:tc>
          <w:tcPr>
            <w:tcW w:w="140"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25" w:lineRule="exact"/>
              <w:ind w:right="67"/>
              <w:jc w:val="righ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9"/>
              <w:jc w:val="right"/>
              <w:rPr>
                <w:rFonts w:ascii="Arial" w:hAnsi="Arial" w:cs="Arial" w:eastAsia="Arial" w:hint="default"/>
                <w:sz w:val="20"/>
                <w:szCs w:val="20"/>
              </w:rPr>
            </w:pPr>
            <w:r>
              <w:rPr>
                <w:rFonts w:ascii="Arial"/>
                <w:w w:val="100"/>
                <w:sz w:val="20"/>
              </w:rPr>
              <w:t>-</w:t>
            </w:r>
          </w:p>
        </w:tc>
      </w:tr>
      <w:tr>
        <w:trPr>
          <w:trHeight w:val="242" w:hRule="exact"/>
        </w:trPr>
        <w:tc>
          <w:tcPr>
            <w:tcW w:w="4807" w:type="dxa"/>
            <w:gridSpan w:val="2"/>
            <w:tcBorders>
              <w:top w:val="nil" w:sz="6" w:space="0" w:color="auto"/>
              <w:left w:val="nil" w:sz="6" w:space="0" w:color="auto"/>
              <w:bottom w:val="single" w:sz="4" w:space="0" w:color="000000"/>
              <w:right w:val="nil" w:sz="6" w:space="0" w:color="auto"/>
            </w:tcBorders>
          </w:tcPr>
          <w:p>
            <w:pPr>
              <w:pStyle w:val="TableParagraph"/>
              <w:tabs>
                <w:tab w:pos="3850" w:val="left" w:leader="none"/>
              </w:tabs>
              <w:spacing w:line="235" w:lineRule="exact"/>
              <w:ind w:left="219" w:right="0"/>
              <w:jc w:val="left"/>
              <w:rPr>
                <w:rFonts w:ascii="Arial" w:hAnsi="Arial" w:cs="Arial" w:eastAsia="Arial" w:hint="default"/>
                <w:sz w:val="20"/>
                <w:szCs w:val="20"/>
              </w:rPr>
            </w:pPr>
            <w:r>
              <w:rPr>
                <w:rFonts w:ascii="宋体" w:hAnsi="宋体" w:cs="宋体" w:eastAsia="宋体" w:hint="default"/>
                <w:spacing w:val="-1"/>
                <w:position w:val="1"/>
                <w:sz w:val="20"/>
                <w:szCs w:val="20"/>
              </w:rPr>
              <w:t>其他内资持股</w:t>
              <w:tab/>
            </w:r>
            <w:r>
              <w:rPr>
                <w:rFonts w:ascii="Arial" w:hAnsi="Arial" w:cs="Arial" w:eastAsia="Arial" w:hint="default"/>
                <w:spacing w:val="-1"/>
                <w:sz w:val="20"/>
                <w:szCs w:val="20"/>
              </w:rPr>
              <w:t>1,503,384</w:t>
            </w:r>
          </w:p>
        </w:tc>
        <w:tc>
          <w:tcPr>
            <w:tcW w:w="140" w:type="dxa"/>
            <w:tcBorders>
              <w:top w:val="nil" w:sz="6" w:space="0" w:color="auto"/>
              <w:left w:val="nil" w:sz="6" w:space="0" w:color="auto"/>
              <w:bottom w:val="single" w:sz="4" w:space="0" w:color="000000"/>
              <w:right w:val="nil" w:sz="6" w:space="0" w:color="auto"/>
            </w:tcBorders>
          </w:tcPr>
          <w:p>
            <w:pPr/>
          </w:p>
        </w:tc>
        <w:tc>
          <w:tcPr>
            <w:tcW w:w="106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55"/>
              <w:jc w:val="right"/>
              <w:rPr>
                <w:rFonts w:ascii="Arial" w:hAnsi="Arial" w:cs="Arial" w:eastAsia="Arial" w:hint="default"/>
                <w:sz w:val="20"/>
                <w:szCs w:val="20"/>
              </w:rPr>
            </w:pPr>
            <w:r>
              <w:rPr>
                <w:rFonts w:ascii="Arial"/>
                <w:w w:val="100"/>
                <w:sz w:val="20"/>
              </w:rPr>
              <w:t>-</w:t>
            </w:r>
          </w:p>
        </w:tc>
        <w:tc>
          <w:tcPr>
            <w:tcW w:w="142" w:type="dxa"/>
            <w:tcBorders>
              <w:top w:val="nil" w:sz="6" w:space="0" w:color="auto"/>
              <w:left w:val="nil" w:sz="6" w:space="0" w:color="auto"/>
              <w:bottom w:val="single" w:sz="4" w:space="0" w:color="000000"/>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34"/>
              <w:jc w:val="right"/>
              <w:rPr>
                <w:rFonts w:ascii="Arial" w:hAnsi="Arial" w:cs="Arial" w:eastAsia="Arial" w:hint="default"/>
                <w:sz w:val="20"/>
                <w:szCs w:val="20"/>
              </w:rPr>
            </w:pPr>
            <w:r>
              <w:rPr>
                <w:rFonts w:ascii="Arial"/>
                <w:spacing w:val="-1"/>
                <w:sz w:val="20"/>
              </w:rPr>
              <w:t>751,692</w:t>
            </w:r>
          </w:p>
        </w:tc>
        <w:tc>
          <w:tcPr>
            <w:tcW w:w="140"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41"/>
              <w:jc w:val="right"/>
              <w:rPr>
                <w:rFonts w:ascii="Arial" w:hAnsi="Arial" w:cs="Arial" w:eastAsia="Arial" w:hint="default"/>
                <w:sz w:val="20"/>
                <w:szCs w:val="20"/>
              </w:rPr>
            </w:pPr>
            <w:r>
              <w:rPr>
                <w:rFonts w:ascii="Arial"/>
                <w:spacing w:val="-1"/>
                <w:sz w:val="20"/>
              </w:rPr>
              <w:t>(700,953)</w:t>
            </w:r>
          </w:p>
        </w:tc>
        <w:tc>
          <w:tcPr>
            <w:tcW w:w="142" w:type="dxa"/>
            <w:tcBorders>
              <w:top w:val="nil" w:sz="6" w:space="0" w:color="auto"/>
              <w:left w:val="nil" w:sz="6" w:space="0" w:color="auto"/>
              <w:bottom w:val="single" w:sz="4" w:space="0" w:color="000000"/>
              <w:right w:val="nil" w:sz="6" w:space="0" w:color="auto"/>
            </w:tcBorders>
          </w:tcPr>
          <w:p>
            <w:pPr/>
          </w:p>
        </w:tc>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33"/>
              <w:jc w:val="right"/>
              <w:rPr>
                <w:rFonts w:ascii="Arial" w:hAnsi="Arial" w:cs="Arial" w:eastAsia="Arial" w:hint="default"/>
                <w:sz w:val="20"/>
                <w:szCs w:val="20"/>
              </w:rPr>
            </w:pPr>
            <w:r>
              <w:rPr>
                <w:rFonts w:ascii="Arial"/>
                <w:w w:val="100"/>
                <w:sz w:val="20"/>
              </w:rPr>
              <w:t>-</w:t>
            </w:r>
          </w:p>
        </w:tc>
        <w:tc>
          <w:tcPr>
            <w:tcW w:w="143" w:type="dxa"/>
            <w:tcBorders>
              <w:top w:val="nil" w:sz="6" w:space="0" w:color="auto"/>
              <w:left w:val="nil" w:sz="6" w:space="0" w:color="auto"/>
              <w:bottom w:val="single" w:sz="4" w:space="0" w:color="000000"/>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20"/>
              <w:jc w:val="right"/>
              <w:rPr>
                <w:rFonts w:ascii="Arial" w:hAnsi="Arial" w:cs="Arial" w:eastAsia="Arial" w:hint="default"/>
                <w:sz w:val="20"/>
                <w:szCs w:val="20"/>
              </w:rPr>
            </w:pPr>
            <w:r>
              <w:rPr>
                <w:rFonts w:ascii="Arial"/>
                <w:sz w:val="20"/>
              </w:rPr>
              <w:t>50,739</w:t>
            </w:r>
          </w:p>
        </w:tc>
        <w:tc>
          <w:tcPr>
            <w:tcW w:w="140" w:type="dxa"/>
            <w:tcBorders>
              <w:top w:val="nil" w:sz="6" w:space="0" w:color="auto"/>
              <w:left w:val="nil" w:sz="6" w:space="0" w:color="auto"/>
              <w:bottom w:val="single" w:sz="4" w:space="0" w:color="000000"/>
              <w:right w:val="nil" w:sz="6" w:space="0" w:color="auto"/>
            </w:tcBorders>
          </w:tcPr>
          <w:p>
            <w:pPr/>
          </w:p>
        </w:tc>
        <w:tc>
          <w:tcPr>
            <w:tcW w:w="216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9"/>
              <w:jc w:val="right"/>
              <w:rPr>
                <w:rFonts w:ascii="Arial" w:hAnsi="Arial" w:cs="Arial" w:eastAsia="Arial" w:hint="default"/>
                <w:sz w:val="20"/>
                <w:szCs w:val="20"/>
              </w:rPr>
            </w:pPr>
            <w:r>
              <w:rPr>
                <w:rFonts w:ascii="Arial"/>
                <w:spacing w:val="-1"/>
                <w:sz w:val="20"/>
              </w:rPr>
              <w:t>1,554,123</w:t>
            </w:r>
          </w:p>
        </w:tc>
      </w:tr>
      <w:tr>
        <w:trPr>
          <w:trHeight w:val="288" w:hRule="exact"/>
        </w:trPr>
        <w:tc>
          <w:tcPr>
            <w:tcW w:w="4807" w:type="dxa"/>
            <w:gridSpan w:val="2"/>
            <w:tcBorders>
              <w:top w:val="single" w:sz="4" w:space="0" w:color="000000"/>
              <w:left w:val="single" w:sz="4" w:space="0" w:color="000000"/>
              <w:bottom w:val="nil" w:sz="6" w:space="0" w:color="auto"/>
              <w:right w:val="nil" w:sz="6" w:space="0" w:color="auto"/>
            </w:tcBorders>
          </w:tcPr>
          <w:p>
            <w:pPr>
              <w:pStyle w:val="TableParagraph"/>
              <w:tabs>
                <w:tab w:pos="4012" w:val="left" w:leader="none"/>
              </w:tabs>
              <w:spacing w:line="257" w:lineRule="exact"/>
              <w:ind w:left="209" w:right="0"/>
              <w:jc w:val="left"/>
              <w:rPr>
                <w:rFonts w:ascii="Arial" w:hAnsi="Arial" w:cs="Arial" w:eastAsia="Arial" w:hint="default"/>
                <w:sz w:val="20"/>
                <w:szCs w:val="20"/>
              </w:rPr>
            </w:pPr>
            <w:r>
              <w:rPr>
                <w:rFonts w:ascii="宋体" w:hAnsi="宋体" w:cs="宋体" w:eastAsia="宋体" w:hint="default"/>
                <w:spacing w:val="-1"/>
                <w:position w:val="1"/>
                <w:sz w:val="20"/>
                <w:szCs w:val="20"/>
              </w:rPr>
              <w:t>其中：境内非国有法人持股</w:t>
              <w:tab/>
            </w:r>
            <w:r>
              <w:rPr>
                <w:rFonts w:ascii="Arial" w:hAnsi="Arial" w:cs="Arial" w:eastAsia="Arial" w:hint="default"/>
                <w:spacing w:val="-1"/>
                <w:sz w:val="20"/>
                <w:szCs w:val="20"/>
              </w:rPr>
              <w:t>142,000</w:t>
            </w:r>
          </w:p>
        </w:tc>
        <w:tc>
          <w:tcPr>
            <w:tcW w:w="140" w:type="dxa"/>
            <w:tcBorders>
              <w:top w:val="single" w:sz="4" w:space="0" w:color="000000"/>
              <w:left w:val="nil" w:sz="6" w:space="0" w:color="auto"/>
              <w:bottom w:val="nil" w:sz="6" w:space="0" w:color="auto"/>
              <w:right w:val="nil" w:sz="6" w:space="0" w:color="auto"/>
            </w:tcBorders>
          </w:tcPr>
          <w:p>
            <w:pPr/>
          </w:p>
        </w:tc>
        <w:tc>
          <w:tcPr>
            <w:tcW w:w="106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56"/>
              <w:jc w:val="right"/>
              <w:rPr>
                <w:rFonts w:ascii="Arial" w:hAnsi="Arial" w:cs="Arial" w:eastAsia="Arial" w:hint="default"/>
                <w:sz w:val="20"/>
                <w:szCs w:val="20"/>
              </w:rPr>
            </w:pPr>
            <w:r>
              <w:rPr>
                <w:rFonts w:ascii="Arial"/>
                <w:w w:val="100"/>
                <w:sz w:val="20"/>
              </w:rPr>
              <w:t>-</w:t>
            </w:r>
          </w:p>
        </w:tc>
        <w:tc>
          <w:tcPr>
            <w:tcW w:w="142" w:type="dxa"/>
            <w:tcBorders>
              <w:top w:val="single" w:sz="4" w:space="0" w:color="000000"/>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34"/>
              <w:jc w:val="right"/>
              <w:rPr>
                <w:rFonts w:ascii="Arial" w:hAnsi="Arial" w:cs="Arial" w:eastAsia="Arial" w:hint="default"/>
                <w:sz w:val="20"/>
                <w:szCs w:val="20"/>
              </w:rPr>
            </w:pPr>
            <w:r>
              <w:rPr>
                <w:rFonts w:ascii="Arial"/>
                <w:sz w:val="20"/>
              </w:rPr>
              <w:t>71,000</w:t>
            </w:r>
          </w:p>
        </w:tc>
        <w:tc>
          <w:tcPr>
            <w:tcW w:w="140"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41"/>
              <w:jc w:val="right"/>
              <w:rPr>
                <w:rFonts w:ascii="Arial" w:hAnsi="Arial" w:cs="Arial" w:eastAsia="Arial" w:hint="default"/>
                <w:sz w:val="20"/>
                <w:szCs w:val="20"/>
              </w:rPr>
            </w:pPr>
            <w:r>
              <w:rPr>
                <w:rFonts w:ascii="Arial"/>
                <w:spacing w:val="-1"/>
                <w:sz w:val="20"/>
              </w:rPr>
              <w:t>(213,000)</w:t>
            </w:r>
          </w:p>
        </w:tc>
        <w:tc>
          <w:tcPr>
            <w:tcW w:w="142" w:type="dxa"/>
            <w:tcBorders>
              <w:top w:val="single" w:sz="4" w:space="0" w:color="000000"/>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33"/>
              <w:jc w:val="right"/>
              <w:rPr>
                <w:rFonts w:ascii="Arial" w:hAnsi="Arial" w:cs="Arial" w:eastAsia="Arial" w:hint="default"/>
                <w:sz w:val="20"/>
                <w:szCs w:val="20"/>
              </w:rPr>
            </w:pPr>
            <w:r>
              <w:rPr>
                <w:rFonts w:ascii="Arial"/>
                <w:w w:val="100"/>
                <w:sz w:val="20"/>
              </w:rPr>
              <w:t>-</w:t>
            </w:r>
          </w:p>
        </w:tc>
        <w:tc>
          <w:tcPr>
            <w:tcW w:w="143" w:type="dxa"/>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54"/>
              <w:jc w:val="right"/>
              <w:rPr>
                <w:rFonts w:ascii="Arial" w:hAnsi="Arial" w:cs="Arial" w:eastAsia="Arial" w:hint="default"/>
                <w:sz w:val="20"/>
                <w:szCs w:val="20"/>
              </w:rPr>
            </w:pPr>
            <w:r>
              <w:rPr>
                <w:rFonts w:ascii="Arial"/>
                <w:spacing w:val="-1"/>
                <w:sz w:val="20"/>
              </w:rPr>
              <w:t>(142,000)</w:t>
            </w:r>
          </w:p>
        </w:tc>
        <w:tc>
          <w:tcPr>
            <w:tcW w:w="140" w:type="dxa"/>
            <w:tcBorders>
              <w:top w:val="single" w:sz="4" w:space="0" w:color="000000"/>
              <w:left w:val="nil" w:sz="6" w:space="0" w:color="auto"/>
              <w:bottom w:val="nil" w:sz="6" w:space="0" w:color="auto"/>
              <w:right w:val="nil" w:sz="6" w:space="0" w:color="auto"/>
            </w:tcBorders>
          </w:tcPr>
          <w:p>
            <w:pPr/>
          </w:p>
        </w:tc>
        <w:tc>
          <w:tcPr>
            <w:tcW w:w="2163" w:type="dxa"/>
            <w:tcBorders>
              <w:top w:val="single" w:sz="4" w:space="0" w:color="000000"/>
              <w:left w:val="nil" w:sz="6" w:space="0" w:color="auto"/>
              <w:bottom w:val="nil" w:sz="6" w:space="0" w:color="auto"/>
              <w:right w:val="single" w:sz="4" w:space="0" w:color="000000"/>
            </w:tcBorders>
          </w:tcPr>
          <w:p>
            <w:pPr>
              <w:pStyle w:val="TableParagraph"/>
              <w:spacing w:line="240" w:lineRule="auto" w:before="27"/>
              <w:ind w:right="95"/>
              <w:jc w:val="right"/>
              <w:rPr>
                <w:rFonts w:ascii="Arial" w:hAnsi="Arial" w:cs="Arial" w:eastAsia="Arial" w:hint="default"/>
                <w:sz w:val="20"/>
                <w:szCs w:val="20"/>
              </w:rPr>
            </w:pPr>
            <w:r>
              <w:rPr>
                <w:rFonts w:ascii="Arial"/>
                <w:w w:val="100"/>
                <w:sz w:val="20"/>
              </w:rPr>
              <w:t>-</w:t>
            </w:r>
          </w:p>
        </w:tc>
      </w:tr>
      <w:tr>
        <w:trPr>
          <w:trHeight w:val="243" w:hRule="exact"/>
        </w:trPr>
        <w:tc>
          <w:tcPr>
            <w:tcW w:w="4807" w:type="dxa"/>
            <w:gridSpan w:val="2"/>
            <w:tcBorders>
              <w:top w:val="nil" w:sz="6" w:space="0" w:color="auto"/>
              <w:left w:val="single" w:sz="4" w:space="0" w:color="000000"/>
              <w:bottom w:val="single" w:sz="4" w:space="0" w:color="000000"/>
              <w:right w:val="nil" w:sz="6" w:space="0" w:color="auto"/>
            </w:tcBorders>
          </w:tcPr>
          <w:p>
            <w:pPr>
              <w:pStyle w:val="TableParagraph"/>
              <w:tabs>
                <w:tab w:pos="3845" w:val="left" w:leader="none"/>
              </w:tabs>
              <w:spacing w:line="235" w:lineRule="exact"/>
              <w:ind w:left="817" w:right="0"/>
              <w:jc w:val="left"/>
              <w:rPr>
                <w:rFonts w:ascii="Arial" w:hAnsi="Arial" w:cs="Arial" w:eastAsia="Arial" w:hint="default"/>
                <w:sz w:val="20"/>
                <w:szCs w:val="20"/>
              </w:rPr>
            </w:pPr>
            <w:r>
              <w:rPr>
                <w:rFonts w:ascii="宋体" w:hAnsi="宋体" w:cs="宋体" w:eastAsia="宋体" w:hint="default"/>
                <w:spacing w:val="-1"/>
                <w:position w:val="1"/>
                <w:sz w:val="20"/>
                <w:szCs w:val="20"/>
              </w:rPr>
              <w:t>境内自然人持股</w:t>
              <w:tab/>
            </w:r>
            <w:r>
              <w:rPr>
                <w:rFonts w:ascii="Arial" w:hAnsi="Arial" w:cs="Arial" w:eastAsia="Arial" w:hint="default"/>
                <w:spacing w:val="-1"/>
                <w:sz w:val="20"/>
                <w:szCs w:val="20"/>
              </w:rPr>
              <w:t>1,361,384</w:t>
            </w:r>
          </w:p>
        </w:tc>
        <w:tc>
          <w:tcPr>
            <w:tcW w:w="140" w:type="dxa"/>
            <w:tcBorders>
              <w:top w:val="nil" w:sz="6" w:space="0" w:color="auto"/>
              <w:left w:val="nil" w:sz="6" w:space="0" w:color="auto"/>
              <w:bottom w:val="single" w:sz="4" w:space="0" w:color="000000"/>
              <w:right w:val="nil" w:sz="6" w:space="0" w:color="auto"/>
            </w:tcBorders>
          </w:tcPr>
          <w:p>
            <w:pPr/>
          </w:p>
        </w:tc>
        <w:tc>
          <w:tcPr>
            <w:tcW w:w="106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55"/>
              <w:jc w:val="right"/>
              <w:rPr>
                <w:rFonts w:ascii="Arial" w:hAnsi="Arial" w:cs="Arial" w:eastAsia="Arial" w:hint="default"/>
                <w:sz w:val="20"/>
                <w:szCs w:val="20"/>
              </w:rPr>
            </w:pPr>
            <w:r>
              <w:rPr>
                <w:rFonts w:ascii="Arial"/>
                <w:w w:val="100"/>
                <w:sz w:val="20"/>
              </w:rPr>
              <w:t>-</w:t>
            </w:r>
          </w:p>
        </w:tc>
        <w:tc>
          <w:tcPr>
            <w:tcW w:w="142" w:type="dxa"/>
            <w:tcBorders>
              <w:top w:val="nil" w:sz="6" w:space="0" w:color="auto"/>
              <w:left w:val="nil" w:sz="6" w:space="0" w:color="auto"/>
              <w:bottom w:val="single" w:sz="4" w:space="0" w:color="000000"/>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34"/>
              <w:jc w:val="right"/>
              <w:rPr>
                <w:rFonts w:ascii="Arial" w:hAnsi="Arial" w:cs="Arial" w:eastAsia="Arial" w:hint="default"/>
                <w:sz w:val="20"/>
                <w:szCs w:val="20"/>
              </w:rPr>
            </w:pPr>
            <w:r>
              <w:rPr>
                <w:rFonts w:ascii="Arial"/>
                <w:spacing w:val="-1"/>
                <w:sz w:val="20"/>
              </w:rPr>
              <w:t>680,692</w:t>
            </w:r>
          </w:p>
        </w:tc>
        <w:tc>
          <w:tcPr>
            <w:tcW w:w="140"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41"/>
              <w:jc w:val="right"/>
              <w:rPr>
                <w:rFonts w:ascii="Arial" w:hAnsi="Arial" w:cs="Arial" w:eastAsia="Arial" w:hint="default"/>
                <w:sz w:val="20"/>
                <w:szCs w:val="20"/>
              </w:rPr>
            </w:pPr>
            <w:r>
              <w:rPr>
                <w:rFonts w:ascii="Arial"/>
                <w:spacing w:val="-1"/>
                <w:sz w:val="20"/>
              </w:rPr>
              <w:t>(487,953)</w:t>
            </w:r>
          </w:p>
        </w:tc>
        <w:tc>
          <w:tcPr>
            <w:tcW w:w="142" w:type="dxa"/>
            <w:tcBorders>
              <w:top w:val="nil" w:sz="6" w:space="0" w:color="auto"/>
              <w:left w:val="nil" w:sz="6" w:space="0" w:color="auto"/>
              <w:bottom w:val="single" w:sz="4" w:space="0" w:color="000000"/>
              <w:right w:val="nil" w:sz="6" w:space="0" w:color="auto"/>
            </w:tcBorders>
          </w:tcPr>
          <w:p>
            <w:pPr/>
          </w:p>
        </w:tc>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33"/>
              <w:jc w:val="right"/>
              <w:rPr>
                <w:rFonts w:ascii="Arial" w:hAnsi="Arial" w:cs="Arial" w:eastAsia="Arial" w:hint="default"/>
                <w:sz w:val="20"/>
                <w:szCs w:val="20"/>
              </w:rPr>
            </w:pPr>
            <w:r>
              <w:rPr>
                <w:rFonts w:ascii="Arial"/>
                <w:w w:val="100"/>
                <w:sz w:val="20"/>
              </w:rPr>
              <w:t>-</w:t>
            </w:r>
          </w:p>
        </w:tc>
        <w:tc>
          <w:tcPr>
            <w:tcW w:w="143" w:type="dxa"/>
            <w:tcBorders>
              <w:top w:val="nil" w:sz="6" w:space="0" w:color="auto"/>
              <w:left w:val="nil" w:sz="6" w:space="0" w:color="auto"/>
              <w:bottom w:val="single" w:sz="4" w:space="0" w:color="000000"/>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20"/>
              <w:jc w:val="right"/>
              <w:rPr>
                <w:rFonts w:ascii="Arial" w:hAnsi="Arial" w:cs="Arial" w:eastAsia="Arial" w:hint="default"/>
                <w:sz w:val="20"/>
                <w:szCs w:val="20"/>
              </w:rPr>
            </w:pPr>
            <w:r>
              <w:rPr>
                <w:rFonts w:ascii="Arial"/>
                <w:spacing w:val="-1"/>
                <w:sz w:val="20"/>
              </w:rPr>
              <w:t>192,739</w:t>
            </w:r>
          </w:p>
        </w:tc>
        <w:tc>
          <w:tcPr>
            <w:tcW w:w="140" w:type="dxa"/>
            <w:tcBorders>
              <w:top w:val="nil" w:sz="6" w:space="0" w:color="auto"/>
              <w:left w:val="nil" w:sz="6" w:space="0" w:color="auto"/>
              <w:bottom w:val="single" w:sz="4" w:space="0" w:color="000000"/>
              <w:right w:val="nil" w:sz="6" w:space="0" w:color="auto"/>
            </w:tcBorders>
          </w:tcPr>
          <w:p>
            <w:pPr/>
          </w:p>
        </w:tc>
        <w:tc>
          <w:tcPr>
            <w:tcW w:w="2163" w:type="dxa"/>
            <w:tcBorders>
              <w:top w:val="nil" w:sz="6" w:space="0" w:color="auto"/>
              <w:left w:val="nil" w:sz="6" w:space="0" w:color="auto"/>
              <w:bottom w:val="single" w:sz="4" w:space="0" w:color="000000"/>
              <w:right w:val="single" w:sz="4" w:space="0" w:color="000000"/>
            </w:tcBorders>
          </w:tcPr>
          <w:p>
            <w:pPr>
              <w:pStyle w:val="TableParagraph"/>
              <w:spacing w:line="240" w:lineRule="auto" w:before="4"/>
              <w:ind w:right="94"/>
              <w:jc w:val="right"/>
              <w:rPr>
                <w:rFonts w:ascii="Arial" w:hAnsi="Arial" w:cs="Arial" w:eastAsia="Arial" w:hint="default"/>
                <w:sz w:val="20"/>
                <w:szCs w:val="20"/>
              </w:rPr>
            </w:pPr>
            <w:r>
              <w:rPr>
                <w:rFonts w:ascii="Arial"/>
                <w:spacing w:val="-1"/>
                <w:sz w:val="20"/>
              </w:rPr>
              <w:t>1,554,123</w:t>
            </w:r>
          </w:p>
        </w:tc>
      </w:tr>
      <w:tr>
        <w:trPr>
          <w:trHeight w:val="270" w:hRule="exact"/>
        </w:trPr>
        <w:tc>
          <w:tcPr>
            <w:tcW w:w="4807" w:type="dxa"/>
            <w:gridSpan w:val="2"/>
            <w:tcBorders>
              <w:top w:val="single" w:sz="4" w:space="0" w:color="000000"/>
              <w:left w:val="nil" w:sz="6" w:space="0" w:color="auto"/>
              <w:bottom w:val="single" w:sz="4" w:space="0" w:color="000000"/>
              <w:right w:val="nil" w:sz="6" w:space="0" w:color="auto"/>
            </w:tcBorders>
          </w:tcPr>
          <w:p>
            <w:pPr>
              <w:pStyle w:val="TableParagraph"/>
              <w:tabs>
                <w:tab w:pos="4127" w:val="left" w:leader="none"/>
              </w:tabs>
              <w:spacing w:line="257" w:lineRule="exact"/>
              <w:ind w:left="219" w:right="0"/>
              <w:jc w:val="left"/>
              <w:rPr>
                <w:rFonts w:ascii="Arial" w:hAnsi="Arial" w:cs="Arial" w:eastAsia="Arial" w:hint="default"/>
                <w:sz w:val="20"/>
                <w:szCs w:val="20"/>
              </w:rPr>
            </w:pPr>
            <w:r>
              <w:rPr>
                <w:rFonts w:ascii="宋体" w:hAnsi="宋体" w:cs="宋体" w:eastAsia="宋体" w:hint="default"/>
                <w:position w:val="1"/>
                <w:sz w:val="20"/>
                <w:szCs w:val="20"/>
              </w:rPr>
              <w:t>外资持股</w:t>
              <w:tab/>
            </w:r>
            <w:r>
              <w:rPr>
                <w:rFonts w:ascii="Arial" w:hAnsi="Arial" w:cs="Arial" w:eastAsia="Arial" w:hint="default"/>
                <w:sz w:val="20"/>
                <w:szCs w:val="20"/>
              </w:rPr>
              <w:t>18,187</w:t>
            </w:r>
          </w:p>
        </w:tc>
        <w:tc>
          <w:tcPr>
            <w:tcW w:w="140" w:type="dxa"/>
            <w:tcBorders>
              <w:top w:val="single" w:sz="4" w:space="0" w:color="000000"/>
              <w:left w:val="nil" w:sz="6" w:space="0" w:color="auto"/>
              <w:bottom w:val="single" w:sz="4" w:space="0" w:color="000000"/>
              <w:right w:val="nil" w:sz="6" w:space="0" w:color="auto"/>
            </w:tcBorders>
          </w:tcPr>
          <w:p>
            <w:pPr/>
          </w:p>
        </w:tc>
        <w:tc>
          <w:tcPr>
            <w:tcW w:w="106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55"/>
              <w:jc w:val="right"/>
              <w:rPr>
                <w:rFonts w:ascii="Arial" w:hAnsi="Arial" w:cs="Arial" w:eastAsia="Arial" w:hint="default"/>
                <w:sz w:val="20"/>
                <w:szCs w:val="20"/>
              </w:rPr>
            </w:pPr>
            <w:r>
              <w:rPr>
                <w:rFonts w:ascii="Arial"/>
                <w:w w:val="100"/>
                <w:sz w:val="20"/>
              </w:rPr>
              <w:t>-</w:t>
            </w:r>
          </w:p>
        </w:tc>
        <w:tc>
          <w:tcPr>
            <w:tcW w:w="142"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33"/>
              <w:jc w:val="right"/>
              <w:rPr>
                <w:rFonts w:ascii="Arial" w:hAnsi="Arial" w:cs="Arial" w:eastAsia="Arial" w:hint="default"/>
                <w:sz w:val="20"/>
                <w:szCs w:val="20"/>
              </w:rPr>
            </w:pPr>
            <w:r>
              <w:rPr>
                <w:rFonts w:ascii="Arial"/>
                <w:sz w:val="20"/>
              </w:rPr>
              <w:t>9,094</w:t>
            </w:r>
          </w:p>
        </w:tc>
        <w:tc>
          <w:tcPr>
            <w:tcW w:w="140" w:type="dxa"/>
            <w:tcBorders>
              <w:top w:val="single" w:sz="4" w:space="0" w:color="000000"/>
              <w:left w:val="nil" w:sz="6" w:space="0" w:color="auto"/>
              <w:bottom w:val="single" w:sz="4" w:space="0" w:color="000000"/>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41"/>
              <w:jc w:val="right"/>
              <w:rPr>
                <w:rFonts w:ascii="Arial" w:hAnsi="Arial" w:cs="Arial" w:eastAsia="Arial" w:hint="default"/>
                <w:sz w:val="20"/>
                <w:szCs w:val="20"/>
              </w:rPr>
            </w:pPr>
            <w:r>
              <w:rPr>
                <w:rFonts w:ascii="Arial"/>
                <w:spacing w:val="-1"/>
                <w:sz w:val="20"/>
              </w:rPr>
              <w:t>(27,281)</w:t>
            </w:r>
          </w:p>
        </w:tc>
        <w:tc>
          <w:tcPr>
            <w:tcW w:w="142" w:type="dxa"/>
            <w:tcBorders>
              <w:top w:val="single" w:sz="4" w:space="0" w:color="000000"/>
              <w:left w:val="nil" w:sz="6" w:space="0" w:color="auto"/>
              <w:bottom w:val="single" w:sz="4" w:space="0" w:color="000000"/>
              <w:right w:val="nil" w:sz="6" w:space="0" w:color="auto"/>
            </w:tcBorders>
          </w:tcPr>
          <w:p>
            <w:pPr/>
          </w:p>
        </w:tc>
        <w:tc>
          <w:tcPr>
            <w:tcW w:w="121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33"/>
              <w:jc w:val="right"/>
              <w:rPr>
                <w:rFonts w:ascii="Arial" w:hAnsi="Arial" w:cs="Arial" w:eastAsia="Arial" w:hint="default"/>
                <w:sz w:val="20"/>
                <w:szCs w:val="20"/>
              </w:rPr>
            </w:pPr>
            <w:r>
              <w:rPr>
                <w:rFonts w:ascii="Arial"/>
                <w:w w:val="100"/>
                <w:sz w:val="20"/>
              </w:rPr>
              <w:t>-</w:t>
            </w:r>
          </w:p>
        </w:tc>
        <w:tc>
          <w:tcPr>
            <w:tcW w:w="143"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53"/>
              <w:jc w:val="right"/>
              <w:rPr>
                <w:rFonts w:ascii="Arial" w:hAnsi="Arial" w:cs="Arial" w:eastAsia="Arial" w:hint="default"/>
                <w:sz w:val="20"/>
                <w:szCs w:val="20"/>
              </w:rPr>
            </w:pPr>
            <w:r>
              <w:rPr>
                <w:rFonts w:ascii="Arial"/>
                <w:spacing w:val="-1"/>
                <w:sz w:val="20"/>
              </w:rPr>
              <w:t>(18,187)</w:t>
            </w:r>
          </w:p>
        </w:tc>
        <w:tc>
          <w:tcPr>
            <w:tcW w:w="140" w:type="dxa"/>
            <w:tcBorders>
              <w:top w:val="single" w:sz="4" w:space="0" w:color="000000"/>
              <w:left w:val="nil" w:sz="6" w:space="0" w:color="auto"/>
              <w:bottom w:val="single" w:sz="4" w:space="0" w:color="000000"/>
              <w:right w:val="nil" w:sz="6" w:space="0" w:color="auto"/>
            </w:tcBorders>
          </w:tcPr>
          <w:p>
            <w:pPr/>
          </w:p>
        </w:tc>
        <w:tc>
          <w:tcPr>
            <w:tcW w:w="2163"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99"/>
              <w:jc w:val="right"/>
              <w:rPr>
                <w:rFonts w:ascii="Arial" w:hAnsi="Arial" w:cs="Arial" w:eastAsia="Arial" w:hint="default"/>
                <w:sz w:val="20"/>
                <w:szCs w:val="20"/>
              </w:rPr>
            </w:pPr>
            <w:r>
              <w:rPr>
                <w:rFonts w:ascii="Arial"/>
                <w:w w:val="100"/>
                <w:sz w:val="20"/>
              </w:rPr>
              <w:t>-</w:t>
            </w:r>
          </w:p>
        </w:tc>
      </w:tr>
      <w:tr>
        <w:trPr>
          <w:trHeight w:val="270" w:hRule="exact"/>
        </w:trPr>
        <w:tc>
          <w:tcPr>
            <w:tcW w:w="4807" w:type="dxa"/>
            <w:gridSpan w:val="2"/>
            <w:tcBorders>
              <w:top w:val="single" w:sz="4" w:space="0" w:color="000000"/>
              <w:left w:val="single" w:sz="4" w:space="0" w:color="000000"/>
              <w:bottom w:val="single" w:sz="4" w:space="0" w:color="000000"/>
              <w:right w:val="nil" w:sz="6" w:space="0" w:color="auto"/>
            </w:tcBorders>
          </w:tcPr>
          <w:p>
            <w:pPr>
              <w:pStyle w:val="TableParagraph"/>
              <w:tabs>
                <w:tab w:pos="4123" w:val="left" w:leader="none"/>
              </w:tabs>
              <w:spacing w:line="257" w:lineRule="exact"/>
              <w:ind w:left="214" w:right="0"/>
              <w:jc w:val="left"/>
              <w:rPr>
                <w:rFonts w:ascii="Arial" w:hAnsi="Arial" w:cs="Arial" w:eastAsia="Arial" w:hint="default"/>
                <w:sz w:val="20"/>
                <w:szCs w:val="20"/>
              </w:rPr>
            </w:pPr>
            <w:r>
              <w:rPr>
                <w:rFonts w:ascii="宋体" w:hAnsi="宋体" w:cs="宋体" w:eastAsia="宋体" w:hint="default"/>
                <w:spacing w:val="-1"/>
                <w:position w:val="1"/>
                <w:sz w:val="20"/>
                <w:szCs w:val="20"/>
              </w:rPr>
              <w:t>其中：境外法人持股</w:t>
              <w:tab/>
            </w:r>
            <w:r>
              <w:rPr>
                <w:rFonts w:ascii="Arial" w:hAnsi="Arial" w:cs="Arial" w:eastAsia="Arial" w:hint="default"/>
                <w:sz w:val="20"/>
                <w:szCs w:val="20"/>
              </w:rPr>
              <w:t>18,187</w:t>
            </w:r>
          </w:p>
        </w:tc>
        <w:tc>
          <w:tcPr>
            <w:tcW w:w="140" w:type="dxa"/>
            <w:tcBorders>
              <w:top w:val="single" w:sz="4" w:space="0" w:color="000000"/>
              <w:left w:val="nil" w:sz="6" w:space="0" w:color="auto"/>
              <w:bottom w:val="single" w:sz="4" w:space="0" w:color="000000"/>
              <w:right w:val="nil" w:sz="6" w:space="0" w:color="auto"/>
            </w:tcBorders>
          </w:tcPr>
          <w:p>
            <w:pPr/>
          </w:p>
        </w:tc>
        <w:tc>
          <w:tcPr>
            <w:tcW w:w="106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55"/>
              <w:jc w:val="right"/>
              <w:rPr>
                <w:rFonts w:ascii="Arial" w:hAnsi="Arial" w:cs="Arial" w:eastAsia="Arial" w:hint="default"/>
                <w:sz w:val="20"/>
                <w:szCs w:val="20"/>
              </w:rPr>
            </w:pPr>
            <w:r>
              <w:rPr>
                <w:rFonts w:ascii="Arial"/>
                <w:w w:val="100"/>
                <w:sz w:val="20"/>
              </w:rPr>
              <w:t>-</w:t>
            </w:r>
          </w:p>
        </w:tc>
        <w:tc>
          <w:tcPr>
            <w:tcW w:w="142"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33"/>
              <w:jc w:val="right"/>
              <w:rPr>
                <w:rFonts w:ascii="Arial" w:hAnsi="Arial" w:cs="Arial" w:eastAsia="Arial" w:hint="default"/>
                <w:sz w:val="20"/>
                <w:szCs w:val="20"/>
              </w:rPr>
            </w:pPr>
            <w:r>
              <w:rPr>
                <w:rFonts w:ascii="Arial"/>
                <w:sz w:val="20"/>
              </w:rPr>
              <w:t>9,094</w:t>
            </w:r>
          </w:p>
        </w:tc>
        <w:tc>
          <w:tcPr>
            <w:tcW w:w="140" w:type="dxa"/>
            <w:tcBorders>
              <w:top w:val="single" w:sz="4" w:space="0" w:color="000000"/>
              <w:left w:val="nil" w:sz="6" w:space="0" w:color="auto"/>
              <w:bottom w:val="single" w:sz="4" w:space="0" w:color="000000"/>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41"/>
              <w:jc w:val="right"/>
              <w:rPr>
                <w:rFonts w:ascii="Arial" w:hAnsi="Arial" w:cs="Arial" w:eastAsia="Arial" w:hint="default"/>
                <w:sz w:val="20"/>
                <w:szCs w:val="20"/>
              </w:rPr>
            </w:pPr>
            <w:r>
              <w:rPr>
                <w:rFonts w:ascii="Arial"/>
                <w:spacing w:val="-1"/>
                <w:sz w:val="20"/>
              </w:rPr>
              <w:t>(27,281)</w:t>
            </w:r>
          </w:p>
        </w:tc>
        <w:tc>
          <w:tcPr>
            <w:tcW w:w="142" w:type="dxa"/>
            <w:tcBorders>
              <w:top w:val="single" w:sz="4" w:space="0" w:color="000000"/>
              <w:left w:val="nil" w:sz="6" w:space="0" w:color="auto"/>
              <w:bottom w:val="single" w:sz="4" w:space="0" w:color="000000"/>
              <w:right w:val="nil" w:sz="6" w:space="0" w:color="auto"/>
            </w:tcBorders>
          </w:tcPr>
          <w:p>
            <w:pPr/>
          </w:p>
        </w:tc>
        <w:tc>
          <w:tcPr>
            <w:tcW w:w="121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33"/>
              <w:jc w:val="right"/>
              <w:rPr>
                <w:rFonts w:ascii="Arial" w:hAnsi="Arial" w:cs="Arial" w:eastAsia="Arial" w:hint="default"/>
                <w:sz w:val="20"/>
                <w:szCs w:val="20"/>
              </w:rPr>
            </w:pPr>
            <w:r>
              <w:rPr>
                <w:rFonts w:ascii="Arial"/>
                <w:w w:val="100"/>
                <w:sz w:val="20"/>
              </w:rPr>
              <w:t>-</w:t>
            </w:r>
          </w:p>
        </w:tc>
        <w:tc>
          <w:tcPr>
            <w:tcW w:w="143"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53"/>
              <w:jc w:val="right"/>
              <w:rPr>
                <w:rFonts w:ascii="Arial" w:hAnsi="Arial" w:cs="Arial" w:eastAsia="Arial" w:hint="default"/>
                <w:sz w:val="20"/>
                <w:szCs w:val="20"/>
              </w:rPr>
            </w:pPr>
            <w:r>
              <w:rPr>
                <w:rFonts w:ascii="Arial"/>
                <w:spacing w:val="-1"/>
                <w:sz w:val="20"/>
              </w:rPr>
              <w:t>(18,187)</w:t>
            </w:r>
          </w:p>
        </w:tc>
        <w:tc>
          <w:tcPr>
            <w:tcW w:w="140" w:type="dxa"/>
            <w:tcBorders>
              <w:top w:val="single" w:sz="4" w:space="0" w:color="000000"/>
              <w:left w:val="nil" w:sz="6" w:space="0" w:color="auto"/>
              <w:bottom w:val="single" w:sz="4" w:space="0" w:color="000000"/>
              <w:right w:val="nil" w:sz="6" w:space="0" w:color="auto"/>
            </w:tcBorders>
          </w:tcPr>
          <w:p>
            <w:pPr/>
          </w:p>
        </w:tc>
        <w:tc>
          <w:tcPr>
            <w:tcW w:w="2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right="94"/>
              <w:jc w:val="right"/>
              <w:rPr>
                <w:rFonts w:ascii="Arial" w:hAnsi="Arial" w:cs="Arial" w:eastAsia="Arial" w:hint="default"/>
                <w:sz w:val="20"/>
                <w:szCs w:val="20"/>
              </w:rPr>
            </w:pPr>
            <w:r>
              <w:rPr>
                <w:rFonts w:ascii="Arial"/>
                <w:w w:val="100"/>
                <w:sz w:val="20"/>
              </w:rPr>
              <w:t>-</w:t>
            </w:r>
          </w:p>
        </w:tc>
      </w:tr>
      <w:tr>
        <w:trPr>
          <w:trHeight w:val="240" w:hRule="exact"/>
        </w:trPr>
        <w:tc>
          <w:tcPr>
            <w:tcW w:w="4807" w:type="dxa"/>
            <w:gridSpan w:val="2"/>
            <w:tcBorders>
              <w:top w:val="single" w:sz="4" w:space="0" w:color="000000"/>
              <w:left w:val="nil" w:sz="6" w:space="0" w:color="auto"/>
              <w:bottom w:val="nil" w:sz="6" w:space="0" w:color="auto"/>
              <w:right w:val="nil" w:sz="6" w:space="0" w:color="auto"/>
            </w:tcBorders>
          </w:tcPr>
          <w:p>
            <w:pPr/>
          </w:p>
        </w:tc>
        <w:tc>
          <w:tcPr>
            <w:tcW w:w="140" w:type="dxa"/>
            <w:tcBorders>
              <w:top w:val="single" w:sz="4" w:space="0" w:color="000000"/>
              <w:left w:val="nil" w:sz="6" w:space="0" w:color="auto"/>
              <w:bottom w:val="nil" w:sz="6" w:space="0" w:color="auto"/>
              <w:right w:val="nil" w:sz="6" w:space="0" w:color="auto"/>
            </w:tcBorders>
          </w:tcPr>
          <w:p>
            <w:pPr/>
          </w:p>
        </w:tc>
        <w:tc>
          <w:tcPr>
            <w:tcW w:w="1060" w:type="dxa"/>
            <w:tcBorders>
              <w:top w:val="single" w:sz="4" w:space="0" w:color="000000"/>
              <w:left w:val="nil" w:sz="6" w:space="0" w:color="auto"/>
              <w:bottom w:val="single" w:sz="4" w:space="0" w:color="000000"/>
              <w:right w:val="nil" w:sz="6" w:space="0" w:color="auto"/>
            </w:tcBorders>
          </w:tcPr>
          <w:p>
            <w:pPr/>
          </w:p>
        </w:tc>
        <w:tc>
          <w:tcPr>
            <w:tcW w:w="142" w:type="dxa"/>
            <w:tcBorders>
              <w:top w:val="single" w:sz="4" w:space="0" w:color="000000"/>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140"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
        </w:tc>
        <w:tc>
          <w:tcPr>
            <w:tcW w:w="142" w:type="dxa"/>
            <w:tcBorders>
              <w:top w:val="single" w:sz="4" w:space="0" w:color="000000"/>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single" w:sz="4" w:space="0" w:color="000000"/>
              <w:right w:val="nil" w:sz="6" w:space="0" w:color="auto"/>
            </w:tcBorders>
          </w:tcPr>
          <w:p>
            <w:pPr/>
          </w:p>
        </w:tc>
        <w:tc>
          <w:tcPr>
            <w:tcW w:w="143" w:type="dxa"/>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
        </w:tc>
        <w:tc>
          <w:tcPr>
            <w:tcW w:w="140" w:type="dxa"/>
            <w:tcBorders>
              <w:top w:val="single" w:sz="4" w:space="0" w:color="000000"/>
              <w:left w:val="nil" w:sz="6" w:space="0" w:color="auto"/>
              <w:bottom w:val="nil" w:sz="6" w:space="0" w:color="auto"/>
              <w:right w:val="nil" w:sz="6" w:space="0" w:color="auto"/>
            </w:tcBorders>
          </w:tcPr>
          <w:p>
            <w:pPr/>
          </w:p>
        </w:tc>
        <w:tc>
          <w:tcPr>
            <w:tcW w:w="2163" w:type="dxa"/>
            <w:tcBorders>
              <w:top w:val="single" w:sz="4" w:space="0" w:color="000000"/>
              <w:left w:val="nil" w:sz="6" w:space="0" w:color="auto"/>
              <w:bottom w:val="single" w:sz="4" w:space="0" w:color="000000"/>
              <w:right w:val="nil" w:sz="6" w:space="0" w:color="auto"/>
            </w:tcBorders>
          </w:tcPr>
          <w:p>
            <w:pPr/>
          </w:p>
        </w:tc>
      </w:tr>
      <w:tr>
        <w:trPr>
          <w:trHeight w:val="240" w:hRule="exact"/>
        </w:trPr>
        <w:tc>
          <w:tcPr>
            <w:tcW w:w="48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63"/>
              <w:jc w:val="right"/>
              <w:rPr>
                <w:rFonts w:ascii="Arial" w:hAnsi="Arial" w:cs="Arial" w:eastAsia="Arial" w:hint="default"/>
                <w:sz w:val="20"/>
                <w:szCs w:val="20"/>
              </w:rPr>
            </w:pPr>
            <w:r>
              <w:rPr>
                <w:rFonts w:ascii="Arial"/>
                <w:spacing w:val="-1"/>
                <w:sz w:val="20"/>
              </w:rPr>
              <w:t>1,521,571</w:t>
            </w:r>
          </w:p>
        </w:tc>
        <w:tc>
          <w:tcPr>
            <w:tcW w:w="140" w:type="dxa"/>
            <w:tcBorders>
              <w:top w:val="nil" w:sz="6" w:space="0" w:color="auto"/>
              <w:left w:val="nil" w:sz="6" w:space="0" w:color="auto"/>
              <w:bottom w:val="nil" w:sz="6" w:space="0" w:color="auto"/>
              <w:right w:val="nil" w:sz="6" w:space="0" w:color="auto"/>
            </w:tcBorders>
          </w:tcPr>
          <w:p>
            <w:pPr/>
          </w:p>
        </w:tc>
        <w:tc>
          <w:tcPr>
            <w:tcW w:w="1060"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55"/>
              <w:jc w:val="right"/>
              <w:rPr>
                <w:rFonts w:ascii="Arial" w:hAnsi="Arial" w:cs="Arial" w:eastAsia="Arial" w:hint="default"/>
                <w:sz w:val="20"/>
                <w:szCs w:val="20"/>
              </w:rPr>
            </w:pPr>
            <w:r>
              <w:rPr>
                <w:rFonts w:ascii="Arial"/>
                <w:w w:val="100"/>
                <w:sz w:val="20"/>
              </w:rPr>
              <w:t>-</w:t>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34"/>
              <w:jc w:val="right"/>
              <w:rPr>
                <w:rFonts w:ascii="Arial" w:hAnsi="Arial" w:cs="Arial" w:eastAsia="Arial" w:hint="default"/>
                <w:sz w:val="20"/>
                <w:szCs w:val="20"/>
              </w:rPr>
            </w:pPr>
            <w:r>
              <w:rPr>
                <w:rFonts w:ascii="Arial"/>
                <w:spacing w:val="-1"/>
                <w:sz w:val="20"/>
              </w:rPr>
              <w:t>760,786</w:t>
            </w:r>
          </w:p>
        </w:tc>
        <w:tc>
          <w:tcPr>
            <w:tcW w:w="140"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41"/>
              <w:jc w:val="right"/>
              <w:rPr>
                <w:rFonts w:ascii="Arial" w:hAnsi="Arial" w:cs="Arial" w:eastAsia="Arial" w:hint="default"/>
                <w:sz w:val="20"/>
                <w:szCs w:val="20"/>
              </w:rPr>
            </w:pPr>
            <w:r>
              <w:rPr>
                <w:rFonts w:ascii="Arial"/>
                <w:spacing w:val="-1"/>
                <w:sz w:val="20"/>
              </w:rPr>
              <w:t>(728,234)</w:t>
            </w:r>
          </w:p>
        </w:tc>
        <w:tc>
          <w:tcPr>
            <w:tcW w:w="142" w:type="dxa"/>
            <w:tcBorders>
              <w:top w:val="nil" w:sz="6" w:space="0" w:color="auto"/>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33"/>
              <w:jc w:val="right"/>
              <w:rPr>
                <w:rFonts w:ascii="Arial" w:hAnsi="Arial" w:cs="Arial" w:eastAsia="Arial" w:hint="default"/>
                <w:sz w:val="20"/>
                <w:szCs w:val="20"/>
              </w:rPr>
            </w:pPr>
            <w:r>
              <w:rPr>
                <w:rFonts w:ascii="Arial"/>
                <w:w w:val="100"/>
                <w:sz w:val="20"/>
              </w:rPr>
              <w:t>-</w:t>
            </w:r>
          </w:p>
        </w:tc>
        <w:tc>
          <w:tcPr>
            <w:tcW w:w="143"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120"/>
              <w:jc w:val="right"/>
              <w:rPr>
                <w:rFonts w:ascii="Arial" w:hAnsi="Arial" w:cs="Arial" w:eastAsia="Arial" w:hint="default"/>
                <w:sz w:val="20"/>
                <w:szCs w:val="20"/>
              </w:rPr>
            </w:pPr>
            <w:r>
              <w:rPr>
                <w:rFonts w:ascii="Arial"/>
                <w:sz w:val="20"/>
              </w:rPr>
              <w:t>32,552</w:t>
            </w:r>
          </w:p>
        </w:tc>
        <w:tc>
          <w:tcPr>
            <w:tcW w:w="140" w:type="dxa"/>
            <w:tcBorders>
              <w:top w:val="nil" w:sz="6" w:space="0" w:color="auto"/>
              <w:left w:val="nil" w:sz="6" w:space="0" w:color="auto"/>
              <w:bottom w:val="nil" w:sz="6" w:space="0" w:color="auto"/>
              <w:right w:val="nil" w:sz="6" w:space="0" w:color="auto"/>
            </w:tcBorders>
          </w:tcPr>
          <w:p>
            <w:pPr/>
          </w:p>
        </w:tc>
        <w:tc>
          <w:tcPr>
            <w:tcW w:w="2163"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99"/>
              <w:jc w:val="right"/>
              <w:rPr>
                <w:rFonts w:ascii="Arial" w:hAnsi="Arial" w:cs="Arial" w:eastAsia="Arial" w:hint="default"/>
                <w:sz w:val="20"/>
                <w:szCs w:val="20"/>
              </w:rPr>
            </w:pPr>
            <w:r>
              <w:rPr>
                <w:rFonts w:ascii="Arial"/>
                <w:spacing w:val="-1"/>
                <w:sz w:val="20"/>
              </w:rPr>
              <w:t>1,554,123</w:t>
            </w:r>
          </w:p>
        </w:tc>
      </w:tr>
      <w:tr>
        <w:trPr>
          <w:trHeight w:val="500"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61"/>
              <w:jc w:val="center"/>
              <w:rPr>
                <w:rFonts w:ascii="Arial" w:hAnsi="Arial" w:cs="Arial" w:eastAsia="Arial" w:hint="default"/>
                <w:sz w:val="20"/>
                <w:szCs w:val="20"/>
              </w:rPr>
            </w:pPr>
            <w:r>
              <w:rPr>
                <w:rFonts w:ascii="宋体" w:hAnsi="宋体" w:cs="宋体" w:eastAsia="宋体" w:hint="default"/>
                <w:sz w:val="20"/>
                <w:szCs w:val="20"/>
              </w:rPr>
              <w:t>无限售条件股份</w:t>
            </w:r>
            <w:r>
              <w:rPr>
                <w:rFonts w:ascii="宋体" w:hAnsi="宋体" w:cs="宋体" w:eastAsia="宋体" w:hint="default"/>
                <w:spacing w:val="-3"/>
                <w:sz w:val="20"/>
                <w:szCs w:val="20"/>
              </w:rPr>
              <w:t> </w:t>
            </w:r>
            <w:r>
              <w:rPr>
                <w:rFonts w:ascii="Arial" w:hAnsi="Arial" w:cs="Arial" w:eastAsia="Arial" w:hint="default"/>
                <w:sz w:val="20"/>
                <w:szCs w:val="20"/>
              </w:rPr>
              <w:t>-</w:t>
            </w:r>
          </w:p>
        </w:tc>
        <w:tc>
          <w:tcPr>
            <w:tcW w:w="2591" w:type="dxa"/>
            <w:tcBorders>
              <w:top w:val="nil" w:sz="6" w:space="0" w:color="auto"/>
              <w:left w:val="nil" w:sz="6" w:space="0" w:color="auto"/>
              <w:bottom w:val="nil" w:sz="6" w:space="0" w:color="auto"/>
              <w:right w:val="nil" w:sz="6" w:space="0" w:color="auto"/>
            </w:tcBorders>
          </w:tcPr>
          <w:p>
            <w:pPr/>
          </w:p>
        </w:tc>
        <w:tc>
          <w:tcPr>
            <w:tcW w:w="1200" w:type="dxa"/>
            <w:gridSpan w:val="2"/>
            <w:tcBorders>
              <w:top w:val="nil" w:sz="6" w:space="0" w:color="auto"/>
              <w:left w:val="nil" w:sz="6" w:space="0" w:color="auto"/>
              <w:bottom w:val="nil" w:sz="6" w:space="0" w:color="auto"/>
              <w:right w:val="nil" w:sz="6" w:space="0" w:color="auto"/>
            </w:tcBorders>
          </w:tcPr>
          <w:p>
            <w:pPr/>
          </w:p>
        </w:tc>
        <w:tc>
          <w:tcPr>
            <w:tcW w:w="1134" w:type="dxa"/>
            <w:gridSpan w:val="2"/>
            <w:tcBorders>
              <w:top w:val="nil" w:sz="6" w:space="0" w:color="auto"/>
              <w:left w:val="nil" w:sz="6" w:space="0" w:color="auto"/>
              <w:bottom w:val="nil" w:sz="6" w:space="0" w:color="auto"/>
              <w:right w:val="nil" w:sz="6" w:space="0" w:color="auto"/>
            </w:tcBorders>
          </w:tcPr>
          <w:p>
            <w:pPr/>
          </w:p>
        </w:tc>
        <w:tc>
          <w:tcPr>
            <w:tcW w:w="1700" w:type="dxa"/>
            <w:gridSpan w:val="2"/>
            <w:tcBorders>
              <w:top w:val="nil" w:sz="6" w:space="0" w:color="auto"/>
              <w:left w:val="nil" w:sz="6" w:space="0" w:color="auto"/>
              <w:bottom w:val="nil" w:sz="6" w:space="0" w:color="auto"/>
              <w:right w:val="nil" w:sz="6" w:space="0" w:color="auto"/>
            </w:tcBorders>
          </w:tcPr>
          <w:p>
            <w:pPr/>
          </w:p>
        </w:tc>
        <w:tc>
          <w:tcPr>
            <w:tcW w:w="1351" w:type="dxa"/>
            <w:gridSpan w:val="2"/>
            <w:tcBorders>
              <w:top w:val="nil" w:sz="6" w:space="0" w:color="auto"/>
              <w:left w:val="nil" w:sz="6" w:space="0" w:color="auto"/>
              <w:bottom w:val="nil" w:sz="6" w:space="0" w:color="auto"/>
              <w:right w:val="nil" w:sz="6" w:space="0" w:color="auto"/>
            </w:tcBorders>
          </w:tcPr>
          <w:p>
            <w:pPr/>
          </w:p>
        </w:tc>
        <w:tc>
          <w:tcPr>
            <w:tcW w:w="1277" w:type="dxa"/>
            <w:gridSpan w:val="2"/>
            <w:tcBorders>
              <w:top w:val="nil" w:sz="6" w:space="0" w:color="auto"/>
              <w:left w:val="nil" w:sz="6" w:space="0" w:color="auto"/>
              <w:bottom w:val="nil" w:sz="6" w:space="0" w:color="auto"/>
              <w:right w:val="nil" w:sz="6" w:space="0" w:color="auto"/>
            </w:tcBorders>
          </w:tcPr>
          <w:p>
            <w:pPr/>
          </w:p>
        </w:tc>
        <w:tc>
          <w:tcPr>
            <w:tcW w:w="2303" w:type="dxa"/>
            <w:gridSpan w:val="2"/>
            <w:tcBorders>
              <w:top w:val="nil" w:sz="6" w:space="0" w:color="auto"/>
              <w:left w:val="nil" w:sz="6" w:space="0" w:color="auto"/>
              <w:bottom w:val="nil" w:sz="6" w:space="0" w:color="auto"/>
              <w:right w:val="nil" w:sz="6" w:space="0" w:color="auto"/>
            </w:tcBorders>
          </w:tcPr>
          <w:p>
            <w:pPr/>
          </w:p>
        </w:tc>
      </w:tr>
      <w:tr>
        <w:trPr>
          <w:trHeight w:val="268"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25" w:lineRule="exact"/>
              <w:ind w:right="504"/>
              <w:jc w:val="center"/>
              <w:rPr>
                <w:rFonts w:ascii="宋体" w:hAnsi="宋体" w:cs="宋体" w:eastAsia="宋体" w:hint="default"/>
                <w:sz w:val="20"/>
                <w:szCs w:val="20"/>
              </w:rPr>
            </w:pPr>
            <w:r>
              <w:rPr>
                <w:rFonts w:ascii="宋体" w:hAnsi="宋体" w:cs="宋体" w:eastAsia="宋体" w:hint="default"/>
                <w:sz w:val="20"/>
                <w:szCs w:val="20"/>
              </w:rPr>
              <w:t>人民币普通股</w:t>
            </w:r>
          </w:p>
        </w:tc>
        <w:tc>
          <w:tcPr>
            <w:tcW w:w="2591" w:type="dxa"/>
            <w:tcBorders>
              <w:top w:val="nil" w:sz="6" w:space="0" w:color="auto"/>
              <w:left w:val="nil" w:sz="6" w:space="0" w:color="auto"/>
              <w:bottom w:val="nil" w:sz="6" w:space="0" w:color="auto"/>
              <w:right w:val="nil" w:sz="6" w:space="0" w:color="auto"/>
            </w:tcBorders>
          </w:tcPr>
          <w:p>
            <w:pPr>
              <w:pStyle w:val="TableParagraph"/>
              <w:tabs>
                <w:tab w:pos="1028" w:val="left" w:leader="none"/>
                <w:tab w:pos="1984" w:val="left" w:leader="none"/>
              </w:tabs>
              <w:spacing w:line="240" w:lineRule="auto" w:before="23"/>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3,142,570</w:t>
              <w:tab/>
            </w:r>
            <w:r>
              <w:rPr>
                <w:rFonts w:ascii="Arial"/>
                <w:spacing w:val="-1"/>
                <w:sz w:val="20"/>
              </w:rPr>
            </w:r>
          </w:p>
        </w:tc>
        <w:tc>
          <w:tcPr>
            <w:tcW w:w="1200" w:type="dxa"/>
            <w:gridSpan w:val="2"/>
            <w:tcBorders>
              <w:top w:val="nil" w:sz="6" w:space="0" w:color="auto"/>
              <w:left w:val="nil" w:sz="6" w:space="0" w:color="auto"/>
              <w:bottom w:val="nil" w:sz="6" w:space="0" w:color="auto"/>
              <w:right w:val="nil" w:sz="6" w:space="0" w:color="auto"/>
            </w:tcBorders>
          </w:tcPr>
          <w:p>
            <w:pPr>
              <w:pStyle w:val="TableParagraph"/>
              <w:tabs>
                <w:tab w:pos="1075" w:val="left" w:leader="none"/>
              </w:tabs>
              <w:spacing w:line="240" w:lineRule="auto" w:before="23"/>
              <w:ind w:left="14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r>
            <w:r>
              <w:rPr>
                <w:rFonts w:ascii="Arial"/>
                <w:sz w:val="20"/>
              </w:rPr>
            </w:r>
          </w:p>
        </w:tc>
        <w:tc>
          <w:tcPr>
            <w:tcW w:w="11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141" w:right="0"/>
              <w:jc w:val="left"/>
              <w:rPr>
                <w:rFonts w:ascii="Arial" w:hAnsi="Arial" w:cs="Arial" w:eastAsia="Arial" w:hint="default"/>
                <w:sz w:val="20"/>
                <w:szCs w:val="20"/>
              </w:rPr>
            </w:pPr>
            <w:r>
              <w:rPr>
                <w:rFonts w:ascii="Arial"/>
                <w:w w:val="100"/>
                <w:sz w:val="20"/>
              </w:rPr>
            </w:r>
            <w:r>
              <w:rPr>
                <w:rFonts w:ascii="Arial"/>
                <w:spacing w:val="10"/>
                <w:w w:val="100"/>
                <w:sz w:val="20"/>
                <w:u w:val="single" w:color="000000"/>
              </w:rPr>
              <w:t> </w:t>
            </w:r>
            <w:r>
              <w:rPr>
                <w:rFonts w:ascii="Arial"/>
                <w:sz w:val="20"/>
                <w:u w:val="single" w:color="000000"/>
              </w:rPr>
              <w:t>1,571,285</w:t>
            </w:r>
            <w:r>
              <w:rPr>
                <w:rFonts w:ascii="Arial"/>
                <w:sz w:val="20"/>
              </w:rPr>
            </w:r>
          </w:p>
        </w:tc>
        <w:tc>
          <w:tcPr>
            <w:tcW w:w="1700" w:type="dxa"/>
            <w:gridSpan w:val="2"/>
            <w:tcBorders>
              <w:top w:val="nil" w:sz="6" w:space="0" w:color="auto"/>
              <w:left w:val="nil" w:sz="6" w:space="0" w:color="auto"/>
              <w:bottom w:val="nil" w:sz="6" w:space="0" w:color="auto"/>
              <w:right w:val="nil" w:sz="6" w:space="0" w:color="auto"/>
            </w:tcBorders>
          </w:tcPr>
          <w:p>
            <w:pPr>
              <w:pStyle w:val="TableParagraph"/>
              <w:tabs>
                <w:tab w:pos="866" w:val="left" w:leader="none"/>
                <w:tab w:pos="1700" w:val="left" w:leader="none"/>
              </w:tabs>
              <w:spacing w:line="240" w:lineRule="auto" w:before="23"/>
              <w:ind w:left="14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728,234</w:t>
              <w:tab/>
            </w:r>
            <w:r>
              <w:rPr>
                <w:rFonts w:ascii="Arial"/>
                <w:sz w:val="20"/>
              </w:rPr>
            </w:r>
          </w:p>
        </w:tc>
        <w:tc>
          <w:tcPr>
            <w:tcW w:w="1351" w:type="dxa"/>
            <w:gridSpan w:val="2"/>
            <w:tcBorders>
              <w:top w:val="nil" w:sz="6" w:space="0" w:color="auto"/>
              <w:left w:val="nil" w:sz="6" w:space="0" w:color="auto"/>
              <w:bottom w:val="nil" w:sz="6" w:space="0" w:color="auto"/>
              <w:right w:val="nil" w:sz="6" w:space="0" w:color="auto"/>
            </w:tcBorders>
          </w:tcPr>
          <w:p>
            <w:pPr>
              <w:pStyle w:val="TableParagraph"/>
              <w:tabs>
                <w:tab w:pos="1249" w:val="left" w:leader="none"/>
              </w:tabs>
              <w:spacing w:line="240" w:lineRule="auto" w:before="23"/>
              <w:ind w:left="141"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277" w:type="dxa"/>
            <w:gridSpan w:val="2"/>
            <w:tcBorders>
              <w:top w:val="nil" w:sz="6" w:space="0" w:color="auto"/>
              <w:left w:val="nil" w:sz="6" w:space="0" w:color="auto"/>
              <w:bottom w:val="nil" w:sz="6" w:space="0" w:color="auto"/>
              <w:right w:val="nil" w:sz="6" w:space="0" w:color="auto"/>
            </w:tcBorders>
          </w:tcPr>
          <w:p>
            <w:pPr>
              <w:pStyle w:val="TableParagraph"/>
              <w:tabs>
                <w:tab w:pos="1276" w:val="left" w:leader="none"/>
              </w:tabs>
              <w:spacing w:line="240" w:lineRule="auto" w:before="23"/>
              <w:ind w:left="14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9"/>
                <w:sz w:val="20"/>
                <w:u w:val="single" w:color="000000"/>
              </w:rPr>
              <w:t> </w:t>
            </w:r>
            <w:r>
              <w:rPr>
                <w:rFonts w:ascii="Arial"/>
                <w:sz w:val="20"/>
                <w:u w:val="single" w:color="000000"/>
              </w:rPr>
              <w:t>2,299,519</w:t>
              <w:tab/>
            </w:r>
            <w:r>
              <w:rPr>
                <w:rFonts w:ascii="Arial"/>
                <w:sz w:val="20"/>
              </w:rPr>
            </w:r>
          </w:p>
        </w:tc>
        <w:tc>
          <w:tcPr>
            <w:tcW w:w="2303" w:type="dxa"/>
            <w:gridSpan w:val="2"/>
            <w:tcBorders>
              <w:top w:val="nil" w:sz="6" w:space="0" w:color="auto"/>
              <w:left w:val="nil" w:sz="6" w:space="0" w:color="auto"/>
              <w:bottom w:val="nil" w:sz="6" w:space="0" w:color="auto"/>
              <w:right w:val="nil" w:sz="6" w:space="0" w:color="auto"/>
            </w:tcBorders>
          </w:tcPr>
          <w:p>
            <w:pPr>
              <w:pStyle w:val="TableParagraph"/>
              <w:tabs>
                <w:tab w:pos="1311" w:val="left" w:leader="none"/>
                <w:tab w:pos="2267" w:val="left" w:leader="none"/>
              </w:tabs>
              <w:spacing w:line="240" w:lineRule="auto" w:before="23"/>
              <w:ind w:left="14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5,442,089</w:t>
              <w:tab/>
            </w:r>
            <w:r>
              <w:rPr>
                <w:rFonts w:ascii="Arial"/>
                <w:sz w:val="20"/>
              </w:rPr>
            </w:r>
          </w:p>
        </w:tc>
      </w:tr>
      <w:tr>
        <w:trPr>
          <w:trHeight w:val="231" w:hRule="exact"/>
        </w:trPr>
        <w:tc>
          <w:tcPr>
            <w:tcW w:w="2216" w:type="dxa"/>
            <w:tcBorders>
              <w:top w:val="nil" w:sz="6" w:space="0" w:color="auto"/>
              <w:left w:val="nil" w:sz="6" w:space="0" w:color="auto"/>
              <w:bottom w:val="nil" w:sz="6" w:space="0" w:color="auto"/>
              <w:right w:val="nil" w:sz="6" w:space="0" w:color="auto"/>
            </w:tcBorders>
          </w:tcPr>
          <w:p>
            <w:pPr/>
          </w:p>
        </w:tc>
        <w:tc>
          <w:tcPr>
            <w:tcW w:w="2591" w:type="dxa"/>
            <w:tcBorders>
              <w:top w:val="nil" w:sz="6" w:space="0" w:color="auto"/>
              <w:left w:val="nil" w:sz="6" w:space="0" w:color="auto"/>
              <w:bottom w:val="nil" w:sz="6" w:space="0" w:color="auto"/>
              <w:right w:val="nil" w:sz="6" w:space="0" w:color="auto"/>
            </w:tcBorders>
          </w:tcPr>
          <w:p>
            <w:pPr>
              <w:pStyle w:val="TableParagraph"/>
              <w:tabs>
                <w:tab w:pos="1028" w:val="left" w:leader="none"/>
                <w:tab w:pos="1984" w:val="left" w:leader="none"/>
              </w:tabs>
              <w:spacing w:line="224" w:lineRule="exact"/>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3,142,570</w:t>
              <w:tab/>
            </w:r>
            <w:r>
              <w:rPr>
                <w:rFonts w:ascii="Arial"/>
                <w:spacing w:val="-1"/>
                <w:sz w:val="20"/>
              </w:rPr>
            </w:r>
          </w:p>
        </w:tc>
        <w:tc>
          <w:tcPr>
            <w:tcW w:w="1200" w:type="dxa"/>
            <w:gridSpan w:val="2"/>
            <w:tcBorders>
              <w:top w:val="nil" w:sz="6" w:space="0" w:color="auto"/>
              <w:left w:val="nil" w:sz="6" w:space="0" w:color="auto"/>
              <w:bottom w:val="nil" w:sz="6" w:space="0" w:color="auto"/>
              <w:right w:val="nil" w:sz="6" w:space="0" w:color="auto"/>
            </w:tcBorders>
          </w:tcPr>
          <w:p>
            <w:pPr>
              <w:pStyle w:val="TableParagraph"/>
              <w:tabs>
                <w:tab w:pos="1075" w:val="left" w:leader="none"/>
              </w:tabs>
              <w:spacing w:line="224" w:lineRule="exact"/>
              <w:ind w:left="14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r>
            <w:r>
              <w:rPr>
                <w:rFonts w:ascii="Arial"/>
                <w:sz w:val="20"/>
              </w:rPr>
            </w:r>
          </w:p>
        </w:tc>
        <w:tc>
          <w:tcPr>
            <w:tcW w:w="1134" w:type="dxa"/>
            <w:gridSpan w:val="2"/>
            <w:tcBorders>
              <w:top w:val="nil" w:sz="6" w:space="0" w:color="auto"/>
              <w:left w:val="nil" w:sz="6" w:space="0" w:color="auto"/>
              <w:bottom w:val="nil" w:sz="6" w:space="0" w:color="auto"/>
              <w:right w:val="nil" w:sz="6" w:space="0" w:color="auto"/>
            </w:tcBorders>
          </w:tcPr>
          <w:p>
            <w:pPr>
              <w:pStyle w:val="TableParagraph"/>
              <w:spacing w:line="224" w:lineRule="exact"/>
              <w:ind w:left="141" w:right="0"/>
              <w:jc w:val="left"/>
              <w:rPr>
                <w:rFonts w:ascii="Arial" w:hAnsi="Arial" w:cs="Arial" w:eastAsia="Arial" w:hint="default"/>
                <w:sz w:val="20"/>
                <w:szCs w:val="20"/>
              </w:rPr>
            </w:pPr>
            <w:r>
              <w:rPr>
                <w:rFonts w:ascii="Arial"/>
                <w:w w:val="100"/>
                <w:sz w:val="20"/>
              </w:rPr>
            </w:r>
            <w:r>
              <w:rPr>
                <w:rFonts w:ascii="Arial"/>
                <w:spacing w:val="10"/>
                <w:w w:val="100"/>
                <w:sz w:val="20"/>
                <w:u w:val="single" w:color="000000"/>
              </w:rPr>
              <w:t> </w:t>
            </w:r>
            <w:r>
              <w:rPr>
                <w:rFonts w:ascii="Arial"/>
                <w:sz w:val="20"/>
                <w:u w:val="single" w:color="000000"/>
              </w:rPr>
              <w:t>1,571,285</w:t>
            </w:r>
            <w:r>
              <w:rPr>
                <w:rFonts w:ascii="Arial"/>
                <w:sz w:val="20"/>
              </w:rPr>
            </w:r>
          </w:p>
        </w:tc>
        <w:tc>
          <w:tcPr>
            <w:tcW w:w="1700" w:type="dxa"/>
            <w:gridSpan w:val="2"/>
            <w:tcBorders>
              <w:top w:val="nil" w:sz="6" w:space="0" w:color="auto"/>
              <w:left w:val="nil" w:sz="6" w:space="0" w:color="auto"/>
              <w:bottom w:val="nil" w:sz="6" w:space="0" w:color="auto"/>
              <w:right w:val="nil" w:sz="6" w:space="0" w:color="auto"/>
            </w:tcBorders>
          </w:tcPr>
          <w:p>
            <w:pPr>
              <w:pStyle w:val="TableParagraph"/>
              <w:tabs>
                <w:tab w:pos="866" w:val="left" w:leader="none"/>
                <w:tab w:pos="1700" w:val="left" w:leader="none"/>
              </w:tabs>
              <w:spacing w:line="224" w:lineRule="exact"/>
              <w:ind w:left="14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728,234</w:t>
              <w:tab/>
            </w:r>
            <w:r>
              <w:rPr>
                <w:rFonts w:ascii="Arial"/>
                <w:sz w:val="20"/>
              </w:rPr>
            </w:r>
          </w:p>
        </w:tc>
        <w:tc>
          <w:tcPr>
            <w:tcW w:w="1351" w:type="dxa"/>
            <w:gridSpan w:val="2"/>
            <w:tcBorders>
              <w:top w:val="nil" w:sz="6" w:space="0" w:color="auto"/>
              <w:left w:val="nil" w:sz="6" w:space="0" w:color="auto"/>
              <w:bottom w:val="nil" w:sz="6" w:space="0" w:color="auto"/>
              <w:right w:val="nil" w:sz="6" w:space="0" w:color="auto"/>
            </w:tcBorders>
          </w:tcPr>
          <w:p>
            <w:pPr>
              <w:pStyle w:val="TableParagraph"/>
              <w:tabs>
                <w:tab w:pos="1248" w:val="left" w:leader="none"/>
              </w:tabs>
              <w:spacing w:line="224" w:lineRule="exact"/>
              <w:ind w:left="141"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277" w:type="dxa"/>
            <w:gridSpan w:val="2"/>
            <w:tcBorders>
              <w:top w:val="nil" w:sz="6" w:space="0" w:color="auto"/>
              <w:left w:val="nil" w:sz="6" w:space="0" w:color="auto"/>
              <w:bottom w:val="nil" w:sz="6" w:space="0" w:color="auto"/>
              <w:right w:val="nil" w:sz="6" w:space="0" w:color="auto"/>
            </w:tcBorders>
          </w:tcPr>
          <w:p>
            <w:pPr>
              <w:pStyle w:val="TableParagraph"/>
              <w:tabs>
                <w:tab w:pos="1276" w:val="left" w:leader="none"/>
              </w:tabs>
              <w:spacing w:line="224" w:lineRule="exact"/>
              <w:ind w:left="14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9"/>
                <w:sz w:val="20"/>
                <w:u w:val="single" w:color="000000"/>
              </w:rPr>
              <w:t> </w:t>
            </w:r>
            <w:r>
              <w:rPr>
                <w:rFonts w:ascii="Arial"/>
                <w:sz w:val="20"/>
                <w:u w:val="single" w:color="000000"/>
              </w:rPr>
              <w:t>2,299,519</w:t>
              <w:tab/>
            </w:r>
            <w:r>
              <w:rPr>
                <w:rFonts w:ascii="Arial"/>
                <w:sz w:val="20"/>
              </w:rPr>
            </w:r>
          </w:p>
        </w:tc>
        <w:tc>
          <w:tcPr>
            <w:tcW w:w="2303" w:type="dxa"/>
            <w:gridSpan w:val="2"/>
            <w:tcBorders>
              <w:top w:val="nil" w:sz="6" w:space="0" w:color="auto"/>
              <w:left w:val="nil" w:sz="6" w:space="0" w:color="auto"/>
              <w:bottom w:val="nil" w:sz="6" w:space="0" w:color="auto"/>
              <w:right w:val="nil" w:sz="6" w:space="0" w:color="auto"/>
            </w:tcBorders>
          </w:tcPr>
          <w:p>
            <w:pPr>
              <w:pStyle w:val="TableParagraph"/>
              <w:tabs>
                <w:tab w:pos="1311" w:val="left" w:leader="none"/>
                <w:tab w:pos="2267" w:val="left" w:leader="none"/>
              </w:tabs>
              <w:spacing w:line="224" w:lineRule="exact"/>
              <w:ind w:left="14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5,442,089</w:t>
              <w:tab/>
            </w:r>
            <w:r>
              <w:rPr>
                <w:rFonts w:ascii="Arial"/>
                <w:sz w:val="20"/>
              </w:rPr>
            </w:r>
          </w:p>
        </w:tc>
      </w:tr>
    </w:tbl>
    <w:p>
      <w:pPr>
        <w:tabs>
          <w:tab w:pos="6607" w:val="left" w:leader="none"/>
          <w:tab w:pos="6939" w:val="left" w:leader="none"/>
          <w:tab w:pos="9388" w:val="left" w:leader="none"/>
          <w:tab w:pos="10815" w:val="left" w:leader="none"/>
          <w:tab w:pos="11181" w:val="left" w:leader="none"/>
          <w:tab w:pos="13506" w:val="left" w:leader="none"/>
        </w:tabs>
        <w:spacing w:before="14"/>
        <w:ind w:left="4575" w:right="0" w:firstLine="0"/>
        <w:jc w:val="left"/>
        <w:rPr>
          <w:rFonts w:ascii="Arial" w:hAnsi="Arial" w:cs="Arial" w:eastAsia="Arial" w:hint="default"/>
          <w:sz w:val="20"/>
          <w:szCs w:val="20"/>
        </w:rPr>
      </w:pPr>
      <w:r>
        <w:rPr>
          <w:rFonts w:ascii="Arial"/>
          <w:spacing w:val="-1"/>
          <w:sz w:val="20"/>
        </w:rPr>
        <w:t>4,664,141</w:t>
        <w:tab/>
      </w:r>
      <w:r>
        <w:rPr>
          <w:rFonts w:ascii="Arial"/>
          <w:sz w:val="20"/>
        </w:rPr>
        <w:t>-</w:t>
        <w:tab/>
      </w:r>
      <w:r>
        <w:rPr>
          <w:rFonts w:ascii="Arial"/>
          <w:spacing w:val="-1"/>
          <w:sz w:val="20"/>
        </w:rPr>
        <w:t>2,332,071</w:t>
        <w:tab/>
      </w:r>
      <w:r>
        <w:rPr>
          <w:rFonts w:ascii="Arial"/>
          <w:sz w:val="20"/>
        </w:rPr>
        <w:t>-</w:t>
        <w:tab/>
        <w:t>-</w:t>
        <w:tab/>
      </w:r>
      <w:r>
        <w:rPr>
          <w:rFonts w:ascii="Arial"/>
          <w:spacing w:val="-1"/>
          <w:sz w:val="20"/>
        </w:rPr>
        <w:t>2,332,071</w:t>
        <w:tab/>
        <w:t>6,996,212</w:t>
      </w:r>
    </w:p>
    <w:p>
      <w:pPr>
        <w:spacing w:line="30" w:lineRule="exact"/>
        <w:ind w:left="3532" w:right="0" w:firstLine="0"/>
        <w:rPr>
          <w:rFonts w:ascii="Arial" w:hAnsi="Arial" w:cs="Arial" w:eastAsia="Arial" w:hint="default"/>
          <w:sz w:val="3"/>
          <w:szCs w:val="3"/>
        </w:rPr>
      </w:pPr>
      <w:r>
        <w:rPr>
          <w:rFonts w:ascii="Arial"/>
          <w:position w:val="0"/>
          <w:sz w:val="3"/>
        </w:rPr>
        <w:pict>
          <v:group style="width:100.75pt;height:1.5pt;mso-position-horizontal-relative:char;mso-position-vertical-relative:line" coordorigin="0,0" coordsize="2015,30">
            <v:group style="position:absolute;left:15;top:15;width:1985;height:2" coordorigin="15,15" coordsize="1985,2">
              <v:shape style="position:absolute;left:15;top:15;width:1985;height:2" coordorigin="15,15" coordsize="1985,0" path="m15,15l2000,15e" filled="false" stroked="true" strokeweight="1.5pt" strokecolor="#000000">
                <v:path arrowok="t"/>
              </v:shape>
            </v:group>
          </v:group>
        </w:pict>
      </w:r>
      <w:r>
        <w:rPr>
          <w:rFonts w:ascii="Arial"/>
          <w:position w:val="0"/>
          <w:sz w:val="3"/>
        </w:rPr>
      </w:r>
      <w:r>
        <w:rPr>
          <w:rFonts w:ascii="Times New Roman"/>
          <w:spacing w:val="112"/>
          <w:position w:val="0"/>
          <w:sz w:val="3"/>
        </w:rPr>
        <w:t> </w:t>
      </w:r>
      <w:r>
        <w:rPr>
          <w:rFonts w:ascii="Arial"/>
          <w:spacing w:val="112"/>
          <w:position w:val="0"/>
          <w:sz w:val="3"/>
        </w:rPr>
        <w:pict>
          <v:group style="width:54.5pt;height:1.5pt;mso-position-horizontal-relative:char;mso-position-vertical-relative:line" coordorigin="0,0" coordsize="1090,30">
            <v:group style="position:absolute;left:15;top:15;width:1060;height:2" coordorigin="15,15" coordsize="1060,2">
              <v:shape style="position:absolute;left:15;top:15;width:1060;height:2" coordorigin="15,15" coordsize="1060,0" path="m15,15l1075,15e" filled="false" stroked="true" strokeweight="1.5pt" strokecolor="#000000">
                <v:path arrowok="t"/>
              </v:shape>
            </v:group>
          </v:group>
        </w:pict>
      </w:r>
      <w:r>
        <w:rPr>
          <w:rFonts w:ascii="Arial"/>
          <w:spacing w:val="112"/>
          <w:position w:val="0"/>
          <w:sz w:val="3"/>
        </w:rPr>
      </w:r>
      <w:r>
        <w:rPr>
          <w:rFonts w:ascii="Times New Roman"/>
          <w:spacing w:val="113"/>
          <w:position w:val="0"/>
          <w:sz w:val="3"/>
        </w:rPr>
        <w:t> </w:t>
      </w:r>
      <w:r>
        <w:rPr>
          <w:rFonts w:ascii="Arial"/>
          <w:spacing w:val="113"/>
          <w:position w:val="0"/>
          <w:sz w:val="3"/>
        </w:rPr>
        <w:pict>
          <v:group style="width:51.15pt;height:1.5pt;mso-position-horizontal-relative:char;mso-position-vertical-relative:line" coordorigin="0,0" coordsize="1023,30">
            <v:group style="position:absolute;left:15;top:15;width:993;height:2" coordorigin="15,15" coordsize="993,2">
              <v:shape style="position:absolute;left:15;top:15;width:993;height:2" coordorigin="15,15" coordsize="993,0" path="m15,15l1007,15e" filled="false" stroked="true" strokeweight="1.5pt" strokecolor="#000000">
                <v:path arrowok="t"/>
              </v:shape>
            </v:group>
          </v:group>
        </w:pict>
      </w:r>
      <w:r>
        <w:rPr>
          <w:rFonts w:ascii="Arial"/>
          <w:spacing w:val="113"/>
          <w:position w:val="0"/>
          <w:sz w:val="3"/>
        </w:rPr>
      </w:r>
      <w:r>
        <w:rPr>
          <w:rFonts w:ascii="Times New Roman"/>
          <w:spacing w:val="112"/>
          <w:position w:val="0"/>
          <w:sz w:val="3"/>
        </w:rPr>
        <w:t> </w:t>
      </w:r>
      <w:r>
        <w:rPr>
          <w:rFonts w:ascii="Arial"/>
          <w:spacing w:val="112"/>
          <w:position w:val="0"/>
          <w:sz w:val="3"/>
        </w:rPr>
        <w:pict>
          <v:group style="width:79.5pt;height:1.5pt;mso-position-horizontal-relative:char;mso-position-vertical-relative:line" coordorigin="0,0" coordsize="1590,30">
            <v:group style="position:absolute;left:15;top:15;width:1560;height:2" coordorigin="15,15" coordsize="1560,2">
              <v:shape style="position:absolute;left:15;top:15;width:1560;height:2" coordorigin="15,15" coordsize="1560,0" path="m15,15l1575,15e" filled="false" stroked="true" strokeweight="1.5pt" strokecolor="#000000">
                <v:path arrowok="t"/>
              </v:shape>
            </v:group>
          </v:group>
        </w:pict>
      </w:r>
      <w:r>
        <w:rPr>
          <w:rFonts w:ascii="Arial"/>
          <w:spacing w:val="112"/>
          <w:position w:val="0"/>
          <w:sz w:val="3"/>
        </w:rPr>
      </w:r>
      <w:r>
        <w:rPr>
          <w:rFonts w:ascii="Times New Roman"/>
          <w:spacing w:val="114"/>
          <w:position w:val="0"/>
          <w:sz w:val="3"/>
        </w:rPr>
        <w:t> </w:t>
      </w:r>
      <w:r>
        <w:rPr>
          <w:rFonts w:ascii="Arial"/>
          <w:spacing w:val="114"/>
          <w:position w:val="0"/>
          <w:sz w:val="3"/>
        </w:rPr>
        <w:pict>
          <v:group style="width:62pt;height:1.5pt;mso-position-horizontal-relative:char;mso-position-vertical-relative:line" coordorigin="0,0" coordsize="1240,30">
            <v:group style="position:absolute;left:15;top:15;width:1210;height:2" coordorigin="15,15" coordsize="1210,2">
              <v:shape style="position:absolute;left:15;top:15;width:1210;height:2" coordorigin="15,15" coordsize="1210,0" path="m15,15l1225,15e" filled="false" stroked="true" strokeweight="1.5pt" strokecolor="#000000">
                <v:path arrowok="t"/>
              </v:shape>
            </v:group>
          </v:group>
        </w:pict>
      </w:r>
      <w:r>
        <w:rPr>
          <w:rFonts w:ascii="Arial"/>
          <w:spacing w:val="114"/>
          <w:position w:val="0"/>
          <w:sz w:val="3"/>
        </w:rPr>
      </w:r>
      <w:r>
        <w:rPr>
          <w:rFonts w:ascii="Times New Roman"/>
          <w:spacing w:val="114"/>
          <w:position w:val="0"/>
          <w:sz w:val="3"/>
        </w:rPr>
        <w:t> </w:t>
      </w:r>
      <w:r>
        <w:rPr>
          <w:rFonts w:ascii="Arial"/>
          <w:spacing w:val="114"/>
          <w:position w:val="0"/>
          <w:sz w:val="3"/>
        </w:rPr>
        <w:pict>
          <v:group style="width:58.2pt;height:1.5pt;mso-position-horizontal-relative:char;mso-position-vertical-relative:line" coordorigin="0,0" coordsize="1164,30">
            <v:group style="position:absolute;left:15;top:15;width:1134;height:2" coordorigin="15,15" coordsize="1134,2">
              <v:shape style="position:absolute;left:15;top:15;width:1134;height:2" coordorigin="15,15" coordsize="1134,0" path="m15,15l1149,15e" filled="false" stroked="true" strokeweight="1.5pt" strokecolor="#000000">
                <v:path arrowok="t"/>
              </v:shape>
            </v:group>
          </v:group>
        </w:pict>
      </w:r>
      <w:r>
        <w:rPr>
          <w:rFonts w:ascii="Arial"/>
          <w:spacing w:val="114"/>
          <w:position w:val="0"/>
          <w:sz w:val="3"/>
        </w:rPr>
      </w:r>
      <w:r>
        <w:rPr>
          <w:rFonts w:ascii="Times New Roman"/>
          <w:spacing w:val="112"/>
          <w:position w:val="0"/>
          <w:sz w:val="3"/>
        </w:rPr>
        <w:t> </w:t>
      </w:r>
      <w:r>
        <w:rPr>
          <w:rFonts w:ascii="Arial"/>
          <w:spacing w:val="112"/>
          <w:position w:val="0"/>
          <w:sz w:val="3"/>
        </w:rPr>
        <w:pict>
          <v:group style="width:107.9pt;height:1.5pt;mso-position-horizontal-relative:char;mso-position-vertical-relative:line" coordorigin="0,0" coordsize="2158,30">
            <v:group style="position:absolute;left:15;top:15;width:2128;height:2" coordorigin="15,15" coordsize="2128,2">
              <v:shape style="position:absolute;left:15;top:15;width:2128;height:2" coordorigin="15,15" coordsize="2128,0" path="m15,15l2143,15e" filled="false" stroked="true" strokeweight="1.5pt" strokecolor="#000000">
                <v:path arrowok="t"/>
              </v:shape>
            </v:group>
          </v:group>
        </w:pict>
      </w:r>
      <w:r>
        <w:rPr>
          <w:rFonts w:ascii="Arial"/>
          <w:spacing w:val="112"/>
          <w:position w:val="0"/>
          <w:sz w:val="3"/>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8"/>
          <w:szCs w:val="18"/>
        </w:rPr>
      </w:pPr>
    </w:p>
    <w:p>
      <w:pPr>
        <w:spacing w:before="0"/>
        <w:ind w:left="7290" w:right="6772" w:firstLine="0"/>
        <w:jc w:val="center"/>
        <w:rPr>
          <w:rFonts w:ascii="Arial" w:hAnsi="Arial" w:cs="Arial" w:eastAsia="Arial" w:hint="default"/>
          <w:sz w:val="18"/>
          <w:szCs w:val="18"/>
        </w:rPr>
      </w:pPr>
      <w:r>
        <w:rPr>
          <w:rFonts w:ascii="Arial"/>
          <w:sz w:val="18"/>
        </w:rPr>
        <w:t>- 174</w:t>
      </w:r>
      <w:r>
        <w:rPr>
          <w:rFonts w:ascii="Arial"/>
          <w:spacing w:val="-3"/>
          <w:sz w:val="18"/>
        </w:rPr>
        <w:t> </w:t>
      </w:r>
      <w:r>
        <w:rPr>
          <w:rFonts w:ascii="Arial"/>
          <w:sz w:val="18"/>
        </w:rPr>
        <w:t>-</w:t>
      </w:r>
    </w:p>
    <w:p>
      <w:pPr>
        <w:spacing w:after="0"/>
        <w:jc w:val="center"/>
        <w:rPr>
          <w:rFonts w:ascii="Arial" w:hAnsi="Arial" w:cs="Arial" w:eastAsia="Arial" w:hint="default"/>
          <w:sz w:val="18"/>
          <w:szCs w:val="18"/>
        </w:rPr>
        <w:sectPr>
          <w:type w:val="continuous"/>
          <w:pgSz w:w="16840" w:h="11910" w:orient="landscape"/>
          <w:pgMar w:top="920" w:bottom="900" w:left="980" w:right="1240"/>
        </w:sectPr>
      </w:pPr>
    </w:p>
    <w:p>
      <w:pPr>
        <w:spacing w:line="240" w:lineRule="auto" w:before="4"/>
        <w:rPr>
          <w:rFonts w:ascii="Arial" w:hAnsi="Arial" w:cs="Arial" w:eastAsia="Arial" w:hint="default"/>
          <w:sz w:val="18"/>
          <w:szCs w:val="18"/>
        </w:rPr>
      </w:pPr>
    </w:p>
    <w:p>
      <w:pPr>
        <w:pStyle w:val="Heading2"/>
        <w:tabs>
          <w:tab w:pos="815" w:val="left" w:leader="none"/>
        </w:tabs>
        <w:spacing w:line="240" w:lineRule="auto"/>
        <w:ind w:right="139"/>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5"/>
        <w:rPr>
          <w:rFonts w:ascii="Arial" w:hAnsi="Arial" w:cs="Arial" w:eastAsia="Arial" w:hint="default"/>
          <w:b/>
          <w:bCs/>
          <w:sz w:val="25"/>
          <w:szCs w:val="25"/>
        </w:rPr>
      </w:pPr>
    </w:p>
    <w:p>
      <w:pPr>
        <w:tabs>
          <w:tab w:pos="815" w:val="left" w:leader="none"/>
        </w:tabs>
        <w:spacing w:before="0"/>
        <w:ind w:left="108" w:right="139" w:firstLine="0"/>
        <w:jc w:val="left"/>
        <w:rPr>
          <w:rFonts w:ascii="Arial" w:hAnsi="Arial" w:cs="Arial" w:eastAsia="Arial" w:hint="default"/>
          <w:sz w:val="24"/>
          <w:szCs w:val="24"/>
        </w:rPr>
      </w:pPr>
      <w:r>
        <w:rPr>
          <w:rFonts w:ascii="Arial" w:hAnsi="Arial" w:cs="Arial" w:eastAsia="Arial" w:hint="default"/>
          <w:w w:val="95"/>
          <w:position w:val="2"/>
          <w:sz w:val="24"/>
          <w:szCs w:val="24"/>
        </w:rPr>
        <w:t>(31)</w:t>
        <w:tab/>
      </w:r>
      <w:r>
        <w:rPr>
          <w:rFonts w:ascii="宋体" w:hAnsi="宋体" w:cs="宋体" w:eastAsia="宋体" w:hint="default"/>
          <w:b/>
          <w:bCs/>
          <w:sz w:val="24"/>
          <w:szCs w:val="24"/>
        </w:rPr>
        <w:t>股本</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11"/>
        <w:rPr>
          <w:rFonts w:ascii="Arial" w:hAnsi="Arial" w:cs="Arial" w:eastAsia="Arial" w:hint="default"/>
          <w:b/>
          <w:bCs/>
          <w:sz w:val="21"/>
          <w:szCs w:val="21"/>
        </w:rPr>
      </w:pPr>
    </w:p>
    <w:p>
      <w:pPr>
        <w:pStyle w:val="BodyText"/>
        <w:spacing w:line="312" w:lineRule="exact"/>
        <w:ind w:left="838" w:right="111"/>
        <w:jc w:val="both"/>
      </w:pPr>
      <w:r>
        <w:rPr>
          <w:spacing w:val="13"/>
        </w:rPr>
        <w:t>经于</w:t>
      </w:r>
      <w:r>
        <w:rPr>
          <w:spacing w:val="-92"/>
        </w:rPr>
        <w:t> </w:t>
      </w:r>
      <w:r>
        <w:rPr>
          <w:rFonts w:ascii="Arial" w:hAnsi="Arial" w:cs="Arial" w:eastAsia="Arial" w:hint="default"/>
        </w:rPr>
        <w:t>2010</w:t>
      </w:r>
      <w:r>
        <w:rPr>
          <w:rFonts w:ascii="Arial" w:hAnsi="Arial" w:cs="Arial" w:eastAsia="Arial" w:hint="default"/>
          <w:spacing w:val="-37"/>
        </w:rPr>
        <w:t> </w:t>
      </w:r>
      <w:r>
        <w:rPr/>
        <w:t>年</w:t>
      </w:r>
      <w:r>
        <w:rPr>
          <w:spacing w:val="-92"/>
        </w:rPr>
        <w:t> </w:t>
      </w:r>
      <w:r>
        <w:rPr>
          <w:rFonts w:ascii="Arial" w:hAnsi="Arial" w:cs="Arial" w:eastAsia="Arial" w:hint="default"/>
        </w:rPr>
        <w:t>4</w:t>
      </w:r>
      <w:r>
        <w:rPr>
          <w:rFonts w:ascii="Arial" w:hAnsi="Arial" w:cs="Arial" w:eastAsia="Arial" w:hint="default"/>
          <w:spacing w:val="-39"/>
        </w:rPr>
        <w:t> </w:t>
      </w:r>
      <w:r>
        <w:rPr/>
        <w:t>月</w:t>
      </w:r>
      <w:r>
        <w:rPr>
          <w:spacing w:val="-92"/>
        </w:rPr>
        <w:t> </w:t>
      </w:r>
      <w:r>
        <w:rPr>
          <w:rFonts w:ascii="Arial" w:hAnsi="Arial" w:cs="Arial" w:eastAsia="Arial" w:hint="default"/>
        </w:rPr>
        <w:t>6</w:t>
      </w:r>
      <w:r>
        <w:rPr>
          <w:rFonts w:ascii="Arial" w:hAnsi="Arial" w:cs="Arial" w:eastAsia="Arial" w:hint="default"/>
          <w:spacing w:val="-39"/>
        </w:rPr>
        <w:t> </w:t>
      </w:r>
      <w:r>
        <w:rPr>
          <w:spacing w:val="20"/>
        </w:rPr>
        <w:t>日召开的</w:t>
      </w:r>
      <w:r>
        <w:rPr>
          <w:spacing w:val="-92"/>
        </w:rPr>
        <w:t> </w:t>
      </w:r>
      <w:r>
        <w:rPr>
          <w:rFonts w:ascii="Arial" w:hAnsi="Arial" w:cs="Arial" w:eastAsia="Arial" w:hint="default"/>
        </w:rPr>
        <w:t>2009</w:t>
      </w:r>
      <w:r>
        <w:rPr>
          <w:rFonts w:ascii="Arial" w:hAnsi="Arial" w:cs="Arial" w:eastAsia="Arial" w:hint="default"/>
          <w:spacing w:val="-39"/>
        </w:rPr>
        <w:t> </w:t>
      </w:r>
      <w:r>
        <w:rPr>
          <w:spacing w:val="25"/>
        </w:rPr>
        <w:t>年年度股东大会决议通过，本公司以现有总股本</w:t>
      </w:r>
      <w:r>
        <w:rPr>
          <w:spacing w:val="-117"/>
        </w:rPr>
        <w:t> </w:t>
      </w:r>
      <w:r>
        <w:rPr>
          <w:rFonts w:ascii="Arial" w:hAnsi="Arial" w:cs="Arial" w:eastAsia="Arial" w:hint="default"/>
        </w:rPr>
        <w:t>4,664,141,244</w:t>
      </w:r>
      <w:r>
        <w:rPr>
          <w:rFonts w:ascii="Arial" w:hAnsi="Arial" w:cs="Arial" w:eastAsia="Arial" w:hint="default"/>
          <w:spacing w:val="62"/>
        </w:rPr>
        <w:t> </w:t>
      </w:r>
      <w:r>
        <w:rPr/>
        <w:t>股为基数，以资本公积金向全体股东每</w:t>
      </w:r>
      <w:r>
        <w:rPr>
          <w:rFonts w:ascii="Arial" w:hAnsi="Arial" w:cs="Arial" w:eastAsia="Arial" w:hint="default"/>
        </w:rPr>
        <w:t>10</w:t>
      </w:r>
      <w:r>
        <w:rPr>
          <w:rFonts w:ascii="Arial" w:hAnsi="Arial" w:cs="Arial" w:eastAsia="Arial" w:hint="default"/>
          <w:spacing w:val="61"/>
        </w:rPr>
        <w:t> </w:t>
      </w:r>
      <w:r>
        <w:rPr/>
        <w:t>股转增</w:t>
      </w:r>
      <w:r>
        <w:rPr>
          <w:rFonts w:ascii="Arial" w:hAnsi="Arial" w:cs="Arial" w:eastAsia="Arial" w:hint="default"/>
        </w:rPr>
        <w:t>5</w:t>
      </w:r>
      <w:r>
        <w:rPr/>
        <w:t>股。业经普华永道中</w:t>
      </w:r>
      <w:r>
        <w:rPr>
          <w:spacing w:val="-117"/>
        </w:rPr>
        <w:t> </w:t>
      </w:r>
      <w:r>
        <w:rPr/>
        <w:t>天会计师事务所有限公司予以验证并出具普华永道中天验字</w:t>
      </w:r>
      <w:r>
        <w:rPr>
          <w:rFonts w:ascii="Arial" w:hAnsi="Arial" w:cs="Arial" w:eastAsia="Arial" w:hint="default"/>
        </w:rPr>
        <w:t>(2010)</w:t>
      </w:r>
      <w:r>
        <w:rPr/>
        <w:t>第</w:t>
      </w:r>
      <w:r>
        <w:rPr>
          <w:rFonts w:ascii="Arial" w:hAnsi="Arial" w:cs="Arial" w:eastAsia="Arial" w:hint="default"/>
        </w:rPr>
        <w:t>101</w:t>
      </w:r>
      <w:r>
        <w:rPr/>
        <w:t>号验资报告。</w:t>
      </w:r>
    </w:p>
    <w:p>
      <w:pPr>
        <w:spacing w:line="240" w:lineRule="auto" w:before="1"/>
        <w:rPr>
          <w:rFonts w:ascii="宋体" w:hAnsi="宋体" w:cs="宋体" w:eastAsia="宋体" w:hint="default"/>
          <w:sz w:val="21"/>
          <w:szCs w:val="21"/>
        </w:rPr>
      </w:pPr>
    </w:p>
    <w:p>
      <w:pPr>
        <w:pStyle w:val="BodyText"/>
        <w:spacing w:line="312" w:lineRule="exact"/>
        <w:ind w:left="838" w:right="140"/>
        <w:jc w:val="both"/>
      </w:pPr>
      <w:r>
        <w:rPr/>
        <w:t>本公司于</w:t>
      </w:r>
      <w:r>
        <w:rPr>
          <w:rFonts w:ascii="Arial" w:hAnsi="Arial" w:cs="Arial" w:eastAsia="Arial" w:hint="default"/>
        </w:rPr>
        <w:t>2010</w:t>
      </w:r>
      <w:r>
        <w:rPr/>
        <w:t>年</w:t>
      </w:r>
      <w:r>
        <w:rPr>
          <w:rFonts w:ascii="Arial" w:hAnsi="Arial" w:cs="Arial" w:eastAsia="Arial" w:hint="default"/>
        </w:rPr>
        <w:t>8</w:t>
      </w:r>
      <w:r>
        <w:rPr/>
        <w:t>月</w:t>
      </w:r>
      <w:r>
        <w:rPr>
          <w:rFonts w:ascii="Arial" w:hAnsi="Arial" w:cs="Arial" w:eastAsia="Arial" w:hint="default"/>
        </w:rPr>
        <w:t>11</w:t>
      </w:r>
      <w:r>
        <w:rPr/>
        <w:t>日解禁有限售条件流通股股份</w:t>
      </w:r>
      <w:r>
        <w:rPr>
          <w:rFonts w:ascii="Arial" w:hAnsi="Arial" w:cs="Arial" w:eastAsia="Arial" w:hint="default"/>
        </w:rPr>
        <w:t>487,952,857</w:t>
      </w:r>
      <w:r>
        <w:rPr/>
        <w:t>股，于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rFonts w:ascii="Arial" w:hAnsi="Arial" w:cs="Arial" w:eastAsia="Arial" w:hint="default"/>
          <w:spacing w:val="-13"/>
        </w:rPr>
        <w:t> </w:t>
      </w:r>
      <w:r>
        <w:rPr/>
        <w:t>日解禁有限售条件流通股股份</w:t>
      </w:r>
      <w:r>
        <w:rPr>
          <w:rFonts w:ascii="Arial" w:hAnsi="Arial" w:cs="Arial" w:eastAsia="Arial" w:hint="default"/>
        </w:rPr>
        <w:t>240,281,076</w:t>
      </w:r>
      <w:r>
        <w:rPr/>
        <w:t>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77"/>
        <w:ind w:left="4800" w:right="4806" w:firstLine="0"/>
        <w:jc w:val="center"/>
        <w:rPr>
          <w:rFonts w:ascii="Arial" w:hAnsi="Arial" w:cs="Arial" w:eastAsia="Arial" w:hint="default"/>
          <w:sz w:val="18"/>
          <w:szCs w:val="18"/>
        </w:rPr>
      </w:pPr>
      <w:r>
        <w:rPr>
          <w:rFonts w:ascii="Arial"/>
          <w:sz w:val="18"/>
        </w:rPr>
        <w:t>- 175</w:t>
      </w:r>
      <w:r>
        <w:rPr>
          <w:rFonts w:ascii="Arial"/>
          <w:spacing w:val="-3"/>
          <w:sz w:val="18"/>
        </w:rPr>
        <w:t> </w:t>
      </w:r>
      <w:r>
        <w:rPr>
          <w:rFonts w:ascii="Arial"/>
          <w:sz w:val="18"/>
        </w:rPr>
        <w:t>-</w:t>
      </w:r>
    </w:p>
    <w:p>
      <w:pPr>
        <w:spacing w:after="0"/>
        <w:jc w:val="center"/>
        <w:rPr>
          <w:rFonts w:ascii="Arial" w:hAnsi="Arial" w:cs="Arial" w:eastAsia="Arial" w:hint="default"/>
          <w:sz w:val="18"/>
          <w:szCs w:val="18"/>
        </w:rPr>
        <w:sectPr>
          <w:headerReference w:type="default" r:id="rId71"/>
          <w:footerReference w:type="default" r:id="rId72"/>
          <w:pgSz w:w="11910" w:h="16840"/>
          <w:pgMar w:header="755" w:footer="0" w:top="2300" w:bottom="280" w:left="1020" w:right="720"/>
        </w:sectPr>
      </w:pPr>
    </w:p>
    <w:p>
      <w:pPr>
        <w:pStyle w:val="BodyText"/>
        <w:spacing w:line="311" w:lineRule="exact"/>
        <w:ind w:left="760" w:right="0"/>
        <w:jc w:val="left"/>
        <w:rPr>
          <w:rFonts w:ascii="黑体" w:hAnsi="黑体" w:cs="黑体" w:eastAsia="黑体" w:hint="default"/>
        </w:rPr>
      </w:pPr>
      <w:r>
        <w:rPr/>
        <w:pict>
          <v:group style="position:absolute;margin-left:84.710999pt;margin-top:277.440002pt;width:688.15pt;height:27.5pt;mso-position-horizontal-relative:page;mso-position-vertical-relative:page;z-index:-1003000" coordorigin="1694,5549" coordsize="13763,550">
            <v:group style="position:absolute;left:1699;top:5558;width:13754;height:2" coordorigin="1699,5558" coordsize="13754,2">
              <v:shape style="position:absolute;left:1699;top:5558;width:13754;height:2" coordorigin="1699,5558" coordsize="13754,0" path="m1699,5558l15452,5558e" filled="false" stroked="true" strokeweight=".48001pt" strokecolor="#000000">
                <v:path arrowok="t"/>
              </v:shape>
            </v:group>
            <v:group style="position:absolute;left:1706;top:5563;width:2;height:261" coordorigin="1706,5563" coordsize="2,261">
              <v:shape style="position:absolute;left:1706;top:5563;width:2;height:261" coordorigin="1706,5563" coordsize="0,261" path="m1706,5563l1706,5824e" filled="false" stroked="true" strokeweight=".47998pt" strokecolor="#000000">
                <v:path arrowok="t"/>
              </v:shape>
            </v:group>
            <v:group style="position:absolute;left:1706;top:5824;width:2;height:261" coordorigin="1706,5824" coordsize="2,261">
              <v:shape style="position:absolute;left:1706;top:5824;width:2;height:261" coordorigin="1706,5824" coordsize="0,261" path="m1706,5824l1706,6084e" filled="false" stroked="true" strokeweight=".47998pt" strokecolor="#000000">
                <v:path arrowok="t"/>
              </v:shape>
            </v:group>
            <v:group style="position:absolute;left:15450;top:5554;width:2;height:540" coordorigin="15450,5554" coordsize="2,540">
              <v:shape style="position:absolute;left:15450;top:5554;width:2;height:540" coordorigin="15450,5554" coordsize="0,540" path="m15450,5554l15450,6094e" filled="false" stroked="true" strokeweight=".47998pt" strokecolor="#000000">
                <v:path arrowok="t"/>
              </v:shape>
            </v:group>
            <v:group style="position:absolute;left:1699;top:6089;width:13754;height:2" coordorigin="1699,6089" coordsize="13754,2">
              <v:shape style="position:absolute;left:1699;top:6089;width:13754;height:2" coordorigin="1699,6089" coordsize="13754,0" path="m1699,6089l15452,6089e" filled="false" stroked="true" strokeweight=".47998pt" strokecolor="#000000">
                <v:path arrowok="t"/>
              </v:shape>
            </v:group>
            <w10:wrap type="none"/>
          </v:group>
        </w:pict>
      </w:r>
      <w:r>
        <w:rPr>
          <w:rFonts w:ascii="黑体" w:hAnsi="黑体" w:cs="黑体" w:eastAsia="黑体" w:hint="default"/>
        </w:rPr>
        <w:t>苏宁电器股份有限公司</w:t>
      </w:r>
    </w:p>
    <w:p>
      <w:pPr>
        <w:spacing w:line="240" w:lineRule="auto" w:before="9"/>
        <w:rPr>
          <w:rFonts w:ascii="黑体" w:hAnsi="黑体" w:cs="黑体" w:eastAsia="黑体" w:hint="default"/>
          <w:sz w:val="23"/>
          <w:szCs w:val="23"/>
        </w:rPr>
      </w:pPr>
    </w:p>
    <w:p>
      <w:pPr>
        <w:pStyle w:val="BodyText"/>
        <w:spacing w:line="313" w:lineRule="exact"/>
        <w:ind w:left="76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ind w:left="760"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11"/>
        </w:rPr>
        <w:t> </w:t>
      </w:r>
      <w:r>
        <w:rPr>
          <w:rFonts w:ascii="黑体" w:hAnsi="黑体" w:cs="黑体" w:eastAsia="黑体" w:hint="default"/>
        </w:rPr>
        <w:t>年度</w:t>
      </w:r>
    </w:p>
    <w:p>
      <w:pPr>
        <w:pStyle w:val="BodyText"/>
        <w:spacing w:line="323" w:lineRule="exact"/>
        <w:ind w:left="76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p>
      <w:pPr>
        <w:spacing w:line="240" w:lineRule="auto" w:before="3"/>
        <w:rPr>
          <w:rFonts w:ascii="Arial" w:hAnsi="Arial" w:cs="Arial" w:eastAsia="Arial" w:hint="default"/>
          <w:sz w:val="3"/>
          <w:szCs w:val="3"/>
        </w:rPr>
      </w:pPr>
    </w:p>
    <w:p>
      <w:pPr>
        <w:spacing w:line="20" w:lineRule="exact"/>
        <w:ind w:left="723" w:right="0" w:firstLine="0"/>
        <w:rPr>
          <w:rFonts w:ascii="Arial" w:hAnsi="Arial" w:cs="Arial" w:eastAsia="Arial" w:hint="default"/>
          <w:sz w:val="2"/>
          <w:szCs w:val="2"/>
        </w:rPr>
      </w:pPr>
      <w:r>
        <w:rPr>
          <w:rFonts w:ascii="Arial" w:hAnsi="Arial" w:cs="Arial" w:eastAsia="Arial" w:hint="default"/>
          <w:sz w:val="2"/>
          <w:szCs w:val="2"/>
        </w:rPr>
        <w:pict>
          <v:group style="width:688.7pt;height:.75pt;mso-position-horizontal-relative:char;mso-position-vertical-relative:line" coordorigin="0,0" coordsize="13774,15">
            <v:group style="position:absolute;left:7;top:7;width:13760;height:2" coordorigin="7,7" coordsize="13760,2">
              <v:shape style="position:absolute;left:7;top:7;width:13760;height:2" coordorigin="7,7" coordsize="13760,0" path="m7,7l13766,7e" filled="false" stroked="true" strokeweight=".72pt" strokecolor="#000000">
                <v:path arrowok="t"/>
              </v:shape>
            </v:group>
          </v:group>
        </w:pict>
      </w:r>
      <w:r>
        <w:rPr>
          <w:rFonts w:ascii="Arial" w:hAnsi="Arial" w:cs="Arial" w:eastAsia="Arial" w:hint="default"/>
          <w:sz w:val="2"/>
          <w:szCs w:val="2"/>
        </w:rPr>
      </w:r>
    </w:p>
    <w:p>
      <w:pPr>
        <w:spacing w:line="240" w:lineRule="auto" w:before="10"/>
        <w:rPr>
          <w:rFonts w:ascii="Arial" w:hAnsi="Arial" w:cs="Arial" w:eastAsia="Arial"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642"/>
        <w:gridCol w:w="3339"/>
        <w:gridCol w:w="1608"/>
        <w:gridCol w:w="1060"/>
        <w:gridCol w:w="1141"/>
        <w:gridCol w:w="1700"/>
        <w:gridCol w:w="1344"/>
        <w:gridCol w:w="1306"/>
        <w:gridCol w:w="2261"/>
      </w:tblGrid>
      <w:tr>
        <w:trPr>
          <w:trHeight w:val="1239" w:hRule="exact"/>
        </w:trPr>
        <w:tc>
          <w:tcPr>
            <w:tcW w:w="64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p>
            <w:pPr>
              <w:pStyle w:val="TableParagraph"/>
              <w:spacing w:line="240" w:lineRule="auto" w:before="2"/>
              <w:ind w:right="0"/>
              <w:jc w:val="left"/>
              <w:rPr>
                <w:rFonts w:ascii="Arial" w:hAnsi="Arial" w:cs="Arial" w:eastAsia="Arial" w:hint="default"/>
                <w:sz w:val="30"/>
                <w:szCs w:val="30"/>
              </w:rPr>
            </w:pPr>
          </w:p>
          <w:p>
            <w:pPr>
              <w:pStyle w:val="TableParagraph"/>
              <w:spacing w:line="240" w:lineRule="auto"/>
              <w:ind w:left="35" w:right="0"/>
              <w:jc w:val="left"/>
              <w:rPr>
                <w:rFonts w:ascii="Arial" w:hAnsi="Arial" w:cs="Arial" w:eastAsia="Arial" w:hint="default"/>
                <w:sz w:val="24"/>
                <w:szCs w:val="24"/>
              </w:rPr>
            </w:pPr>
            <w:r>
              <w:rPr>
                <w:rFonts w:ascii="Arial"/>
                <w:sz w:val="24"/>
              </w:rPr>
              <w:t>(31)</w:t>
            </w:r>
          </w:p>
        </w:tc>
        <w:tc>
          <w:tcPr>
            <w:tcW w:w="3339" w:type="dxa"/>
            <w:tcBorders>
              <w:top w:val="nil" w:sz="6" w:space="0" w:color="auto"/>
              <w:left w:val="nil" w:sz="6" w:space="0" w:color="auto"/>
              <w:bottom w:val="nil" w:sz="6" w:space="0" w:color="auto"/>
              <w:right w:val="nil" w:sz="6" w:space="0" w:color="auto"/>
            </w:tcBorders>
          </w:tcPr>
          <w:p>
            <w:pPr>
              <w:pStyle w:val="TableParagraph"/>
              <w:spacing w:line="451" w:lineRule="auto" w:before="26"/>
              <w:ind w:left="101" w:right="432"/>
              <w:jc w:val="left"/>
              <w:rPr>
                <w:rFonts w:ascii="Arial" w:hAnsi="Arial" w:cs="Arial" w:eastAsia="Arial"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3"/>
                <w:w w:val="95"/>
                <w:sz w:val="24"/>
                <w:szCs w:val="24"/>
              </w:rPr>
              <w:t> </w:t>
            </w:r>
            <w:r>
              <w:rPr>
                <w:rFonts w:ascii="宋体" w:hAnsi="宋体" w:cs="宋体" w:eastAsia="宋体" w:hint="default"/>
                <w:b/>
                <w:bCs/>
                <w:sz w:val="24"/>
                <w:szCs w:val="24"/>
              </w:rPr>
              <w:t>股本</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0421" w:type="dxa"/>
            <w:gridSpan w:val="7"/>
            <w:tcBorders>
              <w:top w:val="nil" w:sz="6" w:space="0" w:color="auto"/>
              <w:left w:val="nil" w:sz="6" w:space="0" w:color="auto"/>
              <w:bottom w:val="nil" w:sz="6" w:space="0" w:color="auto"/>
              <w:right w:val="nil" w:sz="6" w:space="0" w:color="auto"/>
            </w:tcBorders>
          </w:tcPr>
          <w:p>
            <w:pPr/>
          </w:p>
        </w:tc>
      </w:tr>
      <w:tr>
        <w:trPr>
          <w:trHeight w:val="509" w:hRule="exact"/>
        </w:trPr>
        <w:tc>
          <w:tcPr>
            <w:tcW w:w="642" w:type="dxa"/>
            <w:tcBorders>
              <w:top w:val="nil" w:sz="6" w:space="0" w:color="auto"/>
              <w:left w:val="nil" w:sz="6" w:space="0" w:color="auto"/>
              <w:bottom w:val="nil" w:sz="6" w:space="0" w:color="auto"/>
              <w:right w:val="nil" w:sz="6" w:space="0" w:color="auto"/>
            </w:tcBorders>
          </w:tcPr>
          <w:p>
            <w:pPr/>
          </w:p>
        </w:tc>
        <w:tc>
          <w:tcPr>
            <w:tcW w:w="3339"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single" w:sz="12" w:space="0" w:color="000000"/>
              <w:right w:val="nil" w:sz="6" w:space="0" w:color="auto"/>
            </w:tcBorders>
          </w:tcPr>
          <w:p>
            <w:pPr/>
          </w:p>
        </w:tc>
        <w:tc>
          <w:tcPr>
            <w:tcW w:w="1141" w:type="dxa"/>
            <w:tcBorders>
              <w:top w:val="nil" w:sz="6" w:space="0" w:color="auto"/>
              <w:left w:val="nil" w:sz="6" w:space="0" w:color="auto"/>
              <w:bottom w:val="single" w:sz="12" w:space="0" w:color="000000"/>
              <w:right w:val="nil" w:sz="6" w:space="0" w:color="auto"/>
            </w:tcBorders>
          </w:tcPr>
          <w:p>
            <w:pPr/>
          </w:p>
        </w:tc>
        <w:tc>
          <w:tcPr>
            <w:tcW w:w="1700"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right="0"/>
              <w:jc w:val="left"/>
              <w:rPr>
                <w:rFonts w:ascii="Arial" w:hAnsi="Arial" w:cs="Arial" w:eastAsia="Arial" w:hint="default"/>
                <w:sz w:val="17"/>
                <w:szCs w:val="17"/>
              </w:rPr>
            </w:pPr>
          </w:p>
          <w:p>
            <w:pPr>
              <w:pStyle w:val="TableParagraph"/>
              <w:spacing w:line="240" w:lineRule="auto"/>
              <w:ind w:left="466" w:right="0"/>
              <w:jc w:val="left"/>
              <w:rPr>
                <w:rFonts w:ascii="宋体" w:hAnsi="宋体" w:cs="宋体" w:eastAsia="宋体" w:hint="default"/>
                <w:sz w:val="20"/>
                <w:szCs w:val="20"/>
              </w:rPr>
            </w:pPr>
            <w:r>
              <w:rPr>
                <w:rFonts w:ascii="宋体" w:hAnsi="宋体" w:cs="宋体" w:eastAsia="宋体" w:hint="default"/>
                <w:sz w:val="20"/>
                <w:szCs w:val="20"/>
              </w:rPr>
              <w:t>本年增减变动</w:t>
            </w:r>
          </w:p>
        </w:tc>
        <w:tc>
          <w:tcPr>
            <w:tcW w:w="1344" w:type="dxa"/>
            <w:tcBorders>
              <w:top w:val="nil" w:sz="6" w:space="0" w:color="auto"/>
              <w:left w:val="nil" w:sz="6" w:space="0" w:color="auto"/>
              <w:bottom w:val="single" w:sz="12" w:space="0" w:color="000000"/>
              <w:right w:val="nil" w:sz="6" w:space="0" w:color="auto"/>
            </w:tcBorders>
          </w:tcPr>
          <w:p>
            <w:pPr/>
          </w:p>
        </w:tc>
        <w:tc>
          <w:tcPr>
            <w:tcW w:w="1306" w:type="dxa"/>
            <w:tcBorders>
              <w:top w:val="nil" w:sz="6" w:space="0" w:color="auto"/>
              <w:left w:val="nil" w:sz="6" w:space="0" w:color="auto"/>
              <w:bottom w:val="single" w:sz="12" w:space="0" w:color="000000"/>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
        </w:tc>
      </w:tr>
      <w:tr>
        <w:trPr>
          <w:trHeight w:val="279" w:hRule="exact"/>
        </w:trPr>
        <w:tc>
          <w:tcPr>
            <w:tcW w:w="642" w:type="dxa"/>
            <w:tcBorders>
              <w:top w:val="nil" w:sz="6" w:space="0" w:color="auto"/>
              <w:left w:val="nil" w:sz="6" w:space="0" w:color="auto"/>
              <w:bottom w:val="nil" w:sz="6" w:space="0" w:color="auto"/>
              <w:right w:val="nil" w:sz="6" w:space="0" w:color="auto"/>
            </w:tcBorders>
          </w:tcPr>
          <w:p>
            <w:pPr/>
          </w:p>
        </w:tc>
        <w:tc>
          <w:tcPr>
            <w:tcW w:w="3339"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59" w:lineRule="exact"/>
              <w:ind w:left="734"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060" w:type="dxa"/>
            <w:tcBorders>
              <w:top w:val="single" w:sz="12" w:space="0" w:color="000000"/>
              <w:left w:val="nil" w:sz="6" w:space="0" w:color="auto"/>
              <w:bottom w:val="nil" w:sz="6" w:space="0" w:color="auto"/>
              <w:right w:val="nil" w:sz="6" w:space="0" w:color="auto"/>
            </w:tcBorders>
          </w:tcPr>
          <w:p>
            <w:pPr>
              <w:pStyle w:val="TableParagraph"/>
              <w:spacing w:line="230" w:lineRule="exact"/>
              <w:ind w:right="32"/>
              <w:jc w:val="right"/>
              <w:rPr>
                <w:rFonts w:ascii="宋体" w:hAnsi="宋体" w:cs="宋体" w:eastAsia="宋体" w:hint="default"/>
                <w:sz w:val="20"/>
                <w:szCs w:val="20"/>
              </w:rPr>
            </w:pPr>
            <w:r>
              <w:rPr>
                <w:rFonts w:ascii="宋体" w:hAnsi="宋体" w:cs="宋体" w:eastAsia="宋体" w:hint="default"/>
                <w:sz w:val="20"/>
                <w:szCs w:val="20"/>
              </w:rPr>
              <w:t>分配股票</w:t>
            </w:r>
          </w:p>
        </w:tc>
        <w:tc>
          <w:tcPr>
            <w:tcW w:w="1141" w:type="dxa"/>
            <w:tcBorders>
              <w:top w:val="single" w:sz="12" w:space="0" w:color="000000"/>
              <w:left w:val="nil" w:sz="6" w:space="0" w:color="auto"/>
              <w:bottom w:val="nil" w:sz="6" w:space="0" w:color="auto"/>
              <w:right w:val="nil" w:sz="6" w:space="0" w:color="auto"/>
            </w:tcBorders>
          </w:tcPr>
          <w:p>
            <w:pPr>
              <w:pStyle w:val="TableParagraph"/>
              <w:spacing w:line="230" w:lineRule="exact"/>
              <w:ind w:left="297"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700" w:type="dxa"/>
            <w:tcBorders>
              <w:top w:val="single" w:sz="12" w:space="0" w:color="000000"/>
              <w:left w:val="nil" w:sz="6" w:space="0" w:color="auto"/>
              <w:bottom w:val="nil" w:sz="6" w:space="0" w:color="auto"/>
              <w:right w:val="nil" w:sz="6" w:space="0" w:color="auto"/>
            </w:tcBorders>
          </w:tcPr>
          <w:p>
            <w:pPr>
              <w:pStyle w:val="TableParagraph"/>
              <w:spacing w:line="230" w:lineRule="exact"/>
              <w:ind w:left="670" w:right="0"/>
              <w:jc w:val="left"/>
              <w:rPr>
                <w:rFonts w:ascii="宋体" w:hAnsi="宋体" w:cs="宋体" w:eastAsia="宋体" w:hint="default"/>
                <w:sz w:val="20"/>
                <w:szCs w:val="20"/>
              </w:rPr>
            </w:pPr>
            <w:r>
              <w:rPr>
                <w:rFonts w:ascii="宋体" w:hAnsi="宋体" w:cs="宋体" w:eastAsia="宋体" w:hint="default"/>
                <w:sz w:val="20"/>
                <w:szCs w:val="20"/>
              </w:rPr>
              <w:t>限售股解禁</w:t>
            </w:r>
          </w:p>
        </w:tc>
        <w:tc>
          <w:tcPr>
            <w:tcW w:w="1344" w:type="dxa"/>
            <w:tcBorders>
              <w:top w:val="single" w:sz="12" w:space="0" w:color="000000"/>
              <w:left w:val="nil" w:sz="6" w:space="0" w:color="auto"/>
              <w:bottom w:val="nil" w:sz="6" w:space="0" w:color="auto"/>
              <w:right w:val="nil" w:sz="6" w:space="0" w:color="auto"/>
            </w:tcBorders>
          </w:tcPr>
          <w:p>
            <w:pPr>
              <w:pStyle w:val="TableParagraph"/>
              <w:spacing w:line="230" w:lineRule="exact"/>
              <w:ind w:left="309" w:right="0"/>
              <w:jc w:val="left"/>
              <w:rPr>
                <w:rFonts w:ascii="宋体" w:hAnsi="宋体" w:cs="宋体" w:eastAsia="宋体" w:hint="default"/>
                <w:sz w:val="20"/>
                <w:szCs w:val="20"/>
              </w:rPr>
            </w:pPr>
            <w:r>
              <w:rPr>
                <w:rFonts w:ascii="宋体" w:hAnsi="宋体" w:cs="宋体" w:eastAsia="宋体" w:hint="default"/>
                <w:sz w:val="20"/>
                <w:szCs w:val="20"/>
              </w:rPr>
              <w:t>非公开发行</w:t>
            </w:r>
          </w:p>
        </w:tc>
        <w:tc>
          <w:tcPr>
            <w:tcW w:w="1306" w:type="dxa"/>
            <w:tcBorders>
              <w:top w:val="single" w:sz="12" w:space="0" w:color="000000"/>
              <w:left w:val="nil" w:sz="6" w:space="0" w:color="auto"/>
              <w:bottom w:val="nil" w:sz="6" w:space="0" w:color="auto"/>
              <w:right w:val="nil" w:sz="6" w:space="0" w:color="auto"/>
            </w:tcBorders>
          </w:tcPr>
          <w:p>
            <w:pPr>
              <w:pStyle w:val="TableParagraph"/>
              <w:spacing w:line="230" w:lineRule="exact"/>
              <w:ind w:left="838"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2261" w:type="dxa"/>
            <w:tcBorders>
              <w:top w:val="nil" w:sz="6" w:space="0" w:color="auto"/>
              <w:left w:val="nil" w:sz="6" w:space="0" w:color="auto"/>
              <w:bottom w:val="nil" w:sz="6" w:space="0" w:color="auto"/>
              <w:right w:val="nil" w:sz="6" w:space="0" w:color="auto"/>
            </w:tcBorders>
          </w:tcPr>
          <w:p>
            <w:pPr>
              <w:pStyle w:val="TableParagraph"/>
              <w:spacing w:line="259" w:lineRule="exact"/>
              <w:ind w:right="55"/>
              <w:jc w:val="righ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tc>
      </w:tr>
      <w:tr>
        <w:trPr>
          <w:trHeight w:val="260" w:hRule="exact"/>
        </w:trPr>
        <w:tc>
          <w:tcPr>
            <w:tcW w:w="642" w:type="dxa"/>
            <w:tcBorders>
              <w:top w:val="nil" w:sz="6" w:space="0" w:color="auto"/>
              <w:left w:val="nil" w:sz="6" w:space="0" w:color="auto"/>
              <w:bottom w:val="nil" w:sz="6" w:space="0" w:color="auto"/>
              <w:right w:val="nil" w:sz="6" w:space="0" w:color="auto"/>
            </w:tcBorders>
          </w:tcPr>
          <w:p>
            <w:pPr/>
          </w:p>
        </w:tc>
        <w:tc>
          <w:tcPr>
            <w:tcW w:w="3339"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exact"/>
              <w:ind w:left="434"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060" w:type="dxa"/>
            <w:tcBorders>
              <w:top w:val="nil" w:sz="6" w:space="0" w:color="auto"/>
              <w:left w:val="nil" w:sz="6" w:space="0" w:color="auto"/>
              <w:bottom w:val="nil" w:sz="6" w:space="0" w:color="auto"/>
              <w:right w:val="nil" w:sz="6" w:space="0" w:color="auto"/>
            </w:tcBorders>
          </w:tcPr>
          <w:p>
            <w:pPr>
              <w:pStyle w:val="TableParagraph"/>
              <w:spacing w:line="225" w:lineRule="exact"/>
              <w:ind w:right="34"/>
              <w:jc w:val="right"/>
              <w:rPr>
                <w:rFonts w:ascii="宋体" w:hAnsi="宋体" w:cs="宋体" w:eastAsia="宋体" w:hint="default"/>
                <w:sz w:val="20"/>
                <w:szCs w:val="20"/>
              </w:rPr>
            </w:pPr>
            <w:r>
              <w:rPr>
                <w:rFonts w:ascii="宋体" w:hAnsi="宋体" w:cs="宋体" w:eastAsia="宋体" w:hint="default"/>
                <w:sz w:val="20"/>
                <w:szCs w:val="20"/>
              </w:rPr>
              <w:t>股利</w:t>
            </w:r>
          </w:p>
        </w:tc>
        <w:tc>
          <w:tcPr>
            <w:tcW w:w="1141" w:type="dxa"/>
            <w:tcBorders>
              <w:top w:val="nil" w:sz="6" w:space="0" w:color="auto"/>
              <w:left w:val="nil" w:sz="6" w:space="0" w:color="auto"/>
              <w:bottom w:val="nil" w:sz="6" w:space="0" w:color="auto"/>
              <w:right w:val="nil" w:sz="6" w:space="0" w:color="auto"/>
            </w:tcBorders>
          </w:tcPr>
          <w:p>
            <w:pPr>
              <w:pStyle w:val="TableParagraph"/>
              <w:spacing w:line="225" w:lineRule="exact"/>
              <w:ind w:left="296" w:right="0"/>
              <w:jc w:val="left"/>
              <w:rPr>
                <w:rFonts w:ascii="宋体" w:hAnsi="宋体" w:cs="宋体" w:eastAsia="宋体" w:hint="default"/>
                <w:sz w:val="20"/>
                <w:szCs w:val="20"/>
              </w:rPr>
            </w:pPr>
            <w:r>
              <w:rPr>
                <w:rFonts w:ascii="宋体" w:hAnsi="宋体" w:cs="宋体" w:eastAsia="宋体" w:hint="default"/>
                <w:sz w:val="20"/>
                <w:szCs w:val="20"/>
              </w:rPr>
              <w:t>转增股本</w:t>
            </w:r>
          </w:p>
        </w:tc>
        <w:tc>
          <w:tcPr>
            <w:tcW w:w="170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25" w:lineRule="exact"/>
              <w:ind w:right="32"/>
              <w:jc w:val="right"/>
              <w:rPr>
                <w:rFonts w:ascii="宋体" w:hAnsi="宋体" w:cs="宋体" w:eastAsia="宋体" w:hint="default"/>
                <w:sz w:val="20"/>
                <w:szCs w:val="20"/>
              </w:rPr>
            </w:pPr>
            <w:r>
              <w:rPr>
                <w:rFonts w:ascii="宋体" w:hAnsi="宋体" w:cs="宋体" w:eastAsia="宋体" w:hint="default"/>
                <w:sz w:val="20"/>
                <w:szCs w:val="20"/>
              </w:rPr>
              <w:t>股票</w:t>
            </w:r>
          </w:p>
        </w:tc>
        <w:tc>
          <w:tcPr>
            <w:tcW w:w="1306"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exact"/>
              <w:ind w:left="1207"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r>
      <w:tr>
        <w:trPr>
          <w:trHeight w:val="260" w:hRule="exact"/>
        </w:trPr>
        <w:tc>
          <w:tcPr>
            <w:tcW w:w="642" w:type="dxa"/>
            <w:tcBorders>
              <w:top w:val="nil" w:sz="6" w:space="0" w:color="auto"/>
              <w:left w:val="nil" w:sz="6" w:space="0" w:color="auto"/>
              <w:bottom w:val="nil" w:sz="6" w:space="0" w:color="auto"/>
              <w:right w:val="nil" w:sz="6" w:space="0" w:color="auto"/>
            </w:tcBorders>
          </w:tcPr>
          <w:p>
            <w:pPr/>
          </w:p>
        </w:tc>
        <w:tc>
          <w:tcPr>
            <w:tcW w:w="3339" w:type="dxa"/>
            <w:tcBorders>
              <w:top w:val="nil" w:sz="6" w:space="0" w:color="auto"/>
              <w:left w:val="nil" w:sz="6" w:space="0" w:color="auto"/>
              <w:bottom w:val="nil" w:sz="6" w:space="0" w:color="auto"/>
              <w:right w:val="nil" w:sz="6" w:space="0" w:color="auto"/>
            </w:tcBorders>
          </w:tcPr>
          <w:p>
            <w:pPr>
              <w:pStyle w:val="TableParagraph"/>
              <w:spacing w:line="239" w:lineRule="exact"/>
              <w:ind w:left="43" w:right="0"/>
              <w:jc w:val="left"/>
              <w:rPr>
                <w:rFonts w:ascii="Arial" w:hAnsi="Arial" w:cs="Arial" w:eastAsia="Arial" w:hint="default"/>
                <w:sz w:val="20"/>
                <w:szCs w:val="20"/>
              </w:rPr>
            </w:pPr>
            <w:r>
              <w:rPr>
                <w:rFonts w:ascii="宋体" w:hAnsi="宋体" w:cs="宋体" w:eastAsia="宋体" w:hint="default"/>
                <w:sz w:val="20"/>
                <w:szCs w:val="20"/>
              </w:rPr>
              <w:t>有限售条件股份</w:t>
            </w:r>
            <w:r>
              <w:rPr>
                <w:rFonts w:ascii="宋体" w:hAnsi="宋体" w:cs="宋体" w:eastAsia="宋体" w:hint="default"/>
                <w:spacing w:val="-3"/>
                <w:sz w:val="20"/>
                <w:szCs w:val="20"/>
              </w:rPr>
              <w:t> </w:t>
            </w:r>
            <w:r>
              <w:rPr>
                <w:rFonts w:ascii="Arial" w:hAnsi="Arial" w:cs="Arial" w:eastAsia="Arial" w:hint="default"/>
                <w:sz w:val="20"/>
                <w:szCs w:val="20"/>
              </w:rPr>
              <w:t>-</w:t>
            </w:r>
          </w:p>
        </w:tc>
        <w:tc>
          <w:tcPr>
            <w:tcW w:w="1608"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
        </w:tc>
      </w:tr>
      <w:tr>
        <w:trPr>
          <w:trHeight w:val="266" w:hRule="exact"/>
        </w:trPr>
        <w:tc>
          <w:tcPr>
            <w:tcW w:w="642" w:type="dxa"/>
            <w:tcBorders>
              <w:top w:val="nil" w:sz="6" w:space="0" w:color="auto"/>
              <w:left w:val="nil" w:sz="6" w:space="0" w:color="auto"/>
              <w:bottom w:val="nil" w:sz="6" w:space="0" w:color="auto"/>
              <w:right w:val="nil" w:sz="6" w:space="0" w:color="auto"/>
            </w:tcBorders>
          </w:tcPr>
          <w:p>
            <w:pPr/>
          </w:p>
        </w:tc>
        <w:tc>
          <w:tcPr>
            <w:tcW w:w="3339" w:type="dxa"/>
            <w:tcBorders>
              <w:top w:val="nil" w:sz="6" w:space="0" w:color="auto"/>
              <w:left w:val="nil" w:sz="6" w:space="0" w:color="auto"/>
              <w:bottom w:val="nil" w:sz="6" w:space="0" w:color="auto"/>
              <w:right w:val="nil" w:sz="6" w:space="0" w:color="auto"/>
            </w:tcBorders>
          </w:tcPr>
          <w:p>
            <w:pPr>
              <w:pStyle w:val="TableParagraph"/>
              <w:spacing w:line="225" w:lineRule="exact"/>
              <w:ind w:left="219" w:right="0"/>
              <w:jc w:val="left"/>
              <w:rPr>
                <w:rFonts w:ascii="宋体" w:hAnsi="宋体" w:cs="宋体" w:eastAsia="宋体" w:hint="default"/>
                <w:sz w:val="20"/>
                <w:szCs w:val="20"/>
              </w:rPr>
            </w:pPr>
            <w:r>
              <w:rPr>
                <w:rFonts w:ascii="宋体" w:hAnsi="宋体" w:cs="宋体" w:eastAsia="宋体" w:hint="default"/>
                <w:sz w:val="20"/>
                <w:szCs w:val="20"/>
              </w:rPr>
              <w:t>国有法人持股</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00" w:right="0"/>
              <w:jc w:val="left"/>
              <w:rPr>
                <w:rFonts w:ascii="Arial" w:hAnsi="Arial" w:cs="Arial" w:eastAsia="Arial" w:hint="default"/>
                <w:sz w:val="20"/>
                <w:szCs w:val="20"/>
              </w:rPr>
            </w:pPr>
            <w:r>
              <w:rPr>
                <w:rFonts w:ascii="Arial"/>
                <w:sz w:val="20"/>
              </w:rPr>
              <w:t>10,000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8"/>
              <w:jc w:val="right"/>
              <w:rPr>
                <w:rFonts w:ascii="Arial" w:hAnsi="Arial" w:cs="Arial" w:eastAsia="Arial" w:hint="default"/>
                <w:sz w:val="20"/>
                <w:szCs w:val="20"/>
              </w:rPr>
            </w:pPr>
            <w:r>
              <w:rPr>
                <w:rFonts w:ascii="Arial"/>
                <w:sz w:val="20"/>
              </w:rPr>
              <w:t>2,000</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3" w:right="0"/>
              <w:jc w:val="left"/>
              <w:rPr>
                <w:rFonts w:ascii="Arial" w:hAnsi="Arial" w:cs="Arial" w:eastAsia="Arial" w:hint="default"/>
                <w:sz w:val="20"/>
                <w:szCs w:val="20"/>
              </w:rPr>
            </w:pPr>
            <w:r>
              <w:rPr>
                <w:rFonts w:ascii="Arial"/>
                <w:sz w:val="20"/>
              </w:rPr>
              <w:t>3,000</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10" w:right="0"/>
              <w:jc w:val="left"/>
              <w:rPr>
                <w:rFonts w:ascii="Arial" w:hAnsi="Arial" w:cs="Arial" w:eastAsia="Arial" w:hint="default"/>
                <w:sz w:val="20"/>
                <w:szCs w:val="20"/>
              </w:rPr>
            </w:pPr>
            <w:r>
              <w:rPr>
                <w:rFonts w:ascii="Arial"/>
                <w:sz w:val="20"/>
              </w:rPr>
              <w:t>(15,000)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9"/>
              <w:jc w:val="right"/>
              <w:rPr>
                <w:rFonts w:ascii="Arial" w:hAnsi="Arial" w:cs="Arial" w:eastAsia="Arial" w:hint="default"/>
                <w:sz w:val="20"/>
                <w:szCs w:val="20"/>
              </w:rPr>
            </w:pPr>
            <w:r>
              <w:rPr>
                <w:rFonts w:ascii="Arial"/>
                <w:w w:val="100"/>
                <w:sz w:val="20"/>
              </w:rPr>
              <w:t>-</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60" w:right="0"/>
              <w:jc w:val="left"/>
              <w:rPr>
                <w:rFonts w:ascii="Arial" w:hAnsi="Arial" w:cs="Arial" w:eastAsia="Arial" w:hint="default"/>
                <w:sz w:val="20"/>
                <w:szCs w:val="20"/>
              </w:rPr>
            </w:pPr>
            <w:r>
              <w:rPr>
                <w:rFonts w:ascii="Arial"/>
                <w:spacing w:val="-1"/>
                <w:sz w:val="20"/>
              </w:rPr>
              <w:t>(10,000)</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7"/>
              <w:jc w:val="right"/>
              <w:rPr>
                <w:rFonts w:ascii="Arial" w:hAnsi="Arial" w:cs="Arial" w:eastAsia="Arial" w:hint="default"/>
                <w:sz w:val="20"/>
                <w:szCs w:val="20"/>
              </w:rPr>
            </w:pPr>
            <w:r>
              <w:rPr>
                <w:rFonts w:ascii="Arial"/>
                <w:w w:val="100"/>
                <w:sz w:val="20"/>
              </w:rPr>
              <w:t>-</w:t>
            </w:r>
          </w:p>
        </w:tc>
      </w:tr>
      <w:tr>
        <w:trPr>
          <w:trHeight w:val="265" w:hRule="exact"/>
        </w:trPr>
        <w:tc>
          <w:tcPr>
            <w:tcW w:w="642" w:type="dxa"/>
            <w:tcBorders>
              <w:top w:val="nil" w:sz="6" w:space="0" w:color="auto"/>
              <w:left w:val="nil" w:sz="6" w:space="0" w:color="auto"/>
              <w:bottom w:val="nil" w:sz="6" w:space="0" w:color="auto"/>
              <w:right w:val="nil" w:sz="6" w:space="0" w:color="auto"/>
            </w:tcBorders>
          </w:tcPr>
          <w:p>
            <w:pPr/>
          </w:p>
        </w:tc>
        <w:tc>
          <w:tcPr>
            <w:tcW w:w="3339" w:type="dxa"/>
            <w:tcBorders>
              <w:top w:val="nil" w:sz="6" w:space="0" w:color="auto"/>
              <w:left w:val="nil" w:sz="6" w:space="0" w:color="auto"/>
              <w:bottom w:val="nil" w:sz="6" w:space="0" w:color="auto"/>
              <w:right w:val="nil" w:sz="6" w:space="0" w:color="auto"/>
            </w:tcBorders>
          </w:tcPr>
          <w:p>
            <w:pPr>
              <w:pStyle w:val="TableParagraph"/>
              <w:spacing w:line="218" w:lineRule="exact"/>
              <w:ind w:left="219" w:right="0"/>
              <w:jc w:val="left"/>
              <w:rPr>
                <w:rFonts w:ascii="宋体" w:hAnsi="宋体" w:cs="宋体" w:eastAsia="宋体" w:hint="default"/>
                <w:sz w:val="20"/>
                <w:szCs w:val="20"/>
              </w:rPr>
            </w:pPr>
            <w:r>
              <w:rPr>
                <w:rFonts w:ascii="宋体" w:hAnsi="宋体" w:cs="宋体" w:eastAsia="宋体" w:hint="default"/>
                <w:sz w:val="20"/>
                <w:szCs w:val="20"/>
              </w:rPr>
              <w:t>其他内资持股</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90" w:right="0"/>
              <w:jc w:val="left"/>
              <w:rPr>
                <w:rFonts w:ascii="Arial" w:hAnsi="Arial" w:cs="Arial" w:eastAsia="Arial" w:hint="default"/>
                <w:sz w:val="20"/>
                <w:szCs w:val="20"/>
              </w:rPr>
            </w:pPr>
            <w:r>
              <w:rPr>
                <w:rFonts w:ascii="Arial"/>
                <w:sz w:val="20"/>
              </w:rPr>
              <w:t>993,962</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8"/>
              <w:jc w:val="right"/>
              <w:rPr>
                <w:rFonts w:ascii="Arial" w:hAnsi="Arial" w:cs="Arial" w:eastAsia="Arial" w:hint="default"/>
                <w:sz w:val="20"/>
                <w:szCs w:val="20"/>
              </w:rPr>
            </w:pPr>
            <w:r>
              <w:rPr>
                <w:rFonts w:ascii="Arial"/>
                <w:spacing w:val="-1"/>
                <w:sz w:val="20"/>
              </w:rPr>
              <w:t>198,792</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1" w:right="0"/>
              <w:jc w:val="left"/>
              <w:rPr>
                <w:rFonts w:ascii="Arial" w:hAnsi="Arial" w:cs="Arial" w:eastAsia="Arial" w:hint="default"/>
                <w:sz w:val="20"/>
                <w:szCs w:val="20"/>
              </w:rPr>
            </w:pPr>
            <w:r>
              <w:rPr>
                <w:rFonts w:ascii="Arial"/>
                <w:sz w:val="20"/>
              </w:rPr>
              <w:t>298,188</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00" w:right="0"/>
              <w:jc w:val="left"/>
              <w:rPr>
                <w:rFonts w:ascii="Arial" w:hAnsi="Arial" w:cs="Arial" w:eastAsia="Arial" w:hint="default"/>
                <w:sz w:val="20"/>
                <w:szCs w:val="20"/>
              </w:rPr>
            </w:pPr>
            <w:r>
              <w:rPr>
                <w:rFonts w:ascii="Arial"/>
                <w:sz w:val="20"/>
              </w:rPr>
              <w:t>(147,000)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71" w:right="0"/>
              <w:jc w:val="left"/>
              <w:rPr>
                <w:rFonts w:ascii="Arial" w:hAnsi="Arial" w:cs="Arial" w:eastAsia="Arial" w:hint="default"/>
                <w:sz w:val="20"/>
                <w:szCs w:val="20"/>
              </w:rPr>
            </w:pPr>
            <w:r>
              <w:rPr>
                <w:rFonts w:ascii="Arial"/>
                <w:sz w:val="20"/>
              </w:rPr>
              <w:t>159,442</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15" w:right="0"/>
              <w:jc w:val="left"/>
              <w:rPr>
                <w:rFonts w:ascii="Arial" w:hAnsi="Arial" w:cs="Arial" w:eastAsia="Arial" w:hint="default"/>
                <w:sz w:val="20"/>
                <w:szCs w:val="20"/>
              </w:rPr>
            </w:pPr>
            <w:r>
              <w:rPr>
                <w:rFonts w:ascii="Arial"/>
                <w:sz w:val="20"/>
              </w:rPr>
              <w:t>509,422</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81" w:right="0"/>
              <w:jc w:val="left"/>
              <w:rPr>
                <w:rFonts w:ascii="Arial" w:hAnsi="Arial" w:cs="Arial" w:eastAsia="Arial" w:hint="default"/>
                <w:sz w:val="20"/>
                <w:szCs w:val="20"/>
              </w:rPr>
            </w:pPr>
            <w:r>
              <w:rPr>
                <w:rFonts w:ascii="Arial"/>
                <w:sz w:val="20"/>
              </w:rPr>
              <w:t>1,503,384</w:t>
            </w:r>
          </w:p>
        </w:tc>
      </w:tr>
      <w:tr>
        <w:trPr>
          <w:trHeight w:val="307" w:hRule="exact"/>
        </w:trPr>
        <w:tc>
          <w:tcPr>
            <w:tcW w:w="642" w:type="dxa"/>
            <w:tcBorders>
              <w:top w:val="nil" w:sz="6" w:space="0" w:color="auto"/>
              <w:left w:val="nil" w:sz="6" w:space="0" w:color="auto"/>
              <w:bottom w:val="nil" w:sz="6" w:space="0" w:color="auto"/>
              <w:right w:val="nil" w:sz="6" w:space="0" w:color="auto"/>
            </w:tcBorders>
          </w:tcPr>
          <w:p>
            <w:pPr/>
          </w:p>
        </w:tc>
        <w:tc>
          <w:tcPr>
            <w:tcW w:w="3339" w:type="dxa"/>
            <w:tcBorders>
              <w:top w:val="nil" w:sz="6" w:space="0" w:color="auto"/>
              <w:left w:val="nil" w:sz="6" w:space="0" w:color="auto"/>
              <w:bottom w:val="nil" w:sz="6" w:space="0" w:color="auto"/>
              <w:right w:val="nil" w:sz="6" w:space="0" w:color="auto"/>
            </w:tcBorders>
          </w:tcPr>
          <w:p>
            <w:pPr>
              <w:pStyle w:val="TableParagraph"/>
              <w:spacing w:line="224" w:lineRule="exact"/>
              <w:ind w:left="214" w:right="0"/>
              <w:jc w:val="left"/>
              <w:rPr>
                <w:rFonts w:ascii="宋体" w:hAnsi="宋体" w:cs="宋体" w:eastAsia="宋体" w:hint="default"/>
                <w:sz w:val="20"/>
                <w:szCs w:val="20"/>
              </w:rPr>
            </w:pPr>
            <w:r>
              <w:rPr>
                <w:rFonts w:ascii="宋体" w:hAnsi="宋体" w:cs="宋体" w:eastAsia="宋体" w:hint="default"/>
                <w:sz w:val="20"/>
                <w:szCs w:val="20"/>
              </w:rPr>
              <w:t>其中：境内非国有法人持股</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800" w:right="0"/>
              <w:jc w:val="left"/>
              <w:rPr>
                <w:rFonts w:ascii="Arial" w:hAnsi="Arial" w:cs="Arial" w:eastAsia="Arial" w:hint="default"/>
                <w:sz w:val="20"/>
                <w:szCs w:val="20"/>
              </w:rPr>
            </w:pPr>
            <w:r>
              <w:rPr>
                <w:rFonts w:ascii="Arial"/>
                <w:sz w:val="20"/>
              </w:rPr>
              <w:t>98,000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8"/>
              <w:jc w:val="right"/>
              <w:rPr>
                <w:rFonts w:ascii="Arial" w:hAnsi="Arial" w:cs="Arial" w:eastAsia="Arial" w:hint="default"/>
                <w:sz w:val="20"/>
                <w:szCs w:val="20"/>
              </w:rPr>
            </w:pPr>
            <w:r>
              <w:rPr>
                <w:rFonts w:ascii="Arial"/>
                <w:sz w:val="20"/>
              </w:rPr>
              <w:t>19,600</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61" w:right="0"/>
              <w:jc w:val="left"/>
              <w:rPr>
                <w:rFonts w:ascii="Arial" w:hAnsi="Arial" w:cs="Arial" w:eastAsia="Arial" w:hint="default"/>
                <w:sz w:val="20"/>
                <w:szCs w:val="20"/>
              </w:rPr>
            </w:pPr>
            <w:r>
              <w:rPr>
                <w:rFonts w:ascii="Arial"/>
                <w:sz w:val="20"/>
              </w:rPr>
              <w:t>29,400</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800" w:right="0"/>
              <w:jc w:val="left"/>
              <w:rPr>
                <w:rFonts w:ascii="Arial" w:hAnsi="Arial" w:cs="Arial" w:eastAsia="Arial" w:hint="default"/>
                <w:sz w:val="20"/>
                <w:szCs w:val="20"/>
              </w:rPr>
            </w:pPr>
            <w:r>
              <w:rPr>
                <w:rFonts w:ascii="Arial"/>
                <w:sz w:val="20"/>
              </w:rPr>
              <w:t>(147,000)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0" w:right="0"/>
              <w:jc w:val="left"/>
              <w:rPr>
                <w:rFonts w:ascii="Arial" w:hAnsi="Arial" w:cs="Arial" w:eastAsia="Arial" w:hint="default"/>
                <w:sz w:val="20"/>
                <w:szCs w:val="20"/>
              </w:rPr>
            </w:pPr>
            <w:r>
              <w:rPr>
                <w:rFonts w:ascii="Arial"/>
                <w:sz w:val="20"/>
              </w:rPr>
              <w:t>142,000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25" w:right="0"/>
              <w:jc w:val="left"/>
              <w:rPr>
                <w:rFonts w:ascii="Arial" w:hAnsi="Arial" w:cs="Arial" w:eastAsia="Arial" w:hint="default"/>
                <w:sz w:val="20"/>
                <w:szCs w:val="20"/>
              </w:rPr>
            </w:pPr>
            <w:r>
              <w:rPr>
                <w:rFonts w:ascii="Arial"/>
                <w:sz w:val="20"/>
              </w:rPr>
              <w:t>44,000</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448" w:right="0"/>
              <w:jc w:val="left"/>
              <w:rPr>
                <w:rFonts w:ascii="Arial" w:hAnsi="Arial" w:cs="Arial" w:eastAsia="Arial" w:hint="default"/>
                <w:sz w:val="20"/>
                <w:szCs w:val="20"/>
              </w:rPr>
            </w:pPr>
            <w:r>
              <w:rPr>
                <w:rFonts w:ascii="Arial"/>
                <w:sz w:val="20"/>
              </w:rPr>
              <w:t>142,000</w:t>
            </w:r>
          </w:p>
        </w:tc>
      </w:tr>
      <w:tr>
        <w:trPr>
          <w:trHeight w:val="335" w:hRule="exact"/>
        </w:trPr>
        <w:tc>
          <w:tcPr>
            <w:tcW w:w="5590" w:type="dxa"/>
            <w:gridSpan w:val="3"/>
            <w:tcBorders>
              <w:top w:val="nil" w:sz="6" w:space="0" w:color="auto"/>
              <w:left w:val="nil" w:sz="6" w:space="0" w:color="auto"/>
              <w:bottom w:val="nil" w:sz="6" w:space="0" w:color="auto"/>
              <w:right w:val="nil" w:sz="6" w:space="0" w:color="auto"/>
            </w:tcBorders>
          </w:tcPr>
          <w:p>
            <w:pPr>
              <w:pStyle w:val="TableParagraph"/>
              <w:tabs>
                <w:tab w:pos="4671" w:val="left" w:leader="none"/>
              </w:tabs>
              <w:spacing w:line="205" w:lineRule="exact"/>
              <w:ind w:left="1464" w:right="0"/>
              <w:jc w:val="left"/>
              <w:rPr>
                <w:rFonts w:ascii="Arial" w:hAnsi="Arial" w:cs="Arial" w:eastAsia="Arial" w:hint="default"/>
                <w:sz w:val="20"/>
                <w:szCs w:val="20"/>
              </w:rPr>
            </w:pPr>
            <w:r>
              <w:rPr>
                <w:rFonts w:ascii="宋体" w:hAnsi="宋体" w:cs="宋体" w:eastAsia="宋体" w:hint="default"/>
                <w:spacing w:val="-1"/>
                <w:position w:val="1"/>
                <w:sz w:val="20"/>
                <w:szCs w:val="20"/>
              </w:rPr>
              <w:t>境内自然人持股</w:t>
              <w:tab/>
            </w:r>
            <w:r>
              <w:rPr>
                <w:rFonts w:ascii="Arial" w:hAnsi="Arial" w:cs="Arial" w:eastAsia="Arial" w:hint="default"/>
                <w:spacing w:val="-1"/>
                <w:sz w:val="20"/>
                <w:szCs w:val="20"/>
              </w:rPr>
              <w:t>895,962</w:t>
            </w:r>
          </w:p>
        </w:tc>
        <w:tc>
          <w:tcPr>
            <w:tcW w:w="1060" w:type="dxa"/>
            <w:tcBorders>
              <w:top w:val="nil" w:sz="6" w:space="0" w:color="auto"/>
              <w:left w:val="nil" w:sz="6" w:space="0" w:color="auto"/>
              <w:bottom w:val="nil" w:sz="6" w:space="0" w:color="auto"/>
              <w:right w:val="nil" w:sz="6" w:space="0" w:color="auto"/>
            </w:tcBorders>
          </w:tcPr>
          <w:p>
            <w:pPr>
              <w:pStyle w:val="TableParagraph"/>
              <w:spacing w:line="205" w:lineRule="exact"/>
              <w:ind w:right="48"/>
              <w:jc w:val="right"/>
              <w:rPr>
                <w:rFonts w:ascii="Arial" w:hAnsi="Arial" w:cs="Arial" w:eastAsia="Arial" w:hint="default"/>
                <w:sz w:val="20"/>
                <w:szCs w:val="20"/>
              </w:rPr>
            </w:pPr>
            <w:r>
              <w:rPr>
                <w:rFonts w:ascii="Arial"/>
                <w:spacing w:val="-1"/>
                <w:sz w:val="20"/>
              </w:rPr>
              <w:t>179,192</w:t>
            </w:r>
          </w:p>
        </w:tc>
        <w:tc>
          <w:tcPr>
            <w:tcW w:w="1141" w:type="dxa"/>
            <w:tcBorders>
              <w:top w:val="nil" w:sz="6" w:space="0" w:color="auto"/>
              <w:left w:val="nil" w:sz="6" w:space="0" w:color="auto"/>
              <w:bottom w:val="nil" w:sz="6" w:space="0" w:color="auto"/>
              <w:right w:val="nil" w:sz="6" w:space="0" w:color="auto"/>
            </w:tcBorders>
          </w:tcPr>
          <w:p>
            <w:pPr>
              <w:pStyle w:val="TableParagraph"/>
              <w:spacing w:line="205" w:lineRule="exact"/>
              <w:ind w:left="351" w:right="0"/>
              <w:jc w:val="left"/>
              <w:rPr>
                <w:rFonts w:ascii="Arial" w:hAnsi="Arial" w:cs="Arial" w:eastAsia="Arial" w:hint="default"/>
                <w:sz w:val="20"/>
                <w:szCs w:val="20"/>
              </w:rPr>
            </w:pPr>
            <w:r>
              <w:rPr>
                <w:rFonts w:ascii="Arial"/>
                <w:sz w:val="20"/>
              </w:rPr>
              <w:t>268,788</w:t>
            </w:r>
          </w:p>
        </w:tc>
        <w:tc>
          <w:tcPr>
            <w:tcW w:w="3044" w:type="dxa"/>
            <w:gridSpan w:val="2"/>
            <w:tcBorders>
              <w:top w:val="nil" w:sz="6" w:space="0" w:color="auto"/>
              <w:left w:val="nil" w:sz="6" w:space="0" w:color="auto"/>
              <w:bottom w:val="nil" w:sz="6" w:space="0" w:color="auto"/>
              <w:right w:val="nil" w:sz="6" w:space="0" w:color="auto"/>
            </w:tcBorders>
          </w:tcPr>
          <w:p>
            <w:pPr>
              <w:pStyle w:val="TableParagraph"/>
              <w:tabs>
                <w:tab w:pos="2381" w:val="left" w:leader="none"/>
              </w:tabs>
              <w:spacing w:line="205" w:lineRule="exact"/>
              <w:ind w:left="1425" w:right="0"/>
              <w:jc w:val="left"/>
              <w:rPr>
                <w:rFonts w:ascii="Arial" w:hAnsi="Arial" w:cs="Arial" w:eastAsia="Arial" w:hint="default"/>
                <w:sz w:val="20"/>
                <w:szCs w:val="20"/>
              </w:rPr>
            </w:pPr>
            <w:r>
              <w:rPr>
                <w:rFonts w:ascii="Arial"/>
                <w:sz w:val="20"/>
              </w:rPr>
              <w:t>-</w:t>
              <w:tab/>
              <w:t>17,442</w:t>
            </w:r>
          </w:p>
        </w:tc>
        <w:tc>
          <w:tcPr>
            <w:tcW w:w="1306" w:type="dxa"/>
            <w:tcBorders>
              <w:top w:val="nil" w:sz="6" w:space="0" w:color="auto"/>
              <w:left w:val="nil" w:sz="6" w:space="0" w:color="auto"/>
              <w:bottom w:val="nil" w:sz="6" w:space="0" w:color="auto"/>
              <w:right w:val="nil" w:sz="6" w:space="0" w:color="auto"/>
            </w:tcBorders>
          </w:tcPr>
          <w:p>
            <w:pPr>
              <w:pStyle w:val="TableParagraph"/>
              <w:spacing w:line="205" w:lineRule="exact"/>
              <w:ind w:left="515" w:right="0"/>
              <w:jc w:val="left"/>
              <w:rPr>
                <w:rFonts w:ascii="Arial" w:hAnsi="Arial" w:cs="Arial" w:eastAsia="Arial" w:hint="default"/>
                <w:sz w:val="20"/>
                <w:szCs w:val="20"/>
              </w:rPr>
            </w:pPr>
            <w:r>
              <w:rPr>
                <w:rFonts w:ascii="Arial"/>
                <w:sz w:val="20"/>
              </w:rPr>
              <w:t>465,422</w:t>
            </w:r>
          </w:p>
        </w:tc>
        <w:tc>
          <w:tcPr>
            <w:tcW w:w="2261" w:type="dxa"/>
            <w:tcBorders>
              <w:top w:val="nil" w:sz="6" w:space="0" w:color="auto"/>
              <w:left w:val="nil" w:sz="6" w:space="0" w:color="auto"/>
              <w:bottom w:val="nil" w:sz="6" w:space="0" w:color="auto"/>
              <w:right w:val="nil" w:sz="6" w:space="0" w:color="auto"/>
            </w:tcBorders>
          </w:tcPr>
          <w:p>
            <w:pPr>
              <w:pStyle w:val="TableParagraph"/>
              <w:spacing w:line="205" w:lineRule="exact"/>
              <w:ind w:left="1281" w:right="0"/>
              <w:jc w:val="left"/>
              <w:rPr>
                <w:rFonts w:ascii="Arial" w:hAnsi="Arial" w:cs="Arial" w:eastAsia="Arial" w:hint="default"/>
                <w:sz w:val="20"/>
                <w:szCs w:val="20"/>
              </w:rPr>
            </w:pPr>
            <w:r>
              <w:rPr>
                <w:rFonts w:ascii="Arial"/>
                <w:sz w:val="20"/>
              </w:rPr>
              <w:t>1,361,384</w:t>
            </w:r>
          </w:p>
        </w:tc>
      </w:tr>
      <w:tr>
        <w:trPr>
          <w:trHeight w:val="347" w:hRule="exact"/>
        </w:trPr>
        <w:tc>
          <w:tcPr>
            <w:tcW w:w="5590" w:type="dxa"/>
            <w:gridSpan w:val="3"/>
            <w:tcBorders>
              <w:top w:val="nil" w:sz="6" w:space="0" w:color="auto"/>
              <w:left w:val="nil" w:sz="6" w:space="0" w:color="auto"/>
              <w:bottom w:val="nil" w:sz="6" w:space="0" w:color="auto"/>
              <w:right w:val="nil" w:sz="6" w:space="0" w:color="auto"/>
            </w:tcBorders>
          </w:tcPr>
          <w:p>
            <w:pPr>
              <w:pStyle w:val="TableParagraph"/>
              <w:tabs>
                <w:tab w:pos="5328" w:val="left" w:leader="none"/>
              </w:tabs>
              <w:spacing w:line="240" w:lineRule="auto" w:before="54"/>
              <w:ind w:left="861" w:right="0"/>
              <w:jc w:val="left"/>
              <w:rPr>
                <w:rFonts w:ascii="Arial" w:hAnsi="Arial" w:cs="Arial" w:eastAsia="Arial" w:hint="default"/>
                <w:sz w:val="20"/>
                <w:szCs w:val="20"/>
              </w:rPr>
            </w:pPr>
            <w:r>
              <w:rPr>
                <w:rFonts w:ascii="宋体" w:hAnsi="宋体" w:cs="宋体" w:eastAsia="宋体" w:hint="default"/>
                <w:position w:val="1"/>
                <w:sz w:val="20"/>
                <w:szCs w:val="20"/>
              </w:rPr>
              <w:t>外资持股</w:t>
              <w:tab/>
            </w:r>
            <w:r>
              <w:rPr>
                <w:rFonts w:ascii="Arial" w:hAnsi="Arial" w:cs="Arial" w:eastAsia="Arial" w:hint="default"/>
                <w:sz w:val="20"/>
                <w:szCs w:val="20"/>
              </w:rPr>
              <w:t>-</w:t>
            </w:r>
          </w:p>
        </w:tc>
        <w:tc>
          <w:tcPr>
            <w:tcW w:w="1060"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48"/>
              <w:jc w:val="right"/>
              <w:rPr>
                <w:rFonts w:ascii="Arial" w:hAnsi="Arial" w:cs="Arial" w:eastAsia="Arial" w:hint="default"/>
                <w:sz w:val="20"/>
                <w:szCs w:val="20"/>
              </w:rPr>
            </w:pPr>
            <w:r>
              <w:rPr>
                <w:rFonts w:ascii="Arial"/>
                <w:w w:val="100"/>
                <w:sz w:val="20"/>
              </w:rPr>
              <w:t>-</w:t>
            </w:r>
          </w:p>
        </w:tc>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64"/>
              <w:jc w:val="right"/>
              <w:rPr>
                <w:rFonts w:ascii="Arial" w:hAnsi="Arial" w:cs="Arial" w:eastAsia="Arial" w:hint="default"/>
                <w:sz w:val="20"/>
                <w:szCs w:val="20"/>
              </w:rPr>
            </w:pPr>
            <w:r>
              <w:rPr>
                <w:rFonts w:ascii="Arial"/>
                <w:w w:val="100"/>
                <w:sz w:val="20"/>
              </w:rPr>
              <w:t>-</w:t>
            </w:r>
          </w:p>
        </w:tc>
        <w:tc>
          <w:tcPr>
            <w:tcW w:w="3044" w:type="dxa"/>
            <w:gridSpan w:val="2"/>
            <w:tcBorders>
              <w:top w:val="nil" w:sz="6" w:space="0" w:color="auto"/>
              <w:left w:val="nil" w:sz="6" w:space="0" w:color="auto"/>
              <w:bottom w:val="single" w:sz="4" w:space="0" w:color="000000"/>
              <w:right w:val="nil" w:sz="6" w:space="0" w:color="auto"/>
            </w:tcBorders>
          </w:tcPr>
          <w:p>
            <w:pPr>
              <w:pStyle w:val="TableParagraph"/>
              <w:tabs>
                <w:tab w:pos="2381" w:val="left" w:leader="none"/>
              </w:tabs>
              <w:spacing w:line="240" w:lineRule="auto" w:before="110"/>
              <w:ind w:left="1425" w:right="0"/>
              <w:jc w:val="left"/>
              <w:rPr>
                <w:rFonts w:ascii="Arial" w:hAnsi="Arial" w:cs="Arial" w:eastAsia="Arial" w:hint="default"/>
                <w:sz w:val="20"/>
                <w:szCs w:val="20"/>
              </w:rPr>
            </w:pPr>
            <w:r>
              <w:rPr>
                <w:rFonts w:ascii="Arial"/>
                <w:sz w:val="20"/>
              </w:rPr>
              <w:t>-</w:t>
              <w:tab/>
              <w:t>18,187</w:t>
            </w:r>
          </w:p>
        </w:tc>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left="626" w:right="0"/>
              <w:jc w:val="left"/>
              <w:rPr>
                <w:rFonts w:ascii="Arial" w:hAnsi="Arial" w:cs="Arial" w:eastAsia="Arial" w:hint="default"/>
                <w:sz w:val="20"/>
                <w:szCs w:val="20"/>
              </w:rPr>
            </w:pPr>
            <w:r>
              <w:rPr>
                <w:rFonts w:ascii="Arial"/>
                <w:sz w:val="20"/>
              </w:rPr>
              <w:t>18,187</w:t>
            </w:r>
          </w:p>
        </w:tc>
        <w:tc>
          <w:tcPr>
            <w:tcW w:w="2261"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87"/>
              <w:jc w:val="right"/>
              <w:rPr>
                <w:rFonts w:ascii="Arial" w:hAnsi="Arial" w:cs="Arial" w:eastAsia="Arial" w:hint="default"/>
                <w:sz w:val="20"/>
                <w:szCs w:val="20"/>
              </w:rPr>
            </w:pPr>
            <w:r>
              <w:rPr>
                <w:rFonts w:ascii="Arial"/>
                <w:sz w:val="20"/>
              </w:rPr>
              <w:t>18,187</w:t>
            </w:r>
          </w:p>
        </w:tc>
      </w:tr>
      <w:tr>
        <w:trPr>
          <w:trHeight w:val="470" w:hRule="exact"/>
        </w:trPr>
        <w:tc>
          <w:tcPr>
            <w:tcW w:w="5590" w:type="dxa"/>
            <w:gridSpan w:val="3"/>
            <w:tcBorders>
              <w:top w:val="nil" w:sz="6" w:space="0" w:color="auto"/>
              <w:left w:val="nil" w:sz="6" w:space="0" w:color="auto"/>
              <w:bottom w:val="nil" w:sz="6" w:space="0" w:color="auto"/>
              <w:right w:val="nil" w:sz="6" w:space="0" w:color="auto"/>
            </w:tcBorders>
          </w:tcPr>
          <w:p>
            <w:pPr>
              <w:pStyle w:val="TableParagraph"/>
              <w:tabs>
                <w:tab w:pos="5328" w:val="left" w:leader="none"/>
              </w:tabs>
              <w:spacing w:line="240" w:lineRule="auto" w:before="176"/>
              <w:ind w:left="861" w:right="0"/>
              <w:jc w:val="left"/>
              <w:rPr>
                <w:rFonts w:ascii="Arial" w:hAnsi="Arial" w:cs="Arial" w:eastAsia="Arial" w:hint="default"/>
                <w:sz w:val="20"/>
                <w:szCs w:val="20"/>
              </w:rPr>
            </w:pPr>
            <w:r>
              <w:rPr>
                <w:rFonts w:ascii="宋体" w:hAnsi="宋体" w:cs="宋体" w:eastAsia="宋体" w:hint="default"/>
                <w:spacing w:val="-1"/>
                <w:position w:val="1"/>
                <w:sz w:val="20"/>
                <w:szCs w:val="20"/>
              </w:rPr>
              <w:t>其中：境外法人持股</w:t>
              <w:tab/>
            </w:r>
            <w:r>
              <w:rPr>
                <w:rFonts w:ascii="Arial" w:hAnsi="Arial" w:cs="Arial" w:eastAsia="Arial" w:hint="default"/>
                <w:sz w:val="20"/>
                <w:szCs w:val="20"/>
              </w:rPr>
              <w:t>-</w:t>
            </w:r>
          </w:p>
        </w:tc>
        <w:tc>
          <w:tcPr>
            <w:tcW w:w="106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Arial" w:hAnsi="Arial" w:cs="Arial" w:eastAsia="Arial" w:hint="default"/>
                <w:sz w:val="19"/>
                <w:szCs w:val="19"/>
              </w:rPr>
            </w:pPr>
          </w:p>
          <w:p>
            <w:pPr>
              <w:pStyle w:val="TableParagraph"/>
              <w:spacing w:line="240" w:lineRule="auto"/>
              <w:ind w:right="48"/>
              <w:jc w:val="right"/>
              <w:rPr>
                <w:rFonts w:ascii="Arial" w:hAnsi="Arial" w:cs="Arial" w:eastAsia="Arial" w:hint="default"/>
                <w:sz w:val="20"/>
                <w:szCs w:val="20"/>
              </w:rPr>
            </w:pPr>
            <w:r>
              <w:rPr>
                <w:rFonts w:ascii="Arial"/>
                <w:w w:val="100"/>
                <w:sz w:val="20"/>
              </w:rPr>
              <w:t>-</w:t>
            </w:r>
          </w:p>
        </w:tc>
        <w:tc>
          <w:tcPr>
            <w:tcW w:w="114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Arial" w:hAnsi="Arial" w:cs="Arial" w:eastAsia="Arial" w:hint="default"/>
                <w:sz w:val="19"/>
                <w:szCs w:val="19"/>
              </w:rPr>
            </w:pPr>
          </w:p>
          <w:p>
            <w:pPr>
              <w:pStyle w:val="TableParagraph"/>
              <w:spacing w:line="240" w:lineRule="auto"/>
              <w:ind w:right="64"/>
              <w:jc w:val="right"/>
              <w:rPr>
                <w:rFonts w:ascii="Arial" w:hAnsi="Arial" w:cs="Arial" w:eastAsia="Arial" w:hint="default"/>
                <w:sz w:val="20"/>
                <w:szCs w:val="20"/>
              </w:rPr>
            </w:pPr>
            <w:r>
              <w:rPr>
                <w:rFonts w:ascii="Arial"/>
                <w:w w:val="100"/>
                <w:sz w:val="20"/>
              </w:rPr>
              <w:t>-</w:t>
            </w:r>
          </w:p>
        </w:tc>
        <w:tc>
          <w:tcPr>
            <w:tcW w:w="304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Arial" w:hAnsi="Arial" w:cs="Arial" w:eastAsia="Arial" w:hint="default"/>
                <w:sz w:val="19"/>
                <w:szCs w:val="19"/>
              </w:rPr>
            </w:pPr>
          </w:p>
          <w:p>
            <w:pPr>
              <w:pStyle w:val="TableParagraph"/>
              <w:tabs>
                <w:tab w:pos="2381" w:val="left" w:leader="none"/>
              </w:tabs>
              <w:spacing w:line="240" w:lineRule="auto"/>
              <w:ind w:left="1425" w:right="0"/>
              <w:jc w:val="left"/>
              <w:rPr>
                <w:rFonts w:ascii="Arial" w:hAnsi="Arial" w:cs="Arial" w:eastAsia="Arial" w:hint="default"/>
                <w:sz w:val="20"/>
                <w:szCs w:val="20"/>
              </w:rPr>
            </w:pPr>
            <w:r>
              <w:rPr>
                <w:rFonts w:ascii="Arial"/>
                <w:sz w:val="20"/>
              </w:rPr>
              <w:t>-</w:t>
              <w:tab/>
              <w:t>18,187</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Arial" w:hAnsi="Arial" w:cs="Arial" w:eastAsia="Arial" w:hint="default"/>
                <w:sz w:val="19"/>
                <w:szCs w:val="19"/>
              </w:rPr>
            </w:pPr>
          </w:p>
          <w:p>
            <w:pPr>
              <w:pStyle w:val="TableParagraph"/>
              <w:spacing w:line="240" w:lineRule="auto"/>
              <w:ind w:left="626" w:right="0"/>
              <w:jc w:val="left"/>
              <w:rPr>
                <w:rFonts w:ascii="Arial" w:hAnsi="Arial" w:cs="Arial" w:eastAsia="Arial" w:hint="default"/>
                <w:sz w:val="20"/>
                <w:szCs w:val="20"/>
              </w:rPr>
            </w:pPr>
            <w:r>
              <w:rPr>
                <w:rFonts w:ascii="Arial"/>
                <w:sz w:val="20"/>
              </w:rPr>
              <w:t>18,187</w:t>
            </w:r>
          </w:p>
        </w:tc>
        <w:tc>
          <w:tcPr>
            <w:tcW w:w="2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9"/>
                <w:szCs w:val="19"/>
              </w:rPr>
            </w:pPr>
          </w:p>
          <w:p>
            <w:pPr>
              <w:pStyle w:val="TableParagraph"/>
              <w:spacing w:line="240" w:lineRule="auto"/>
              <w:ind w:right="82"/>
              <w:jc w:val="right"/>
              <w:rPr>
                <w:rFonts w:ascii="Arial" w:hAnsi="Arial" w:cs="Arial" w:eastAsia="Arial" w:hint="default"/>
                <w:sz w:val="20"/>
                <w:szCs w:val="20"/>
              </w:rPr>
            </w:pPr>
            <w:r>
              <w:rPr>
                <w:rFonts w:ascii="Arial"/>
                <w:sz w:val="20"/>
              </w:rPr>
              <w:t>18,187</w:t>
            </w:r>
          </w:p>
        </w:tc>
      </w:tr>
    </w:tbl>
    <w:p>
      <w:pPr>
        <w:spacing w:line="240" w:lineRule="auto" w:before="0"/>
        <w:rPr>
          <w:rFonts w:ascii="Arial" w:hAnsi="Arial" w:cs="Arial" w:eastAsia="Arial" w:hint="default"/>
          <w:sz w:val="20"/>
          <w:szCs w:val="20"/>
        </w:rPr>
      </w:pPr>
    </w:p>
    <w:tbl>
      <w:tblPr>
        <w:tblW w:w="0" w:type="auto"/>
        <w:jc w:val="left"/>
        <w:tblInd w:w="774" w:type="dxa"/>
        <w:tblLayout w:type="fixed"/>
        <w:tblCellMar>
          <w:top w:w="0" w:type="dxa"/>
          <w:left w:w="0" w:type="dxa"/>
          <w:bottom w:w="0" w:type="dxa"/>
          <w:right w:w="0" w:type="dxa"/>
        </w:tblCellMar>
        <w:tblLook w:val="01E0"/>
      </w:tblPr>
      <w:tblGrid>
        <w:gridCol w:w="2807"/>
        <w:gridCol w:w="1999"/>
        <w:gridCol w:w="133"/>
        <w:gridCol w:w="1060"/>
        <w:gridCol w:w="138"/>
        <w:gridCol w:w="1003"/>
        <w:gridCol w:w="130"/>
        <w:gridCol w:w="1571"/>
        <w:gridCol w:w="131"/>
        <w:gridCol w:w="1213"/>
        <w:gridCol w:w="138"/>
        <w:gridCol w:w="1168"/>
        <w:gridCol w:w="107"/>
        <w:gridCol w:w="2137"/>
      </w:tblGrid>
      <w:tr>
        <w:trPr>
          <w:trHeight w:val="240" w:hRule="exact"/>
        </w:trPr>
        <w:tc>
          <w:tcPr>
            <w:tcW w:w="2807" w:type="dxa"/>
            <w:tcBorders>
              <w:top w:val="nil" w:sz="6" w:space="0" w:color="auto"/>
              <w:left w:val="nil" w:sz="6" w:space="0" w:color="auto"/>
              <w:bottom w:val="nil" w:sz="6" w:space="0" w:color="auto"/>
              <w:right w:val="nil" w:sz="6" w:space="0" w:color="auto"/>
            </w:tcBorders>
          </w:tcPr>
          <w:p>
            <w:pPr/>
          </w:p>
        </w:tc>
        <w:tc>
          <w:tcPr>
            <w:tcW w:w="1999"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047" w:right="0"/>
              <w:jc w:val="left"/>
              <w:rPr>
                <w:rFonts w:ascii="Arial" w:hAnsi="Arial" w:cs="Arial" w:eastAsia="Arial" w:hint="default"/>
                <w:sz w:val="20"/>
                <w:szCs w:val="20"/>
              </w:rPr>
            </w:pPr>
            <w:r>
              <w:rPr>
                <w:rFonts w:ascii="Arial"/>
                <w:sz w:val="20"/>
              </w:rPr>
              <w:t>1,003,962</w:t>
            </w:r>
          </w:p>
        </w:tc>
        <w:tc>
          <w:tcPr>
            <w:tcW w:w="133" w:type="dxa"/>
            <w:tcBorders>
              <w:top w:val="nil" w:sz="6" w:space="0" w:color="auto"/>
              <w:left w:val="nil" w:sz="6" w:space="0" w:color="auto"/>
              <w:bottom w:val="nil" w:sz="6" w:space="0" w:color="auto"/>
              <w:right w:val="nil" w:sz="6" w:space="0" w:color="auto"/>
            </w:tcBorders>
          </w:tcPr>
          <w:p>
            <w:pPr/>
          </w:p>
        </w:tc>
        <w:tc>
          <w:tcPr>
            <w:tcW w:w="1060"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48"/>
              <w:jc w:val="right"/>
              <w:rPr>
                <w:rFonts w:ascii="Arial" w:hAnsi="Arial" w:cs="Arial" w:eastAsia="Arial" w:hint="default"/>
                <w:sz w:val="20"/>
                <w:szCs w:val="20"/>
              </w:rPr>
            </w:pPr>
            <w:r>
              <w:rPr>
                <w:rFonts w:ascii="Arial"/>
                <w:spacing w:val="-1"/>
                <w:sz w:val="20"/>
              </w:rPr>
              <w:t>200,792</w:t>
            </w:r>
          </w:p>
        </w:tc>
        <w:tc>
          <w:tcPr>
            <w:tcW w:w="138" w:type="dxa"/>
            <w:tcBorders>
              <w:top w:val="nil" w:sz="6" w:space="0" w:color="auto"/>
              <w:left w:val="nil" w:sz="6" w:space="0" w:color="auto"/>
              <w:bottom w:val="nil" w:sz="6" w:space="0" w:color="auto"/>
              <w:right w:val="nil" w:sz="6" w:space="0" w:color="auto"/>
            </w:tcBorders>
          </w:tcPr>
          <w:p>
            <w:pPr/>
          </w:p>
        </w:tc>
        <w:tc>
          <w:tcPr>
            <w:tcW w:w="1003"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213" w:right="0"/>
              <w:jc w:val="left"/>
              <w:rPr>
                <w:rFonts w:ascii="Arial" w:hAnsi="Arial" w:cs="Arial" w:eastAsia="Arial" w:hint="default"/>
                <w:sz w:val="20"/>
                <w:szCs w:val="20"/>
              </w:rPr>
            </w:pPr>
            <w:r>
              <w:rPr>
                <w:rFonts w:ascii="Arial"/>
                <w:sz w:val="20"/>
              </w:rPr>
              <w:t>301,188</w:t>
            </w:r>
          </w:p>
        </w:tc>
        <w:tc>
          <w:tcPr>
            <w:tcW w:w="130" w:type="dxa"/>
            <w:tcBorders>
              <w:top w:val="nil" w:sz="6" w:space="0" w:color="auto"/>
              <w:left w:val="nil" w:sz="6" w:space="0" w:color="auto"/>
              <w:bottom w:val="nil" w:sz="6" w:space="0" w:color="auto"/>
              <w:right w:val="nil" w:sz="6" w:space="0" w:color="auto"/>
            </w:tcBorders>
          </w:tcPr>
          <w:p>
            <w:pPr/>
          </w:p>
        </w:tc>
        <w:tc>
          <w:tcPr>
            <w:tcW w:w="1571"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41"/>
              <w:jc w:val="right"/>
              <w:rPr>
                <w:rFonts w:ascii="Arial" w:hAnsi="Arial" w:cs="Arial" w:eastAsia="Arial" w:hint="default"/>
                <w:sz w:val="20"/>
                <w:szCs w:val="20"/>
              </w:rPr>
            </w:pPr>
            <w:r>
              <w:rPr>
                <w:rFonts w:ascii="Arial"/>
                <w:spacing w:val="-1"/>
                <w:sz w:val="20"/>
              </w:rPr>
              <w:t>(162,000)</w:t>
            </w:r>
          </w:p>
        </w:tc>
        <w:tc>
          <w:tcPr>
            <w:tcW w:w="131" w:type="dxa"/>
            <w:tcBorders>
              <w:top w:val="nil" w:sz="6" w:space="0" w:color="auto"/>
              <w:left w:val="nil" w:sz="6" w:space="0" w:color="auto"/>
              <w:bottom w:val="nil" w:sz="6" w:space="0" w:color="auto"/>
              <w:right w:val="nil" w:sz="6" w:space="0" w:color="auto"/>
            </w:tcBorders>
          </w:tcPr>
          <w:p>
            <w:pPr/>
          </w:p>
        </w:tc>
        <w:tc>
          <w:tcPr>
            <w:tcW w:w="1213"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47"/>
              <w:jc w:val="right"/>
              <w:rPr>
                <w:rFonts w:ascii="Arial" w:hAnsi="Arial" w:cs="Arial" w:eastAsia="Arial" w:hint="default"/>
                <w:sz w:val="20"/>
                <w:szCs w:val="20"/>
              </w:rPr>
            </w:pPr>
            <w:r>
              <w:rPr>
                <w:rFonts w:ascii="Arial"/>
                <w:spacing w:val="-1"/>
                <w:sz w:val="20"/>
              </w:rPr>
              <w:t>177,629</w:t>
            </w:r>
          </w:p>
        </w:tc>
        <w:tc>
          <w:tcPr>
            <w:tcW w:w="138" w:type="dxa"/>
            <w:tcBorders>
              <w:top w:val="nil" w:sz="6" w:space="0" w:color="auto"/>
              <w:left w:val="nil" w:sz="6" w:space="0" w:color="auto"/>
              <w:bottom w:val="nil" w:sz="6" w:space="0" w:color="auto"/>
              <w:right w:val="nil" w:sz="6" w:space="0" w:color="auto"/>
            </w:tcBorders>
          </w:tcPr>
          <w:p>
            <w:pPr/>
          </w:p>
        </w:tc>
        <w:tc>
          <w:tcPr>
            <w:tcW w:w="1168"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65"/>
              <w:jc w:val="right"/>
              <w:rPr>
                <w:rFonts w:ascii="Arial" w:hAnsi="Arial" w:cs="Arial" w:eastAsia="Arial" w:hint="default"/>
                <w:sz w:val="20"/>
                <w:szCs w:val="20"/>
              </w:rPr>
            </w:pPr>
            <w:r>
              <w:rPr>
                <w:rFonts w:ascii="Arial"/>
                <w:spacing w:val="-1"/>
                <w:sz w:val="20"/>
              </w:rPr>
              <w:t>517,609</w:t>
            </w:r>
          </w:p>
        </w:tc>
        <w:tc>
          <w:tcPr>
            <w:tcW w:w="107" w:type="dxa"/>
            <w:tcBorders>
              <w:top w:val="nil" w:sz="6" w:space="0" w:color="auto"/>
              <w:left w:val="nil" w:sz="6" w:space="0" w:color="auto"/>
              <w:bottom w:val="nil" w:sz="6" w:space="0" w:color="auto"/>
              <w:right w:val="nil" w:sz="6" w:space="0" w:color="auto"/>
            </w:tcBorders>
          </w:tcPr>
          <w:p>
            <w:pPr/>
          </w:p>
        </w:tc>
        <w:tc>
          <w:tcPr>
            <w:tcW w:w="2137"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70"/>
              <w:jc w:val="right"/>
              <w:rPr>
                <w:rFonts w:ascii="Arial" w:hAnsi="Arial" w:cs="Arial" w:eastAsia="Arial" w:hint="default"/>
                <w:sz w:val="20"/>
                <w:szCs w:val="20"/>
              </w:rPr>
            </w:pPr>
            <w:r>
              <w:rPr>
                <w:rFonts w:ascii="Arial"/>
                <w:spacing w:val="-1"/>
                <w:sz w:val="20"/>
              </w:rPr>
              <w:t>1,521,571</w:t>
            </w:r>
          </w:p>
        </w:tc>
      </w:tr>
      <w:tr>
        <w:trPr>
          <w:trHeight w:val="1083"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7"/>
                <w:szCs w:val="17"/>
              </w:rPr>
            </w:pPr>
          </w:p>
          <w:p>
            <w:pPr>
              <w:pStyle w:val="TableParagraph"/>
              <w:spacing w:line="240" w:lineRule="auto"/>
              <w:ind w:right="1168"/>
              <w:jc w:val="center"/>
              <w:rPr>
                <w:rFonts w:ascii="Arial" w:hAnsi="Arial" w:cs="Arial" w:eastAsia="Arial" w:hint="default"/>
                <w:sz w:val="20"/>
                <w:szCs w:val="20"/>
              </w:rPr>
            </w:pPr>
            <w:r>
              <w:rPr>
                <w:rFonts w:ascii="宋体" w:hAnsi="宋体" w:cs="宋体" w:eastAsia="宋体" w:hint="default"/>
                <w:sz w:val="20"/>
                <w:szCs w:val="20"/>
              </w:rPr>
              <w:t>无限售条件股份</w:t>
            </w:r>
            <w:r>
              <w:rPr>
                <w:rFonts w:ascii="宋体" w:hAnsi="宋体" w:cs="宋体" w:eastAsia="宋体" w:hint="default"/>
                <w:spacing w:val="-3"/>
                <w:sz w:val="20"/>
                <w:szCs w:val="20"/>
              </w:rPr>
              <w:t> </w:t>
            </w:r>
            <w:r>
              <w:rPr>
                <w:rFonts w:ascii="Arial" w:hAnsi="Arial" w:cs="Arial" w:eastAsia="Arial" w:hint="default"/>
                <w:sz w:val="20"/>
                <w:szCs w:val="20"/>
              </w:rPr>
              <w:t>-</w:t>
            </w:r>
          </w:p>
          <w:p>
            <w:pPr>
              <w:pStyle w:val="TableParagraph"/>
              <w:spacing w:line="240" w:lineRule="auto" w:before="1"/>
              <w:ind w:right="0"/>
              <w:jc w:val="left"/>
              <w:rPr>
                <w:rFonts w:ascii="Arial" w:hAnsi="Arial" w:cs="Arial" w:eastAsia="Arial" w:hint="default"/>
                <w:sz w:val="16"/>
                <w:szCs w:val="16"/>
              </w:rPr>
            </w:pPr>
          </w:p>
          <w:p>
            <w:pPr>
              <w:pStyle w:val="TableParagraph"/>
              <w:spacing w:line="240" w:lineRule="auto"/>
              <w:ind w:right="1111"/>
              <w:jc w:val="center"/>
              <w:rPr>
                <w:rFonts w:ascii="宋体" w:hAnsi="宋体" w:cs="宋体" w:eastAsia="宋体" w:hint="default"/>
                <w:sz w:val="20"/>
                <w:szCs w:val="20"/>
              </w:rPr>
            </w:pPr>
            <w:r>
              <w:rPr>
                <w:rFonts w:ascii="宋体" w:hAnsi="宋体" w:cs="宋体" w:eastAsia="宋体" w:hint="default"/>
                <w:sz w:val="20"/>
                <w:szCs w:val="20"/>
              </w:rPr>
              <w:t>人民币普通股</w:t>
            </w:r>
          </w:p>
        </w:tc>
        <w:tc>
          <w:tcPr>
            <w:tcW w:w="199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before="5"/>
              <w:ind w:right="0"/>
              <w:jc w:val="left"/>
              <w:rPr>
                <w:rFonts w:ascii="Arial" w:hAnsi="Arial" w:cs="Arial" w:eastAsia="Arial" w:hint="default"/>
                <w:sz w:val="22"/>
                <w:szCs w:val="22"/>
              </w:rPr>
            </w:pPr>
          </w:p>
          <w:p>
            <w:pPr>
              <w:pStyle w:val="TableParagraph"/>
              <w:tabs>
                <w:tab w:pos="1047" w:val="left" w:leader="none"/>
                <w:tab w:pos="1991" w:val="left" w:leader="none"/>
              </w:tabs>
              <w:spacing w:line="240" w:lineRule="auto"/>
              <w:ind w:left="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1,987,046</w:t>
              <w:tab/>
            </w:r>
            <w:r>
              <w:rPr>
                <w:rFonts w:ascii="Arial"/>
                <w:sz w:val="20"/>
              </w:rPr>
            </w:r>
          </w:p>
        </w:tc>
        <w:tc>
          <w:tcPr>
            <w:tcW w:w="133" w:type="dxa"/>
            <w:tcBorders>
              <w:top w:val="nil" w:sz="6" w:space="0" w:color="auto"/>
              <w:left w:val="nil" w:sz="6" w:space="0" w:color="auto"/>
              <w:bottom w:val="nil" w:sz="6" w:space="0" w:color="auto"/>
              <w:right w:val="nil" w:sz="6" w:space="0" w:color="auto"/>
            </w:tcBorders>
          </w:tcPr>
          <w:p>
            <w:pPr/>
          </w:p>
        </w:tc>
        <w:tc>
          <w:tcPr>
            <w:tcW w:w="106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before="5"/>
              <w:ind w:right="0"/>
              <w:jc w:val="left"/>
              <w:rPr>
                <w:rFonts w:ascii="Arial" w:hAnsi="Arial" w:cs="Arial" w:eastAsia="Arial" w:hint="default"/>
                <w:sz w:val="22"/>
                <w:szCs w:val="22"/>
              </w:rPr>
            </w:pPr>
          </w:p>
          <w:p>
            <w:pPr>
              <w:pStyle w:val="TableParagraph"/>
              <w:tabs>
                <w:tab w:pos="285" w:val="left" w:leader="none"/>
              </w:tabs>
              <w:spacing w:line="240" w:lineRule="auto"/>
              <w:ind w:right="4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397,410</w:t>
            </w:r>
            <w:r>
              <w:rPr>
                <w:rFonts w:ascii="Arial"/>
                <w:spacing w:val="-1"/>
                <w:sz w:val="20"/>
              </w:rPr>
            </w:r>
          </w:p>
        </w:tc>
        <w:tc>
          <w:tcPr>
            <w:tcW w:w="138" w:type="dxa"/>
            <w:tcBorders>
              <w:top w:val="nil" w:sz="6" w:space="0" w:color="auto"/>
              <w:left w:val="nil" w:sz="6" w:space="0" w:color="auto"/>
              <w:bottom w:val="nil" w:sz="6" w:space="0" w:color="auto"/>
              <w:right w:val="nil" w:sz="6" w:space="0" w:color="auto"/>
            </w:tcBorders>
          </w:tcPr>
          <w:p>
            <w:pPr/>
          </w:p>
        </w:tc>
        <w:tc>
          <w:tcPr>
            <w:tcW w:w="100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before="5"/>
              <w:ind w:right="0"/>
              <w:jc w:val="left"/>
              <w:rPr>
                <w:rFonts w:ascii="Arial" w:hAnsi="Arial" w:cs="Arial" w:eastAsia="Arial" w:hint="default"/>
                <w:sz w:val="22"/>
                <w:szCs w:val="22"/>
              </w:rPr>
            </w:pPr>
          </w:p>
          <w:p>
            <w:pPr>
              <w:pStyle w:val="TableParagraph"/>
              <w:tabs>
                <w:tab w:pos="995" w:val="left" w:leader="none"/>
              </w:tabs>
              <w:spacing w:line="240" w:lineRule="auto"/>
              <w:ind w:left="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
                <w:sz w:val="20"/>
                <w:u w:val="single" w:color="000000"/>
              </w:rPr>
              <w:t> </w:t>
            </w:r>
            <w:r>
              <w:rPr>
                <w:rFonts w:ascii="Arial"/>
                <w:spacing w:val="-3"/>
                <w:sz w:val="20"/>
                <w:u w:val="single" w:color="000000"/>
              </w:rPr>
              <w:t>596,114</w:t>
              <w:tab/>
            </w:r>
            <w:r>
              <w:rPr>
                <w:rFonts w:ascii="Arial"/>
                <w:spacing w:val="-3"/>
                <w:sz w:val="20"/>
              </w:rPr>
            </w:r>
          </w:p>
        </w:tc>
        <w:tc>
          <w:tcPr>
            <w:tcW w:w="130" w:type="dxa"/>
            <w:tcBorders>
              <w:top w:val="nil" w:sz="6" w:space="0" w:color="auto"/>
              <w:left w:val="nil" w:sz="6" w:space="0" w:color="auto"/>
              <w:bottom w:val="nil" w:sz="6" w:space="0" w:color="auto"/>
              <w:right w:val="nil" w:sz="6" w:space="0" w:color="auto"/>
            </w:tcBorders>
          </w:tcPr>
          <w:p>
            <w:pPr/>
          </w:p>
        </w:tc>
        <w:tc>
          <w:tcPr>
            <w:tcW w:w="157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before="4"/>
              <w:ind w:right="0"/>
              <w:jc w:val="left"/>
              <w:rPr>
                <w:rFonts w:ascii="Arial" w:hAnsi="Arial" w:cs="Arial" w:eastAsia="Arial" w:hint="default"/>
                <w:sz w:val="22"/>
                <w:szCs w:val="22"/>
              </w:rPr>
            </w:pPr>
          </w:p>
          <w:p>
            <w:pPr>
              <w:pStyle w:val="TableParagraph"/>
              <w:tabs>
                <w:tab w:pos="635" w:val="left" w:leader="none"/>
                <w:tab w:pos="1559" w:val="left" w:leader="none"/>
              </w:tabs>
              <w:spacing w:line="240" w:lineRule="auto"/>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162,000</w:t>
              <w:tab/>
            </w:r>
            <w:r>
              <w:rPr>
                <w:rFonts w:ascii="Arial"/>
                <w:spacing w:val="-1"/>
                <w:sz w:val="20"/>
              </w:rPr>
            </w:r>
          </w:p>
        </w:tc>
        <w:tc>
          <w:tcPr>
            <w:tcW w:w="131" w:type="dxa"/>
            <w:tcBorders>
              <w:top w:val="nil" w:sz="6" w:space="0" w:color="auto"/>
              <w:left w:val="nil" w:sz="6" w:space="0" w:color="auto"/>
              <w:bottom w:val="nil" w:sz="6" w:space="0" w:color="auto"/>
              <w:right w:val="nil" w:sz="6" w:space="0" w:color="auto"/>
            </w:tcBorders>
          </w:tcPr>
          <w:p>
            <w:pPr/>
          </w:p>
        </w:tc>
        <w:tc>
          <w:tcPr>
            <w:tcW w:w="121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before="5"/>
              <w:ind w:right="0"/>
              <w:jc w:val="left"/>
              <w:rPr>
                <w:rFonts w:ascii="Arial" w:hAnsi="Arial" w:cs="Arial" w:eastAsia="Arial" w:hint="default"/>
                <w:sz w:val="22"/>
                <w:szCs w:val="22"/>
              </w:rPr>
            </w:pPr>
          </w:p>
          <w:p>
            <w:pPr>
              <w:pStyle w:val="TableParagraph"/>
              <w:tabs>
                <w:tab w:pos="1093" w:val="left" w:leader="none"/>
              </w:tabs>
              <w:spacing w:line="240" w:lineRule="auto"/>
              <w:ind w:right="4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8" w:type="dxa"/>
            <w:tcBorders>
              <w:top w:val="nil" w:sz="6" w:space="0" w:color="auto"/>
              <w:left w:val="nil" w:sz="6" w:space="0" w:color="auto"/>
              <w:bottom w:val="nil" w:sz="6" w:space="0" w:color="auto"/>
              <w:right w:val="nil" w:sz="6" w:space="0" w:color="auto"/>
            </w:tcBorders>
          </w:tcPr>
          <w:p>
            <w:pPr/>
          </w:p>
        </w:tc>
        <w:tc>
          <w:tcPr>
            <w:tcW w:w="116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6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5"/>
                <w:sz w:val="20"/>
                <w:u w:val="single" w:color="000000"/>
              </w:rPr>
              <w:t> </w:t>
            </w:r>
            <w:r>
              <w:rPr>
                <w:rFonts w:ascii="Arial"/>
                <w:spacing w:val="-1"/>
                <w:sz w:val="20"/>
                <w:u w:val="single" w:color="000000"/>
              </w:rPr>
              <w:t>1,155,524</w:t>
            </w:r>
            <w:r>
              <w:rPr>
                <w:rFonts w:ascii="Arial"/>
                <w:spacing w:val="-1"/>
                <w:sz w:val="20"/>
              </w:rPr>
            </w:r>
          </w:p>
        </w:tc>
        <w:tc>
          <w:tcPr>
            <w:tcW w:w="107" w:type="dxa"/>
            <w:tcBorders>
              <w:top w:val="nil" w:sz="6" w:space="0" w:color="auto"/>
              <w:left w:val="nil" w:sz="6" w:space="0" w:color="auto"/>
              <w:bottom w:val="nil" w:sz="6" w:space="0" w:color="auto"/>
              <w:right w:val="nil" w:sz="6" w:space="0" w:color="auto"/>
            </w:tcBorders>
          </w:tcPr>
          <w:p>
            <w:pPr/>
          </w:p>
        </w:tc>
        <w:tc>
          <w:tcPr>
            <w:tcW w:w="213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before="5"/>
              <w:ind w:right="0"/>
              <w:jc w:val="left"/>
              <w:rPr>
                <w:rFonts w:ascii="Arial" w:hAnsi="Arial" w:cs="Arial" w:eastAsia="Arial" w:hint="default"/>
                <w:sz w:val="22"/>
                <w:szCs w:val="22"/>
              </w:rPr>
            </w:pPr>
          </w:p>
          <w:p>
            <w:pPr>
              <w:pStyle w:val="TableParagraph"/>
              <w:tabs>
                <w:tab w:pos="1171" w:val="left" w:leader="none"/>
                <w:tab w:pos="2126" w:val="left" w:leader="none"/>
              </w:tabs>
              <w:spacing w:line="240" w:lineRule="auto"/>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3,142,570</w:t>
              <w:tab/>
            </w:r>
            <w:r>
              <w:rPr>
                <w:rFonts w:ascii="Arial"/>
                <w:spacing w:val="-1"/>
                <w:sz w:val="20"/>
              </w:rPr>
            </w:r>
          </w:p>
        </w:tc>
      </w:tr>
      <w:tr>
        <w:trPr>
          <w:trHeight w:val="469" w:hRule="exact"/>
        </w:trPr>
        <w:tc>
          <w:tcPr>
            <w:tcW w:w="2807"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tabs>
                <w:tab w:pos="1047" w:val="left" w:leader="none"/>
                <w:tab w:pos="1991" w:val="left" w:leader="none"/>
              </w:tabs>
              <w:spacing w:line="240" w:lineRule="auto" w:before="109"/>
              <w:ind w:left="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1,987,046</w:t>
              <w:tab/>
            </w:r>
            <w:r>
              <w:rPr>
                <w:rFonts w:ascii="Arial"/>
                <w:sz w:val="20"/>
              </w:rPr>
            </w:r>
          </w:p>
        </w:tc>
        <w:tc>
          <w:tcPr>
            <w:tcW w:w="133"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tabs>
                <w:tab w:pos="285" w:val="left" w:leader="none"/>
              </w:tabs>
              <w:spacing w:line="240" w:lineRule="auto" w:before="109"/>
              <w:ind w:right="4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397,410</w:t>
            </w:r>
            <w:r>
              <w:rPr>
                <w:rFonts w:ascii="Arial"/>
                <w:spacing w:val="-1"/>
                <w:sz w:val="20"/>
              </w:rPr>
            </w:r>
          </w:p>
        </w:tc>
        <w:tc>
          <w:tcPr>
            <w:tcW w:w="138" w:type="dxa"/>
            <w:tcBorders>
              <w:top w:val="nil" w:sz="6" w:space="0" w:color="auto"/>
              <w:left w:val="nil" w:sz="6" w:space="0" w:color="auto"/>
              <w:bottom w:val="nil" w:sz="6" w:space="0" w:color="auto"/>
              <w:right w:val="nil" w:sz="6" w:space="0" w:color="auto"/>
            </w:tcBorders>
          </w:tcPr>
          <w:p>
            <w:pPr/>
          </w:p>
        </w:tc>
        <w:tc>
          <w:tcPr>
            <w:tcW w:w="1003"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109"/>
              <w:ind w:left="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
                <w:sz w:val="20"/>
                <w:u w:val="single" w:color="000000"/>
              </w:rPr>
              <w:t> </w:t>
            </w:r>
            <w:r>
              <w:rPr>
                <w:rFonts w:ascii="Arial"/>
                <w:spacing w:val="-3"/>
                <w:sz w:val="20"/>
                <w:u w:val="single" w:color="000000"/>
              </w:rPr>
              <w:t>596,114</w:t>
              <w:tab/>
            </w:r>
            <w:r>
              <w:rPr>
                <w:rFonts w:ascii="Arial"/>
                <w:spacing w:val="-3"/>
                <w:sz w:val="20"/>
              </w:rPr>
            </w:r>
          </w:p>
        </w:tc>
        <w:tc>
          <w:tcPr>
            <w:tcW w:w="130"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tabs>
                <w:tab w:pos="635" w:val="left" w:leader="none"/>
                <w:tab w:pos="1559" w:val="left" w:leader="none"/>
              </w:tabs>
              <w:spacing w:line="240" w:lineRule="auto" w:before="109"/>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162,000</w:t>
              <w:tab/>
            </w:r>
            <w:r>
              <w:rPr>
                <w:rFonts w:ascii="Arial"/>
                <w:spacing w:val="-1"/>
                <w:sz w:val="20"/>
              </w:rPr>
            </w:r>
          </w:p>
        </w:tc>
        <w:tc>
          <w:tcPr>
            <w:tcW w:w="131"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Style w:val="TableParagraph"/>
              <w:tabs>
                <w:tab w:pos="1092" w:val="left" w:leader="none"/>
              </w:tabs>
              <w:spacing w:line="240" w:lineRule="auto" w:before="109"/>
              <w:ind w:right="4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r>
            <w:r>
              <w:rPr>
                <w:rFonts w:ascii="Arial"/>
                <w:sz w:val="20"/>
              </w:rPr>
            </w:r>
          </w:p>
        </w:tc>
        <w:tc>
          <w:tcPr>
            <w:tcW w:w="138"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6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6"/>
                <w:sz w:val="20"/>
                <w:u w:val="single" w:color="000000"/>
              </w:rPr>
              <w:t> </w:t>
            </w:r>
            <w:r>
              <w:rPr>
                <w:rFonts w:ascii="Arial"/>
                <w:spacing w:val="-1"/>
                <w:sz w:val="20"/>
                <w:u w:val="single" w:color="000000"/>
              </w:rPr>
              <w:t>1,155,524</w:t>
            </w:r>
            <w:r>
              <w:rPr>
                <w:rFonts w:ascii="Arial"/>
                <w:spacing w:val="-1"/>
                <w:sz w:val="20"/>
              </w:rPr>
            </w:r>
          </w:p>
        </w:tc>
        <w:tc>
          <w:tcPr>
            <w:tcW w:w="107"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tabs>
                <w:tab w:pos="1171" w:val="left" w:leader="none"/>
                <w:tab w:pos="2126" w:val="left" w:leader="none"/>
              </w:tabs>
              <w:spacing w:line="240" w:lineRule="auto" w:before="109"/>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3,142,570</w:t>
              <w:tab/>
            </w:r>
            <w:r>
              <w:rPr>
                <w:rFonts w:ascii="Arial"/>
                <w:spacing w:val="-1"/>
                <w:sz w:val="20"/>
              </w:rPr>
            </w:r>
          </w:p>
        </w:tc>
      </w:tr>
      <w:tr>
        <w:trPr>
          <w:trHeight w:val="357" w:hRule="exact"/>
        </w:trPr>
        <w:tc>
          <w:tcPr>
            <w:tcW w:w="2807"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left="1047" w:right="0"/>
              <w:jc w:val="left"/>
              <w:rPr>
                <w:rFonts w:ascii="Arial" w:hAnsi="Arial" w:cs="Arial" w:eastAsia="Arial" w:hint="default"/>
                <w:sz w:val="20"/>
                <w:szCs w:val="20"/>
              </w:rPr>
            </w:pPr>
            <w:r>
              <w:rPr>
                <w:rFonts w:ascii="Arial"/>
                <w:sz w:val="20"/>
              </w:rPr>
              <w:t>2,991,008</w:t>
            </w:r>
          </w:p>
        </w:tc>
        <w:tc>
          <w:tcPr>
            <w:tcW w:w="133"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right="48"/>
              <w:jc w:val="right"/>
              <w:rPr>
                <w:rFonts w:ascii="Arial" w:hAnsi="Arial" w:cs="Arial" w:eastAsia="Arial" w:hint="default"/>
                <w:sz w:val="20"/>
                <w:szCs w:val="20"/>
              </w:rPr>
            </w:pPr>
            <w:r>
              <w:rPr>
                <w:rFonts w:ascii="Arial"/>
                <w:spacing w:val="-1"/>
                <w:sz w:val="20"/>
              </w:rPr>
              <w:t>598,202</w:t>
            </w:r>
          </w:p>
        </w:tc>
        <w:tc>
          <w:tcPr>
            <w:tcW w:w="138" w:type="dxa"/>
            <w:tcBorders>
              <w:top w:val="nil" w:sz="6" w:space="0" w:color="auto"/>
              <w:left w:val="nil" w:sz="6" w:space="0" w:color="auto"/>
              <w:bottom w:val="nil" w:sz="6" w:space="0" w:color="auto"/>
              <w:right w:val="nil" w:sz="6" w:space="0" w:color="auto"/>
            </w:tcBorders>
          </w:tcPr>
          <w:p>
            <w:pPr/>
          </w:p>
        </w:tc>
        <w:tc>
          <w:tcPr>
            <w:tcW w:w="1003"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left="213" w:right="0"/>
              <w:jc w:val="left"/>
              <w:rPr>
                <w:rFonts w:ascii="Arial" w:hAnsi="Arial" w:cs="Arial" w:eastAsia="Arial" w:hint="default"/>
                <w:sz w:val="20"/>
                <w:szCs w:val="20"/>
              </w:rPr>
            </w:pPr>
            <w:r>
              <w:rPr>
                <w:rFonts w:ascii="Arial"/>
                <w:sz w:val="20"/>
              </w:rPr>
              <w:t>897,302</w:t>
            </w:r>
          </w:p>
        </w:tc>
        <w:tc>
          <w:tcPr>
            <w:tcW w:w="130"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206"/>
              <w:jc w:val="right"/>
              <w:rPr>
                <w:rFonts w:ascii="Arial" w:hAnsi="Arial" w:cs="Arial" w:eastAsia="Arial" w:hint="default"/>
                <w:sz w:val="20"/>
                <w:szCs w:val="20"/>
              </w:rPr>
            </w:pPr>
            <w:r>
              <w:rPr>
                <w:rFonts w:ascii="Arial"/>
                <w:w w:val="100"/>
                <w:sz w:val="20"/>
              </w:rPr>
              <w:t>-</w:t>
            </w:r>
          </w:p>
        </w:tc>
        <w:tc>
          <w:tcPr>
            <w:tcW w:w="131"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right="47"/>
              <w:jc w:val="right"/>
              <w:rPr>
                <w:rFonts w:ascii="Arial" w:hAnsi="Arial" w:cs="Arial" w:eastAsia="Arial" w:hint="default"/>
                <w:sz w:val="20"/>
                <w:szCs w:val="20"/>
              </w:rPr>
            </w:pPr>
            <w:r>
              <w:rPr>
                <w:rFonts w:ascii="Arial"/>
                <w:spacing w:val="-1"/>
                <w:sz w:val="20"/>
              </w:rPr>
              <w:t>177,629</w:t>
            </w:r>
          </w:p>
        </w:tc>
        <w:tc>
          <w:tcPr>
            <w:tcW w:w="138"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right="64"/>
              <w:jc w:val="right"/>
              <w:rPr>
                <w:rFonts w:ascii="Arial" w:hAnsi="Arial" w:cs="Arial" w:eastAsia="Arial" w:hint="default"/>
                <w:sz w:val="20"/>
                <w:szCs w:val="20"/>
              </w:rPr>
            </w:pPr>
            <w:r>
              <w:rPr>
                <w:rFonts w:ascii="Arial"/>
                <w:spacing w:val="-1"/>
                <w:sz w:val="20"/>
              </w:rPr>
              <w:t>1,673,133</w:t>
            </w:r>
          </w:p>
        </w:tc>
        <w:tc>
          <w:tcPr>
            <w:tcW w:w="107"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right="69"/>
              <w:jc w:val="right"/>
              <w:rPr>
                <w:rFonts w:ascii="Arial" w:hAnsi="Arial" w:cs="Arial" w:eastAsia="Arial" w:hint="default"/>
                <w:sz w:val="20"/>
                <w:szCs w:val="20"/>
              </w:rPr>
            </w:pPr>
            <w:r>
              <w:rPr>
                <w:rFonts w:ascii="Arial"/>
                <w:spacing w:val="-1"/>
                <w:sz w:val="20"/>
              </w:rPr>
              <w:t>4,664,141</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5"/>
          <w:szCs w:val="25"/>
        </w:rPr>
      </w:pPr>
    </w:p>
    <w:p>
      <w:pPr>
        <w:spacing w:before="77"/>
        <w:ind w:left="7330" w:right="6752" w:firstLine="0"/>
        <w:jc w:val="center"/>
        <w:rPr>
          <w:rFonts w:ascii="Arial" w:hAnsi="Arial" w:cs="Arial" w:eastAsia="Arial" w:hint="default"/>
          <w:sz w:val="18"/>
          <w:szCs w:val="18"/>
        </w:rPr>
      </w:pPr>
      <w:r>
        <w:rPr>
          <w:rFonts w:ascii="Arial"/>
          <w:sz w:val="18"/>
        </w:rPr>
        <w:t>- 176</w:t>
      </w:r>
      <w:r>
        <w:rPr>
          <w:rFonts w:ascii="Arial"/>
          <w:spacing w:val="-3"/>
          <w:sz w:val="18"/>
        </w:rPr>
        <w:t> </w:t>
      </w:r>
      <w:r>
        <w:rPr>
          <w:rFonts w:ascii="Arial"/>
          <w:sz w:val="18"/>
        </w:rPr>
        <w:t>-</w:t>
      </w:r>
    </w:p>
    <w:p>
      <w:pPr>
        <w:spacing w:after="0"/>
        <w:jc w:val="center"/>
        <w:rPr>
          <w:rFonts w:ascii="Arial" w:hAnsi="Arial" w:cs="Arial" w:eastAsia="Arial" w:hint="default"/>
          <w:sz w:val="18"/>
          <w:szCs w:val="18"/>
        </w:rPr>
        <w:sectPr>
          <w:headerReference w:type="default" r:id="rId73"/>
          <w:footerReference w:type="default" r:id="rId74"/>
          <w:pgSz w:w="16840" w:h="11910" w:orient="landscape"/>
          <w:pgMar w:header="0" w:footer="0" w:top="680" w:bottom="280" w:left="940" w:right="1260"/>
        </w:sectPr>
      </w:pPr>
    </w:p>
    <w:p>
      <w:pPr>
        <w:spacing w:line="240" w:lineRule="auto" w:before="4"/>
        <w:rPr>
          <w:rFonts w:ascii="Arial" w:hAnsi="Arial" w:cs="Arial" w:eastAsia="Arial" w:hint="default"/>
          <w:sz w:val="15"/>
          <w:szCs w:val="15"/>
        </w:rPr>
      </w:pPr>
    </w:p>
    <w:p>
      <w:pPr>
        <w:pStyle w:val="Heading2"/>
        <w:tabs>
          <w:tab w:pos="833" w:val="left" w:leader="none"/>
        </w:tabs>
        <w:spacing w:line="240" w:lineRule="auto"/>
        <w:ind w:left="118" w:right="0"/>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33" w:val="left" w:leader="none"/>
        </w:tabs>
        <w:spacing w:before="0"/>
        <w:ind w:left="118"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(32)</w:t>
        <w:tab/>
      </w:r>
      <w:r>
        <w:rPr>
          <w:rFonts w:ascii="宋体" w:hAnsi="宋体" w:cs="宋体" w:eastAsia="宋体" w:hint="default"/>
          <w:b/>
          <w:bCs/>
          <w:sz w:val="24"/>
          <w:szCs w:val="24"/>
        </w:rPr>
        <w:t>资本公积</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1"/>
          <w:szCs w:val="21"/>
        </w:rPr>
      </w:pPr>
    </w:p>
    <w:tbl>
      <w:tblPr>
        <w:tblW w:w="0" w:type="auto"/>
        <w:jc w:val="left"/>
        <w:tblInd w:w="793" w:type="dxa"/>
        <w:tblLayout w:type="fixed"/>
        <w:tblCellMar>
          <w:top w:w="0" w:type="dxa"/>
          <w:left w:w="0" w:type="dxa"/>
          <w:bottom w:w="0" w:type="dxa"/>
          <w:right w:w="0" w:type="dxa"/>
        </w:tblCellMar>
        <w:tblLook w:val="01E0"/>
      </w:tblPr>
      <w:tblGrid>
        <w:gridCol w:w="1545"/>
        <w:gridCol w:w="575"/>
        <w:gridCol w:w="2105"/>
        <w:gridCol w:w="1645"/>
        <w:gridCol w:w="1657"/>
        <w:gridCol w:w="1800"/>
      </w:tblGrid>
      <w:tr>
        <w:trPr>
          <w:trHeight w:val="832" w:hRule="exact"/>
        </w:trPr>
        <w:tc>
          <w:tcPr>
            <w:tcW w:w="2120" w:type="dxa"/>
            <w:gridSpan w:val="2"/>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322" w:lineRule="exact" w:before="26"/>
              <w:ind w:left="988" w:right="0"/>
              <w:jc w:val="lef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2" w:lineRule="exact"/>
              <w:ind w:left="626"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444" w:right="0"/>
              <w:jc w:val="left"/>
              <w:rPr>
                <w:rFonts w:ascii="宋体" w:hAnsi="宋体" w:cs="宋体" w:eastAsia="宋体" w:hint="default"/>
                <w:sz w:val="24"/>
                <w:szCs w:val="24"/>
              </w:rPr>
            </w:pPr>
            <w:r>
              <w:rPr>
                <w:rFonts w:ascii="宋体" w:hAnsi="宋体" w:cs="宋体" w:eastAsia="宋体" w:hint="default"/>
                <w:sz w:val="24"/>
                <w:szCs w:val="24"/>
              </w:rPr>
              <w:t>本年增加</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485" w:right="0"/>
              <w:jc w:val="left"/>
              <w:rPr>
                <w:rFonts w:ascii="宋体" w:hAnsi="宋体" w:cs="宋体" w:eastAsia="宋体" w:hint="default"/>
                <w:sz w:val="24"/>
                <w:szCs w:val="24"/>
              </w:rPr>
            </w:pPr>
            <w:r>
              <w:rPr>
                <w:rFonts w:ascii="宋体" w:hAnsi="宋体" w:cs="宋体" w:eastAsia="宋体" w:hint="default"/>
                <w:sz w:val="24"/>
                <w:szCs w:val="24"/>
              </w:rPr>
              <w:t>本年减少</w:t>
            </w:r>
          </w:p>
        </w:tc>
        <w:tc>
          <w:tcPr>
            <w:tcW w:w="1800" w:type="dxa"/>
            <w:tcBorders>
              <w:top w:val="nil" w:sz="6" w:space="0" w:color="auto"/>
              <w:left w:val="nil" w:sz="6" w:space="0" w:color="auto"/>
              <w:bottom w:val="nil" w:sz="6" w:space="0" w:color="auto"/>
              <w:right w:val="nil" w:sz="6" w:space="0" w:color="auto"/>
            </w:tcBorders>
          </w:tcPr>
          <w:p>
            <w:pPr>
              <w:pStyle w:val="TableParagraph"/>
              <w:spacing w:line="322" w:lineRule="exact" w:before="26"/>
              <w:ind w:left="810"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2" w:lineRule="exact"/>
              <w:ind w:left="449"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59"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0" w:right="0"/>
              <w:jc w:val="left"/>
              <w:rPr>
                <w:rFonts w:ascii="Arial" w:hAnsi="Arial" w:cs="Arial" w:eastAsia="Arial" w:hint="default"/>
                <w:sz w:val="24"/>
                <w:szCs w:val="24"/>
              </w:rPr>
            </w:pPr>
            <w:r>
              <w:rPr>
                <w:rFonts w:ascii="宋体" w:hAnsi="宋体" w:cs="宋体" w:eastAsia="宋体" w:hint="default"/>
                <w:sz w:val="24"/>
                <w:szCs w:val="24"/>
              </w:rPr>
              <w:t>股本溢价</w:t>
            </w:r>
            <w:r>
              <w:rPr>
                <w:rFonts w:ascii="宋体" w:hAnsi="宋体" w:cs="宋体" w:eastAsia="宋体" w:hint="default"/>
                <w:spacing w:val="-1"/>
                <w:sz w:val="24"/>
                <w:szCs w:val="24"/>
              </w:rPr>
              <w:t> </w:t>
            </w:r>
            <w:r>
              <w:rPr>
                <w:rFonts w:ascii="Arial" w:hAnsi="Arial" w:cs="Arial" w:eastAsia="Arial" w:hint="default"/>
                <w:sz w:val="24"/>
                <w:szCs w:val="24"/>
              </w:rPr>
              <w:t>(a)</w:t>
            </w:r>
          </w:p>
        </w:tc>
        <w:tc>
          <w:tcPr>
            <w:tcW w:w="57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282"/>
              <w:jc w:val="right"/>
              <w:rPr>
                <w:rFonts w:ascii="Arial" w:hAnsi="Arial" w:cs="Arial" w:eastAsia="Arial" w:hint="default"/>
                <w:sz w:val="24"/>
                <w:szCs w:val="24"/>
              </w:rPr>
            </w:pPr>
            <w:r>
              <w:rPr>
                <w:rFonts w:ascii="Arial"/>
                <w:spacing w:val="-1"/>
                <w:w w:val="95"/>
                <w:sz w:val="24"/>
              </w:rPr>
              <w:t>2,973,047</w:t>
            </w:r>
            <w:r>
              <w:rPr>
                <w:rFonts w:ascii="Arial"/>
                <w:sz w:val="24"/>
              </w:rPr>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239"/>
              <w:jc w:val="right"/>
              <w:rPr>
                <w:rFonts w:ascii="Arial" w:hAnsi="Arial" w:cs="Arial" w:eastAsia="Arial" w:hint="default"/>
                <w:sz w:val="24"/>
                <w:szCs w:val="24"/>
              </w:rPr>
            </w:pPr>
            <w:r>
              <w:rPr>
                <w:rFonts w:ascii="Arial"/>
                <w:w w:val="99"/>
                <w:sz w:val="24"/>
              </w:rPr>
              <w:t>-</w:t>
            </w:r>
            <w:r>
              <w:rPr>
                <w:rFonts w:ascii="Arial"/>
                <w:sz w:val="24"/>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42"/>
              <w:jc w:val="right"/>
              <w:rPr>
                <w:rFonts w:ascii="Arial" w:hAnsi="Arial" w:cs="Arial" w:eastAsia="Arial" w:hint="default"/>
                <w:sz w:val="24"/>
                <w:szCs w:val="24"/>
              </w:rPr>
            </w:pPr>
            <w:r>
              <w:rPr>
                <w:rFonts w:ascii="Arial"/>
                <w:spacing w:val="-1"/>
                <w:w w:val="95"/>
                <w:sz w:val="24"/>
              </w:rPr>
              <w:t>(2,334,907)</w:t>
            </w:r>
            <w:r>
              <w:rPr>
                <w:rFonts w:ascii="Arial"/>
                <w:sz w:val="24"/>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54"/>
              <w:jc w:val="right"/>
              <w:rPr>
                <w:rFonts w:ascii="Arial" w:hAnsi="Arial" w:cs="Arial" w:eastAsia="Arial" w:hint="default"/>
                <w:sz w:val="24"/>
                <w:szCs w:val="24"/>
              </w:rPr>
            </w:pPr>
            <w:r>
              <w:rPr>
                <w:rFonts w:ascii="Arial"/>
                <w:spacing w:val="-1"/>
                <w:w w:val="95"/>
                <w:sz w:val="24"/>
              </w:rPr>
              <w:t>638,140</w:t>
            </w:r>
            <w:r>
              <w:rPr>
                <w:rFonts w:ascii="Arial"/>
                <w:sz w:val="24"/>
              </w:rPr>
            </w:r>
          </w:p>
        </w:tc>
      </w:tr>
      <w:tr>
        <w:trPr>
          <w:trHeight w:val="314"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61" w:lineRule="exact"/>
              <w:ind w:left="44" w:right="0"/>
              <w:jc w:val="left"/>
              <w:rPr>
                <w:rFonts w:ascii="宋体" w:hAnsi="宋体" w:cs="宋体" w:eastAsia="宋体" w:hint="default"/>
                <w:sz w:val="24"/>
                <w:szCs w:val="24"/>
              </w:rPr>
            </w:pPr>
            <w:r>
              <w:rPr>
                <w:rFonts w:ascii="宋体" w:hAnsi="宋体" w:cs="宋体" w:eastAsia="宋体" w:hint="default"/>
                <w:sz w:val="24"/>
                <w:szCs w:val="24"/>
              </w:rPr>
              <w:t>其他资本公积</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2"/>
              <w:ind w:left="60" w:right="0"/>
              <w:jc w:val="left"/>
              <w:rPr>
                <w:rFonts w:ascii="Arial" w:hAnsi="Arial" w:cs="Arial" w:eastAsia="Arial" w:hint="default"/>
                <w:sz w:val="24"/>
                <w:szCs w:val="24"/>
              </w:rPr>
            </w:pPr>
            <w:r>
              <w:rPr>
                <w:rFonts w:ascii="Arial"/>
                <w:sz w:val="24"/>
              </w:rPr>
              <w:t>(b)</w:t>
            </w:r>
          </w:p>
        </w:tc>
        <w:tc>
          <w:tcPr>
            <w:tcW w:w="2105" w:type="dxa"/>
            <w:tcBorders>
              <w:top w:val="nil" w:sz="6" w:space="0" w:color="auto"/>
              <w:left w:val="nil" w:sz="6" w:space="0" w:color="auto"/>
              <w:bottom w:val="nil" w:sz="6" w:space="0" w:color="auto"/>
              <w:right w:val="nil" w:sz="6" w:space="0" w:color="auto"/>
            </w:tcBorders>
          </w:tcPr>
          <w:p>
            <w:pPr>
              <w:pStyle w:val="TableParagraph"/>
              <w:tabs>
                <w:tab w:pos="992" w:val="left" w:leader="none"/>
                <w:tab w:pos="1693" w:val="left" w:leader="none"/>
              </w:tabs>
              <w:spacing w:line="240" w:lineRule="auto" w:before="20"/>
              <w:ind w:right="18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2,605</w:t>
              <w:tab/>
            </w:r>
            <w:r>
              <w:rPr>
                <w:rFonts w:ascii="Arial"/>
                <w:spacing w:val="-1"/>
                <w:sz w:val="24"/>
              </w:rPr>
            </w:r>
          </w:p>
        </w:tc>
        <w:tc>
          <w:tcPr>
            <w:tcW w:w="1645" w:type="dxa"/>
            <w:tcBorders>
              <w:top w:val="nil" w:sz="6" w:space="0" w:color="auto"/>
              <w:left w:val="nil" w:sz="6" w:space="0" w:color="auto"/>
              <w:bottom w:val="nil" w:sz="6" w:space="0" w:color="auto"/>
              <w:right w:val="nil" w:sz="6" w:space="0" w:color="auto"/>
            </w:tcBorders>
          </w:tcPr>
          <w:p>
            <w:pPr>
              <w:pStyle w:val="TableParagraph"/>
              <w:tabs>
                <w:tab w:pos="490" w:val="left" w:leader="none"/>
                <w:tab w:pos="1325" w:val="left" w:leader="none"/>
              </w:tabs>
              <w:spacing w:line="240" w:lineRule="auto" w:before="20"/>
              <w:ind w:right="13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14,543</w:t>
              <w:tab/>
            </w:r>
            <w:r>
              <w:rPr>
                <w:rFonts w:ascii="Arial"/>
                <w:spacing w:val="-1"/>
                <w:sz w:val="24"/>
              </w:rPr>
            </w:r>
          </w:p>
        </w:tc>
        <w:tc>
          <w:tcPr>
            <w:tcW w:w="1657" w:type="dxa"/>
            <w:tcBorders>
              <w:top w:val="nil" w:sz="6" w:space="0" w:color="auto"/>
              <w:left w:val="nil" w:sz="6" w:space="0" w:color="auto"/>
              <w:bottom w:val="nil" w:sz="6" w:space="0" w:color="auto"/>
              <w:right w:val="nil" w:sz="6" w:space="0" w:color="auto"/>
            </w:tcBorders>
          </w:tcPr>
          <w:p>
            <w:pPr>
              <w:pStyle w:val="TableParagraph"/>
              <w:tabs>
                <w:tab w:pos="1198" w:val="left" w:leader="none"/>
                <w:tab w:pos="1358" w:val="left" w:leader="none"/>
              </w:tabs>
              <w:spacing w:line="240" w:lineRule="auto" w:before="20"/>
              <w:ind w:right="142"/>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c>
          <w:tcPr>
            <w:tcW w:w="1800" w:type="dxa"/>
            <w:tcBorders>
              <w:top w:val="nil" w:sz="6" w:space="0" w:color="auto"/>
              <w:left w:val="nil" w:sz="6" w:space="0" w:color="auto"/>
              <w:bottom w:val="nil" w:sz="6" w:space="0" w:color="auto"/>
              <w:right w:val="nil" w:sz="6" w:space="0" w:color="auto"/>
            </w:tcBorders>
          </w:tcPr>
          <w:p>
            <w:pPr>
              <w:pStyle w:val="TableParagraph"/>
              <w:tabs>
                <w:tab w:pos="769" w:val="left" w:leader="none"/>
                <w:tab w:pos="1604" w:val="left" w:leader="none"/>
              </w:tabs>
              <w:spacing w:line="240" w:lineRule="auto" w:before="20"/>
              <w:ind w:right="5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17,148</w:t>
              <w:tab/>
            </w:r>
            <w:r>
              <w:rPr>
                <w:rFonts w:ascii="Arial"/>
                <w:spacing w:val="-1"/>
                <w:sz w:val="24"/>
              </w:rPr>
            </w:r>
          </w:p>
        </w:tc>
      </w:tr>
      <w:tr>
        <w:trPr>
          <w:trHeight w:val="420" w:hRule="exact"/>
        </w:trPr>
        <w:tc>
          <w:tcPr>
            <w:tcW w:w="154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tabs>
                <w:tab w:pos="531" w:val="left" w:leader="none"/>
                <w:tab w:pos="1707" w:val="left" w:leader="none"/>
              </w:tabs>
              <w:spacing w:line="268" w:lineRule="exact"/>
              <w:ind w:right="17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2,975,652</w:t>
              <w:tab/>
            </w:r>
            <w:r>
              <w:rPr>
                <w:rFonts w:ascii="Arial"/>
                <w:spacing w:val="-1"/>
                <w:sz w:val="24"/>
              </w:rPr>
            </w:r>
          </w:p>
        </w:tc>
        <w:tc>
          <w:tcPr>
            <w:tcW w:w="1645" w:type="dxa"/>
            <w:tcBorders>
              <w:top w:val="nil" w:sz="6" w:space="0" w:color="auto"/>
              <w:left w:val="nil" w:sz="6" w:space="0" w:color="auto"/>
              <w:bottom w:val="nil" w:sz="6" w:space="0" w:color="auto"/>
              <w:right w:val="nil" w:sz="6" w:space="0" w:color="auto"/>
            </w:tcBorders>
          </w:tcPr>
          <w:p>
            <w:pPr>
              <w:pStyle w:val="TableParagraph"/>
              <w:tabs>
                <w:tab w:pos="497" w:val="left" w:leader="none"/>
                <w:tab w:pos="1340" w:val="left" w:leader="none"/>
              </w:tabs>
              <w:spacing w:line="268" w:lineRule="exact"/>
              <w:ind w:right="12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14,543</w:t>
              <w:tab/>
            </w:r>
            <w:r>
              <w:rPr>
                <w:rFonts w:ascii="Arial"/>
                <w:spacing w:val="-1"/>
                <w:sz w:val="24"/>
              </w:rPr>
            </w:r>
          </w:p>
        </w:tc>
        <w:tc>
          <w:tcPr>
            <w:tcW w:w="1657" w:type="dxa"/>
            <w:tcBorders>
              <w:top w:val="nil" w:sz="6" w:space="0" w:color="auto"/>
              <w:left w:val="nil" w:sz="6" w:space="0" w:color="auto"/>
              <w:bottom w:val="nil" w:sz="6" w:space="0" w:color="auto"/>
              <w:right w:val="nil" w:sz="6" w:space="0" w:color="auto"/>
            </w:tcBorders>
          </w:tcPr>
          <w:p>
            <w:pPr>
              <w:pStyle w:val="TableParagraph"/>
              <w:spacing w:line="268" w:lineRule="exact"/>
              <w:ind w:right="14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pacing w:val="5"/>
                <w:sz w:val="24"/>
                <w:u w:val="thick" w:color="000000"/>
              </w:rPr>
              <w:t> </w:t>
            </w:r>
            <w:r>
              <w:rPr>
                <w:rFonts w:ascii="Arial"/>
                <w:spacing w:val="-1"/>
                <w:w w:val="95"/>
                <w:sz w:val="24"/>
                <w:u w:val="thick" w:color="000000"/>
              </w:rPr>
              <w:t>(2,334,907)</w:t>
            </w:r>
            <w:r>
              <w:rPr>
                <w:rFonts w:ascii="Arial"/>
                <w:spacing w:val="-1"/>
                <w:w w:val="95"/>
                <w:sz w:val="24"/>
              </w:rPr>
            </w:r>
            <w:r>
              <w:rPr>
                <w:rFonts w:ascii="Arial"/>
                <w:sz w:val="24"/>
              </w:rPr>
            </w:r>
          </w:p>
        </w:tc>
        <w:tc>
          <w:tcPr>
            <w:tcW w:w="1800" w:type="dxa"/>
            <w:tcBorders>
              <w:top w:val="nil" w:sz="6" w:space="0" w:color="auto"/>
              <w:left w:val="nil" w:sz="6" w:space="0" w:color="auto"/>
              <w:bottom w:val="nil" w:sz="6" w:space="0" w:color="auto"/>
              <w:right w:val="nil" w:sz="6" w:space="0" w:color="auto"/>
            </w:tcBorders>
          </w:tcPr>
          <w:p>
            <w:pPr>
              <w:pStyle w:val="TableParagraph"/>
              <w:tabs>
                <w:tab w:pos="642" w:val="left" w:leader="none"/>
                <w:tab w:pos="1618" w:val="left" w:leader="none"/>
              </w:tabs>
              <w:spacing w:line="268" w:lineRule="exact"/>
              <w:ind w:right="46"/>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655,288</w:t>
              <w:tab/>
            </w:r>
            <w:r>
              <w:rPr>
                <w:rFonts w:ascii="Arial"/>
                <w:spacing w:val="-1"/>
                <w:sz w:val="24"/>
              </w:rPr>
            </w:r>
          </w:p>
        </w:tc>
      </w:tr>
      <w:tr>
        <w:trPr>
          <w:trHeight w:val="439" w:hRule="exact"/>
        </w:trPr>
        <w:tc>
          <w:tcPr>
            <w:tcW w:w="154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73"/>
              <w:jc w:val="right"/>
              <w:rPr>
                <w:rFonts w:ascii="宋体" w:hAnsi="宋体" w:cs="宋体" w:eastAsia="宋体" w:hint="default"/>
                <w:sz w:val="24"/>
                <w:szCs w:val="24"/>
              </w:rPr>
            </w:pP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1645"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39"/>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w:t>
            </w:r>
          </w:p>
        </w:tc>
      </w:tr>
      <w:tr>
        <w:trPr>
          <w:trHeight w:val="450" w:hRule="exact"/>
        </w:trPr>
        <w:tc>
          <w:tcPr>
            <w:tcW w:w="154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87" w:lineRule="exact"/>
              <w:ind w:right="274"/>
              <w:jc w:val="righ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1645" w:type="dxa"/>
            <w:tcBorders>
              <w:top w:val="nil" w:sz="6" w:space="0" w:color="auto"/>
              <w:left w:val="nil" w:sz="6" w:space="0" w:color="auto"/>
              <w:bottom w:val="nil" w:sz="6" w:space="0" w:color="auto"/>
              <w:right w:val="nil" w:sz="6" w:space="0" w:color="auto"/>
            </w:tcBorders>
          </w:tcPr>
          <w:p>
            <w:pPr>
              <w:pStyle w:val="TableParagraph"/>
              <w:spacing w:line="270" w:lineRule="exact"/>
              <w:ind w:left="442" w:right="0"/>
              <w:jc w:val="left"/>
              <w:rPr>
                <w:rFonts w:ascii="宋体" w:hAnsi="宋体" w:cs="宋体" w:eastAsia="宋体" w:hint="default"/>
                <w:sz w:val="24"/>
                <w:szCs w:val="24"/>
              </w:rPr>
            </w:pPr>
            <w:r>
              <w:rPr>
                <w:rFonts w:ascii="宋体" w:hAnsi="宋体" w:cs="宋体" w:eastAsia="宋体" w:hint="default"/>
                <w:sz w:val="24"/>
                <w:szCs w:val="24"/>
              </w:rPr>
              <w:t>本年增加</w:t>
            </w:r>
          </w:p>
        </w:tc>
        <w:tc>
          <w:tcPr>
            <w:tcW w:w="1657" w:type="dxa"/>
            <w:tcBorders>
              <w:top w:val="nil" w:sz="6" w:space="0" w:color="auto"/>
              <w:left w:val="nil" w:sz="6" w:space="0" w:color="auto"/>
              <w:bottom w:val="nil" w:sz="6" w:space="0" w:color="auto"/>
              <w:right w:val="nil" w:sz="6" w:space="0" w:color="auto"/>
            </w:tcBorders>
          </w:tcPr>
          <w:p>
            <w:pPr>
              <w:pStyle w:val="TableParagraph"/>
              <w:spacing w:line="270" w:lineRule="exact"/>
              <w:ind w:left="496" w:right="0"/>
              <w:jc w:val="left"/>
              <w:rPr>
                <w:rFonts w:ascii="宋体" w:hAnsi="宋体" w:cs="宋体" w:eastAsia="宋体" w:hint="default"/>
                <w:sz w:val="24"/>
                <w:szCs w:val="24"/>
              </w:rPr>
            </w:pPr>
            <w:r>
              <w:rPr>
                <w:rFonts w:ascii="宋体" w:hAnsi="宋体" w:cs="宋体" w:eastAsia="宋体" w:hint="default"/>
                <w:sz w:val="24"/>
                <w:szCs w:val="24"/>
              </w:rPr>
              <w:t>本年减少</w:t>
            </w:r>
          </w:p>
        </w:tc>
        <w:tc>
          <w:tcPr>
            <w:tcW w:w="1800" w:type="dxa"/>
            <w:tcBorders>
              <w:top w:val="nil" w:sz="6" w:space="0" w:color="auto"/>
              <w:left w:val="nil" w:sz="6" w:space="0" w:color="auto"/>
              <w:bottom w:val="nil" w:sz="6" w:space="0" w:color="auto"/>
              <w:right w:val="nil" w:sz="6" w:space="0" w:color="auto"/>
            </w:tcBorders>
          </w:tcPr>
          <w:p>
            <w:pPr>
              <w:pStyle w:val="TableParagraph"/>
              <w:spacing w:line="287" w:lineRule="exact"/>
              <w:ind w:right="142"/>
              <w:jc w:val="righ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59"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24"/>
                <w:szCs w:val="24"/>
              </w:rPr>
            </w:pPr>
            <w:r>
              <w:rPr>
                <w:rFonts w:ascii="宋体" w:hAnsi="宋体" w:cs="宋体" w:eastAsia="宋体" w:hint="default"/>
                <w:sz w:val="24"/>
                <w:szCs w:val="24"/>
              </w:rPr>
              <w:t>股本溢价</w:t>
            </w:r>
          </w:p>
        </w:tc>
        <w:tc>
          <w:tcPr>
            <w:tcW w:w="57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274"/>
              <w:jc w:val="right"/>
              <w:rPr>
                <w:rFonts w:ascii="Arial" w:hAnsi="Arial" w:cs="Arial" w:eastAsia="Arial" w:hint="default"/>
                <w:sz w:val="24"/>
                <w:szCs w:val="24"/>
              </w:rPr>
            </w:pPr>
            <w:r>
              <w:rPr>
                <w:rFonts w:ascii="Arial"/>
                <w:spacing w:val="-1"/>
                <w:w w:val="95"/>
                <w:sz w:val="24"/>
              </w:rPr>
              <w:t>1,083,586</w:t>
            </w:r>
            <w:r>
              <w:rPr>
                <w:rFonts w:ascii="Arial"/>
                <w:sz w:val="24"/>
              </w:rPr>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334" w:right="0"/>
              <w:jc w:val="left"/>
              <w:rPr>
                <w:rFonts w:ascii="Arial" w:hAnsi="Arial" w:cs="Arial" w:eastAsia="Arial" w:hint="default"/>
                <w:sz w:val="24"/>
                <w:szCs w:val="24"/>
              </w:rPr>
            </w:pPr>
            <w:r>
              <w:rPr>
                <w:rFonts w:ascii="Arial"/>
                <w:sz w:val="24"/>
              </w:rPr>
              <w:t>2,822,371</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41"/>
              <w:jc w:val="right"/>
              <w:rPr>
                <w:rFonts w:ascii="Arial" w:hAnsi="Arial" w:cs="Arial" w:eastAsia="Arial" w:hint="default"/>
                <w:sz w:val="24"/>
                <w:szCs w:val="24"/>
              </w:rPr>
            </w:pPr>
            <w:r>
              <w:rPr>
                <w:rFonts w:ascii="Arial"/>
                <w:spacing w:val="-1"/>
                <w:sz w:val="24"/>
              </w:rPr>
              <w:t>(932,910)</w:t>
            </w:r>
            <w:r>
              <w:rPr>
                <w:rFonts w:ascii="Arial"/>
                <w:sz w:val="24"/>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40"/>
              <w:jc w:val="right"/>
              <w:rPr>
                <w:rFonts w:ascii="Arial" w:hAnsi="Arial" w:cs="Arial" w:eastAsia="Arial" w:hint="default"/>
                <w:sz w:val="24"/>
                <w:szCs w:val="24"/>
              </w:rPr>
            </w:pPr>
            <w:r>
              <w:rPr>
                <w:rFonts w:ascii="Arial"/>
                <w:spacing w:val="-1"/>
                <w:w w:val="95"/>
                <w:sz w:val="24"/>
              </w:rPr>
              <w:t>2,973,047</w:t>
            </w:r>
            <w:r>
              <w:rPr>
                <w:rFonts w:ascii="Arial"/>
                <w:sz w:val="24"/>
              </w:rPr>
            </w:r>
          </w:p>
        </w:tc>
      </w:tr>
      <w:tr>
        <w:trPr>
          <w:trHeight w:val="314"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61" w:lineRule="exact"/>
              <w:ind w:left="38" w:right="0"/>
              <w:jc w:val="left"/>
              <w:rPr>
                <w:rFonts w:ascii="宋体" w:hAnsi="宋体" w:cs="宋体" w:eastAsia="宋体" w:hint="default"/>
                <w:sz w:val="24"/>
                <w:szCs w:val="24"/>
              </w:rPr>
            </w:pPr>
            <w:r>
              <w:rPr>
                <w:rFonts w:ascii="宋体" w:hAnsi="宋体" w:cs="宋体" w:eastAsia="宋体" w:hint="default"/>
                <w:sz w:val="24"/>
                <w:szCs w:val="24"/>
              </w:rPr>
              <w:t>其他资本公积</w:t>
            </w:r>
          </w:p>
        </w:tc>
        <w:tc>
          <w:tcPr>
            <w:tcW w:w="57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tabs>
                <w:tab w:pos="993" w:val="left" w:leader="none"/>
                <w:tab w:pos="1694" w:val="left" w:leader="none"/>
              </w:tabs>
              <w:spacing w:line="240" w:lineRule="auto" w:before="20"/>
              <w:ind w:right="172"/>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2,605</w:t>
              <w:tab/>
            </w:r>
            <w:r>
              <w:rPr>
                <w:rFonts w:ascii="Arial"/>
                <w:spacing w:val="-1"/>
                <w:sz w:val="24"/>
              </w:rPr>
            </w:r>
          </w:p>
        </w:tc>
        <w:tc>
          <w:tcPr>
            <w:tcW w:w="1645" w:type="dxa"/>
            <w:tcBorders>
              <w:top w:val="nil" w:sz="6" w:space="0" w:color="auto"/>
              <w:left w:val="nil" w:sz="6" w:space="0" w:color="auto"/>
              <w:bottom w:val="nil" w:sz="6" w:space="0" w:color="auto"/>
              <w:right w:val="nil" w:sz="6" w:space="0" w:color="auto"/>
            </w:tcBorders>
          </w:tcPr>
          <w:p>
            <w:pPr>
              <w:pStyle w:val="TableParagraph"/>
              <w:tabs>
                <w:tab w:pos="1146" w:val="left" w:leader="none"/>
                <w:tab w:pos="1329" w:val="left" w:leader="none"/>
              </w:tabs>
              <w:spacing w:line="240" w:lineRule="auto" w:before="20"/>
              <w:ind w:right="1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c>
          <w:tcPr>
            <w:tcW w:w="1657" w:type="dxa"/>
            <w:tcBorders>
              <w:top w:val="nil" w:sz="6" w:space="0" w:color="auto"/>
              <w:left w:val="nil" w:sz="6" w:space="0" w:color="auto"/>
              <w:bottom w:val="nil" w:sz="6" w:space="0" w:color="auto"/>
              <w:right w:val="nil" w:sz="6" w:space="0" w:color="auto"/>
            </w:tcBorders>
          </w:tcPr>
          <w:p>
            <w:pPr>
              <w:pStyle w:val="TableParagraph"/>
              <w:tabs>
                <w:tab w:pos="1214" w:val="left" w:leader="none"/>
              </w:tabs>
              <w:spacing w:line="240" w:lineRule="auto" w:before="20"/>
              <w:ind w:right="13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c>
          <w:tcPr>
            <w:tcW w:w="1800" w:type="dxa"/>
            <w:tcBorders>
              <w:top w:val="nil" w:sz="6" w:space="0" w:color="auto"/>
              <w:left w:val="nil" w:sz="6" w:space="0" w:color="auto"/>
              <w:bottom w:val="nil" w:sz="6" w:space="0" w:color="auto"/>
              <w:right w:val="nil" w:sz="6" w:space="0" w:color="auto"/>
            </w:tcBorders>
          </w:tcPr>
          <w:p>
            <w:pPr>
              <w:pStyle w:val="TableParagraph"/>
              <w:tabs>
                <w:tab w:pos="909" w:val="left" w:leader="none"/>
                <w:tab w:pos="1609" w:val="left" w:leader="none"/>
              </w:tabs>
              <w:spacing w:line="240" w:lineRule="auto" w:before="20"/>
              <w:ind w:right="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2,605</w:t>
              <w:tab/>
            </w:r>
            <w:r>
              <w:rPr>
                <w:rFonts w:ascii="Arial"/>
                <w:spacing w:val="-1"/>
                <w:sz w:val="24"/>
              </w:rPr>
            </w:r>
          </w:p>
        </w:tc>
      </w:tr>
      <w:tr>
        <w:trPr>
          <w:trHeight w:val="363" w:hRule="exact"/>
        </w:trPr>
        <w:tc>
          <w:tcPr>
            <w:tcW w:w="1545"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tabs>
                <w:tab w:pos="532" w:val="left" w:leader="none"/>
                <w:tab w:pos="1708" w:val="left" w:leader="none"/>
              </w:tabs>
              <w:spacing w:line="268" w:lineRule="exact"/>
              <w:ind w:right="165"/>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1,086,191</w:t>
              <w:tab/>
            </w:r>
            <w:r>
              <w:rPr>
                <w:rFonts w:ascii="Arial"/>
                <w:spacing w:val="-1"/>
                <w:sz w:val="24"/>
              </w:rPr>
            </w:r>
          </w:p>
        </w:tc>
        <w:tc>
          <w:tcPr>
            <w:tcW w:w="1645" w:type="dxa"/>
            <w:tcBorders>
              <w:top w:val="nil" w:sz="6" w:space="0" w:color="auto"/>
              <w:left w:val="nil" w:sz="6" w:space="0" w:color="auto"/>
              <w:bottom w:val="nil" w:sz="6" w:space="0" w:color="auto"/>
              <w:right w:val="nil" w:sz="6" w:space="0" w:color="auto"/>
            </w:tcBorders>
          </w:tcPr>
          <w:p>
            <w:pPr>
              <w:pStyle w:val="TableParagraph"/>
              <w:tabs>
                <w:tab w:pos="1343" w:val="left" w:leader="none"/>
              </w:tabs>
              <w:spacing w:line="268" w:lineRule="exact"/>
              <w:ind w:right="13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pacing w:val="33"/>
                <w:sz w:val="24"/>
                <w:u w:val="thick" w:color="000000"/>
              </w:rPr>
              <w:t> </w:t>
            </w:r>
            <w:r>
              <w:rPr>
                <w:rFonts w:ascii="Arial"/>
                <w:spacing w:val="-1"/>
                <w:sz w:val="24"/>
                <w:u w:val="thick" w:color="000000"/>
              </w:rPr>
              <w:t>2,822,371</w:t>
              <w:tab/>
            </w:r>
            <w:r>
              <w:rPr>
                <w:rFonts w:ascii="Arial"/>
                <w:spacing w:val="-1"/>
                <w:sz w:val="24"/>
              </w:rPr>
            </w:r>
          </w:p>
        </w:tc>
        <w:tc>
          <w:tcPr>
            <w:tcW w:w="1657" w:type="dxa"/>
            <w:tcBorders>
              <w:top w:val="nil" w:sz="6" w:space="0" w:color="auto"/>
              <w:left w:val="nil" w:sz="6" w:space="0" w:color="auto"/>
              <w:bottom w:val="nil" w:sz="6" w:space="0" w:color="auto"/>
              <w:right w:val="nil" w:sz="6" w:space="0" w:color="auto"/>
            </w:tcBorders>
          </w:tcPr>
          <w:p>
            <w:pPr>
              <w:pStyle w:val="TableParagraph"/>
              <w:tabs>
                <w:tab w:pos="354" w:val="left" w:leader="none"/>
              </w:tabs>
              <w:spacing w:line="268" w:lineRule="exact"/>
              <w:ind w:right="14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(932,910)</w:t>
            </w:r>
            <w:r>
              <w:rPr>
                <w:rFonts w:ascii="Arial"/>
                <w:spacing w:val="-1"/>
                <w:sz w:val="24"/>
              </w:rPr>
            </w:r>
            <w:r>
              <w:rPr>
                <w:rFonts w:ascii="Arial"/>
                <w:sz w:val="24"/>
              </w:rPr>
            </w:r>
          </w:p>
        </w:tc>
        <w:tc>
          <w:tcPr>
            <w:tcW w:w="1800" w:type="dxa"/>
            <w:tcBorders>
              <w:top w:val="nil" w:sz="6" w:space="0" w:color="auto"/>
              <w:left w:val="nil" w:sz="6" w:space="0" w:color="auto"/>
              <w:bottom w:val="nil" w:sz="6" w:space="0" w:color="auto"/>
              <w:right w:val="nil" w:sz="6" w:space="0" w:color="auto"/>
            </w:tcBorders>
          </w:tcPr>
          <w:p>
            <w:pPr>
              <w:pStyle w:val="TableParagraph"/>
              <w:tabs>
                <w:tab w:pos="448" w:val="left" w:leader="none"/>
                <w:tab w:pos="1623"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2,975,652</w:t>
              <w:tab/>
            </w:r>
            <w:r>
              <w:rPr>
                <w:rFonts w:ascii="Arial"/>
                <w:spacing w:val="-1"/>
                <w:sz w:val="24"/>
              </w:rPr>
            </w:r>
          </w:p>
        </w:tc>
      </w:tr>
    </w:tbl>
    <w:p>
      <w:pPr>
        <w:spacing w:line="240" w:lineRule="auto" w:before="3"/>
        <w:rPr>
          <w:rFonts w:ascii="宋体" w:hAnsi="宋体" w:cs="宋体" w:eastAsia="宋体" w:hint="default"/>
          <w:b/>
          <w:bCs/>
          <w:sz w:val="8"/>
          <w:szCs w:val="8"/>
        </w:rPr>
      </w:pPr>
    </w:p>
    <w:p>
      <w:pPr>
        <w:pStyle w:val="BodyText"/>
        <w:tabs>
          <w:tab w:pos="827" w:val="left" w:leader="none"/>
        </w:tabs>
        <w:spacing w:line="322" w:lineRule="exact" w:before="32"/>
        <w:ind w:left="118" w:right="0"/>
        <w:jc w:val="left"/>
      </w:pPr>
      <w:r>
        <w:rPr>
          <w:rFonts w:ascii="Arial" w:hAnsi="Arial" w:cs="Arial" w:eastAsia="Arial" w:hint="default"/>
          <w:w w:val="99"/>
          <w:position w:val="2"/>
        </w:rPr>
        <w:t>(a)</w:t>
      </w:r>
      <w:r>
        <w:rPr>
          <w:rFonts w:ascii="Arial" w:hAnsi="Arial" w:cs="Arial" w:eastAsia="Arial" w:hint="default"/>
          <w:position w:val="2"/>
        </w:rPr>
        <w:tab/>
      </w:r>
      <w:r>
        <w:rPr/>
        <w:t>经于</w:t>
      </w:r>
      <w:r>
        <w:rPr>
          <w:spacing w:val="-60"/>
        </w:rPr>
        <w:t> </w:t>
      </w:r>
      <w:r>
        <w:rPr>
          <w:rFonts w:ascii="Arial" w:hAnsi="Arial" w:cs="Arial" w:eastAsia="Arial" w:hint="default"/>
          <w:spacing w:val="-1"/>
          <w:w w:val="99"/>
        </w:rPr>
        <w:t>201</w:t>
      </w:r>
      <w:r>
        <w:rPr>
          <w:rFonts w:ascii="Arial" w:hAnsi="Arial" w:cs="Arial" w:eastAsia="Arial" w:hint="default"/>
          <w:w w:val="99"/>
        </w:rPr>
        <w:t>0</w:t>
      </w:r>
      <w:r>
        <w:rPr>
          <w:rFonts w:ascii="Arial" w:hAnsi="Arial" w:cs="Arial" w:eastAsia="Arial" w:hint="default"/>
          <w:spacing w:val="-6"/>
        </w:rPr>
        <w:t> </w:t>
      </w:r>
      <w:r>
        <w:rPr/>
        <w:t>年</w:t>
      </w:r>
      <w:r>
        <w:rPr>
          <w:spacing w:val="-60"/>
        </w:rPr>
        <w:t> </w:t>
      </w:r>
      <w:r>
        <w:rPr>
          <w:rFonts w:ascii="Arial" w:hAnsi="Arial" w:cs="Arial" w:eastAsia="Arial" w:hint="default"/>
          <w:w w:val="99"/>
        </w:rPr>
        <w:t>4</w:t>
      </w:r>
      <w:r>
        <w:rPr>
          <w:rFonts w:ascii="Arial" w:hAnsi="Arial" w:cs="Arial" w:eastAsia="Arial" w:hint="default"/>
          <w:spacing w:val="-7"/>
        </w:rPr>
        <w:t> </w:t>
      </w:r>
      <w:r>
        <w:rPr/>
        <w:t>月</w:t>
      </w:r>
      <w:r>
        <w:rPr>
          <w:spacing w:val="-60"/>
        </w:rPr>
        <w:t> </w:t>
      </w:r>
      <w:r>
        <w:rPr>
          <w:rFonts w:ascii="Arial" w:hAnsi="Arial" w:cs="Arial" w:eastAsia="Arial" w:hint="default"/>
          <w:w w:val="99"/>
        </w:rPr>
        <w:t>6</w:t>
      </w:r>
      <w:r>
        <w:rPr>
          <w:rFonts w:ascii="Arial" w:hAnsi="Arial" w:cs="Arial" w:eastAsia="Arial" w:hint="default"/>
          <w:spacing w:val="-7"/>
        </w:rPr>
        <w:t> </w:t>
      </w:r>
      <w:r>
        <w:rPr/>
        <w:t>日召开的</w:t>
      </w:r>
      <w:r>
        <w:rPr>
          <w:spacing w:val="-60"/>
        </w:rPr>
        <w:t> </w:t>
      </w:r>
      <w:r>
        <w:rPr>
          <w:rFonts w:ascii="Arial" w:hAnsi="Arial" w:cs="Arial" w:eastAsia="Arial" w:hint="default"/>
          <w:w w:val="99"/>
        </w:rPr>
        <w:t>2009</w:t>
      </w:r>
      <w:r>
        <w:rPr>
          <w:rFonts w:ascii="Arial" w:hAnsi="Arial" w:cs="Arial" w:eastAsia="Arial" w:hint="default"/>
          <w:spacing w:val="-7"/>
        </w:rPr>
        <w:t> </w:t>
      </w:r>
      <w:r>
        <w:rPr/>
        <w:t>年年度股东大会决议通过</w:t>
      </w:r>
      <w:r>
        <w:rPr>
          <w:spacing w:val="-114"/>
        </w:rPr>
        <w:t>，</w:t>
      </w:r>
      <w:r>
        <w:rPr/>
        <w:t>本公司以资本公积转增股</w:t>
      </w:r>
    </w:p>
    <w:p>
      <w:pPr>
        <w:pStyle w:val="BodyText"/>
        <w:spacing w:line="312" w:lineRule="exact"/>
        <w:ind w:left="831" w:right="0"/>
        <w:jc w:val="left"/>
      </w:pPr>
      <w:r>
        <w:rPr/>
        <w:t>本约人民币</w:t>
      </w:r>
      <w:r>
        <w:rPr>
          <w:spacing w:val="-69"/>
        </w:rPr>
        <w:t> </w:t>
      </w:r>
      <w:r>
        <w:rPr>
          <w:rFonts w:ascii="Arial" w:hAnsi="Arial" w:cs="Arial" w:eastAsia="Arial" w:hint="default"/>
        </w:rPr>
        <w:t>23.32</w:t>
      </w:r>
      <w:r>
        <w:rPr>
          <w:rFonts w:ascii="Arial" w:hAnsi="Arial" w:cs="Arial" w:eastAsia="Arial" w:hint="default"/>
          <w:spacing w:val="-16"/>
        </w:rPr>
        <w:t> </w:t>
      </w:r>
      <w:r>
        <w:rPr/>
        <w:t>亿元</w:t>
      </w:r>
      <w:r>
        <w:rPr>
          <w:rFonts w:ascii="Arial" w:hAnsi="Arial" w:cs="Arial" w:eastAsia="Arial" w:hint="default"/>
        </w:rPr>
        <w:t>(</w:t>
      </w:r>
      <w:r>
        <w:rPr/>
        <w:t>附注五</w:t>
      </w:r>
      <w:r>
        <w:rPr>
          <w:rFonts w:ascii="Arial" w:hAnsi="Arial" w:cs="Arial" w:eastAsia="Arial" w:hint="default"/>
        </w:rPr>
        <w:t>(31))</w:t>
      </w:r>
      <w:r>
        <w:rPr/>
        <w:t>。于</w:t>
      </w:r>
      <w:r>
        <w:rPr>
          <w:spacing w:val="-69"/>
        </w:rPr>
        <w:t> </w:t>
      </w:r>
      <w:r>
        <w:rPr>
          <w:rFonts w:ascii="Arial" w:hAnsi="Arial" w:cs="Arial" w:eastAsia="Arial" w:hint="default"/>
        </w:rPr>
        <w:t>2010</w:t>
      </w:r>
      <w:r>
        <w:rPr>
          <w:rFonts w:ascii="Arial" w:hAnsi="Arial" w:cs="Arial" w:eastAsia="Arial" w:hint="default"/>
          <w:spacing w:val="-16"/>
        </w:rPr>
        <w:t> </w:t>
      </w:r>
      <w:r>
        <w:rPr/>
        <w:t>年度，本公司回购少数股东权益使资本公</w:t>
      </w:r>
    </w:p>
    <w:p>
      <w:pPr>
        <w:pStyle w:val="BodyText"/>
        <w:spacing w:line="322" w:lineRule="exact"/>
        <w:ind w:left="831" w:right="0"/>
        <w:jc w:val="left"/>
      </w:pPr>
      <w:r>
        <w:rPr/>
        <w:t>积减少约人民币</w:t>
      </w:r>
      <w:r>
        <w:rPr>
          <w:spacing w:val="-62"/>
        </w:rPr>
        <w:t> </w:t>
      </w:r>
      <w:r>
        <w:rPr>
          <w:rFonts w:ascii="Arial" w:hAnsi="Arial" w:cs="Arial" w:eastAsia="Arial" w:hint="default"/>
        </w:rPr>
        <w:t>284</w:t>
      </w:r>
      <w:r>
        <w:rPr>
          <w:rFonts w:ascii="Arial" w:hAnsi="Arial" w:cs="Arial" w:eastAsia="Arial" w:hint="default"/>
          <w:spacing w:val="-8"/>
        </w:rPr>
        <w:t> </w:t>
      </w:r>
      <w:r>
        <w:rPr/>
        <w:t>万元。</w:t>
      </w:r>
    </w:p>
    <w:p>
      <w:pPr>
        <w:spacing w:line="240" w:lineRule="auto" w:before="13"/>
        <w:rPr>
          <w:rFonts w:ascii="宋体" w:hAnsi="宋体" w:cs="宋体" w:eastAsia="宋体" w:hint="default"/>
          <w:sz w:val="21"/>
          <w:szCs w:val="21"/>
        </w:rPr>
      </w:pPr>
    </w:p>
    <w:p>
      <w:pPr>
        <w:pStyle w:val="BodyText"/>
        <w:spacing w:line="312" w:lineRule="exact"/>
        <w:ind w:left="827" w:right="250" w:hanging="710"/>
        <w:jc w:val="both"/>
      </w:pPr>
      <w:r>
        <w:rPr>
          <w:rFonts w:ascii="Arial" w:hAnsi="Arial" w:cs="Arial" w:eastAsia="Arial" w:hint="default"/>
          <w:position w:val="2"/>
        </w:rPr>
        <w:t>(b)</w:t>
      </w:r>
      <w:r>
        <w:rPr>
          <w:rFonts w:ascii="Arial" w:hAnsi="Arial" w:cs="Arial" w:eastAsia="Arial" w:hint="default"/>
          <w:spacing w:val="20"/>
          <w:position w:val="2"/>
        </w:rPr>
        <w:t> </w:t>
      </w:r>
      <w:r>
        <w:rPr/>
        <w:t>根据</w:t>
      </w:r>
      <w:r>
        <w:rPr>
          <w:rFonts w:ascii="Arial" w:hAnsi="Arial" w:cs="Arial" w:eastAsia="Arial" w:hint="default"/>
        </w:rPr>
        <w:t>2010</w:t>
      </w:r>
      <w:r>
        <w:rPr/>
        <w:t>年</w:t>
      </w:r>
      <w:r>
        <w:rPr>
          <w:rFonts w:ascii="Arial" w:hAnsi="Arial" w:cs="Arial" w:eastAsia="Arial" w:hint="default"/>
        </w:rPr>
        <w:t>11</w:t>
      </w:r>
      <w:r>
        <w:rPr/>
        <w:t>月</w:t>
      </w:r>
      <w:r>
        <w:rPr>
          <w:rFonts w:ascii="Arial" w:hAnsi="Arial" w:cs="Arial" w:eastAsia="Arial" w:hint="default"/>
        </w:rPr>
        <w:t>24</w:t>
      </w:r>
      <w:r>
        <w:rPr/>
        <w:t>日召开的第二次临时股东大会决议通过的《</w:t>
      </w:r>
      <w:r>
        <w:rPr>
          <w:rFonts w:ascii="Arial" w:hAnsi="Arial" w:cs="Arial" w:eastAsia="Arial" w:hint="default"/>
        </w:rPr>
        <w:t>2010</w:t>
      </w:r>
      <w:r>
        <w:rPr/>
        <w:t>年股票期权激励计</w:t>
      </w:r>
      <w:r>
        <w:rPr>
          <w:spacing w:val="-114"/>
        </w:rPr>
        <w:t> </w:t>
      </w:r>
      <w:r>
        <w:rPr>
          <w:spacing w:val="-2"/>
          <w:w w:val="99"/>
        </w:rPr>
        <w:t>划》，本公司向</w:t>
      </w:r>
      <w:r>
        <w:rPr>
          <w:rFonts w:ascii="Arial" w:hAnsi="Arial" w:cs="Arial" w:eastAsia="Arial" w:hint="default"/>
          <w:spacing w:val="-2"/>
          <w:w w:val="99"/>
        </w:rPr>
        <w:t>248</w:t>
      </w:r>
      <w:r>
        <w:rPr>
          <w:spacing w:val="-2"/>
          <w:w w:val="99"/>
        </w:rPr>
        <w:t>位激励对象授予</w:t>
      </w:r>
      <w:r>
        <w:rPr>
          <w:rFonts w:ascii="Arial" w:hAnsi="Arial" w:cs="Arial" w:eastAsia="Arial" w:hint="default"/>
          <w:spacing w:val="-2"/>
          <w:w w:val="99"/>
        </w:rPr>
        <w:t>8,469</w:t>
      </w:r>
      <w:r>
        <w:rPr>
          <w:spacing w:val="-2"/>
          <w:w w:val="99"/>
        </w:rPr>
        <w:t>万份股票期权。该股票期权的行权价格为人民</w:t>
      </w:r>
      <w:r>
        <w:rPr>
          <w:spacing w:val="2"/>
        </w:rPr>
        <w:t> </w:t>
      </w:r>
      <w:r>
        <w:rPr/>
        <w:t>币</w:t>
      </w:r>
      <w:r>
        <w:rPr>
          <w:rFonts w:ascii="Arial" w:hAnsi="Arial" w:cs="Arial" w:eastAsia="Arial" w:hint="default"/>
        </w:rPr>
        <w:t>14.50</w:t>
      </w:r>
      <w:r>
        <w:rPr/>
        <w:t>元，激励对象自授予日</w:t>
      </w:r>
      <w:r>
        <w:rPr>
          <w:rFonts w:ascii="Arial" w:hAnsi="Arial" w:cs="Arial" w:eastAsia="Arial" w:hint="default"/>
        </w:rPr>
        <w:t>(2011</w:t>
      </w:r>
      <w:r>
        <w:rPr/>
        <w:t>年</w:t>
      </w:r>
      <w:r>
        <w:rPr>
          <w:rFonts w:ascii="Arial" w:hAnsi="Arial" w:cs="Arial" w:eastAsia="Arial" w:hint="default"/>
        </w:rPr>
        <w:t>11</w:t>
      </w:r>
      <w:r>
        <w:rPr/>
        <w:t>月</w:t>
      </w:r>
      <w:r>
        <w:rPr>
          <w:rFonts w:ascii="Arial" w:hAnsi="Arial" w:cs="Arial" w:eastAsia="Arial" w:hint="default"/>
        </w:rPr>
        <w:t>26</w:t>
      </w:r>
      <w:r>
        <w:rPr/>
        <w:t>日)起在各行权期内实现相应的行权条件</w:t>
      </w:r>
      <w:r>
        <w:rPr>
          <w:spacing w:val="3"/>
        </w:rPr>
        <w:t> </w:t>
      </w:r>
      <w:r>
        <w:rPr/>
        <w:t>才可行权。股票期权的有效期为自股票期权授予日起</w:t>
      </w:r>
      <w:r>
        <w:rPr>
          <w:rFonts w:ascii="Arial" w:hAnsi="Arial" w:cs="Arial" w:eastAsia="Arial" w:hint="default"/>
        </w:rPr>
        <w:t>5</w:t>
      </w:r>
      <w:r>
        <w:rPr/>
        <w:t>年。</w:t>
      </w:r>
    </w:p>
    <w:p>
      <w:pPr>
        <w:spacing w:line="240" w:lineRule="auto" w:before="7"/>
        <w:rPr>
          <w:rFonts w:ascii="宋体" w:hAnsi="宋体" w:cs="宋体" w:eastAsia="宋体" w:hint="default"/>
          <w:sz w:val="19"/>
          <w:szCs w:val="19"/>
        </w:rPr>
      </w:pPr>
    </w:p>
    <w:p>
      <w:pPr>
        <w:pStyle w:val="BodyText"/>
        <w:spacing w:line="322" w:lineRule="exact" w:before="26"/>
        <w:ind w:left="936" w:right="0"/>
        <w:jc w:val="left"/>
        <w:rPr>
          <w:rFonts w:ascii="Arial" w:hAnsi="Arial" w:cs="Arial" w:eastAsia="Arial" w:hint="default"/>
        </w:rPr>
      </w:pPr>
      <w:r>
        <w:rPr/>
        <w:t>年度内股票期权变动情况表</w:t>
      </w:r>
      <w:r>
        <w:rPr>
          <w:rFonts w:ascii="Arial" w:hAnsi="Arial" w:cs="Arial" w:eastAsia="Arial" w:hint="default"/>
        </w:rPr>
        <w:t>(</w:t>
      </w:r>
      <w:r>
        <w:rPr/>
        <w:t>单位：万份</w:t>
      </w:r>
      <w:r>
        <w:rPr>
          <w:rFonts w:ascii="Arial" w:hAnsi="Arial" w:cs="Arial" w:eastAsia="Arial" w:hint="default"/>
        </w:rPr>
        <w:t>)</w:t>
      </w:r>
    </w:p>
    <w:p>
      <w:pPr>
        <w:pStyle w:val="BodyText"/>
        <w:spacing w:line="322" w:lineRule="exact"/>
        <w:ind w:left="0" w:right="1961"/>
        <w:jc w:val="right"/>
      </w:pPr>
      <w:r>
        <w:rPr>
          <w:rFonts w:ascii="Arial" w:hAnsi="Arial" w:cs="Arial" w:eastAsia="Arial" w:hint="default"/>
          <w:spacing w:val="-1"/>
        </w:rPr>
        <w:t>2010</w:t>
      </w:r>
      <w:r>
        <w:rPr>
          <w:spacing w:val="-1"/>
        </w:rPr>
        <w:t>年度</w:t>
      </w:r>
    </w:p>
    <w:p>
      <w:pPr>
        <w:spacing w:line="240" w:lineRule="auto" w:before="12"/>
        <w:rPr>
          <w:rFonts w:ascii="宋体" w:hAnsi="宋体" w:cs="宋体" w:eastAsia="宋体" w:hint="default"/>
          <w:sz w:val="19"/>
          <w:szCs w:val="19"/>
        </w:rPr>
      </w:pPr>
    </w:p>
    <w:p>
      <w:pPr>
        <w:pStyle w:val="BodyText"/>
        <w:tabs>
          <w:tab w:pos="8091" w:val="left" w:leader="none"/>
        </w:tabs>
        <w:spacing w:line="313" w:lineRule="exact" w:before="32"/>
        <w:ind w:left="936" w:right="0"/>
        <w:jc w:val="left"/>
        <w:rPr>
          <w:rFonts w:ascii="Arial" w:hAnsi="Arial" w:cs="Arial" w:eastAsia="Arial" w:hint="default"/>
        </w:rPr>
      </w:pPr>
      <w:r>
        <w:rPr/>
        <w:t>年初发行在外的股票期权份数</w:t>
        <w:tab/>
      </w:r>
      <w:r>
        <w:rPr>
          <w:rFonts w:ascii="Arial" w:hAnsi="Arial" w:cs="Arial" w:eastAsia="Arial" w:hint="default"/>
          <w:position w:val="2"/>
        </w:rPr>
        <w:t>-</w:t>
      </w:r>
      <w:r>
        <w:rPr>
          <w:rFonts w:ascii="Arial" w:hAnsi="Arial" w:cs="Arial" w:eastAsia="Arial" w:hint="default"/>
        </w:rPr>
      </w:r>
    </w:p>
    <w:p>
      <w:pPr>
        <w:pStyle w:val="BodyText"/>
        <w:tabs>
          <w:tab w:pos="7571" w:val="left" w:leader="none"/>
        </w:tabs>
        <w:spacing w:line="312" w:lineRule="exact"/>
        <w:ind w:left="936" w:right="0"/>
        <w:jc w:val="left"/>
        <w:rPr>
          <w:rFonts w:ascii="Arial" w:hAnsi="Arial" w:cs="Arial" w:eastAsia="Arial" w:hint="default"/>
        </w:rPr>
      </w:pPr>
      <w:r>
        <w:rPr/>
        <w:t>本年授予的股票期权份数</w:t>
        <w:tab/>
      </w:r>
      <w:r>
        <w:rPr>
          <w:rFonts w:ascii="Arial" w:hAnsi="Arial" w:cs="Arial" w:eastAsia="Arial" w:hint="default"/>
          <w:position w:val="2"/>
        </w:rPr>
        <w:t>8,469</w:t>
      </w:r>
      <w:r>
        <w:rPr>
          <w:rFonts w:ascii="Arial" w:hAnsi="Arial" w:cs="Arial" w:eastAsia="Arial" w:hint="default"/>
        </w:rPr>
      </w:r>
    </w:p>
    <w:p>
      <w:pPr>
        <w:pStyle w:val="BodyText"/>
        <w:tabs>
          <w:tab w:pos="8091" w:val="left" w:leader="none"/>
        </w:tabs>
        <w:spacing w:line="312" w:lineRule="exact"/>
        <w:ind w:left="936" w:right="0"/>
        <w:jc w:val="left"/>
        <w:rPr>
          <w:rFonts w:ascii="Arial" w:hAnsi="Arial" w:cs="Arial" w:eastAsia="Arial" w:hint="default"/>
        </w:rPr>
      </w:pPr>
      <w:r>
        <w:rPr/>
        <w:t>本年行权的股票期权份数</w:t>
        <w:tab/>
      </w:r>
      <w:r>
        <w:rPr>
          <w:rFonts w:ascii="Arial" w:hAnsi="Arial" w:cs="Arial" w:eastAsia="Arial" w:hint="default"/>
          <w:position w:val="2"/>
        </w:rPr>
        <w:t>-</w:t>
      </w:r>
      <w:r>
        <w:rPr>
          <w:rFonts w:ascii="Arial" w:hAnsi="Arial" w:cs="Arial" w:eastAsia="Arial" w:hint="default"/>
        </w:rPr>
      </w:r>
    </w:p>
    <w:p>
      <w:pPr>
        <w:pStyle w:val="BodyText"/>
        <w:tabs>
          <w:tab w:pos="8091" w:val="left" w:leader="none"/>
        </w:tabs>
        <w:spacing w:line="313" w:lineRule="exact"/>
        <w:ind w:left="936" w:right="0"/>
        <w:jc w:val="left"/>
        <w:rPr>
          <w:rFonts w:ascii="Arial" w:hAnsi="Arial" w:cs="Arial" w:eastAsia="Arial" w:hint="default"/>
        </w:rPr>
      </w:pPr>
      <w:r>
        <w:rPr/>
        <w:t>本年失效的股票期权份数</w:t>
        <w:tab/>
      </w:r>
      <w:r>
        <w:rPr>
          <w:rFonts w:ascii="Arial" w:hAnsi="Arial" w:cs="Arial" w:eastAsia="Arial" w:hint="default"/>
          <w:position w:val="2"/>
        </w:rPr>
        <w:t>-</w:t>
      </w:r>
      <w:r>
        <w:rPr>
          <w:rFonts w:ascii="Arial" w:hAnsi="Arial" w:cs="Arial" w:eastAsia="Arial" w:hint="default"/>
        </w:rPr>
      </w:r>
    </w:p>
    <w:p>
      <w:pPr>
        <w:pStyle w:val="BodyText"/>
        <w:tabs>
          <w:tab w:pos="7571" w:val="left" w:leader="none"/>
        </w:tabs>
        <w:spacing w:line="240" w:lineRule="auto" w:before="2"/>
        <w:ind w:left="936" w:right="0"/>
        <w:jc w:val="left"/>
        <w:rPr>
          <w:rFonts w:ascii="Arial" w:hAnsi="Arial" w:cs="Arial" w:eastAsia="Arial" w:hint="default"/>
        </w:rPr>
      </w:pPr>
      <w:r>
        <w:rPr/>
        <w:pict>
          <v:group style="position:absolute;margin-left:298.920013pt;margin-top:1.935933pt;width:162.75pt;height:.1pt;mso-position-horizontal-relative:page;mso-position-vertical-relative:paragraph;z-index:-1002952" coordorigin="5978,39" coordsize="3255,2">
            <v:shape style="position:absolute;left:5978;top:39;width:3255;height:2" coordorigin="5978,39" coordsize="3255,0" path="m5978,39l9233,39e" filled="false" stroked="true" strokeweight=".23999pt" strokecolor="#000000">
              <v:path arrowok="t"/>
            </v:shape>
            <w10:wrap type="none"/>
          </v:group>
        </w:pict>
      </w:r>
      <w:r>
        <w:rPr/>
        <w:t>年末发行在外的股票期权份数</w:t>
        <w:tab/>
      </w:r>
      <w:r>
        <w:rPr>
          <w:rFonts w:ascii="Arial" w:hAnsi="Arial" w:cs="Arial" w:eastAsia="Arial" w:hint="default"/>
          <w:position w:val="2"/>
        </w:rPr>
        <w:t>8,469</w:t>
      </w:r>
      <w:r>
        <w:rPr>
          <w:rFonts w:ascii="Arial" w:hAnsi="Arial" w:cs="Arial" w:eastAsia="Arial" w:hint="default"/>
        </w:rPr>
      </w:r>
    </w:p>
    <w:p>
      <w:pPr>
        <w:spacing w:line="240" w:lineRule="auto" w:before="3"/>
        <w:rPr>
          <w:rFonts w:ascii="Arial" w:hAnsi="Arial" w:cs="Arial" w:eastAsia="Arial" w:hint="default"/>
          <w:sz w:val="3"/>
          <w:szCs w:val="3"/>
        </w:rPr>
      </w:pPr>
    </w:p>
    <w:p>
      <w:pPr>
        <w:spacing w:line="30" w:lineRule="exact"/>
        <w:ind w:left="4996" w:right="0" w:firstLine="0"/>
        <w:rPr>
          <w:rFonts w:ascii="Arial" w:hAnsi="Arial" w:cs="Arial" w:eastAsia="Arial" w:hint="default"/>
          <w:sz w:val="3"/>
          <w:szCs w:val="3"/>
        </w:rPr>
      </w:pPr>
      <w:r>
        <w:rPr>
          <w:rFonts w:ascii="Arial" w:hAnsi="Arial" w:cs="Arial" w:eastAsia="Arial" w:hint="default"/>
          <w:position w:val="0"/>
          <w:sz w:val="3"/>
          <w:szCs w:val="3"/>
        </w:rPr>
        <w:pict>
          <v:group style="width:164.95pt;height:1.5pt;mso-position-horizontal-relative:char;mso-position-vertical-relative:line" coordorigin="0,0" coordsize="3299,30">
            <v:group style="position:absolute;left:15;top:15;width:3269;height:2" coordorigin="15,15" coordsize="3269,2">
              <v:shape style="position:absolute;left:15;top:15;width:3269;height:2" coordorigin="15,15" coordsize="3269,0" path="m15,15l3284,15e" filled="false" stroked="true" strokeweight="1.5pt" strokecolor="#000000">
                <v:path arrowok="t"/>
              </v:shape>
            </v:group>
          </v:group>
        </w:pict>
      </w:r>
      <w:r>
        <w:rPr>
          <w:rFonts w:ascii="Arial" w:hAnsi="Arial" w:cs="Arial" w:eastAsia="Arial" w:hint="default"/>
          <w:position w:val="0"/>
          <w:sz w:val="3"/>
          <w:szCs w:val="3"/>
        </w:rPr>
      </w:r>
    </w:p>
    <w:p>
      <w:pPr>
        <w:spacing w:line="240" w:lineRule="auto" w:before="4"/>
        <w:rPr>
          <w:rFonts w:ascii="Arial" w:hAnsi="Arial" w:cs="Arial" w:eastAsia="Arial" w:hint="default"/>
          <w:sz w:val="18"/>
          <w:szCs w:val="18"/>
        </w:rPr>
      </w:pPr>
    </w:p>
    <w:p>
      <w:pPr>
        <w:pStyle w:val="BodyText"/>
        <w:spacing w:line="312" w:lineRule="exact" w:before="56"/>
        <w:ind w:left="827" w:right="0"/>
        <w:jc w:val="left"/>
      </w:pPr>
      <w:r>
        <w:rPr/>
        <w:t>年末发行在外的股票期权行权价格为人民币</w:t>
      </w:r>
      <w:r>
        <w:rPr>
          <w:rFonts w:ascii="Arial" w:hAnsi="Arial" w:cs="Arial" w:eastAsia="Arial" w:hint="default"/>
        </w:rPr>
        <w:t>14.50</w:t>
      </w:r>
      <w:r>
        <w:rPr/>
        <w:t>元。截至</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日止，股票期</w:t>
      </w:r>
      <w:r>
        <w:rPr>
          <w:spacing w:val="-97"/>
        </w:rPr>
        <w:t> </w:t>
      </w:r>
      <w:r>
        <w:rPr/>
        <w:t>权合同剩余期限至</w:t>
      </w:r>
      <w:r>
        <w:rPr>
          <w:rFonts w:ascii="Arial" w:hAnsi="Arial" w:cs="Arial" w:eastAsia="Arial" w:hint="default"/>
        </w:rPr>
        <w:t>2015</w:t>
      </w:r>
      <w:r>
        <w:rPr/>
        <w:t>年</w:t>
      </w:r>
      <w:r>
        <w:rPr>
          <w:rFonts w:ascii="Arial" w:hAnsi="Arial" w:cs="Arial" w:eastAsia="Arial" w:hint="default"/>
        </w:rPr>
        <w:t>11</w:t>
      </w:r>
      <w:r>
        <w:rPr/>
        <w:t>月</w:t>
      </w:r>
      <w:r>
        <w:rPr>
          <w:rFonts w:ascii="Arial" w:hAnsi="Arial" w:cs="Arial" w:eastAsia="Arial" w:hint="default"/>
        </w:rPr>
        <w:t>26</w:t>
      </w:r>
      <w:r>
        <w:rPr/>
        <w:t>日，约为</w:t>
      </w:r>
      <w:r>
        <w:rPr>
          <w:rFonts w:ascii="Arial" w:hAnsi="Arial" w:cs="Arial" w:eastAsia="Arial" w:hint="default"/>
        </w:rPr>
        <w:t>4.9</w:t>
      </w:r>
      <w:r>
        <w:rPr/>
        <w:t>年。</w:t>
      </w:r>
    </w:p>
    <w:p>
      <w:pPr>
        <w:spacing w:after="0" w:line="312" w:lineRule="exact"/>
        <w:jc w:val="left"/>
        <w:sectPr>
          <w:footerReference w:type="default" r:id="rId75"/>
          <w:pgSz w:w="11910" w:h="16840"/>
          <w:pgMar w:footer="947" w:header="0" w:top="2300" w:bottom="1140" w:left="960" w:right="720"/>
          <w:pgNumType w:start="177"/>
        </w:sectPr>
      </w:pPr>
    </w:p>
    <w:p>
      <w:pPr>
        <w:spacing w:line="240" w:lineRule="auto" w:before="6"/>
        <w:rPr>
          <w:rFonts w:ascii="宋体" w:hAnsi="宋体" w:cs="宋体" w:eastAsia="宋体" w:hint="default"/>
          <w:sz w:val="13"/>
          <w:szCs w:val="13"/>
        </w:rPr>
      </w:pPr>
    </w:p>
    <w:p>
      <w:pPr>
        <w:pStyle w:val="Heading2"/>
        <w:tabs>
          <w:tab w:pos="785" w:val="left" w:leader="none"/>
        </w:tabs>
        <w:spacing w:line="240" w:lineRule="auto"/>
        <w:ind w:left="118" w:right="104"/>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785" w:val="left" w:leader="none"/>
        </w:tabs>
        <w:spacing w:before="0"/>
        <w:ind w:left="118"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(32)</w:t>
        <w:tab/>
      </w:r>
      <w:r>
        <w:rPr>
          <w:rFonts w:ascii="宋体" w:hAnsi="宋体" w:cs="宋体" w:eastAsia="宋体" w:hint="default"/>
          <w:b/>
          <w:bCs/>
          <w:sz w:val="24"/>
          <w:szCs w:val="24"/>
        </w:rPr>
        <w:t>资本公积</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spacing w:line="422" w:lineRule="auto"/>
        <w:ind w:left="840" w:right="1817" w:hanging="54"/>
        <w:jc w:val="left"/>
        <w:rPr>
          <w:rFonts w:ascii="Times New Roman" w:hAnsi="Times New Roman" w:cs="Times New Roman" w:eastAsia="Times New Roman" w:hint="default"/>
        </w:rPr>
      </w:pPr>
      <w:r>
        <w:rPr/>
        <w:t>授予日股票期权公允价值的确定方法 本集团采用期权定价模型确定股票期权的公允价值。主要参数列示如下</w:t>
      </w:r>
      <w:r>
        <w:rPr>
          <w:rFonts w:ascii="Times New Roman" w:hAnsi="Times New Roman" w:cs="Times New Roman" w:eastAsia="Times New Roman" w:hint="default"/>
        </w:rPr>
        <w:t>:</w:t>
      </w:r>
    </w:p>
    <w:p>
      <w:pPr>
        <w:pStyle w:val="BodyText"/>
        <w:tabs>
          <w:tab w:pos="4319" w:val="left" w:leader="none"/>
        </w:tabs>
        <w:spacing w:line="322" w:lineRule="exact" w:before="53"/>
        <w:ind w:left="840" w:right="104"/>
        <w:jc w:val="left"/>
      </w:pPr>
      <w:r>
        <w:rPr/>
        <w:t>期权行权价格：</w:t>
        <w:tab/>
        <w:t>人民币</w:t>
      </w:r>
      <w:r>
        <w:rPr>
          <w:rFonts w:ascii="Times New Roman" w:hAnsi="Times New Roman" w:cs="Times New Roman" w:eastAsia="Times New Roman" w:hint="default"/>
        </w:rPr>
        <w:t>14.50</w:t>
      </w:r>
      <w:r>
        <w:rPr/>
        <w:t>元</w:t>
      </w:r>
    </w:p>
    <w:p>
      <w:pPr>
        <w:pStyle w:val="BodyText"/>
        <w:tabs>
          <w:tab w:pos="4319" w:val="left" w:leader="none"/>
        </w:tabs>
        <w:spacing w:line="312" w:lineRule="exact"/>
        <w:ind w:left="840" w:right="104"/>
        <w:jc w:val="left"/>
      </w:pPr>
      <w:r>
        <w:rPr/>
        <w:t>各期期权的有效期：</w:t>
        <w:tab/>
      </w:r>
      <w:r>
        <w:rPr>
          <w:rFonts w:ascii="Times New Roman" w:hAnsi="Times New Roman" w:cs="Times New Roman" w:eastAsia="Times New Roman" w:hint="default"/>
        </w:rPr>
        <w:t>1.5</w:t>
      </w:r>
      <w:r>
        <w:rPr/>
        <w:t>年、</w:t>
      </w:r>
      <w:r>
        <w:rPr>
          <w:rFonts w:ascii="Times New Roman" w:hAnsi="Times New Roman" w:cs="Times New Roman" w:eastAsia="Times New Roman" w:hint="default"/>
        </w:rPr>
        <w:t>2.5</w:t>
      </w:r>
      <w:r>
        <w:rPr/>
        <w:t>年、</w:t>
      </w:r>
      <w:r>
        <w:rPr>
          <w:rFonts w:ascii="Times New Roman" w:hAnsi="Times New Roman" w:cs="Times New Roman" w:eastAsia="Times New Roman" w:hint="default"/>
        </w:rPr>
        <w:t>3.5</w:t>
      </w:r>
      <w:r>
        <w:rPr/>
        <w:t>年、</w:t>
      </w:r>
      <w:r>
        <w:rPr>
          <w:rFonts w:ascii="Times New Roman" w:hAnsi="Times New Roman" w:cs="Times New Roman" w:eastAsia="Times New Roman" w:hint="default"/>
        </w:rPr>
        <w:t>4.5</w:t>
      </w:r>
      <w:r>
        <w:rPr/>
        <w:t>年</w:t>
      </w:r>
    </w:p>
    <w:p>
      <w:pPr>
        <w:pStyle w:val="BodyText"/>
        <w:tabs>
          <w:tab w:pos="4319" w:val="left" w:leader="none"/>
        </w:tabs>
        <w:spacing w:line="312" w:lineRule="exact" w:before="20"/>
        <w:ind w:left="839" w:right="2663"/>
        <w:jc w:val="left"/>
        <w:rPr>
          <w:rFonts w:ascii="Times New Roman" w:hAnsi="Times New Roman" w:cs="Times New Roman" w:eastAsia="Times New Roman" w:hint="default"/>
        </w:rPr>
      </w:pPr>
      <w:r>
        <w:rPr/>
        <w:t>年末股票价格：</w:t>
        <w:tab/>
        <w:t>人民币</w:t>
      </w:r>
      <w:r>
        <w:rPr>
          <w:rFonts w:ascii="Times New Roman" w:hAnsi="Times New Roman" w:cs="Times New Roman" w:eastAsia="Times New Roman" w:hint="default"/>
        </w:rPr>
        <w:t>13.10</w:t>
      </w:r>
      <w:r>
        <w:rPr/>
        <w:t>元 各期股价预计波动率：</w:t>
        <w:tab/>
      </w:r>
      <w:r>
        <w:rPr>
          <w:rFonts w:ascii="Times New Roman" w:hAnsi="Times New Roman" w:cs="Times New Roman" w:eastAsia="Times New Roman" w:hint="default"/>
        </w:rPr>
        <w:t>37.3%</w:t>
      </w:r>
      <w:r>
        <w:rPr/>
        <w:t>、</w:t>
      </w:r>
      <w:r>
        <w:rPr>
          <w:rFonts w:ascii="Times New Roman" w:hAnsi="Times New Roman" w:cs="Times New Roman" w:eastAsia="Times New Roman" w:hint="default"/>
        </w:rPr>
        <w:t>45.1%</w:t>
      </w:r>
      <w:r>
        <w:rPr/>
        <w:t>、</w:t>
      </w:r>
      <w:r>
        <w:rPr>
          <w:rFonts w:ascii="Times New Roman" w:hAnsi="Times New Roman" w:cs="Times New Roman" w:eastAsia="Times New Roman" w:hint="default"/>
        </w:rPr>
        <w:t>46.8%</w:t>
      </w:r>
      <w:r>
        <w:rPr/>
        <w:t>、</w:t>
      </w:r>
      <w:r>
        <w:rPr>
          <w:rFonts w:ascii="Times New Roman" w:hAnsi="Times New Roman" w:cs="Times New Roman" w:eastAsia="Times New Roman" w:hint="default"/>
        </w:rPr>
        <w:t>48.3%</w:t>
      </w:r>
      <w:r>
        <w:rPr>
          <w:rFonts w:ascii="Times New Roman" w:hAnsi="Times New Roman" w:cs="Times New Roman" w:eastAsia="Times New Roman" w:hint="default"/>
          <w:spacing w:val="-1"/>
        </w:rPr>
        <w:t> </w:t>
      </w:r>
      <w:r>
        <w:rPr/>
        <w:t>期权有效期内的无风险利率：</w:t>
        <w:tab/>
      </w:r>
      <w:r>
        <w:rPr>
          <w:rFonts w:ascii="Times New Roman" w:hAnsi="Times New Roman" w:cs="Times New Roman" w:eastAsia="Times New Roman" w:hint="default"/>
        </w:rPr>
        <w:t>2.53%</w:t>
      </w:r>
      <w:r>
        <w:rPr/>
        <w:t>、</w:t>
      </w:r>
      <w:r>
        <w:rPr>
          <w:rFonts w:ascii="Times New Roman" w:hAnsi="Times New Roman" w:cs="Times New Roman" w:eastAsia="Times New Roman" w:hint="default"/>
        </w:rPr>
        <w:t>2.92%</w:t>
      </w:r>
      <w:r>
        <w:rPr/>
        <w:t>、</w:t>
      </w:r>
      <w:r>
        <w:rPr>
          <w:rFonts w:ascii="Times New Roman" w:hAnsi="Times New Roman" w:cs="Times New Roman" w:eastAsia="Times New Roman" w:hint="default"/>
        </w:rPr>
        <w:t>3.20%</w:t>
      </w:r>
      <w:r>
        <w:rPr/>
        <w:t>、</w:t>
      </w:r>
      <w:r>
        <w:rPr>
          <w:rFonts w:ascii="Times New Roman" w:hAnsi="Times New Roman" w:cs="Times New Roman" w:eastAsia="Times New Roman" w:hint="default"/>
        </w:rPr>
        <w:t>3.49%</w:t>
      </w:r>
    </w:p>
    <w:p>
      <w:pPr>
        <w:spacing w:line="240" w:lineRule="auto" w:before="4"/>
        <w:rPr>
          <w:rFonts w:ascii="Times New Roman" w:hAnsi="Times New Roman" w:cs="Times New Roman" w:eastAsia="Times New Roman" w:hint="default"/>
          <w:sz w:val="21"/>
          <w:szCs w:val="21"/>
        </w:rPr>
      </w:pPr>
    </w:p>
    <w:p>
      <w:pPr>
        <w:pStyle w:val="BodyText"/>
        <w:spacing w:line="427" w:lineRule="auto"/>
        <w:ind w:left="839" w:right="1658"/>
        <w:jc w:val="left"/>
      </w:pPr>
      <w:r>
        <w:rPr/>
        <w:t>根据以上参数计算的得出的股票期权的公允价值为：约人民币</w:t>
      </w:r>
      <w:r>
        <w:rPr>
          <w:rFonts w:ascii="Arial" w:hAnsi="Arial" w:cs="Arial" w:eastAsia="Arial" w:hint="default"/>
        </w:rPr>
        <w:t>3.95</w:t>
      </w:r>
      <w:r>
        <w:rPr/>
        <w:t>亿元。 股份支付交易对财务状况和经营成果的影响</w:t>
      </w:r>
    </w:p>
    <w:p>
      <w:pPr>
        <w:pStyle w:val="BodyText"/>
        <w:tabs>
          <w:tab w:pos="6902" w:val="left" w:leader="none"/>
        </w:tabs>
        <w:spacing w:line="312" w:lineRule="exact" w:before="116"/>
        <w:ind w:left="839" w:right="1241" w:firstLine="7089"/>
        <w:jc w:val="both"/>
      </w:pPr>
      <w:r>
        <w:rPr>
          <w:rFonts w:ascii="Arial" w:hAnsi="Arial" w:cs="Arial" w:eastAsia="Arial" w:hint="default"/>
        </w:rPr>
        <w:t>2010</w:t>
      </w:r>
      <w:r>
        <w:rPr/>
        <w:t>年度 当期因权益结算的股份支付而确认的费用总额</w:t>
        <w:tab/>
        <w:t>约人民币</w:t>
      </w:r>
      <w:r>
        <w:rPr>
          <w:rFonts w:ascii="Arial" w:hAnsi="Arial" w:cs="Arial" w:eastAsia="Arial" w:hint="default"/>
        </w:rPr>
        <w:t>1,454</w:t>
      </w:r>
      <w:r>
        <w:rPr/>
        <w:t>万元 资本公积中以权益结算的股份支付的累计金额</w:t>
        <w:tab/>
        <w:t>约人民币</w:t>
      </w:r>
      <w:r>
        <w:rPr>
          <w:rFonts w:ascii="Arial" w:hAnsi="Arial" w:cs="Arial" w:eastAsia="Arial" w:hint="default"/>
        </w:rPr>
        <w:t>1,454</w:t>
      </w:r>
      <w:r>
        <w:rPr/>
        <w:t>万元</w:t>
      </w:r>
    </w:p>
    <w:p>
      <w:pPr>
        <w:tabs>
          <w:tab w:pos="827" w:val="left" w:leader="none"/>
        </w:tabs>
        <w:spacing w:before="211"/>
        <w:ind w:left="118"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(33)</w:t>
        <w:tab/>
      </w:r>
      <w:r>
        <w:rPr>
          <w:rFonts w:ascii="宋体" w:hAnsi="宋体" w:cs="宋体" w:eastAsia="宋体" w:hint="default"/>
          <w:b/>
          <w:bCs/>
          <w:sz w:val="24"/>
          <w:szCs w:val="24"/>
        </w:rPr>
        <w:t>盈余公积</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0" w:footer="947" w:top="2300" w:bottom="1140" w:left="960" w:right="760"/>
        </w:sectPr>
      </w:pPr>
    </w:p>
    <w:p>
      <w:pPr>
        <w:pStyle w:val="BodyText"/>
        <w:spacing w:line="322" w:lineRule="exact" w:before="26"/>
        <w:ind w:left="3920" w:right="3328"/>
        <w:jc w:val="center"/>
      </w:pPr>
      <w:r>
        <w:rPr>
          <w:rFonts w:ascii="Arial" w:hAnsi="Arial" w:cs="Arial" w:eastAsia="Arial" w:hint="default"/>
        </w:rPr>
        <w:t>2009</w:t>
      </w:r>
      <w:r>
        <w:rPr>
          <w:rFonts w:ascii="Arial" w:hAnsi="Arial" w:cs="Arial" w:eastAsia="Arial" w:hint="default"/>
          <w:spacing w:val="-11"/>
        </w:rPr>
        <w:t> </w:t>
      </w:r>
      <w:r>
        <w:rPr/>
        <w:t>年</w:t>
      </w:r>
    </w:p>
    <w:p>
      <w:pPr>
        <w:pStyle w:val="BodyText"/>
        <w:tabs>
          <w:tab w:pos="5493" w:val="left" w:leader="none"/>
          <w:tab w:pos="7159" w:val="left" w:leader="none"/>
        </w:tabs>
        <w:spacing w:line="322" w:lineRule="exact"/>
        <w:ind w:left="3578" w:right="-2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t>本年提取</w:t>
        <w:tab/>
        <w:t>本年减少</w:t>
      </w:r>
    </w:p>
    <w:p>
      <w:pPr>
        <w:pStyle w:val="BodyText"/>
        <w:spacing w:line="322" w:lineRule="exact" w:before="26"/>
        <w:ind w:left="1012" w:right="0"/>
        <w:jc w:val="left"/>
      </w:pPr>
      <w:r>
        <w:rPr/>
        <w:br w:type="column"/>
      </w:r>
      <w:r>
        <w:rPr>
          <w:rFonts w:ascii="Arial" w:hAnsi="Arial" w:cs="Arial" w:eastAsia="Arial" w:hint="default"/>
        </w:rPr>
        <w:t>2010</w:t>
      </w:r>
      <w:r>
        <w:rPr>
          <w:rFonts w:ascii="Arial" w:hAnsi="Arial" w:cs="Arial" w:eastAsia="Arial" w:hint="default"/>
          <w:spacing w:val="-11"/>
        </w:rPr>
        <w:t> </w:t>
      </w:r>
      <w:r>
        <w:rPr/>
        <w:t>年</w:t>
      </w:r>
    </w:p>
    <w:p>
      <w:pPr>
        <w:pStyle w:val="BodyText"/>
        <w:spacing w:line="322" w:lineRule="exact"/>
        <w:ind w:left="651" w:right="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left"/>
        <w:sectPr>
          <w:type w:val="continuous"/>
          <w:pgSz w:w="11910" w:h="16840"/>
          <w:pgMar w:top="920" w:bottom="900" w:left="960" w:right="760"/>
          <w:cols w:num="2" w:equalWidth="0">
            <w:col w:w="8120" w:space="40"/>
            <w:col w:w="2030"/>
          </w:cols>
        </w:sectPr>
      </w:pPr>
    </w:p>
    <w:p>
      <w:pPr>
        <w:spacing w:line="240" w:lineRule="auto" w:before="8"/>
        <w:rPr>
          <w:rFonts w:ascii="宋体" w:hAnsi="宋体" w:cs="宋体" w:eastAsia="宋体" w:hint="default"/>
          <w:sz w:val="17"/>
          <w:szCs w:val="17"/>
        </w:rPr>
      </w:pPr>
    </w:p>
    <w:p>
      <w:pPr>
        <w:pStyle w:val="BodyText"/>
        <w:tabs>
          <w:tab w:pos="3147" w:val="left" w:leader="none"/>
          <w:tab w:pos="3905" w:val="left" w:leader="none"/>
          <w:tab w:pos="5187" w:val="left" w:leader="none"/>
          <w:tab w:pos="5587" w:val="left" w:leader="none"/>
          <w:tab w:pos="6812" w:val="left" w:leader="none"/>
          <w:tab w:pos="8038" w:val="left" w:leader="none"/>
          <w:tab w:pos="8463" w:val="left" w:leader="none"/>
          <w:tab w:pos="9137" w:val="left" w:leader="none"/>
          <w:tab w:pos="10069" w:val="left" w:leader="none"/>
        </w:tabs>
        <w:spacing w:line="240" w:lineRule="auto" w:before="24"/>
        <w:ind w:left="791" w:right="104"/>
        <w:jc w:val="left"/>
        <w:rPr>
          <w:rFonts w:ascii="Arial" w:hAnsi="Arial" w:cs="Arial" w:eastAsia="Arial" w:hint="default"/>
        </w:rPr>
      </w:pPr>
      <w:r>
        <w:rPr>
          <w:position w:val="2"/>
        </w:rPr>
        <w:t>法定盈余公积金</w:t>
        <w:tab/>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517,465</w:t>
      </w:r>
      <w:r>
        <w:rPr>
          <w:rFonts w:ascii="Arial" w:hAnsi="Arial" w:cs="Arial" w:eastAsia="Arial" w:hint="default"/>
          <w:spacing w:val="-1"/>
        </w:rPr>
        <w:tab/>
      </w:r>
      <w:r>
        <w:rPr>
          <w:rFonts w:ascii="Arial" w:hAnsi="Arial" w:cs="Arial" w:eastAsia="Arial" w:hint="default"/>
          <w:spacing w:val="-1"/>
          <w:u w:val="thick" w:color="000000"/>
        </w:rPr>
        <w:t> </w:t>
        <w:tab/>
        <w:t>229,064</w:t>
      </w:r>
      <w:r>
        <w:rPr>
          <w:rFonts w:ascii="Arial" w:hAnsi="Arial" w:cs="Arial" w:eastAsia="Arial" w:hint="default"/>
          <w:spacing w:val="-1"/>
        </w:rPr>
        <w:tab/>
      </w:r>
      <w:r>
        <w:rPr>
          <w:rFonts w:ascii="Arial" w:hAnsi="Arial" w:cs="Arial" w:eastAsia="Arial" w:hint="default"/>
          <w:spacing w:val="-1"/>
          <w:u w:val="thick" w:color="000000"/>
        </w:rPr>
        <w:t> </w:t>
        <w:tab/>
      </w:r>
      <w:r>
        <w:rPr>
          <w:rFonts w:ascii="Arial" w:hAnsi="Arial" w:cs="Arial" w:eastAsia="Arial" w:hint="default"/>
          <w:u w:val="thick" w:color="000000"/>
        </w:rPr>
        <w:t>-</w:t>
      </w:r>
      <w:r>
        <w:rPr>
          <w:rFonts w:ascii="Arial" w:hAnsi="Arial" w:cs="Arial" w:eastAsia="Arial" w:hint="default"/>
        </w:rPr>
        <w:tab/>
      </w:r>
      <w:r>
        <w:rPr>
          <w:rFonts w:ascii="Arial" w:hAnsi="Arial" w:cs="Arial" w:eastAsia="Arial" w:hint="default"/>
          <w:u w:val="thick" w:color="000000"/>
        </w:rPr>
        <w:t> </w:t>
        <w:tab/>
      </w:r>
      <w:r>
        <w:rPr>
          <w:rFonts w:ascii="Arial" w:hAnsi="Arial" w:cs="Arial" w:eastAsia="Arial" w:hint="default"/>
          <w:spacing w:val="-1"/>
          <w:u w:val="thick" w:color="000000"/>
        </w:rPr>
        <w:t>746,529</w:t>
        <w:tab/>
      </w:r>
      <w:r>
        <w:rPr>
          <w:rFonts w:ascii="Arial" w:hAnsi="Arial" w:cs="Arial" w:eastAsia="Arial" w:hint="default"/>
          <w:spacing w:val="-1"/>
        </w:rPr>
      </w:r>
    </w:p>
    <w:p>
      <w:pPr>
        <w:spacing w:line="240" w:lineRule="auto" w:before="4"/>
        <w:rPr>
          <w:rFonts w:ascii="Arial" w:hAnsi="Arial" w:cs="Arial" w:eastAsia="Arial" w:hint="default"/>
          <w:sz w:val="21"/>
          <w:szCs w:val="21"/>
        </w:rPr>
      </w:pPr>
    </w:p>
    <w:p>
      <w:pPr>
        <w:spacing w:after="0" w:line="240" w:lineRule="auto"/>
        <w:rPr>
          <w:rFonts w:ascii="Arial" w:hAnsi="Arial" w:cs="Arial" w:eastAsia="Arial" w:hint="default"/>
          <w:sz w:val="21"/>
          <w:szCs w:val="21"/>
        </w:rPr>
        <w:sectPr>
          <w:type w:val="continuous"/>
          <w:pgSz w:w="11910" w:h="16840"/>
          <w:pgMar w:top="920" w:bottom="900" w:left="960" w:right="760"/>
        </w:sectPr>
      </w:pPr>
    </w:p>
    <w:p>
      <w:pPr>
        <w:pStyle w:val="BodyText"/>
        <w:spacing w:line="322" w:lineRule="exact" w:before="26"/>
        <w:ind w:left="3920" w:right="3328"/>
        <w:jc w:val="center"/>
      </w:pPr>
      <w:r>
        <w:rPr>
          <w:rFonts w:ascii="Arial" w:hAnsi="Arial" w:cs="Arial" w:eastAsia="Arial" w:hint="default"/>
        </w:rPr>
        <w:t>2008</w:t>
      </w:r>
      <w:r>
        <w:rPr>
          <w:rFonts w:ascii="Arial" w:hAnsi="Arial" w:cs="Arial" w:eastAsia="Arial" w:hint="default"/>
          <w:spacing w:val="-11"/>
        </w:rPr>
        <w:t> </w:t>
      </w:r>
      <w:r>
        <w:rPr/>
        <w:t>年</w:t>
      </w:r>
    </w:p>
    <w:p>
      <w:pPr>
        <w:pStyle w:val="BodyText"/>
        <w:tabs>
          <w:tab w:pos="5493" w:val="left" w:leader="none"/>
          <w:tab w:pos="7159" w:val="left" w:leader="none"/>
        </w:tabs>
        <w:spacing w:line="322" w:lineRule="exact"/>
        <w:ind w:left="3578" w:right="-2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tab/>
        <w:t>本年提取</w:t>
        <w:tab/>
        <w:t>本年减少</w:t>
      </w:r>
    </w:p>
    <w:p>
      <w:pPr>
        <w:pStyle w:val="BodyText"/>
        <w:spacing w:line="322" w:lineRule="exact" w:before="26"/>
        <w:ind w:left="1012" w:right="0"/>
        <w:jc w:val="left"/>
      </w:pPr>
      <w:r>
        <w:rPr/>
        <w:br w:type="column"/>
      </w:r>
      <w:r>
        <w:rPr>
          <w:rFonts w:ascii="Arial" w:hAnsi="Arial" w:cs="Arial" w:eastAsia="Arial" w:hint="default"/>
        </w:rPr>
        <w:t>2009</w:t>
      </w:r>
      <w:r>
        <w:rPr>
          <w:rFonts w:ascii="Arial" w:hAnsi="Arial" w:cs="Arial" w:eastAsia="Arial" w:hint="default"/>
          <w:spacing w:val="-11"/>
        </w:rPr>
        <w:t> </w:t>
      </w:r>
      <w:r>
        <w:rPr/>
        <w:t>年</w:t>
      </w:r>
    </w:p>
    <w:p>
      <w:pPr>
        <w:pStyle w:val="BodyText"/>
        <w:spacing w:line="322" w:lineRule="exact"/>
        <w:ind w:left="651" w:right="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left"/>
        <w:sectPr>
          <w:type w:val="continuous"/>
          <w:pgSz w:w="11910" w:h="16840"/>
          <w:pgMar w:top="920" w:bottom="900" w:left="960" w:right="760"/>
          <w:cols w:num="2" w:equalWidth="0">
            <w:col w:w="8120" w:space="40"/>
            <w:col w:w="2030"/>
          </w:cols>
        </w:sectPr>
      </w:pPr>
    </w:p>
    <w:p>
      <w:pPr>
        <w:spacing w:line="240" w:lineRule="auto" w:before="8"/>
        <w:rPr>
          <w:rFonts w:ascii="宋体" w:hAnsi="宋体" w:cs="宋体" w:eastAsia="宋体" w:hint="default"/>
          <w:sz w:val="17"/>
          <w:szCs w:val="17"/>
        </w:rPr>
      </w:pPr>
    </w:p>
    <w:p>
      <w:pPr>
        <w:pStyle w:val="BodyText"/>
        <w:tabs>
          <w:tab w:pos="3147" w:val="left" w:leader="none"/>
          <w:tab w:pos="3905" w:val="left" w:leader="none"/>
          <w:tab w:pos="5187" w:val="left" w:leader="none"/>
          <w:tab w:pos="5587" w:val="left" w:leader="none"/>
          <w:tab w:pos="6812" w:val="left" w:leader="none"/>
          <w:tab w:pos="8038" w:val="left" w:leader="none"/>
          <w:tab w:pos="8463" w:val="left" w:leader="none"/>
          <w:tab w:pos="9137" w:val="left" w:leader="none"/>
          <w:tab w:pos="10069" w:val="left" w:leader="none"/>
        </w:tabs>
        <w:spacing w:line="240" w:lineRule="auto" w:before="24"/>
        <w:ind w:left="791" w:right="104"/>
        <w:jc w:val="left"/>
        <w:rPr>
          <w:rFonts w:ascii="Arial" w:hAnsi="Arial" w:cs="Arial" w:eastAsia="Arial" w:hint="default"/>
        </w:rPr>
      </w:pPr>
      <w:r>
        <w:rPr>
          <w:position w:val="2"/>
        </w:rPr>
        <w:t>法定盈余公积金</w:t>
        <w:tab/>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364,270</w:t>
      </w:r>
      <w:r>
        <w:rPr>
          <w:rFonts w:ascii="Arial" w:hAnsi="Arial" w:cs="Arial" w:eastAsia="Arial" w:hint="default"/>
          <w:spacing w:val="-1"/>
        </w:rPr>
        <w:tab/>
      </w:r>
      <w:r>
        <w:rPr>
          <w:rFonts w:ascii="Arial" w:hAnsi="Arial" w:cs="Arial" w:eastAsia="Arial" w:hint="default"/>
          <w:spacing w:val="-1"/>
          <w:u w:val="thick" w:color="000000"/>
        </w:rPr>
        <w:t> </w:t>
        <w:tab/>
        <w:t>153,195</w:t>
      </w:r>
      <w:r>
        <w:rPr>
          <w:rFonts w:ascii="Arial" w:hAnsi="Arial" w:cs="Arial" w:eastAsia="Arial" w:hint="default"/>
          <w:spacing w:val="-1"/>
        </w:rPr>
        <w:tab/>
      </w:r>
      <w:r>
        <w:rPr>
          <w:rFonts w:ascii="Arial" w:hAnsi="Arial" w:cs="Arial" w:eastAsia="Arial" w:hint="default"/>
          <w:spacing w:val="-1"/>
          <w:u w:val="thick" w:color="000000"/>
        </w:rPr>
        <w:t> </w:t>
        <w:tab/>
      </w:r>
      <w:r>
        <w:rPr>
          <w:rFonts w:ascii="Arial" w:hAnsi="Arial" w:cs="Arial" w:eastAsia="Arial" w:hint="default"/>
          <w:u w:val="thick" w:color="000000"/>
        </w:rPr>
        <w:t>-</w:t>
      </w:r>
      <w:r>
        <w:rPr>
          <w:rFonts w:ascii="Arial" w:hAnsi="Arial" w:cs="Arial" w:eastAsia="Arial" w:hint="default"/>
        </w:rPr>
        <w:tab/>
      </w:r>
      <w:r>
        <w:rPr>
          <w:rFonts w:ascii="Arial" w:hAnsi="Arial" w:cs="Arial" w:eastAsia="Arial" w:hint="default"/>
          <w:u w:val="thick" w:color="000000"/>
        </w:rPr>
        <w:t> </w:t>
        <w:tab/>
      </w:r>
      <w:r>
        <w:rPr>
          <w:rFonts w:ascii="Arial" w:hAnsi="Arial" w:cs="Arial" w:eastAsia="Arial" w:hint="default"/>
          <w:spacing w:val="-1"/>
          <w:u w:val="thick" w:color="000000"/>
        </w:rPr>
        <w:t>517,465</w:t>
        <w:tab/>
      </w:r>
      <w:r>
        <w:rPr>
          <w:rFonts w:ascii="Arial" w:hAnsi="Arial" w:cs="Arial" w:eastAsia="Arial" w:hint="default"/>
          <w:spacing w:val="-1"/>
        </w:rPr>
      </w:r>
    </w:p>
    <w:p>
      <w:pPr>
        <w:spacing w:after="0" w:line="240" w:lineRule="auto"/>
        <w:jc w:val="left"/>
        <w:rPr>
          <w:rFonts w:ascii="Arial" w:hAnsi="Arial" w:cs="Arial" w:eastAsia="Arial" w:hint="default"/>
        </w:rPr>
        <w:sectPr>
          <w:type w:val="continuous"/>
          <w:pgSz w:w="11910" w:h="16840"/>
          <w:pgMar w:top="920" w:bottom="900" w:left="960" w:right="760"/>
        </w:sectPr>
      </w:pPr>
    </w:p>
    <w:p>
      <w:pPr>
        <w:spacing w:line="240" w:lineRule="auto" w:before="4"/>
        <w:rPr>
          <w:rFonts w:ascii="Arial" w:hAnsi="Arial" w:cs="Arial" w:eastAsia="Arial" w:hint="default"/>
          <w:sz w:val="15"/>
          <w:szCs w:val="15"/>
        </w:rPr>
      </w:pPr>
    </w:p>
    <w:p>
      <w:pPr>
        <w:pStyle w:val="Heading2"/>
        <w:tabs>
          <w:tab w:pos="827" w:val="left" w:leader="none"/>
        </w:tabs>
        <w:spacing w:line="240" w:lineRule="auto"/>
        <w:ind w:left="118" w:right="260"/>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27" w:val="left" w:leader="none"/>
        </w:tabs>
        <w:spacing w:before="0"/>
        <w:ind w:left="118" w:right="260" w:firstLine="0"/>
        <w:jc w:val="left"/>
        <w:rPr>
          <w:rFonts w:ascii="Arial" w:hAnsi="Arial" w:cs="Arial" w:eastAsia="Arial" w:hint="default"/>
          <w:sz w:val="24"/>
          <w:szCs w:val="24"/>
        </w:rPr>
      </w:pPr>
      <w:r>
        <w:rPr>
          <w:rFonts w:ascii="Arial" w:hAnsi="Arial" w:cs="Arial" w:eastAsia="Arial" w:hint="default"/>
          <w:spacing w:val="-1"/>
          <w:position w:val="2"/>
          <w:sz w:val="24"/>
          <w:szCs w:val="24"/>
        </w:rPr>
        <w:t>(33)</w:t>
        <w:tab/>
      </w:r>
      <w:r>
        <w:rPr>
          <w:rFonts w:ascii="宋体" w:hAnsi="宋体" w:cs="宋体" w:eastAsia="宋体" w:hint="default"/>
          <w:b/>
          <w:bCs/>
          <w:sz w:val="24"/>
          <w:szCs w:val="24"/>
        </w:rPr>
        <w:t>盈余公积</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0"/>
        <w:rPr>
          <w:rFonts w:ascii="Arial" w:hAnsi="Arial" w:cs="Arial" w:eastAsia="Arial" w:hint="default"/>
          <w:b/>
          <w:bCs/>
          <w:sz w:val="25"/>
          <w:szCs w:val="25"/>
        </w:rPr>
      </w:pPr>
    </w:p>
    <w:p>
      <w:pPr>
        <w:pStyle w:val="BodyText"/>
        <w:spacing w:line="312" w:lineRule="exact"/>
        <w:ind w:left="828" w:right="260"/>
        <w:jc w:val="left"/>
      </w:pPr>
      <w:r>
        <w:rPr/>
        <w:t>根据《中华人民共和国公司法》及本公司章程，本公司按年度净利润的</w:t>
      </w:r>
      <w:r>
        <w:rPr>
          <w:spacing w:val="-72"/>
        </w:rPr>
        <w:t> </w:t>
      </w:r>
      <w:r>
        <w:rPr>
          <w:rFonts w:ascii="Arial" w:hAnsi="Arial" w:cs="Arial" w:eastAsia="Arial" w:hint="default"/>
        </w:rPr>
        <w:t>10%</w:t>
      </w:r>
      <w:r>
        <w:rPr/>
        <w:t>提取法定盈 余公积金，当法定盈余公积金累计额达到注册资本的</w:t>
      </w:r>
      <w:r>
        <w:rPr>
          <w:spacing w:val="-72"/>
        </w:rPr>
        <w:t> </w:t>
      </w:r>
      <w:r>
        <w:rPr>
          <w:rFonts w:ascii="Arial" w:hAnsi="Arial" w:cs="Arial" w:eastAsia="Arial" w:hint="default"/>
        </w:rPr>
        <w:t>50%</w:t>
      </w:r>
      <w:r>
        <w:rPr/>
        <w:t>以上时，可不再提取。法定盈 余公积金经批准后可用于弥补亏损，或者增加股本。经董事会决议，本公司 </w:t>
      </w:r>
      <w:r>
        <w:rPr>
          <w:rFonts w:ascii="Arial" w:hAnsi="Arial" w:cs="Arial" w:eastAsia="Arial" w:hint="default"/>
        </w:rPr>
        <w:t>2010</w:t>
      </w:r>
      <w:r>
        <w:rPr>
          <w:rFonts w:ascii="Arial" w:hAnsi="Arial" w:cs="Arial" w:eastAsia="Arial" w:hint="default"/>
          <w:spacing w:val="26"/>
        </w:rPr>
        <w:t> </w:t>
      </w:r>
      <w:r>
        <w:rPr/>
        <w:t>年按 净利润的</w:t>
      </w:r>
      <w:r>
        <w:rPr>
          <w:spacing w:val="-62"/>
        </w:rPr>
        <w:t> </w:t>
      </w:r>
      <w:r>
        <w:rPr>
          <w:rFonts w:ascii="Arial" w:hAnsi="Arial" w:cs="Arial" w:eastAsia="Arial" w:hint="default"/>
        </w:rPr>
        <w:t>10%</w:t>
      </w:r>
      <w:r>
        <w:rPr/>
        <w:t>提取法定盈余公积金约人民币</w:t>
      </w:r>
      <w:r>
        <w:rPr>
          <w:spacing w:val="-62"/>
        </w:rPr>
        <w:t> </w:t>
      </w:r>
      <w:r>
        <w:rPr>
          <w:rFonts w:ascii="Arial" w:hAnsi="Arial" w:cs="Arial" w:eastAsia="Arial" w:hint="default"/>
        </w:rPr>
        <w:t>2.29</w:t>
      </w:r>
      <w:r>
        <w:rPr>
          <w:rFonts w:ascii="Arial" w:hAnsi="Arial" w:cs="Arial" w:eastAsia="Arial" w:hint="default"/>
          <w:spacing w:val="-9"/>
        </w:rPr>
        <w:t> </w:t>
      </w:r>
      <w:r>
        <w:rPr/>
        <w:t>亿元</w:t>
      </w:r>
      <w:r>
        <w:rPr>
          <w:rFonts w:ascii="Arial" w:hAnsi="Arial" w:cs="Arial" w:eastAsia="Arial" w:hint="default"/>
        </w:rPr>
        <w:t>(2009</w:t>
      </w:r>
      <w:r>
        <w:rPr>
          <w:rFonts w:ascii="Arial" w:hAnsi="Arial" w:cs="Arial" w:eastAsia="Arial" w:hint="default"/>
          <w:spacing w:val="-9"/>
        </w:rPr>
        <w:t> </w:t>
      </w:r>
      <w:r>
        <w:rPr>
          <w:spacing w:val="-5"/>
        </w:rPr>
        <w:t>年：按净利润的</w:t>
      </w:r>
      <w:r>
        <w:rPr>
          <w:spacing w:val="-62"/>
        </w:rPr>
        <w:t> </w:t>
      </w:r>
      <w:r>
        <w:rPr>
          <w:rFonts w:ascii="Arial" w:hAnsi="Arial" w:cs="Arial" w:eastAsia="Arial" w:hint="default"/>
        </w:rPr>
        <w:t>10%</w:t>
      </w:r>
      <w:r>
        <w:rPr/>
        <w:t>提取， 约人民币</w:t>
      </w:r>
      <w:r>
        <w:rPr>
          <w:spacing w:val="-62"/>
        </w:rPr>
        <w:t> </w:t>
      </w:r>
      <w:r>
        <w:rPr>
          <w:rFonts w:ascii="Arial" w:hAnsi="Arial" w:cs="Arial" w:eastAsia="Arial" w:hint="default"/>
        </w:rPr>
        <w:t>1.53</w:t>
      </w:r>
      <w:r>
        <w:rPr>
          <w:rFonts w:ascii="Arial" w:hAnsi="Arial" w:cs="Arial" w:eastAsia="Arial" w:hint="default"/>
          <w:spacing w:val="-9"/>
        </w:rPr>
        <w:t> </w:t>
      </w:r>
      <w:r>
        <w:rPr/>
        <w:t>亿元</w:t>
      </w:r>
      <w:r>
        <w:rPr>
          <w:rFonts w:ascii="Arial" w:hAnsi="Arial" w:cs="Arial" w:eastAsia="Arial" w:hint="default"/>
        </w:rPr>
        <w:t>)</w:t>
      </w:r>
      <w:r>
        <w:rPr/>
        <w:t>。</w:t>
      </w:r>
    </w:p>
    <w:p>
      <w:pPr>
        <w:spacing w:before="210"/>
        <w:ind w:left="202" w:right="260" w:firstLine="0"/>
        <w:jc w:val="left"/>
        <w:rPr>
          <w:rFonts w:ascii="宋体" w:hAnsi="宋体" w:cs="宋体" w:eastAsia="宋体" w:hint="default"/>
          <w:sz w:val="24"/>
          <w:szCs w:val="24"/>
        </w:rPr>
      </w:pPr>
      <w:r>
        <w:rPr>
          <w:rFonts w:ascii="Arial" w:hAnsi="Arial" w:cs="Arial" w:eastAsia="Arial" w:hint="default"/>
          <w:position w:val="2"/>
          <w:sz w:val="24"/>
          <w:szCs w:val="24"/>
        </w:rPr>
        <w:t>(34) </w:t>
      </w:r>
      <w:r>
        <w:rPr>
          <w:rFonts w:ascii="Arial" w:hAnsi="Arial" w:cs="Arial" w:eastAsia="Arial" w:hint="default"/>
          <w:spacing w:val="37"/>
          <w:position w:val="2"/>
          <w:sz w:val="24"/>
          <w:szCs w:val="24"/>
        </w:rPr>
        <w:t> </w:t>
      </w:r>
      <w:r>
        <w:rPr>
          <w:rFonts w:ascii="宋体" w:hAnsi="宋体" w:cs="宋体" w:eastAsia="宋体" w:hint="default"/>
          <w:b/>
          <w:bCs/>
          <w:sz w:val="24"/>
          <w:szCs w:val="24"/>
        </w:rPr>
        <w:t>未分配利润</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0" w:footer="947" w:top="2300" w:bottom="1140" w:left="960" w:right="580"/>
        </w:sectPr>
      </w:pPr>
    </w:p>
    <w:p>
      <w:pPr>
        <w:pStyle w:val="BodyText"/>
        <w:tabs>
          <w:tab w:pos="8170" w:val="left" w:leader="none"/>
        </w:tabs>
        <w:spacing w:line="322" w:lineRule="exact" w:before="48"/>
        <w:ind w:left="6480" w:right="0" w:hanging="956"/>
        <w:jc w:val="left"/>
      </w:pPr>
      <w:r>
        <w:rPr>
          <w:rFonts w:ascii="Arial" w:hAnsi="Arial" w:cs="Arial" w:eastAsia="Arial" w:hint="default"/>
        </w:rPr>
        <w:t>2010</w:t>
      </w:r>
      <w:r>
        <w:rPr>
          <w:rFonts w:ascii="Arial" w:hAnsi="Arial" w:cs="Arial" w:eastAsia="Arial" w:hint="default"/>
          <w:spacing w:val="-11"/>
        </w:rPr>
        <w:t> </w:t>
      </w:r>
      <w:r>
        <w:rPr/>
        <w:t>年度</w:t>
        <w:tab/>
      </w:r>
      <w:r>
        <w:rPr>
          <w:rFonts w:ascii="Arial" w:hAnsi="Arial" w:cs="Arial" w:eastAsia="Arial" w:hint="default"/>
        </w:rPr>
        <w:t>2009</w:t>
      </w:r>
      <w:r>
        <w:rPr>
          <w:rFonts w:ascii="Arial" w:hAnsi="Arial" w:cs="Arial" w:eastAsia="Arial" w:hint="default"/>
          <w:spacing w:val="-11"/>
        </w:rPr>
        <w:t> </w:t>
      </w:r>
      <w:r>
        <w:rPr/>
        <w:t>年度 提取或</w:t>
      </w:r>
    </w:p>
    <w:p>
      <w:pPr>
        <w:spacing w:line="240" w:lineRule="auto" w:before="7"/>
        <w:rPr>
          <w:rFonts w:ascii="宋体" w:hAnsi="宋体" w:cs="宋体" w:eastAsia="宋体" w:hint="default"/>
          <w:sz w:val="26"/>
          <w:szCs w:val="26"/>
        </w:rPr>
      </w:pPr>
      <w:r>
        <w:rPr/>
        <w:br w:type="column"/>
      </w:r>
      <w:r>
        <w:rPr>
          <w:rFonts w:ascii="宋体"/>
          <w:sz w:val="26"/>
        </w:rPr>
      </w:r>
    </w:p>
    <w:p>
      <w:pPr>
        <w:pStyle w:val="BodyText"/>
        <w:spacing w:line="240" w:lineRule="auto"/>
        <w:ind w:left="10" w:right="0"/>
        <w:jc w:val="left"/>
      </w:pPr>
      <w:r>
        <w:rPr/>
        <w:t>提取或</w:t>
      </w:r>
    </w:p>
    <w:p>
      <w:pPr>
        <w:spacing w:after="0" w:line="240" w:lineRule="auto"/>
        <w:jc w:val="left"/>
        <w:sectPr>
          <w:type w:val="continuous"/>
          <w:pgSz w:w="11910" w:h="16840"/>
          <w:pgMar w:top="920" w:bottom="900" w:left="960" w:right="580"/>
          <w:cols w:num="2" w:equalWidth="0">
            <w:col w:w="9244" w:space="40"/>
            <w:col w:w="1086"/>
          </w:cols>
        </w:sectPr>
      </w:pPr>
    </w:p>
    <w:p>
      <w:pPr>
        <w:pStyle w:val="BodyText"/>
        <w:tabs>
          <w:tab w:pos="6239" w:val="left" w:leader="none"/>
          <w:tab w:pos="8107" w:val="left" w:leader="none"/>
          <w:tab w:pos="9043" w:val="left" w:leader="none"/>
        </w:tabs>
        <w:spacing w:line="281" w:lineRule="exact"/>
        <w:ind w:left="5410" w:right="260"/>
        <w:jc w:val="left"/>
      </w:pPr>
      <w:r>
        <w:rPr/>
        <w:t>金额</w:t>
        <w:tab/>
        <w:t>分配比例</w:t>
        <w:tab/>
        <w:t>金额</w:t>
        <w:tab/>
        <w:t>分配比例</w:t>
      </w:r>
    </w:p>
    <w:p>
      <w:pPr>
        <w:spacing w:line="240" w:lineRule="auto" w:before="1"/>
        <w:rPr>
          <w:rFonts w:ascii="宋体" w:hAnsi="宋体" w:cs="宋体" w:eastAsia="宋体" w:hint="default"/>
          <w:sz w:val="19"/>
          <w:szCs w:val="19"/>
        </w:rPr>
      </w:pPr>
    </w:p>
    <w:tbl>
      <w:tblPr>
        <w:tblW w:w="0" w:type="auto"/>
        <w:jc w:val="left"/>
        <w:tblInd w:w="790" w:type="dxa"/>
        <w:tblLayout w:type="fixed"/>
        <w:tblCellMar>
          <w:top w:w="0" w:type="dxa"/>
          <w:left w:w="0" w:type="dxa"/>
          <w:bottom w:w="0" w:type="dxa"/>
          <w:right w:w="0" w:type="dxa"/>
        </w:tblCellMar>
        <w:tblLook w:val="01E0"/>
      </w:tblPr>
      <w:tblGrid>
        <w:gridCol w:w="4013"/>
        <w:gridCol w:w="1784"/>
        <w:gridCol w:w="850"/>
        <w:gridCol w:w="1770"/>
        <w:gridCol w:w="1056"/>
      </w:tblGrid>
      <w:tr>
        <w:trPr>
          <w:trHeight w:val="391" w:hRule="exact"/>
        </w:trPr>
        <w:tc>
          <w:tcPr>
            <w:tcW w:w="401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 w:right="0"/>
              <w:jc w:val="left"/>
              <w:rPr>
                <w:rFonts w:ascii="宋体" w:hAnsi="宋体" w:cs="宋体" w:eastAsia="宋体" w:hint="default"/>
                <w:sz w:val="24"/>
                <w:szCs w:val="24"/>
              </w:rPr>
            </w:pPr>
            <w:r>
              <w:rPr>
                <w:rFonts w:ascii="宋体" w:hAnsi="宋体" w:cs="宋体" w:eastAsia="宋体" w:hint="default"/>
                <w:sz w:val="24"/>
                <w:szCs w:val="24"/>
              </w:rPr>
              <w:t>年初未分配利润</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35" w:right="0"/>
              <w:jc w:val="left"/>
              <w:rPr>
                <w:rFonts w:ascii="Arial" w:hAnsi="Arial" w:cs="Arial" w:eastAsia="Arial" w:hint="default"/>
                <w:sz w:val="24"/>
                <w:szCs w:val="24"/>
              </w:rPr>
            </w:pPr>
            <w:r>
              <w:rPr>
                <w:rFonts w:ascii="Arial"/>
                <w:sz w:val="24"/>
              </w:rPr>
              <w:t>6,383,317</w:t>
            </w:r>
          </w:p>
        </w:tc>
        <w:tc>
          <w:tcPr>
            <w:tcW w:w="850"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1" w:right="0"/>
              <w:jc w:val="left"/>
              <w:rPr>
                <w:rFonts w:ascii="Arial" w:hAnsi="Arial" w:cs="Arial" w:eastAsia="Arial" w:hint="default"/>
                <w:sz w:val="24"/>
                <w:szCs w:val="24"/>
              </w:rPr>
            </w:pPr>
            <w:r>
              <w:rPr>
                <w:rFonts w:ascii="Arial"/>
                <w:sz w:val="24"/>
              </w:rPr>
              <w:t>4,334,488</w:t>
            </w:r>
          </w:p>
        </w:tc>
        <w:tc>
          <w:tcPr>
            <w:tcW w:w="1056" w:type="dxa"/>
            <w:tcBorders>
              <w:top w:val="nil" w:sz="6" w:space="0" w:color="auto"/>
              <w:left w:val="nil" w:sz="6" w:space="0" w:color="auto"/>
              <w:bottom w:val="nil" w:sz="6" w:space="0" w:color="auto"/>
              <w:right w:val="nil" w:sz="6" w:space="0" w:color="auto"/>
            </w:tcBorders>
          </w:tcPr>
          <w:p>
            <w:pPr/>
          </w:p>
        </w:tc>
      </w:tr>
      <w:tr>
        <w:trPr>
          <w:trHeight w:val="312" w:hRule="exact"/>
        </w:trPr>
        <w:tc>
          <w:tcPr>
            <w:tcW w:w="4013" w:type="dxa"/>
            <w:tcBorders>
              <w:top w:val="nil" w:sz="6" w:space="0" w:color="auto"/>
              <w:left w:val="nil" w:sz="6" w:space="0" w:color="auto"/>
              <w:bottom w:val="nil" w:sz="6" w:space="0" w:color="auto"/>
              <w:right w:val="nil" w:sz="6" w:space="0" w:color="auto"/>
            </w:tcBorders>
          </w:tcPr>
          <w:p>
            <w:pPr>
              <w:pStyle w:val="TableParagraph"/>
              <w:spacing w:line="261" w:lineRule="exact"/>
              <w:ind w:left="37" w:right="0"/>
              <w:jc w:val="left"/>
              <w:rPr>
                <w:rFonts w:ascii="宋体" w:hAnsi="宋体" w:cs="宋体" w:eastAsia="宋体" w:hint="default"/>
                <w:sz w:val="24"/>
                <w:szCs w:val="24"/>
              </w:rPr>
            </w:pPr>
            <w:r>
              <w:rPr>
                <w:rFonts w:ascii="宋体" w:hAnsi="宋体" w:cs="宋体" w:eastAsia="宋体" w:hint="default"/>
                <w:sz w:val="24"/>
                <w:szCs w:val="24"/>
              </w:rPr>
              <w:t>加：本年归属于母公司股东的净利润</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53" w:right="0"/>
              <w:jc w:val="left"/>
              <w:rPr>
                <w:rFonts w:ascii="Arial" w:hAnsi="Arial" w:cs="Arial" w:eastAsia="Arial" w:hint="default"/>
                <w:sz w:val="24"/>
                <w:szCs w:val="24"/>
              </w:rPr>
            </w:pPr>
            <w:r>
              <w:rPr>
                <w:rFonts w:ascii="Arial"/>
                <w:spacing w:val="-3"/>
                <w:sz w:val="24"/>
              </w:rPr>
              <w:t>4,011,820</w:t>
            </w:r>
            <w:r>
              <w:rPr>
                <w:rFonts w:ascii="Arial"/>
                <w:sz w:val="24"/>
              </w:rPr>
            </w:r>
          </w:p>
        </w:tc>
        <w:tc>
          <w:tcPr>
            <w:tcW w:w="850"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1" w:right="0"/>
              <w:jc w:val="left"/>
              <w:rPr>
                <w:rFonts w:ascii="Arial" w:hAnsi="Arial" w:cs="Arial" w:eastAsia="Arial" w:hint="default"/>
                <w:sz w:val="24"/>
                <w:szCs w:val="24"/>
              </w:rPr>
            </w:pPr>
            <w:r>
              <w:rPr>
                <w:rFonts w:ascii="Arial"/>
                <w:sz w:val="24"/>
              </w:rPr>
              <w:t>2,889,956</w:t>
            </w:r>
          </w:p>
        </w:tc>
        <w:tc>
          <w:tcPr>
            <w:tcW w:w="1056" w:type="dxa"/>
            <w:tcBorders>
              <w:top w:val="nil" w:sz="6" w:space="0" w:color="auto"/>
              <w:left w:val="nil" w:sz="6" w:space="0" w:color="auto"/>
              <w:bottom w:val="nil" w:sz="6" w:space="0" w:color="auto"/>
              <w:right w:val="nil" w:sz="6" w:space="0" w:color="auto"/>
            </w:tcBorders>
          </w:tcPr>
          <w:p>
            <w:pPr/>
          </w:p>
        </w:tc>
      </w:tr>
      <w:tr>
        <w:trPr>
          <w:trHeight w:val="391" w:hRule="exact"/>
        </w:trPr>
        <w:tc>
          <w:tcPr>
            <w:tcW w:w="401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56" w:right="0"/>
              <w:jc w:val="left"/>
              <w:rPr>
                <w:rFonts w:ascii="Arial" w:hAnsi="Arial" w:cs="Arial" w:eastAsia="Arial" w:hint="default"/>
                <w:sz w:val="24"/>
                <w:szCs w:val="24"/>
              </w:rPr>
            </w:pPr>
            <w:r>
              <w:rPr>
                <w:rFonts w:ascii="Arial"/>
                <w:sz w:val="24"/>
              </w:rPr>
              <w:t>(229,064)</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01" w:right="0"/>
              <w:jc w:val="left"/>
              <w:rPr>
                <w:rFonts w:ascii="Arial" w:hAnsi="Arial" w:cs="Arial" w:eastAsia="Arial" w:hint="default"/>
                <w:sz w:val="24"/>
                <w:szCs w:val="24"/>
              </w:rPr>
            </w:pPr>
            <w:r>
              <w:rPr>
                <w:rFonts w:ascii="Arial"/>
                <w:sz w:val="24"/>
              </w:rPr>
              <w:t>10</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2" w:right="0"/>
              <w:jc w:val="left"/>
              <w:rPr>
                <w:rFonts w:ascii="Arial" w:hAnsi="Arial" w:cs="Arial" w:eastAsia="Arial" w:hint="default"/>
                <w:sz w:val="24"/>
                <w:szCs w:val="24"/>
              </w:rPr>
            </w:pPr>
            <w:r>
              <w:rPr>
                <w:rFonts w:ascii="Arial"/>
                <w:sz w:val="24"/>
              </w:rPr>
              <w:t>(153,195)</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40" w:right="0"/>
              <w:jc w:val="left"/>
              <w:rPr>
                <w:rFonts w:ascii="Arial" w:hAnsi="Arial" w:cs="Arial" w:eastAsia="Arial" w:hint="default"/>
                <w:sz w:val="24"/>
                <w:szCs w:val="24"/>
              </w:rPr>
            </w:pPr>
            <w:r>
              <w:rPr>
                <w:rFonts w:ascii="Arial"/>
                <w:sz w:val="24"/>
              </w:rPr>
              <w:t>10%</w:t>
            </w:r>
          </w:p>
        </w:tc>
      </w:tr>
    </w:tbl>
    <w:p>
      <w:pPr>
        <w:spacing w:line="240" w:lineRule="auto" w:before="5"/>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920" w:bottom="900" w:left="960" w:right="580"/>
        </w:sectPr>
      </w:pPr>
    </w:p>
    <w:p>
      <w:pPr>
        <w:spacing w:line="240" w:lineRule="auto" w:before="9"/>
        <w:rPr>
          <w:rFonts w:ascii="宋体" w:hAnsi="宋体" w:cs="宋体" w:eastAsia="宋体" w:hint="default"/>
          <w:sz w:val="25"/>
          <w:szCs w:val="25"/>
        </w:rPr>
      </w:pPr>
    </w:p>
    <w:p>
      <w:pPr>
        <w:pStyle w:val="BodyText"/>
        <w:tabs>
          <w:tab w:pos="5060" w:val="left" w:leader="none"/>
          <w:tab w:pos="6729" w:val="left" w:leader="none"/>
          <w:tab w:pos="7773" w:val="left" w:leader="none"/>
        </w:tabs>
        <w:spacing w:line="240" w:lineRule="auto"/>
        <w:ind w:left="1371" w:right="0"/>
        <w:jc w:val="left"/>
        <w:rPr>
          <w:rFonts w:ascii="Arial" w:hAnsi="Arial" w:cs="Arial" w:eastAsia="Arial" w:hint="default"/>
        </w:rPr>
      </w:pPr>
      <w:r>
        <w:rPr>
          <w:position w:val="2"/>
        </w:rPr>
        <w:t>应付普通股股利</w:t>
        <w:tab/>
      </w:r>
      <w:r>
        <w:rPr>
          <w:rFonts w:ascii="Arial" w:hAnsi="Arial" w:cs="Arial" w:eastAsia="Arial" w:hint="default"/>
          <w:spacing w:val="-1"/>
        </w:rPr>
        <w:t>(233,207)</w:t>
        <w:tab/>
      </w:r>
      <w:r>
        <w:rPr>
          <w:position w:val="2"/>
        </w:rPr>
        <w:t>每</w:t>
      </w:r>
      <w:r>
        <w:rPr>
          <w:spacing w:val="-60"/>
          <w:position w:val="2"/>
        </w:rPr>
        <w:t> </w:t>
      </w:r>
      <w:r>
        <w:rPr>
          <w:rFonts w:ascii="Arial" w:hAnsi="Arial" w:cs="Arial" w:eastAsia="Arial" w:hint="default"/>
          <w:spacing w:val="-1"/>
          <w:position w:val="2"/>
        </w:rPr>
        <w:t>10</w:t>
        <w:tab/>
      </w:r>
      <w:r>
        <w:rPr>
          <w:rFonts w:ascii="Arial" w:hAnsi="Arial" w:cs="Arial" w:eastAsia="Arial" w:hint="default"/>
        </w:rPr>
        <w:t>(89,730)</w:t>
      </w:r>
    </w:p>
    <w:p>
      <w:pPr>
        <w:spacing w:line="240" w:lineRule="auto" w:before="8"/>
        <w:rPr>
          <w:rFonts w:ascii="Arial" w:hAnsi="Arial" w:cs="Arial" w:eastAsia="Arial" w:hint="default"/>
          <w:sz w:val="23"/>
          <w:szCs w:val="23"/>
        </w:rPr>
      </w:pPr>
    </w:p>
    <w:p>
      <w:pPr>
        <w:pStyle w:val="BodyText"/>
        <w:tabs>
          <w:tab w:pos="4823" w:val="left" w:leader="none"/>
          <w:tab w:pos="5926" w:val="left" w:leader="none"/>
          <w:tab w:pos="7300" w:val="left" w:leader="none"/>
          <w:tab w:pos="7640" w:val="left" w:leader="none"/>
        </w:tabs>
        <w:spacing w:line="336" w:lineRule="exact"/>
        <w:ind w:left="1371" w:right="0"/>
        <w:jc w:val="left"/>
        <w:rPr>
          <w:rFonts w:ascii="Arial" w:hAnsi="Arial" w:cs="Arial" w:eastAsia="Arial" w:hint="default"/>
        </w:rPr>
      </w:pPr>
      <w:r>
        <w:rPr>
          <w:position w:val="2"/>
        </w:rPr>
        <w:t>转作股本的普通股股利</w:t>
        <w:tab/>
      </w:r>
      <w:r>
        <w:rPr>
          <w:rFonts w:ascii="Arial" w:hAnsi="Arial" w:cs="Arial" w:eastAsia="Arial" w:hint="default"/>
        </w:rPr>
      </w:r>
      <w:r>
        <w:rPr>
          <w:rFonts w:ascii="Arial" w:hAnsi="Arial" w:cs="Arial" w:eastAsia="Arial" w:hint="default"/>
          <w:u w:val="single" w:color="000000"/>
        </w:rPr>
        <w:t> </w:t>
        <w:tab/>
        <w:t>-</w:t>
      </w:r>
      <w:r>
        <w:rPr>
          <w:rFonts w:ascii="Arial" w:hAnsi="Arial" w:cs="Arial" w:eastAsia="Arial" w:hint="default"/>
        </w:rPr>
        <w:tab/>
      </w:r>
      <w:r>
        <w:rPr>
          <w:rFonts w:ascii="Arial" w:hAnsi="Arial" w:cs="Arial" w:eastAsia="Arial" w:hint="default"/>
          <w:u w:val="single" w:color="000000"/>
        </w:rPr>
        <w:t> </w:t>
        <w:tab/>
        <w:t>(598,202)</w:t>
      </w:r>
      <w:r>
        <w:rPr>
          <w:rFonts w:ascii="Arial" w:hAnsi="Arial" w:cs="Arial" w:eastAsia="Arial" w:hint="default"/>
        </w:rPr>
      </w:r>
    </w:p>
    <w:p>
      <w:pPr>
        <w:pStyle w:val="BodyText"/>
        <w:tabs>
          <w:tab w:pos="4816" w:val="left" w:leader="none"/>
          <w:tab w:pos="7293" w:val="left" w:leader="none"/>
          <w:tab w:pos="8695" w:val="left" w:leader="none"/>
        </w:tabs>
        <w:spacing w:line="336" w:lineRule="exact"/>
        <w:ind w:left="899" w:right="0"/>
        <w:jc w:val="left"/>
        <w:rPr>
          <w:rFonts w:ascii="Arial" w:hAnsi="Arial" w:cs="Arial" w:eastAsia="Arial" w:hint="default"/>
        </w:rPr>
      </w:pPr>
      <w:r>
        <w:rPr>
          <w:position w:val="2"/>
        </w:rPr>
        <w:t>年末未分配利润</w:t>
        <w:tab/>
      </w:r>
      <w:r>
        <w:rPr>
          <w:rFonts w:ascii="Arial" w:hAnsi="Arial" w:cs="Arial" w:eastAsia="Arial" w:hint="default"/>
        </w:rPr>
      </w:r>
      <w:r>
        <w:rPr>
          <w:rFonts w:ascii="Arial" w:hAnsi="Arial" w:cs="Arial" w:eastAsia="Arial" w:hint="default"/>
          <w:u w:val="thick" w:color="000000"/>
        </w:rPr>
        <w:t> </w:t>
      </w:r>
      <w:r>
        <w:rPr>
          <w:rFonts w:ascii="Arial" w:hAnsi="Arial" w:cs="Arial" w:eastAsia="Arial" w:hint="default"/>
          <w:spacing w:val="-1"/>
          <w:u w:val="thick" w:color="000000"/>
        </w:rPr>
        <w:t>9,932,866</w:t>
      </w:r>
      <w:r>
        <w:rPr>
          <w:rFonts w:ascii="Arial" w:hAnsi="Arial" w:cs="Arial" w:eastAsia="Arial" w:hint="default"/>
          <w:spacing w:val="-1"/>
        </w:rPr>
        <w:tab/>
      </w:r>
      <w:r>
        <w:rPr>
          <w:rFonts w:ascii="Arial" w:hAnsi="Arial" w:cs="Arial" w:eastAsia="Arial" w:hint="default"/>
          <w:spacing w:val="-1"/>
          <w:u w:val="thick" w:color="000000"/>
        </w:rPr>
        <w:t> 6,383,317</w:t>
        <w:tab/>
      </w:r>
      <w:r>
        <w:rPr>
          <w:rFonts w:ascii="Arial" w:hAnsi="Arial" w:cs="Arial" w:eastAsia="Arial" w:hint="default"/>
          <w:spacing w:val="-1"/>
        </w:rPr>
      </w:r>
    </w:p>
    <w:p>
      <w:pPr>
        <w:pStyle w:val="BodyText"/>
        <w:spacing w:line="312" w:lineRule="exact" w:before="56"/>
        <w:ind w:left="394" w:right="237" w:firstLine="489"/>
        <w:jc w:val="left"/>
        <w:rPr>
          <w:rFonts w:ascii="Arial" w:hAnsi="Arial" w:cs="Arial" w:eastAsia="Arial" w:hint="default"/>
        </w:rPr>
      </w:pPr>
      <w:r>
        <w:rPr/>
        <w:br w:type="column"/>
      </w:r>
      <w:r>
        <w:rPr/>
        <w:t>每股 人民币</w:t>
      </w:r>
      <w:r>
        <w:rPr>
          <w:spacing w:val="-62"/>
        </w:rPr>
        <w:t> </w:t>
      </w:r>
      <w:r>
        <w:rPr>
          <w:rFonts w:ascii="Arial" w:hAnsi="Arial" w:cs="Arial" w:eastAsia="Arial" w:hint="default"/>
        </w:rPr>
        <w:t>0.</w:t>
      </w:r>
    </w:p>
    <w:p>
      <w:pPr>
        <w:pStyle w:val="BodyText"/>
        <w:spacing w:line="291" w:lineRule="exact"/>
        <w:ind w:left="722" w:right="303"/>
        <w:jc w:val="center"/>
        <w:rPr>
          <w:rFonts w:ascii="Arial" w:hAnsi="Arial" w:cs="Arial" w:eastAsia="Arial" w:hint="default"/>
        </w:rPr>
      </w:pPr>
      <w:r>
        <w:rPr/>
        <w:t>每</w:t>
      </w:r>
      <w:r>
        <w:rPr>
          <w:spacing w:val="-63"/>
        </w:rPr>
        <w:t> </w:t>
      </w:r>
      <w:r>
        <w:rPr>
          <w:rFonts w:ascii="Arial" w:hAnsi="Arial" w:cs="Arial" w:eastAsia="Arial" w:hint="default"/>
        </w:rPr>
        <w:t>10</w:t>
      </w:r>
    </w:p>
    <w:p>
      <w:pPr>
        <w:pStyle w:val="BodyText"/>
        <w:spacing w:line="322" w:lineRule="exact"/>
        <w:ind w:left="874" w:right="237"/>
        <w:jc w:val="left"/>
        <w:rPr>
          <w:rFonts w:ascii="Arial" w:hAnsi="Arial" w:cs="Arial" w:eastAsia="Arial" w:hint="default"/>
        </w:rPr>
      </w:pPr>
      <w:r>
        <w:rPr/>
        <w:t>送</w:t>
      </w:r>
      <w:r>
        <w:rPr>
          <w:spacing w:val="-61"/>
        </w:rPr>
        <w:t> </w:t>
      </w:r>
      <w:r>
        <w:rPr>
          <w:rFonts w:ascii="Arial" w:hAnsi="Arial" w:cs="Arial" w:eastAsia="Arial" w:hint="default"/>
        </w:rPr>
        <w:t>2</w:t>
      </w:r>
    </w:p>
    <w:p>
      <w:pPr>
        <w:spacing w:after="0" w:line="322" w:lineRule="exact"/>
        <w:jc w:val="left"/>
        <w:rPr>
          <w:rFonts w:ascii="Arial" w:hAnsi="Arial" w:cs="Arial" w:eastAsia="Arial" w:hint="default"/>
        </w:rPr>
        <w:sectPr>
          <w:type w:val="continuous"/>
          <w:pgSz w:w="11910" w:h="16840"/>
          <w:pgMar w:top="920" w:bottom="900" w:left="960" w:right="580"/>
          <w:cols w:num="2" w:equalWidth="0">
            <w:col w:w="8696" w:space="40"/>
            <w:col w:w="1634"/>
          </w:cols>
        </w:sectPr>
      </w:pPr>
    </w:p>
    <w:p>
      <w:pPr>
        <w:spacing w:line="240" w:lineRule="auto" w:before="1"/>
        <w:rPr>
          <w:rFonts w:ascii="Arial" w:hAnsi="Arial" w:cs="Arial" w:eastAsia="Arial" w:hint="default"/>
          <w:sz w:val="21"/>
          <w:szCs w:val="21"/>
        </w:rPr>
      </w:pPr>
    </w:p>
    <w:p>
      <w:pPr>
        <w:pStyle w:val="BodyText"/>
        <w:spacing w:line="322" w:lineRule="exact" w:before="26"/>
        <w:ind w:left="838" w:right="260"/>
        <w:jc w:val="left"/>
      </w:pPr>
      <w:r>
        <w:rPr/>
        <w:t>于</w:t>
      </w:r>
      <w:r>
        <w:rPr>
          <w:spacing w:val="-58"/>
        </w:rPr>
        <w:t> </w:t>
      </w:r>
      <w:r>
        <w:rPr>
          <w:rFonts w:ascii="Arial" w:hAnsi="Arial" w:cs="Arial" w:eastAsia="Arial" w:hint="default"/>
        </w:rPr>
        <w:t>2010</w:t>
      </w:r>
      <w:r>
        <w:rPr>
          <w:rFonts w:ascii="Arial" w:hAnsi="Arial" w:cs="Arial" w:eastAsia="Arial" w:hint="default"/>
          <w:spacing w:val="-5"/>
        </w:rPr>
        <w:t> </w:t>
      </w:r>
      <w:r>
        <w:rPr/>
        <w:t>年</w:t>
      </w:r>
      <w:r>
        <w:rPr>
          <w:spacing w:val="-57"/>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t>日，未分配利润中包含归属于母公司股东的子公司盈余公积余额约</w:t>
      </w:r>
    </w:p>
    <w:p>
      <w:pPr>
        <w:pStyle w:val="BodyText"/>
        <w:spacing w:line="312" w:lineRule="exact"/>
        <w:ind w:left="856" w:right="260"/>
        <w:jc w:val="left"/>
      </w:pPr>
      <w:r>
        <w:rPr/>
        <w:t>人民币</w:t>
      </w:r>
      <w:r>
        <w:rPr>
          <w:spacing w:val="-61"/>
        </w:rPr>
        <w:t> </w:t>
      </w:r>
      <w:r>
        <w:rPr>
          <w:rFonts w:ascii="Arial" w:hAnsi="Arial" w:cs="Arial" w:eastAsia="Arial" w:hint="default"/>
        </w:rPr>
        <w:t>7.02</w:t>
      </w:r>
      <w:r>
        <w:rPr>
          <w:rFonts w:ascii="Arial" w:hAnsi="Arial" w:cs="Arial" w:eastAsia="Arial" w:hint="default"/>
          <w:spacing w:val="-8"/>
        </w:rPr>
        <w:t> </w:t>
      </w:r>
      <w:r>
        <w:rPr/>
        <w:t>亿元</w:t>
      </w:r>
      <w:r>
        <w:rPr>
          <w:rFonts w:ascii="Arial" w:hAnsi="Arial" w:cs="Arial" w:eastAsia="Arial" w:hint="default"/>
        </w:rPr>
        <w:t>(2009</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0"/>
        </w:rPr>
        <w:t> </w:t>
      </w:r>
      <w:r>
        <w:rPr>
          <w:rFonts w:ascii="Arial" w:hAnsi="Arial" w:cs="Arial" w:eastAsia="Arial" w:hint="default"/>
        </w:rPr>
        <w:t>31</w:t>
      </w:r>
      <w:r>
        <w:rPr>
          <w:rFonts w:ascii="Arial" w:hAnsi="Arial" w:cs="Arial" w:eastAsia="Arial" w:hint="default"/>
          <w:spacing w:val="-8"/>
        </w:rPr>
        <w:t> </w:t>
      </w:r>
      <w:r>
        <w:rPr>
          <w:spacing w:val="-6"/>
        </w:rPr>
        <w:t>日：约人民币</w:t>
      </w:r>
      <w:r>
        <w:rPr>
          <w:spacing w:val="-61"/>
        </w:rPr>
        <w:t> </w:t>
      </w:r>
      <w:r>
        <w:rPr>
          <w:rFonts w:ascii="Arial" w:hAnsi="Arial" w:cs="Arial" w:eastAsia="Arial" w:hint="default"/>
        </w:rPr>
        <w:t>4.76</w:t>
      </w:r>
      <w:r>
        <w:rPr>
          <w:rFonts w:ascii="Arial" w:hAnsi="Arial" w:cs="Arial" w:eastAsia="Arial" w:hint="default"/>
          <w:spacing w:val="-8"/>
        </w:rPr>
        <w:t> </w:t>
      </w:r>
      <w:r>
        <w:rPr>
          <w:spacing w:val="-3"/>
        </w:rPr>
        <w:t>亿元</w:t>
      </w:r>
      <w:r>
        <w:rPr>
          <w:rFonts w:ascii="Arial" w:hAnsi="Arial" w:cs="Arial" w:eastAsia="Arial" w:hint="default"/>
          <w:spacing w:val="-3"/>
        </w:rPr>
        <w:t>)</w:t>
      </w:r>
      <w:r>
        <w:rPr>
          <w:spacing w:val="-3"/>
        </w:rPr>
        <w:t>，其中子公司本年度计提的</w:t>
      </w:r>
    </w:p>
    <w:p>
      <w:pPr>
        <w:pStyle w:val="BodyText"/>
        <w:spacing w:line="322" w:lineRule="exact"/>
        <w:ind w:left="856" w:right="260"/>
        <w:jc w:val="left"/>
      </w:pPr>
      <w:r>
        <w:rPr/>
        <w:t>归属于母公司股东的盈余公积约人民币</w:t>
      </w:r>
      <w:r>
        <w:rPr>
          <w:spacing w:val="-62"/>
        </w:rPr>
        <w:t> </w:t>
      </w:r>
      <w:r>
        <w:rPr>
          <w:rFonts w:ascii="Arial" w:hAnsi="Arial" w:cs="Arial" w:eastAsia="Arial" w:hint="default"/>
        </w:rPr>
        <w:t>2.26</w:t>
      </w:r>
      <w:r>
        <w:rPr>
          <w:rFonts w:ascii="Arial" w:hAnsi="Arial" w:cs="Arial" w:eastAsia="Arial" w:hint="default"/>
          <w:spacing w:val="-9"/>
        </w:rPr>
        <w:t> </w:t>
      </w:r>
      <w:r>
        <w:rPr/>
        <w:t>亿元</w:t>
      </w:r>
      <w:r>
        <w:rPr>
          <w:rFonts w:ascii="Arial" w:hAnsi="Arial" w:cs="Arial" w:eastAsia="Arial" w:hint="default"/>
        </w:rPr>
        <w:t>(2009</w:t>
      </w:r>
      <w:r>
        <w:rPr>
          <w:rFonts w:ascii="Arial" w:hAnsi="Arial" w:cs="Arial" w:eastAsia="Arial" w:hint="default"/>
          <w:spacing w:val="-9"/>
        </w:rPr>
        <w:t> </w:t>
      </w:r>
      <w:r>
        <w:rPr/>
        <w:t>年：约人民币</w:t>
      </w:r>
      <w:r>
        <w:rPr>
          <w:spacing w:val="-62"/>
        </w:rPr>
        <w:t> </w:t>
      </w:r>
      <w:r>
        <w:rPr>
          <w:rFonts w:ascii="Arial" w:hAnsi="Arial" w:cs="Arial" w:eastAsia="Arial" w:hint="default"/>
        </w:rPr>
        <w:t>1.8</w:t>
      </w:r>
      <w:r>
        <w:rPr>
          <w:rFonts w:ascii="Arial" w:hAnsi="Arial" w:cs="Arial" w:eastAsia="Arial" w:hint="default"/>
          <w:spacing w:val="-9"/>
        </w:rPr>
        <w:t> </w:t>
      </w:r>
      <w:r>
        <w:rPr/>
        <w:t>亿元</w:t>
      </w:r>
      <w:r>
        <w:rPr>
          <w:rFonts w:ascii="Arial" w:hAnsi="Arial" w:cs="Arial" w:eastAsia="Arial" w:hint="default"/>
        </w:rPr>
        <w:t>)</w:t>
      </w:r>
      <w:r>
        <w:rPr/>
        <w:t>。</w:t>
      </w:r>
    </w:p>
    <w:p>
      <w:pPr>
        <w:spacing w:line="240" w:lineRule="auto" w:before="8"/>
        <w:rPr>
          <w:rFonts w:ascii="宋体" w:hAnsi="宋体" w:cs="宋体" w:eastAsia="宋体" w:hint="default"/>
          <w:sz w:val="19"/>
          <w:szCs w:val="19"/>
        </w:rPr>
      </w:pPr>
    </w:p>
    <w:p>
      <w:pPr>
        <w:pStyle w:val="BodyText"/>
        <w:spacing w:line="322" w:lineRule="exact"/>
        <w:ind w:left="838" w:right="260"/>
        <w:jc w:val="left"/>
      </w:pPr>
      <w:r>
        <w:rPr/>
        <w:t>于</w:t>
      </w:r>
      <w:r>
        <w:rPr>
          <w:spacing w:val="-67"/>
        </w:rPr>
        <w:t> </w:t>
      </w:r>
      <w:r>
        <w:rPr>
          <w:rFonts w:ascii="Arial" w:hAnsi="Arial" w:cs="Arial" w:eastAsia="Arial" w:hint="default"/>
        </w:rPr>
        <w:t>2010</w:t>
      </w:r>
      <w:r>
        <w:rPr>
          <w:rFonts w:ascii="Arial" w:hAnsi="Arial" w:cs="Arial" w:eastAsia="Arial" w:hint="default"/>
          <w:spacing w:val="-14"/>
        </w:rPr>
        <w:t> </w:t>
      </w:r>
      <w:r>
        <w:rPr/>
        <w:t>年</w:t>
      </w:r>
      <w:r>
        <w:rPr>
          <w:spacing w:val="-66"/>
        </w:rPr>
        <w:t> </w:t>
      </w:r>
      <w:r>
        <w:rPr>
          <w:rFonts w:ascii="Arial" w:hAnsi="Arial" w:cs="Arial" w:eastAsia="Arial" w:hint="default"/>
        </w:rPr>
        <w:t>4</w:t>
      </w:r>
      <w:r>
        <w:rPr>
          <w:rFonts w:ascii="Arial" w:hAnsi="Arial" w:cs="Arial" w:eastAsia="Arial" w:hint="default"/>
          <w:spacing w:val="-14"/>
        </w:rPr>
        <w:t> </w:t>
      </w:r>
      <w:r>
        <w:rPr/>
        <w:t>月</w:t>
      </w:r>
      <w:r>
        <w:rPr>
          <w:spacing w:val="-67"/>
        </w:rPr>
        <w:t> </w:t>
      </w:r>
      <w:r>
        <w:rPr>
          <w:rFonts w:ascii="Arial" w:hAnsi="Arial" w:cs="Arial" w:eastAsia="Arial" w:hint="default"/>
        </w:rPr>
        <w:t>6</w:t>
      </w:r>
      <w:r>
        <w:rPr>
          <w:rFonts w:ascii="Arial" w:hAnsi="Arial" w:cs="Arial" w:eastAsia="Arial" w:hint="default"/>
          <w:spacing w:val="-14"/>
        </w:rPr>
        <w:t> </w:t>
      </w:r>
      <w:r>
        <w:rPr/>
        <w:t>日召开的本公司</w:t>
      </w:r>
      <w:r>
        <w:rPr>
          <w:spacing w:val="-67"/>
        </w:rPr>
        <w:t> </w:t>
      </w:r>
      <w:r>
        <w:rPr>
          <w:rFonts w:ascii="Arial" w:hAnsi="Arial" w:cs="Arial" w:eastAsia="Arial" w:hint="default"/>
        </w:rPr>
        <w:t>2009</w:t>
      </w:r>
      <w:r>
        <w:rPr>
          <w:rFonts w:ascii="Arial" w:hAnsi="Arial" w:cs="Arial" w:eastAsia="Arial" w:hint="default"/>
          <w:spacing w:val="-14"/>
        </w:rPr>
        <w:t> </w:t>
      </w:r>
      <w:r>
        <w:rPr/>
        <w:t>年年度股东大会批准了董事会提议的</w:t>
      </w:r>
      <w:r>
        <w:rPr>
          <w:spacing w:val="-67"/>
        </w:rPr>
        <w:t> </w:t>
      </w:r>
      <w:r>
        <w:rPr>
          <w:rFonts w:ascii="Arial" w:hAnsi="Arial" w:cs="Arial" w:eastAsia="Arial" w:hint="default"/>
        </w:rPr>
        <w:t>2009</w:t>
      </w:r>
      <w:r>
        <w:rPr>
          <w:rFonts w:ascii="Arial" w:hAnsi="Arial" w:cs="Arial" w:eastAsia="Arial" w:hint="default"/>
          <w:spacing w:val="-14"/>
        </w:rPr>
        <w:t> </w:t>
      </w:r>
      <w:r>
        <w:rPr/>
        <w:t>年度</w:t>
      </w:r>
    </w:p>
    <w:p>
      <w:pPr>
        <w:pStyle w:val="BodyText"/>
        <w:spacing w:line="312" w:lineRule="exact"/>
        <w:ind w:left="856" w:right="260"/>
        <w:jc w:val="left"/>
      </w:pPr>
      <w:r>
        <w:rPr/>
        <w:t>现金股利方案，本公司以现有总股本</w:t>
      </w:r>
      <w:r>
        <w:rPr>
          <w:spacing w:val="-63"/>
        </w:rPr>
        <w:t> </w:t>
      </w:r>
      <w:r>
        <w:rPr>
          <w:rFonts w:ascii="Arial" w:hAnsi="Arial" w:cs="Arial" w:eastAsia="Arial" w:hint="default"/>
        </w:rPr>
        <w:t>4,664,141,244</w:t>
      </w:r>
      <w:r>
        <w:rPr>
          <w:rFonts w:ascii="Arial" w:hAnsi="Arial" w:cs="Arial" w:eastAsia="Arial" w:hint="default"/>
          <w:spacing w:val="44"/>
        </w:rPr>
        <w:t> </w:t>
      </w:r>
      <w:r>
        <w:rPr/>
        <w:t>股为基数，向全体股东每</w:t>
      </w:r>
      <w:r>
        <w:rPr>
          <w:spacing w:val="-63"/>
        </w:rPr>
        <w:t> </w:t>
      </w:r>
      <w:r>
        <w:rPr>
          <w:rFonts w:ascii="Arial" w:hAnsi="Arial" w:cs="Arial" w:eastAsia="Arial" w:hint="default"/>
        </w:rPr>
        <w:t>10</w:t>
      </w:r>
      <w:r>
        <w:rPr>
          <w:rFonts w:ascii="Arial" w:hAnsi="Arial" w:cs="Arial" w:eastAsia="Arial" w:hint="default"/>
          <w:spacing w:val="43"/>
        </w:rPr>
        <w:t> </w:t>
      </w:r>
      <w:r>
        <w:rPr/>
        <w:t>股派</w:t>
      </w:r>
    </w:p>
    <w:p>
      <w:pPr>
        <w:pStyle w:val="BodyText"/>
        <w:spacing w:line="312" w:lineRule="exact"/>
        <w:ind w:left="856" w:right="260"/>
        <w:jc w:val="left"/>
      </w:pPr>
      <w:r>
        <w:rPr/>
        <w:t>发现金股利人民币</w:t>
      </w:r>
      <w:r>
        <w:rPr>
          <w:spacing w:val="-60"/>
        </w:rPr>
        <w:t> </w:t>
      </w:r>
      <w:r>
        <w:rPr>
          <w:rFonts w:ascii="Arial" w:hAnsi="Arial" w:cs="Arial" w:eastAsia="Arial" w:hint="default"/>
        </w:rPr>
        <w:t>0.5</w:t>
      </w:r>
      <w:r>
        <w:rPr>
          <w:rFonts w:ascii="Arial" w:hAnsi="Arial" w:cs="Arial" w:eastAsia="Arial" w:hint="default"/>
          <w:spacing w:val="-7"/>
        </w:rPr>
        <w:t> </w:t>
      </w:r>
      <w:r>
        <w:rPr/>
        <w:t>元</w:t>
      </w:r>
      <w:r>
        <w:rPr>
          <w:spacing w:val="1"/>
        </w:rPr>
        <w:t> </w:t>
      </w:r>
      <w:r>
        <w:rPr>
          <w:rFonts w:ascii="Arial" w:hAnsi="Arial" w:cs="Arial" w:eastAsia="Arial" w:hint="default"/>
          <w:spacing w:val="-3"/>
        </w:rPr>
        <w:t>(</w:t>
      </w:r>
      <w:r>
        <w:rPr>
          <w:spacing w:val="-3"/>
        </w:rPr>
        <w:t>含税</w:t>
      </w:r>
      <w:r>
        <w:rPr>
          <w:rFonts w:ascii="Arial" w:hAnsi="Arial" w:cs="Arial" w:eastAsia="Arial" w:hint="default"/>
          <w:spacing w:val="-3"/>
        </w:rPr>
        <w:t>)</w:t>
      </w:r>
      <w:r>
        <w:rPr>
          <w:spacing w:val="-3"/>
        </w:rPr>
        <w:t>，共派发现金股利约人民币</w:t>
      </w:r>
      <w:r>
        <w:rPr>
          <w:spacing w:val="-60"/>
        </w:rPr>
        <w:t> </w:t>
      </w:r>
      <w:r>
        <w:rPr>
          <w:rFonts w:ascii="Arial" w:hAnsi="Arial" w:cs="Arial" w:eastAsia="Arial" w:hint="default"/>
        </w:rPr>
        <w:t>2.33</w:t>
      </w:r>
      <w:r>
        <w:rPr>
          <w:rFonts w:ascii="Arial" w:hAnsi="Arial" w:cs="Arial" w:eastAsia="Arial" w:hint="default"/>
          <w:spacing w:val="-7"/>
        </w:rPr>
        <w:t> </w:t>
      </w:r>
      <w:r>
        <w:rPr>
          <w:spacing w:val="-10"/>
        </w:rPr>
        <w:t>亿元。于</w:t>
      </w:r>
      <w:r>
        <w:rPr>
          <w:spacing w:val="-60"/>
        </w:rPr>
        <w:t> </w:t>
      </w:r>
      <w:r>
        <w:rPr>
          <w:rFonts w:ascii="Arial" w:hAnsi="Arial" w:cs="Arial" w:eastAsia="Arial" w:hint="default"/>
        </w:rPr>
        <w:t>2010</w:t>
      </w:r>
      <w:r>
        <w:rPr>
          <w:rFonts w:ascii="Arial" w:hAnsi="Arial" w:cs="Arial" w:eastAsia="Arial" w:hint="default"/>
          <w:spacing w:val="-7"/>
        </w:rPr>
        <w:t> </w:t>
      </w:r>
      <w:r>
        <w:rPr/>
        <w:t>年</w:t>
      </w:r>
      <w:r>
        <w:rPr>
          <w:spacing w:val="-60"/>
        </w:rPr>
        <w:t> </w:t>
      </w:r>
      <w:r>
        <w:rPr>
          <w:rFonts w:ascii="Arial" w:hAnsi="Arial" w:cs="Arial" w:eastAsia="Arial" w:hint="default"/>
        </w:rPr>
        <w:t>4</w:t>
      </w:r>
      <w:r>
        <w:rPr>
          <w:rFonts w:ascii="Arial" w:hAnsi="Arial" w:cs="Arial" w:eastAsia="Arial" w:hint="default"/>
          <w:spacing w:val="-7"/>
        </w:rPr>
        <w:t> </w:t>
      </w:r>
      <w:r>
        <w:rPr/>
        <w:t>月</w:t>
      </w:r>
    </w:p>
    <w:p>
      <w:pPr>
        <w:pStyle w:val="BodyText"/>
        <w:spacing w:line="322" w:lineRule="exact"/>
        <w:ind w:left="856" w:right="260"/>
        <w:jc w:val="left"/>
      </w:pPr>
      <w:r>
        <w:rPr>
          <w:rFonts w:ascii="Arial" w:hAnsi="Arial" w:cs="Arial" w:eastAsia="Arial" w:hint="default"/>
        </w:rPr>
        <w:t>16</w:t>
      </w:r>
      <w:r>
        <w:rPr>
          <w:rFonts w:ascii="Arial" w:hAnsi="Arial" w:cs="Arial" w:eastAsia="Arial" w:hint="default"/>
          <w:spacing w:val="-9"/>
        </w:rPr>
        <w:t> </w:t>
      </w:r>
      <w:r>
        <w:rPr/>
        <w:t>日，现金股利派发完成。</w:t>
      </w:r>
    </w:p>
    <w:p>
      <w:pPr>
        <w:spacing w:line="240" w:lineRule="auto" w:before="8"/>
        <w:rPr>
          <w:rFonts w:ascii="宋体" w:hAnsi="宋体" w:cs="宋体" w:eastAsia="宋体" w:hint="default"/>
          <w:sz w:val="19"/>
          <w:szCs w:val="19"/>
        </w:rPr>
      </w:pPr>
    </w:p>
    <w:p>
      <w:pPr>
        <w:pStyle w:val="BodyText"/>
        <w:spacing w:line="322" w:lineRule="exact"/>
        <w:ind w:left="838" w:right="260"/>
        <w:jc w:val="left"/>
      </w:pPr>
      <w:r>
        <w:rPr/>
        <w:t>根据 </w:t>
      </w:r>
      <w:r>
        <w:rPr>
          <w:rFonts w:ascii="Arial" w:hAnsi="Arial" w:cs="Arial" w:eastAsia="Arial" w:hint="default"/>
          <w:spacing w:val="-6"/>
        </w:rPr>
        <w:t>2011 </w:t>
      </w:r>
      <w:r>
        <w:rPr/>
        <w:t>年 </w:t>
      </w:r>
      <w:r>
        <w:rPr>
          <w:rFonts w:ascii="Arial" w:hAnsi="Arial" w:cs="Arial" w:eastAsia="Arial" w:hint="default"/>
        </w:rPr>
        <w:t>3 </w:t>
      </w:r>
      <w:r>
        <w:rPr/>
        <w:t>月 </w:t>
      </w:r>
      <w:r>
        <w:rPr>
          <w:rFonts w:ascii="Arial" w:hAnsi="Arial" w:cs="Arial" w:eastAsia="Arial" w:hint="default"/>
        </w:rPr>
        <w:t>14</w:t>
      </w:r>
      <w:r>
        <w:rPr>
          <w:rFonts w:ascii="Arial" w:hAnsi="Arial" w:cs="Arial" w:eastAsia="Arial" w:hint="default"/>
          <w:spacing w:val="-24"/>
        </w:rPr>
        <w:t> </w:t>
      </w:r>
      <w:r>
        <w:rPr/>
        <w:t>日董事会决议，董事会提议本公司向全体股东派发现金股利，每</w:t>
      </w:r>
    </w:p>
    <w:p>
      <w:pPr>
        <w:pStyle w:val="BodyText"/>
        <w:spacing w:line="312" w:lineRule="exact"/>
        <w:ind w:left="856" w:right="260"/>
        <w:jc w:val="left"/>
      </w:pPr>
      <w:r>
        <w:rPr>
          <w:rFonts w:ascii="Arial" w:hAnsi="Arial" w:cs="Arial" w:eastAsia="Arial" w:hint="default"/>
        </w:rPr>
        <w:t>10</w:t>
      </w:r>
      <w:r>
        <w:rPr>
          <w:rFonts w:ascii="Arial" w:hAnsi="Arial" w:cs="Arial" w:eastAsia="Arial" w:hint="default"/>
          <w:spacing w:val="-4"/>
        </w:rPr>
        <w:t> </w:t>
      </w:r>
      <w:r>
        <w:rPr/>
        <w:t>股派发现金股利人民币</w:t>
      </w:r>
      <w:r>
        <w:rPr>
          <w:spacing w:val="-57"/>
        </w:rPr>
        <w:t> </w:t>
      </w:r>
      <w:r>
        <w:rPr>
          <w:rFonts w:ascii="Arial" w:hAnsi="Arial" w:cs="Arial" w:eastAsia="Arial" w:hint="default"/>
        </w:rPr>
        <w:t>1</w:t>
      </w:r>
      <w:r>
        <w:rPr>
          <w:rFonts w:ascii="Arial" w:hAnsi="Arial" w:cs="Arial" w:eastAsia="Arial" w:hint="default"/>
          <w:spacing w:val="-4"/>
        </w:rPr>
        <w:t> </w:t>
      </w:r>
      <w:r>
        <w:rPr/>
        <w:t>元</w:t>
      </w:r>
      <w:r>
        <w:rPr>
          <w:rFonts w:ascii="Arial" w:hAnsi="Arial" w:cs="Arial" w:eastAsia="Arial" w:hint="default"/>
        </w:rPr>
        <w:t>(</w:t>
      </w:r>
      <w:r>
        <w:rPr/>
        <w:t>含税</w:t>
      </w:r>
      <w:r>
        <w:rPr>
          <w:rFonts w:ascii="Arial" w:hAnsi="Arial" w:cs="Arial" w:eastAsia="Arial" w:hint="default"/>
        </w:rPr>
        <w:t>)</w:t>
      </w:r>
      <w:r>
        <w:rPr/>
        <w:t>，按已发行股份</w:t>
      </w:r>
      <w:r>
        <w:rPr>
          <w:spacing w:val="-57"/>
        </w:rPr>
        <w:t> </w:t>
      </w:r>
      <w:r>
        <w:rPr>
          <w:rFonts w:ascii="Arial" w:hAnsi="Arial" w:cs="Arial" w:eastAsia="Arial" w:hint="default"/>
          <w:spacing w:val="-3"/>
        </w:rPr>
        <w:t>6,996,211,866 </w:t>
      </w:r>
      <w:r>
        <w:rPr/>
        <w:t>股为基数，拟派发</w:t>
      </w:r>
    </w:p>
    <w:p>
      <w:pPr>
        <w:pStyle w:val="BodyText"/>
        <w:spacing w:line="322" w:lineRule="exact"/>
        <w:ind w:left="856" w:right="260"/>
        <w:jc w:val="left"/>
      </w:pPr>
      <w:r>
        <w:rPr/>
        <w:t>现金股利共计约人民币</w:t>
      </w:r>
      <w:r>
        <w:rPr>
          <w:spacing w:val="-60"/>
        </w:rPr>
        <w:t> </w:t>
      </w:r>
      <w:r>
        <w:rPr>
          <w:rFonts w:ascii="Arial" w:hAnsi="Arial" w:cs="Arial" w:eastAsia="Arial" w:hint="default"/>
        </w:rPr>
        <w:t>7</w:t>
      </w:r>
      <w:r>
        <w:rPr>
          <w:rFonts w:ascii="Arial" w:hAnsi="Arial" w:cs="Arial" w:eastAsia="Arial" w:hint="default"/>
          <w:spacing w:val="-7"/>
        </w:rPr>
        <w:t> </w:t>
      </w:r>
      <w:r>
        <w:rPr/>
        <w:t>亿元。</w:t>
      </w:r>
    </w:p>
    <w:p>
      <w:pPr>
        <w:spacing w:line="240" w:lineRule="auto" w:before="8"/>
        <w:rPr>
          <w:rFonts w:ascii="宋体" w:hAnsi="宋体" w:cs="宋体" w:eastAsia="宋体" w:hint="default"/>
          <w:sz w:val="19"/>
          <w:szCs w:val="19"/>
        </w:rPr>
      </w:pPr>
    </w:p>
    <w:p>
      <w:pPr>
        <w:pStyle w:val="BodyText"/>
        <w:spacing w:line="240" w:lineRule="auto"/>
        <w:ind w:left="838" w:right="260"/>
        <w:jc w:val="left"/>
      </w:pPr>
      <w:r>
        <w:rPr/>
        <w:t>上述提议尚待股东大会批准</w:t>
      </w:r>
      <w:r>
        <w:rPr>
          <w:rFonts w:ascii="Arial" w:hAnsi="Arial" w:cs="Arial" w:eastAsia="Arial" w:hint="default"/>
        </w:rPr>
        <w:t>(</w:t>
      </w:r>
      <w:r>
        <w:rPr/>
        <w:t>附注九</w:t>
      </w:r>
      <w:r>
        <w:rPr>
          <w:rFonts w:ascii="Arial" w:hAnsi="Arial" w:cs="Arial" w:eastAsia="Arial" w:hint="default"/>
        </w:rPr>
        <w:t>(2))</w:t>
      </w:r>
      <w:r>
        <w:rPr/>
        <w:t>，不确认为</w:t>
      </w:r>
      <w:r>
        <w:rPr>
          <w:spacing w:val="-63"/>
        </w:rPr>
        <w:t> </w:t>
      </w: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9"/>
        </w:rPr>
        <w:t> </w:t>
      </w:r>
      <w:r>
        <w:rPr/>
        <w:t>月</w:t>
      </w:r>
      <w:r>
        <w:rPr>
          <w:spacing w:val="-61"/>
        </w:rPr>
        <w:t> </w:t>
      </w:r>
      <w:r>
        <w:rPr>
          <w:rFonts w:ascii="Arial" w:hAnsi="Arial" w:cs="Arial" w:eastAsia="Arial" w:hint="default"/>
        </w:rPr>
        <w:t>31</w:t>
      </w:r>
      <w:r>
        <w:rPr>
          <w:rFonts w:ascii="Arial" w:hAnsi="Arial" w:cs="Arial" w:eastAsia="Arial" w:hint="default"/>
          <w:spacing w:val="-9"/>
        </w:rPr>
        <w:t> </w:t>
      </w:r>
      <w:r>
        <w:rPr/>
        <w:t>日的负债。</w:t>
      </w:r>
    </w:p>
    <w:p>
      <w:pPr>
        <w:spacing w:after="0" w:line="240" w:lineRule="auto"/>
        <w:jc w:val="left"/>
        <w:sectPr>
          <w:type w:val="continuous"/>
          <w:pgSz w:w="11910" w:h="16840"/>
          <w:pgMar w:top="920" w:bottom="900" w:left="960" w:right="580"/>
        </w:sectPr>
      </w:pPr>
    </w:p>
    <w:p>
      <w:pPr>
        <w:spacing w:line="240" w:lineRule="auto" w:before="4"/>
        <w:rPr>
          <w:rFonts w:ascii="Times New Roman" w:hAnsi="Times New Roman" w:cs="Times New Roman" w:eastAsia="Times New Roman"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596"/>
        <w:gridCol w:w="6627"/>
        <w:gridCol w:w="2805"/>
      </w:tblGrid>
      <w:tr>
        <w:trPr>
          <w:trHeight w:val="1102" w:hRule="exact"/>
        </w:trPr>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(35)</w:t>
            </w:r>
          </w:p>
        </w:tc>
        <w:tc>
          <w:tcPr>
            <w:tcW w:w="6627"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33" w:right="3688"/>
              <w:jc w:val="left"/>
              <w:rPr>
                <w:rFonts w:ascii="宋体" w:hAnsi="宋体" w:cs="宋体" w:eastAsia="宋体"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3"/>
                <w:w w:val="95"/>
                <w:sz w:val="24"/>
                <w:szCs w:val="24"/>
              </w:rPr>
              <w:t> </w:t>
            </w:r>
            <w:r>
              <w:rPr>
                <w:rFonts w:ascii="宋体" w:hAnsi="宋体" w:cs="宋体" w:eastAsia="宋体" w:hint="default"/>
                <w:b/>
                <w:bCs/>
                <w:sz w:val="24"/>
                <w:szCs w:val="24"/>
              </w:rPr>
              <w:t>少数股东权益</w:t>
            </w:r>
            <w:r>
              <w:rPr>
                <w:rFonts w:ascii="宋体" w:hAnsi="宋体" w:cs="宋体" w:eastAsia="宋体" w:hint="default"/>
                <w:sz w:val="24"/>
                <w:szCs w:val="24"/>
              </w:rPr>
            </w:r>
          </w:p>
        </w:tc>
        <w:tc>
          <w:tcPr>
            <w:tcW w:w="2805" w:type="dxa"/>
            <w:vMerge w:val="restart"/>
            <w:tcBorders>
              <w:top w:val="nil" w:sz="6" w:space="0" w:color="auto"/>
              <w:left w:val="nil" w:sz="6" w:space="0" w:color="auto"/>
              <w:right w:val="nil" w:sz="6" w:space="0" w:color="auto"/>
            </w:tcBorders>
          </w:tcPr>
          <w:p>
            <w:pPr/>
          </w:p>
        </w:tc>
      </w:tr>
      <w:tr>
        <w:trPr>
          <w:trHeight w:val="588" w:hRule="exact"/>
        </w:trPr>
        <w:tc>
          <w:tcPr>
            <w:tcW w:w="596" w:type="dxa"/>
            <w:tcBorders>
              <w:top w:val="nil" w:sz="6" w:space="0" w:color="auto"/>
              <w:left w:val="nil" w:sz="6" w:space="0" w:color="auto"/>
              <w:bottom w:val="nil" w:sz="6" w:space="0" w:color="auto"/>
              <w:right w:val="nil" w:sz="6" w:space="0" w:color="auto"/>
            </w:tcBorders>
          </w:tcPr>
          <w:p>
            <w:pPr/>
          </w:p>
        </w:tc>
        <w:tc>
          <w:tcPr>
            <w:tcW w:w="662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3" w:right="0"/>
              <w:jc w:val="left"/>
              <w:rPr>
                <w:rFonts w:ascii="宋体" w:hAnsi="宋体" w:cs="宋体" w:eastAsia="宋体" w:hint="default"/>
                <w:sz w:val="24"/>
                <w:szCs w:val="24"/>
              </w:rPr>
            </w:pPr>
            <w:r>
              <w:rPr>
                <w:rFonts w:ascii="宋体" w:hAnsi="宋体" w:cs="宋体" w:eastAsia="宋体" w:hint="default"/>
                <w:sz w:val="24"/>
                <w:szCs w:val="24"/>
              </w:rPr>
              <w:t>归属于各子公司少数股东的少数股东权益</w:t>
            </w:r>
          </w:p>
        </w:tc>
        <w:tc>
          <w:tcPr>
            <w:tcW w:w="2805" w:type="dxa"/>
            <w:vMerge/>
            <w:tcBorders>
              <w:left w:val="nil" w:sz="6" w:space="0" w:color="auto"/>
              <w:bottom w:val="nil" w:sz="6" w:space="0" w:color="auto"/>
              <w:right w:val="nil" w:sz="6" w:space="0" w:color="auto"/>
            </w:tcBorders>
          </w:tcPr>
          <w:p>
            <w:pPr/>
          </w:p>
        </w:tc>
      </w:tr>
      <w:tr>
        <w:trPr>
          <w:trHeight w:val="594" w:hRule="exact"/>
        </w:trPr>
        <w:tc>
          <w:tcPr>
            <w:tcW w:w="596" w:type="dxa"/>
            <w:tcBorders>
              <w:top w:val="nil" w:sz="6" w:space="0" w:color="auto"/>
              <w:left w:val="nil" w:sz="6" w:space="0" w:color="auto"/>
              <w:bottom w:val="nil" w:sz="6" w:space="0" w:color="auto"/>
              <w:right w:val="nil" w:sz="6" w:space="0" w:color="auto"/>
            </w:tcBorders>
          </w:tcPr>
          <w:p>
            <w:pPr/>
          </w:p>
        </w:tc>
        <w:tc>
          <w:tcPr>
            <w:tcW w:w="6627" w:type="dxa"/>
            <w:tcBorders>
              <w:top w:val="nil" w:sz="6" w:space="0" w:color="auto"/>
              <w:left w:val="nil" w:sz="6" w:space="0" w:color="auto"/>
              <w:bottom w:val="nil" w:sz="6" w:space="0" w:color="auto"/>
              <w:right w:val="nil" w:sz="6" w:space="0" w:color="auto"/>
            </w:tcBorders>
          </w:tcPr>
          <w:p>
            <w:pPr>
              <w:pStyle w:val="TableParagraph"/>
              <w:tabs>
                <w:tab w:pos="4083" w:val="left" w:leader="none"/>
              </w:tabs>
              <w:spacing w:line="240" w:lineRule="auto" w:before="100"/>
              <w:ind w:left="133" w:right="0"/>
              <w:jc w:val="left"/>
              <w:rPr>
                <w:rFonts w:ascii="宋体" w:hAnsi="宋体" w:cs="宋体" w:eastAsia="宋体" w:hint="default"/>
                <w:sz w:val="24"/>
                <w:szCs w:val="24"/>
              </w:rPr>
            </w:pPr>
            <w:r>
              <w:rPr>
                <w:rFonts w:ascii="宋体" w:hAnsi="宋体" w:cs="宋体" w:eastAsia="宋体" w:hint="default"/>
                <w:sz w:val="24"/>
                <w:szCs w:val="24"/>
              </w:rPr>
              <w:t>子公司名称</w:t>
              <w:tab/>
            </w: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42"/>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9" w:hRule="exact"/>
        </w:trPr>
        <w:tc>
          <w:tcPr>
            <w:tcW w:w="596" w:type="dxa"/>
            <w:tcBorders>
              <w:top w:val="nil" w:sz="6" w:space="0" w:color="auto"/>
              <w:left w:val="nil" w:sz="6" w:space="0" w:color="auto"/>
              <w:bottom w:val="nil" w:sz="6" w:space="0" w:color="auto"/>
              <w:right w:val="nil" w:sz="6" w:space="0" w:color="auto"/>
            </w:tcBorders>
          </w:tcPr>
          <w:p>
            <w:pPr/>
          </w:p>
        </w:tc>
        <w:tc>
          <w:tcPr>
            <w:tcW w:w="6627" w:type="dxa"/>
            <w:tcBorders>
              <w:top w:val="nil" w:sz="6" w:space="0" w:color="auto"/>
              <w:left w:val="nil" w:sz="6" w:space="0" w:color="auto"/>
              <w:bottom w:val="nil" w:sz="6" w:space="0" w:color="auto"/>
              <w:right w:val="nil" w:sz="6" w:space="0" w:color="auto"/>
            </w:tcBorders>
          </w:tcPr>
          <w:p>
            <w:pPr>
              <w:pStyle w:val="TableParagraph"/>
              <w:tabs>
                <w:tab w:pos="5303" w:val="left" w:leader="none"/>
              </w:tabs>
              <w:spacing w:line="240" w:lineRule="auto" w:before="92"/>
              <w:ind w:left="133" w:right="0"/>
              <w:jc w:val="left"/>
              <w:rPr>
                <w:rFonts w:ascii="Arial" w:hAnsi="Arial" w:cs="Arial" w:eastAsia="Arial" w:hint="default"/>
                <w:sz w:val="24"/>
                <w:szCs w:val="24"/>
              </w:rPr>
            </w:pPr>
            <w:r>
              <w:rPr>
                <w:rFonts w:ascii="宋体" w:hAnsi="宋体" w:cs="宋体" w:eastAsia="宋体" w:hint="default"/>
                <w:position w:val="2"/>
                <w:sz w:val="24"/>
                <w:szCs w:val="24"/>
              </w:rPr>
              <w:t>北京苏宁电器有限公司</w:t>
              <w:tab/>
            </w:r>
            <w:r>
              <w:rPr>
                <w:rFonts w:ascii="Arial" w:hAnsi="Arial" w:cs="Arial" w:eastAsia="Arial" w:hint="default"/>
                <w:sz w:val="24"/>
                <w:szCs w:val="24"/>
              </w:rPr>
              <w:t>121,553</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41"/>
              <w:jc w:val="right"/>
              <w:rPr>
                <w:rFonts w:ascii="Arial" w:hAnsi="Arial" w:cs="Arial" w:eastAsia="Arial" w:hint="default"/>
                <w:sz w:val="24"/>
                <w:szCs w:val="24"/>
              </w:rPr>
            </w:pPr>
            <w:r>
              <w:rPr>
                <w:rFonts w:ascii="Arial"/>
                <w:spacing w:val="-1"/>
                <w:w w:val="95"/>
                <w:sz w:val="24"/>
              </w:rPr>
              <w:t>93,668</w:t>
            </w:r>
            <w:r>
              <w:rPr>
                <w:rFonts w:ascii="Arial"/>
                <w:sz w:val="24"/>
              </w:rPr>
            </w:r>
          </w:p>
        </w:tc>
      </w:tr>
      <w:tr>
        <w:trPr>
          <w:trHeight w:val="312" w:hRule="exact"/>
        </w:trPr>
        <w:tc>
          <w:tcPr>
            <w:tcW w:w="596" w:type="dxa"/>
            <w:tcBorders>
              <w:top w:val="nil" w:sz="6" w:space="0" w:color="auto"/>
              <w:left w:val="nil" w:sz="6" w:space="0" w:color="auto"/>
              <w:bottom w:val="nil" w:sz="6" w:space="0" w:color="auto"/>
              <w:right w:val="nil" w:sz="6" w:space="0" w:color="auto"/>
            </w:tcBorders>
          </w:tcPr>
          <w:p>
            <w:pPr/>
          </w:p>
        </w:tc>
        <w:tc>
          <w:tcPr>
            <w:tcW w:w="6627" w:type="dxa"/>
            <w:tcBorders>
              <w:top w:val="nil" w:sz="6" w:space="0" w:color="auto"/>
              <w:left w:val="nil" w:sz="6" w:space="0" w:color="auto"/>
              <w:bottom w:val="nil" w:sz="6" w:space="0" w:color="auto"/>
              <w:right w:val="nil" w:sz="6" w:space="0" w:color="auto"/>
            </w:tcBorders>
          </w:tcPr>
          <w:p>
            <w:pPr>
              <w:pStyle w:val="TableParagraph"/>
              <w:tabs>
                <w:tab w:pos="5436" w:val="left" w:leader="none"/>
              </w:tabs>
              <w:spacing w:line="296" w:lineRule="exact"/>
              <w:ind w:left="133" w:right="0"/>
              <w:jc w:val="left"/>
              <w:rPr>
                <w:rFonts w:ascii="Arial" w:hAnsi="Arial" w:cs="Arial" w:eastAsia="Arial" w:hint="default"/>
                <w:sz w:val="24"/>
                <w:szCs w:val="24"/>
              </w:rPr>
            </w:pPr>
            <w:r>
              <w:rPr>
                <w:rFonts w:ascii="宋体" w:hAnsi="宋体" w:cs="宋体" w:eastAsia="宋体" w:hint="default"/>
                <w:position w:val="2"/>
                <w:sz w:val="24"/>
                <w:szCs w:val="24"/>
              </w:rPr>
              <w:t>上海苏宁电器有限公司</w:t>
              <w:tab/>
            </w:r>
            <w:r>
              <w:rPr>
                <w:rFonts w:ascii="Arial" w:hAnsi="Arial" w:cs="Arial" w:eastAsia="Arial" w:hint="default"/>
                <w:sz w:val="24"/>
                <w:szCs w:val="24"/>
              </w:rPr>
              <w:t>97,622</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1"/>
              <w:jc w:val="right"/>
              <w:rPr>
                <w:rFonts w:ascii="Arial" w:hAnsi="Arial" w:cs="Arial" w:eastAsia="Arial" w:hint="default"/>
                <w:sz w:val="24"/>
                <w:szCs w:val="24"/>
              </w:rPr>
            </w:pPr>
            <w:r>
              <w:rPr>
                <w:rFonts w:ascii="Arial"/>
                <w:spacing w:val="-1"/>
                <w:w w:val="95"/>
                <w:sz w:val="24"/>
              </w:rPr>
              <w:t>73,034</w:t>
            </w:r>
            <w:r>
              <w:rPr>
                <w:rFonts w:ascii="Arial"/>
                <w:sz w:val="24"/>
              </w:rPr>
            </w:r>
          </w:p>
        </w:tc>
      </w:tr>
      <w:tr>
        <w:trPr>
          <w:trHeight w:val="312" w:hRule="exact"/>
        </w:trPr>
        <w:tc>
          <w:tcPr>
            <w:tcW w:w="596" w:type="dxa"/>
            <w:tcBorders>
              <w:top w:val="nil" w:sz="6" w:space="0" w:color="auto"/>
              <w:left w:val="nil" w:sz="6" w:space="0" w:color="auto"/>
              <w:bottom w:val="nil" w:sz="6" w:space="0" w:color="auto"/>
              <w:right w:val="nil" w:sz="6" w:space="0" w:color="auto"/>
            </w:tcBorders>
          </w:tcPr>
          <w:p>
            <w:pPr/>
          </w:p>
        </w:tc>
        <w:tc>
          <w:tcPr>
            <w:tcW w:w="6627" w:type="dxa"/>
            <w:tcBorders>
              <w:top w:val="nil" w:sz="6" w:space="0" w:color="auto"/>
              <w:left w:val="nil" w:sz="6" w:space="0" w:color="auto"/>
              <w:bottom w:val="nil" w:sz="6" w:space="0" w:color="auto"/>
              <w:right w:val="nil" w:sz="6" w:space="0" w:color="auto"/>
            </w:tcBorders>
          </w:tcPr>
          <w:p>
            <w:pPr>
              <w:pStyle w:val="TableParagraph"/>
              <w:tabs>
                <w:tab w:pos="5436" w:val="left" w:leader="none"/>
              </w:tabs>
              <w:spacing w:line="296" w:lineRule="exact"/>
              <w:ind w:left="133" w:right="0"/>
              <w:jc w:val="left"/>
              <w:rPr>
                <w:rFonts w:ascii="Arial" w:hAnsi="Arial" w:cs="Arial" w:eastAsia="Arial" w:hint="default"/>
                <w:sz w:val="24"/>
                <w:szCs w:val="24"/>
              </w:rPr>
            </w:pPr>
            <w:r>
              <w:rPr>
                <w:rFonts w:ascii="宋体" w:hAnsi="宋体" w:cs="宋体" w:eastAsia="宋体" w:hint="default"/>
                <w:position w:val="2"/>
                <w:sz w:val="24"/>
                <w:szCs w:val="24"/>
              </w:rPr>
              <w:t>浙江苏宁电器有限公司</w:t>
              <w:tab/>
            </w:r>
            <w:r>
              <w:rPr>
                <w:rFonts w:ascii="Arial" w:hAnsi="Arial" w:cs="Arial" w:eastAsia="Arial" w:hint="default"/>
                <w:sz w:val="24"/>
                <w:szCs w:val="24"/>
              </w:rPr>
              <w:t>60,128</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1"/>
              <w:jc w:val="right"/>
              <w:rPr>
                <w:rFonts w:ascii="Arial" w:hAnsi="Arial" w:cs="Arial" w:eastAsia="Arial" w:hint="default"/>
                <w:sz w:val="24"/>
                <w:szCs w:val="24"/>
              </w:rPr>
            </w:pPr>
            <w:r>
              <w:rPr>
                <w:rFonts w:ascii="Arial"/>
                <w:spacing w:val="-1"/>
                <w:w w:val="95"/>
                <w:sz w:val="24"/>
              </w:rPr>
              <w:t>48,147</w:t>
            </w:r>
            <w:r>
              <w:rPr>
                <w:rFonts w:ascii="Arial"/>
                <w:sz w:val="24"/>
              </w:rPr>
            </w:r>
          </w:p>
        </w:tc>
      </w:tr>
      <w:tr>
        <w:trPr>
          <w:trHeight w:val="312" w:hRule="exact"/>
        </w:trPr>
        <w:tc>
          <w:tcPr>
            <w:tcW w:w="596" w:type="dxa"/>
            <w:tcBorders>
              <w:top w:val="nil" w:sz="6" w:space="0" w:color="auto"/>
              <w:left w:val="nil" w:sz="6" w:space="0" w:color="auto"/>
              <w:bottom w:val="nil" w:sz="6" w:space="0" w:color="auto"/>
              <w:right w:val="nil" w:sz="6" w:space="0" w:color="auto"/>
            </w:tcBorders>
          </w:tcPr>
          <w:p>
            <w:pPr/>
          </w:p>
        </w:tc>
        <w:tc>
          <w:tcPr>
            <w:tcW w:w="6627" w:type="dxa"/>
            <w:tcBorders>
              <w:top w:val="nil" w:sz="6" w:space="0" w:color="auto"/>
              <w:left w:val="nil" w:sz="6" w:space="0" w:color="auto"/>
              <w:bottom w:val="nil" w:sz="6" w:space="0" w:color="auto"/>
              <w:right w:val="nil" w:sz="6" w:space="0" w:color="auto"/>
            </w:tcBorders>
          </w:tcPr>
          <w:p>
            <w:pPr>
              <w:pStyle w:val="TableParagraph"/>
              <w:tabs>
                <w:tab w:pos="5436" w:val="left" w:leader="none"/>
              </w:tabs>
              <w:spacing w:line="296" w:lineRule="exact"/>
              <w:ind w:left="133" w:right="0"/>
              <w:jc w:val="left"/>
              <w:rPr>
                <w:rFonts w:ascii="Arial" w:hAnsi="Arial" w:cs="Arial" w:eastAsia="Arial" w:hint="default"/>
                <w:sz w:val="24"/>
                <w:szCs w:val="24"/>
              </w:rPr>
            </w:pPr>
            <w:r>
              <w:rPr>
                <w:rFonts w:ascii="宋体" w:hAnsi="宋体" w:cs="宋体" w:eastAsia="宋体" w:hint="default"/>
                <w:position w:val="2"/>
                <w:sz w:val="24"/>
                <w:szCs w:val="24"/>
              </w:rPr>
              <w:t>深圳市苏宁电器有限公司</w:t>
              <w:tab/>
            </w:r>
            <w:r>
              <w:rPr>
                <w:rFonts w:ascii="Arial" w:hAnsi="Arial" w:cs="Arial" w:eastAsia="Arial" w:hint="default"/>
                <w:sz w:val="24"/>
                <w:szCs w:val="24"/>
              </w:rPr>
              <w:t>44,575</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1"/>
              <w:jc w:val="right"/>
              <w:rPr>
                <w:rFonts w:ascii="Arial" w:hAnsi="Arial" w:cs="Arial" w:eastAsia="Arial" w:hint="default"/>
                <w:sz w:val="24"/>
                <w:szCs w:val="24"/>
              </w:rPr>
            </w:pPr>
            <w:r>
              <w:rPr>
                <w:rFonts w:ascii="Arial"/>
                <w:spacing w:val="-1"/>
                <w:w w:val="95"/>
                <w:sz w:val="24"/>
              </w:rPr>
              <w:t>32,642</w:t>
            </w:r>
            <w:r>
              <w:rPr>
                <w:rFonts w:ascii="Arial"/>
                <w:sz w:val="24"/>
              </w:rPr>
            </w:r>
          </w:p>
        </w:tc>
      </w:tr>
      <w:tr>
        <w:trPr>
          <w:trHeight w:val="312" w:hRule="exact"/>
        </w:trPr>
        <w:tc>
          <w:tcPr>
            <w:tcW w:w="596" w:type="dxa"/>
            <w:tcBorders>
              <w:top w:val="nil" w:sz="6" w:space="0" w:color="auto"/>
              <w:left w:val="nil" w:sz="6" w:space="0" w:color="auto"/>
              <w:bottom w:val="nil" w:sz="6" w:space="0" w:color="auto"/>
              <w:right w:val="nil" w:sz="6" w:space="0" w:color="auto"/>
            </w:tcBorders>
          </w:tcPr>
          <w:p>
            <w:pPr/>
          </w:p>
        </w:tc>
        <w:tc>
          <w:tcPr>
            <w:tcW w:w="6627" w:type="dxa"/>
            <w:tcBorders>
              <w:top w:val="nil" w:sz="6" w:space="0" w:color="auto"/>
              <w:left w:val="nil" w:sz="6" w:space="0" w:color="auto"/>
              <w:bottom w:val="nil" w:sz="6" w:space="0" w:color="auto"/>
              <w:right w:val="nil" w:sz="6" w:space="0" w:color="auto"/>
            </w:tcBorders>
          </w:tcPr>
          <w:p>
            <w:pPr>
              <w:pStyle w:val="TableParagraph"/>
              <w:tabs>
                <w:tab w:pos="5454" w:val="left" w:leader="none"/>
              </w:tabs>
              <w:spacing w:line="296" w:lineRule="exact"/>
              <w:ind w:left="133" w:right="0"/>
              <w:jc w:val="left"/>
              <w:rPr>
                <w:rFonts w:ascii="Arial" w:hAnsi="Arial" w:cs="Arial" w:eastAsia="Arial" w:hint="default"/>
                <w:sz w:val="24"/>
                <w:szCs w:val="24"/>
              </w:rPr>
            </w:pPr>
            <w:r>
              <w:rPr>
                <w:rFonts w:ascii="宋体" w:hAnsi="宋体" w:cs="宋体" w:eastAsia="宋体" w:hint="default"/>
                <w:position w:val="2"/>
                <w:sz w:val="24"/>
                <w:szCs w:val="24"/>
              </w:rPr>
              <w:t>陕西苏宁电器有限责任公司</w:t>
              <w:tab/>
            </w:r>
            <w:r>
              <w:rPr>
                <w:rFonts w:ascii="Arial" w:hAnsi="Arial" w:cs="Arial" w:eastAsia="Arial" w:hint="default"/>
                <w:spacing w:val="-4"/>
                <w:sz w:val="24"/>
                <w:szCs w:val="24"/>
              </w:rPr>
              <w:t>35,611</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1"/>
              <w:jc w:val="right"/>
              <w:rPr>
                <w:rFonts w:ascii="Arial" w:hAnsi="Arial" w:cs="Arial" w:eastAsia="Arial" w:hint="default"/>
                <w:sz w:val="24"/>
                <w:szCs w:val="24"/>
              </w:rPr>
            </w:pPr>
            <w:r>
              <w:rPr>
                <w:rFonts w:ascii="Arial"/>
                <w:spacing w:val="-1"/>
                <w:w w:val="95"/>
                <w:sz w:val="24"/>
              </w:rPr>
              <w:t>26,602</w:t>
            </w:r>
            <w:r>
              <w:rPr>
                <w:rFonts w:ascii="Arial"/>
                <w:sz w:val="24"/>
              </w:rPr>
            </w:r>
          </w:p>
        </w:tc>
      </w:tr>
      <w:tr>
        <w:trPr>
          <w:trHeight w:val="312" w:hRule="exact"/>
        </w:trPr>
        <w:tc>
          <w:tcPr>
            <w:tcW w:w="596" w:type="dxa"/>
            <w:tcBorders>
              <w:top w:val="nil" w:sz="6" w:space="0" w:color="auto"/>
              <w:left w:val="nil" w:sz="6" w:space="0" w:color="auto"/>
              <w:bottom w:val="nil" w:sz="6" w:space="0" w:color="auto"/>
              <w:right w:val="nil" w:sz="6" w:space="0" w:color="auto"/>
            </w:tcBorders>
          </w:tcPr>
          <w:p>
            <w:pPr/>
          </w:p>
        </w:tc>
        <w:tc>
          <w:tcPr>
            <w:tcW w:w="6627" w:type="dxa"/>
            <w:tcBorders>
              <w:top w:val="nil" w:sz="6" w:space="0" w:color="auto"/>
              <w:left w:val="nil" w:sz="6" w:space="0" w:color="auto"/>
              <w:bottom w:val="nil" w:sz="6" w:space="0" w:color="auto"/>
              <w:right w:val="nil" w:sz="6" w:space="0" w:color="auto"/>
            </w:tcBorders>
          </w:tcPr>
          <w:p>
            <w:pPr>
              <w:pStyle w:val="TableParagraph"/>
              <w:tabs>
                <w:tab w:pos="5436" w:val="left" w:leader="none"/>
              </w:tabs>
              <w:spacing w:line="296" w:lineRule="exact"/>
              <w:ind w:left="133" w:right="0"/>
              <w:jc w:val="left"/>
              <w:rPr>
                <w:rFonts w:ascii="Arial" w:hAnsi="Arial" w:cs="Arial" w:eastAsia="Arial" w:hint="default"/>
                <w:sz w:val="24"/>
                <w:szCs w:val="24"/>
              </w:rPr>
            </w:pPr>
            <w:r>
              <w:rPr>
                <w:rFonts w:ascii="宋体" w:hAnsi="宋体" w:cs="宋体" w:eastAsia="宋体" w:hint="default"/>
                <w:position w:val="2"/>
                <w:sz w:val="24"/>
                <w:szCs w:val="24"/>
              </w:rPr>
              <w:t>福建苏宁电器有限公司</w:t>
              <w:tab/>
            </w:r>
            <w:r>
              <w:rPr>
                <w:rFonts w:ascii="Arial" w:hAnsi="Arial" w:cs="Arial" w:eastAsia="Arial" w:hint="default"/>
                <w:sz w:val="24"/>
                <w:szCs w:val="24"/>
              </w:rPr>
              <w:t>31,354</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1"/>
              <w:jc w:val="right"/>
              <w:rPr>
                <w:rFonts w:ascii="Arial" w:hAnsi="Arial" w:cs="Arial" w:eastAsia="Arial" w:hint="default"/>
                <w:sz w:val="24"/>
                <w:szCs w:val="24"/>
              </w:rPr>
            </w:pPr>
            <w:r>
              <w:rPr>
                <w:rFonts w:ascii="Arial"/>
                <w:spacing w:val="-1"/>
                <w:w w:val="95"/>
                <w:sz w:val="24"/>
              </w:rPr>
              <w:t>26,436</w:t>
            </w:r>
            <w:r>
              <w:rPr>
                <w:rFonts w:ascii="Arial"/>
                <w:sz w:val="24"/>
              </w:rPr>
            </w:r>
          </w:p>
        </w:tc>
      </w:tr>
      <w:tr>
        <w:trPr>
          <w:trHeight w:val="615" w:hRule="exact"/>
        </w:trPr>
        <w:tc>
          <w:tcPr>
            <w:tcW w:w="596" w:type="dxa"/>
            <w:tcBorders>
              <w:top w:val="nil" w:sz="6" w:space="0" w:color="auto"/>
              <w:left w:val="nil" w:sz="6" w:space="0" w:color="auto"/>
              <w:bottom w:val="nil" w:sz="6" w:space="0" w:color="auto"/>
              <w:right w:val="nil" w:sz="6" w:space="0" w:color="auto"/>
            </w:tcBorders>
          </w:tcPr>
          <w:p>
            <w:pPr/>
          </w:p>
        </w:tc>
        <w:tc>
          <w:tcPr>
            <w:tcW w:w="6627" w:type="dxa"/>
            <w:tcBorders>
              <w:top w:val="nil" w:sz="6" w:space="0" w:color="auto"/>
              <w:left w:val="nil" w:sz="6" w:space="0" w:color="auto"/>
              <w:bottom w:val="nil" w:sz="6" w:space="0" w:color="auto"/>
              <w:right w:val="nil" w:sz="6" w:space="0" w:color="auto"/>
            </w:tcBorders>
          </w:tcPr>
          <w:p>
            <w:pPr>
              <w:pStyle w:val="TableParagraph"/>
              <w:tabs>
                <w:tab w:pos="5436" w:val="left" w:leader="none"/>
              </w:tabs>
              <w:spacing w:line="278" w:lineRule="exact"/>
              <w:ind w:left="133" w:right="0"/>
              <w:jc w:val="left"/>
              <w:rPr>
                <w:rFonts w:ascii="Arial" w:hAnsi="Arial" w:cs="Arial" w:eastAsia="Arial" w:hint="default"/>
                <w:sz w:val="24"/>
                <w:szCs w:val="24"/>
              </w:rPr>
            </w:pPr>
            <w:r>
              <w:rPr>
                <w:rFonts w:ascii="宋体" w:hAnsi="宋体" w:cs="宋体" w:eastAsia="宋体" w:hint="default"/>
                <w:position w:val="2"/>
                <w:sz w:val="24"/>
                <w:szCs w:val="24"/>
              </w:rPr>
              <w:t>厦门福厦苏宁电器有限公司</w:t>
              <w:tab/>
            </w:r>
            <w:r>
              <w:rPr>
                <w:rFonts w:ascii="Arial" w:hAnsi="Arial" w:cs="Arial" w:eastAsia="Arial" w:hint="default"/>
                <w:sz w:val="24"/>
                <w:szCs w:val="24"/>
              </w:rPr>
              <w:t>14,967</w:t>
            </w:r>
          </w:p>
          <w:p>
            <w:pPr>
              <w:pStyle w:val="TableParagraph"/>
              <w:spacing w:line="313" w:lineRule="exact"/>
              <w:ind w:left="133" w:right="0"/>
              <w:jc w:val="left"/>
              <w:rPr>
                <w:rFonts w:ascii="宋体" w:hAnsi="宋体" w:cs="宋体" w:eastAsia="宋体" w:hint="default"/>
                <w:sz w:val="24"/>
                <w:szCs w:val="24"/>
              </w:rPr>
            </w:pPr>
            <w:r>
              <w:rPr>
                <w:rFonts w:ascii="宋体" w:hAnsi="宋体" w:cs="宋体" w:eastAsia="宋体" w:hint="default"/>
                <w:sz w:val="24"/>
                <w:szCs w:val="24"/>
              </w:rPr>
              <w:t>其他子公司</w:t>
            </w:r>
            <w:r>
              <w:rPr>
                <w:rFonts w:ascii="Arial" w:hAnsi="Arial" w:cs="Arial" w:eastAsia="Arial" w:hint="default"/>
                <w:sz w:val="24"/>
                <w:szCs w:val="24"/>
              </w:rPr>
              <w:t>(</w:t>
            </w:r>
            <w:r>
              <w:rPr>
                <w:rFonts w:ascii="宋体" w:hAnsi="宋体" w:cs="宋体" w:eastAsia="宋体" w:hint="default"/>
                <w:sz w:val="24"/>
                <w:szCs w:val="24"/>
              </w:rPr>
              <w:t>单个子公司的少</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1"/>
              <w:jc w:val="right"/>
              <w:rPr>
                <w:rFonts w:ascii="Arial" w:hAnsi="Arial" w:cs="Arial" w:eastAsia="Arial" w:hint="default"/>
                <w:sz w:val="24"/>
                <w:szCs w:val="24"/>
              </w:rPr>
            </w:pPr>
            <w:r>
              <w:rPr>
                <w:rFonts w:ascii="Arial"/>
                <w:spacing w:val="-1"/>
                <w:w w:val="95"/>
                <w:sz w:val="24"/>
              </w:rPr>
              <w:t>13,346</w:t>
            </w:r>
            <w:r>
              <w:rPr>
                <w:rFonts w:ascii="Arial"/>
                <w:sz w:val="24"/>
              </w:rPr>
            </w:r>
          </w:p>
        </w:tc>
      </w:tr>
      <w:tr>
        <w:trPr>
          <w:trHeight w:val="306" w:hRule="exact"/>
        </w:trPr>
        <w:tc>
          <w:tcPr>
            <w:tcW w:w="596" w:type="dxa"/>
            <w:tcBorders>
              <w:top w:val="nil" w:sz="6" w:space="0" w:color="auto"/>
              <w:left w:val="nil" w:sz="6" w:space="0" w:color="auto"/>
              <w:bottom w:val="nil" w:sz="6" w:space="0" w:color="auto"/>
              <w:right w:val="nil" w:sz="6" w:space="0" w:color="auto"/>
            </w:tcBorders>
          </w:tcPr>
          <w:p>
            <w:pPr/>
          </w:p>
        </w:tc>
        <w:tc>
          <w:tcPr>
            <w:tcW w:w="6627" w:type="dxa"/>
            <w:tcBorders>
              <w:top w:val="nil" w:sz="6" w:space="0" w:color="auto"/>
              <w:left w:val="nil" w:sz="6" w:space="0" w:color="auto"/>
              <w:bottom w:val="nil" w:sz="6" w:space="0" w:color="auto"/>
              <w:right w:val="nil" w:sz="6" w:space="0" w:color="auto"/>
            </w:tcBorders>
          </w:tcPr>
          <w:p>
            <w:pPr>
              <w:pStyle w:val="TableParagraph"/>
              <w:spacing w:line="270" w:lineRule="exact"/>
              <w:ind w:left="613" w:right="0"/>
              <w:jc w:val="left"/>
              <w:rPr>
                <w:rFonts w:ascii="宋体" w:hAnsi="宋体" w:cs="宋体" w:eastAsia="宋体" w:hint="default"/>
                <w:sz w:val="24"/>
                <w:szCs w:val="24"/>
              </w:rPr>
            </w:pPr>
            <w:r>
              <w:rPr>
                <w:rFonts w:ascii="宋体" w:hAnsi="宋体" w:cs="宋体" w:eastAsia="宋体" w:hint="default"/>
                <w:sz w:val="24"/>
                <w:szCs w:val="24"/>
              </w:rPr>
              <w:t>数股东权益金额均小于人民币</w:t>
            </w:r>
          </w:p>
        </w:tc>
        <w:tc>
          <w:tcPr>
            <w:tcW w:w="2805" w:type="dxa"/>
            <w:tcBorders>
              <w:top w:val="nil" w:sz="6" w:space="0" w:color="auto"/>
              <w:left w:val="nil" w:sz="6" w:space="0" w:color="auto"/>
              <w:bottom w:val="nil" w:sz="6" w:space="0" w:color="auto"/>
              <w:right w:val="nil" w:sz="6" w:space="0" w:color="auto"/>
            </w:tcBorders>
          </w:tcPr>
          <w:p>
            <w:pPr/>
          </w:p>
        </w:tc>
      </w:tr>
      <w:tr>
        <w:trPr>
          <w:trHeight w:val="329" w:hRule="exact"/>
        </w:trPr>
        <w:tc>
          <w:tcPr>
            <w:tcW w:w="596" w:type="dxa"/>
            <w:tcBorders>
              <w:top w:val="nil" w:sz="6" w:space="0" w:color="auto"/>
              <w:left w:val="nil" w:sz="6" w:space="0" w:color="auto"/>
              <w:bottom w:val="nil" w:sz="6" w:space="0" w:color="auto"/>
              <w:right w:val="nil" w:sz="6" w:space="0" w:color="auto"/>
            </w:tcBorders>
          </w:tcPr>
          <w:p>
            <w:pPr/>
          </w:p>
        </w:tc>
        <w:tc>
          <w:tcPr>
            <w:tcW w:w="6627" w:type="dxa"/>
            <w:tcBorders>
              <w:top w:val="nil" w:sz="6" w:space="0" w:color="auto"/>
              <w:left w:val="nil" w:sz="6" w:space="0" w:color="auto"/>
              <w:bottom w:val="nil" w:sz="6" w:space="0" w:color="auto"/>
              <w:right w:val="nil" w:sz="6" w:space="0" w:color="auto"/>
            </w:tcBorders>
          </w:tcPr>
          <w:p>
            <w:pPr>
              <w:pStyle w:val="TableParagraph"/>
              <w:tabs>
                <w:tab w:pos="3321" w:val="left" w:leader="none"/>
                <w:tab w:pos="4689" w:val="left" w:leader="none"/>
                <w:tab w:pos="5656" w:val="left" w:leader="none"/>
              </w:tabs>
              <w:spacing w:line="311" w:lineRule="exact"/>
              <w:ind w:right="354"/>
              <w:jc w:val="right"/>
              <w:rPr>
                <w:rFonts w:ascii="Arial" w:hAnsi="Arial" w:cs="Arial" w:eastAsia="Arial" w:hint="default"/>
                <w:sz w:val="24"/>
                <w:szCs w:val="24"/>
              </w:rPr>
            </w:pPr>
            <w:r>
              <w:rPr>
                <w:rFonts w:ascii="Arial" w:hAnsi="Arial" w:cs="Arial" w:eastAsia="Arial" w:hint="default"/>
                <w:spacing w:val="-1"/>
                <w:position w:val="2"/>
                <w:sz w:val="24"/>
                <w:szCs w:val="24"/>
              </w:rPr>
              <w:t>1,200</w:t>
            </w:r>
            <w:r>
              <w:rPr>
                <w:rFonts w:ascii="Arial" w:hAnsi="Arial" w:cs="Arial" w:eastAsia="Arial" w:hint="default"/>
                <w:spacing w:val="-7"/>
                <w:position w:val="2"/>
                <w:sz w:val="24"/>
                <w:szCs w:val="24"/>
              </w:rPr>
              <w:t> </w:t>
            </w:r>
            <w:r>
              <w:rPr>
                <w:rFonts w:ascii="宋体" w:hAnsi="宋体" w:cs="宋体" w:eastAsia="宋体" w:hint="default"/>
                <w:position w:val="2"/>
                <w:sz w:val="24"/>
                <w:szCs w:val="24"/>
              </w:rPr>
              <w:t>万元</w:t>
            </w:r>
            <w:r>
              <w:rPr>
                <w:rFonts w:ascii="Arial" w:hAnsi="Arial" w:cs="Arial" w:eastAsia="Arial" w:hint="default"/>
                <w:position w:val="2"/>
                <w:sz w:val="24"/>
                <w:szCs w:val="24"/>
              </w:rPr>
              <w:t>)</w:t>
              <w:tab/>
            </w:r>
            <w:r>
              <w:rPr>
                <w:rFonts w:ascii="Arial" w:hAnsi="Arial" w:cs="Arial" w:eastAsia="Arial" w:hint="default"/>
                <w:sz w:val="24"/>
                <w:szCs w:val="24"/>
              </w:rPr>
            </w:r>
            <w:r>
              <w:rPr>
                <w:rFonts w:ascii="Arial" w:hAnsi="Arial" w:cs="Arial" w:eastAsia="Arial" w:hint="default"/>
                <w:sz w:val="24"/>
                <w:szCs w:val="24"/>
                <w:u w:val="single" w:color="000000"/>
              </w:rPr>
              <w:t> </w:t>
              <w:tab/>
            </w:r>
            <w:r>
              <w:rPr>
                <w:rFonts w:ascii="Arial" w:hAnsi="Arial" w:cs="Arial" w:eastAsia="Arial" w:hint="default"/>
                <w:spacing w:val="-1"/>
                <w:sz w:val="24"/>
                <w:szCs w:val="24"/>
                <w:u w:val="single" w:color="000000"/>
              </w:rPr>
              <w:t>101,392</w:t>
              <w:tab/>
            </w:r>
            <w:r>
              <w:rPr>
                <w:rFonts w:ascii="Arial" w:hAnsi="Arial" w:cs="Arial" w:eastAsia="Arial" w:hint="default"/>
                <w:spacing w:val="-1"/>
                <w:sz w:val="24"/>
                <w:szCs w:val="24"/>
              </w:rPr>
            </w:r>
          </w:p>
        </w:tc>
        <w:tc>
          <w:tcPr>
            <w:tcW w:w="2805" w:type="dxa"/>
            <w:tcBorders>
              <w:top w:val="nil" w:sz="6" w:space="0" w:color="auto"/>
              <w:left w:val="nil" w:sz="6" w:space="0" w:color="auto"/>
              <w:bottom w:val="nil" w:sz="6" w:space="0" w:color="auto"/>
              <w:right w:val="nil" w:sz="6" w:space="0" w:color="auto"/>
            </w:tcBorders>
          </w:tcPr>
          <w:p>
            <w:pPr>
              <w:pStyle w:val="TableParagraph"/>
              <w:tabs>
                <w:tab w:pos="1571" w:val="left" w:leader="none"/>
                <w:tab w:pos="2405" w:val="left" w:leader="none"/>
              </w:tabs>
              <w:spacing w:line="240" w:lineRule="auto" w:before="35"/>
              <w:ind w:right="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70,762</w:t>
              <w:tab/>
            </w:r>
            <w:r>
              <w:rPr>
                <w:rFonts w:ascii="Arial"/>
                <w:spacing w:val="-1"/>
                <w:sz w:val="24"/>
              </w:rPr>
            </w:r>
          </w:p>
        </w:tc>
      </w:tr>
      <w:tr>
        <w:trPr>
          <w:trHeight w:val="363" w:hRule="exact"/>
        </w:trPr>
        <w:tc>
          <w:tcPr>
            <w:tcW w:w="596" w:type="dxa"/>
            <w:tcBorders>
              <w:top w:val="nil" w:sz="6" w:space="0" w:color="auto"/>
              <w:left w:val="nil" w:sz="6" w:space="0" w:color="auto"/>
              <w:bottom w:val="nil" w:sz="6" w:space="0" w:color="auto"/>
              <w:right w:val="nil" w:sz="6" w:space="0" w:color="auto"/>
            </w:tcBorders>
          </w:tcPr>
          <w:p>
            <w:pPr/>
          </w:p>
        </w:tc>
        <w:tc>
          <w:tcPr>
            <w:tcW w:w="6627" w:type="dxa"/>
            <w:tcBorders>
              <w:top w:val="nil" w:sz="6" w:space="0" w:color="auto"/>
              <w:left w:val="nil" w:sz="6" w:space="0" w:color="auto"/>
              <w:bottom w:val="nil" w:sz="6" w:space="0" w:color="auto"/>
              <w:right w:val="nil" w:sz="6" w:space="0" w:color="auto"/>
            </w:tcBorders>
          </w:tcPr>
          <w:p>
            <w:pPr>
              <w:pStyle w:val="TableParagraph"/>
              <w:tabs>
                <w:tab w:pos="1375" w:val="left" w:leader="none"/>
                <w:tab w:pos="2349" w:val="left" w:leader="none"/>
              </w:tabs>
              <w:spacing w:line="268" w:lineRule="exact"/>
              <w:ind w:right="347"/>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507,202</w:t>
              <w:tab/>
            </w:r>
            <w:r>
              <w:rPr>
                <w:rFonts w:ascii="Arial"/>
                <w:spacing w:val="-1"/>
                <w:sz w:val="24"/>
              </w:rPr>
            </w:r>
          </w:p>
        </w:tc>
        <w:tc>
          <w:tcPr>
            <w:tcW w:w="2805" w:type="dxa"/>
            <w:tcBorders>
              <w:top w:val="nil" w:sz="6" w:space="0" w:color="auto"/>
              <w:left w:val="nil" w:sz="6" w:space="0" w:color="auto"/>
              <w:bottom w:val="nil" w:sz="6" w:space="0" w:color="auto"/>
              <w:right w:val="nil" w:sz="6" w:space="0" w:color="auto"/>
            </w:tcBorders>
          </w:tcPr>
          <w:p>
            <w:pPr>
              <w:pStyle w:val="TableParagraph"/>
              <w:tabs>
                <w:tab w:pos="1445" w:val="left" w:leader="none"/>
                <w:tab w:pos="2420"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384,637</w:t>
              <w:tab/>
            </w:r>
            <w:r>
              <w:rPr>
                <w:rFonts w:ascii="Arial"/>
                <w:spacing w:val="-1"/>
                <w:sz w:val="24"/>
              </w:rPr>
            </w:r>
          </w:p>
        </w:tc>
      </w:tr>
    </w:tbl>
    <w:p>
      <w:pPr>
        <w:spacing w:after="0" w:line="268" w:lineRule="exact"/>
        <w:jc w:val="right"/>
        <w:rPr>
          <w:rFonts w:ascii="Arial" w:hAnsi="Arial" w:cs="Arial" w:eastAsia="Arial" w:hint="default"/>
          <w:sz w:val="24"/>
          <w:szCs w:val="24"/>
        </w:rPr>
        <w:sectPr>
          <w:pgSz w:w="11910" w:h="16840"/>
          <w:pgMar w:header="0" w:footer="947" w:top="2300" w:bottom="1140" w:left="940" w:right="720"/>
        </w:sectPr>
      </w:pPr>
    </w:p>
    <w:p>
      <w:pPr>
        <w:spacing w:line="240" w:lineRule="auto" w:before="4"/>
        <w:rPr>
          <w:rFonts w:ascii="Times New Roman" w:hAnsi="Times New Roman" w:cs="Times New Roman" w:eastAsia="Times New Roman"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605"/>
        <w:gridCol w:w="4262"/>
        <w:gridCol w:w="2529"/>
        <w:gridCol w:w="2627"/>
      </w:tblGrid>
      <w:tr>
        <w:trPr>
          <w:trHeight w:val="1102" w:hRule="exact"/>
        </w:trPr>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(36)</w:t>
            </w:r>
          </w:p>
        </w:tc>
        <w:tc>
          <w:tcPr>
            <w:tcW w:w="4262"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42" w:right="1314"/>
              <w:jc w:val="left"/>
              <w:rPr>
                <w:rFonts w:ascii="宋体" w:hAnsi="宋体" w:cs="宋体" w:eastAsia="宋体"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3"/>
                <w:w w:val="95"/>
                <w:sz w:val="24"/>
                <w:szCs w:val="24"/>
              </w:rPr>
              <w:t> </w:t>
            </w:r>
            <w:r>
              <w:rPr>
                <w:rFonts w:ascii="宋体" w:hAnsi="宋体" w:cs="宋体" w:eastAsia="宋体" w:hint="default"/>
                <w:b/>
                <w:bCs/>
                <w:sz w:val="24"/>
                <w:szCs w:val="24"/>
              </w:rPr>
              <w:t>营业收入和营业成本</w:t>
            </w:r>
            <w:r>
              <w:rPr>
                <w:rFonts w:ascii="宋体" w:hAnsi="宋体" w:cs="宋体" w:eastAsia="宋体" w:hint="default"/>
                <w:sz w:val="24"/>
                <w:szCs w:val="24"/>
              </w:rPr>
            </w:r>
          </w:p>
        </w:tc>
        <w:tc>
          <w:tcPr>
            <w:tcW w:w="5156" w:type="dxa"/>
            <w:gridSpan w:val="2"/>
            <w:tcBorders>
              <w:top w:val="nil" w:sz="6" w:space="0" w:color="auto"/>
              <w:left w:val="nil" w:sz="6" w:space="0" w:color="auto"/>
              <w:bottom w:val="nil" w:sz="6" w:space="0" w:color="auto"/>
              <w:right w:val="nil" w:sz="6" w:space="0" w:color="auto"/>
            </w:tcBorders>
          </w:tcPr>
          <w:p>
            <w:pPr/>
          </w:p>
        </w:tc>
      </w:tr>
      <w:tr>
        <w:trPr>
          <w:trHeight w:val="614" w:hRule="exact"/>
        </w:trPr>
        <w:tc>
          <w:tcPr>
            <w:tcW w:w="605" w:type="dxa"/>
            <w:tcBorders>
              <w:top w:val="nil" w:sz="6" w:space="0" w:color="auto"/>
              <w:left w:val="nil" w:sz="6" w:space="0" w:color="auto"/>
              <w:bottom w:val="nil" w:sz="6" w:space="0" w:color="auto"/>
              <w:right w:val="nil" w:sz="6" w:space="0" w:color="auto"/>
            </w:tcBorders>
          </w:tcPr>
          <w:p>
            <w:pPr/>
          </w:p>
        </w:tc>
        <w:tc>
          <w:tcPr>
            <w:tcW w:w="4262" w:type="dxa"/>
            <w:tcBorders>
              <w:top w:val="nil" w:sz="6" w:space="0" w:color="auto"/>
              <w:left w:val="nil" w:sz="6" w:space="0" w:color="auto"/>
              <w:bottom w:val="nil" w:sz="6" w:space="0" w:color="auto"/>
              <w:right w:val="nil" w:sz="6" w:space="0" w:color="auto"/>
            </w:tcBorders>
          </w:tcPr>
          <w:p>
            <w:pP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52"/>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42"/>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79" w:hRule="exact"/>
        </w:trPr>
        <w:tc>
          <w:tcPr>
            <w:tcW w:w="605" w:type="dxa"/>
            <w:tcBorders>
              <w:top w:val="nil" w:sz="6" w:space="0" w:color="auto"/>
              <w:left w:val="nil" w:sz="6" w:space="0" w:color="auto"/>
              <w:bottom w:val="nil" w:sz="6" w:space="0" w:color="auto"/>
              <w:right w:val="nil" w:sz="6" w:space="0" w:color="auto"/>
            </w:tcBorders>
          </w:tcPr>
          <w:p>
            <w:pPr/>
          </w:p>
        </w:tc>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42"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87"/>
              <w:ind w:right="351"/>
              <w:jc w:val="right"/>
              <w:rPr>
                <w:rFonts w:ascii="Arial" w:hAnsi="Arial" w:cs="Arial" w:eastAsia="Arial" w:hint="default"/>
                <w:sz w:val="24"/>
                <w:szCs w:val="24"/>
              </w:rPr>
            </w:pPr>
            <w:r>
              <w:rPr>
                <w:rFonts w:ascii="Arial"/>
                <w:spacing w:val="-1"/>
                <w:w w:val="95"/>
                <w:sz w:val="24"/>
              </w:rPr>
              <w:t>74,227,457</w:t>
            </w:r>
            <w:r>
              <w:rPr>
                <w:rFonts w:ascii="Arial"/>
                <w:sz w:val="24"/>
              </w:rPr>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187"/>
              <w:ind w:right="142"/>
              <w:jc w:val="right"/>
              <w:rPr>
                <w:rFonts w:ascii="Arial" w:hAnsi="Arial" w:cs="Arial" w:eastAsia="Arial" w:hint="default"/>
                <w:sz w:val="24"/>
                <w:szCs w:val="24"/>
              </w:rPr>
            </w:pPr>
            <w:r>
              <w:rPr>
                <w:rFonts w:ascii="Arial"/>
                <w:spacing w:val="-1"/>
                <w:w w:val="95"/>
                <w:sz w:val="24"/>
              </w:rPr>
              <w:t>57,037,054</w:t>
            </w:r>
            <w:r>
              <w:rPr>
                <w:rFonts w:ascii="Arial"/>
                <w:sz w:val="24"/>
              </w:rPr>
            </w:r>
          </w:p>
        </w:tc>
      </w:tr>
      <w:tr>
        <w:trPr>
          <w:trHeight w:val="314" w:hRule="exact"/>
        </w:trPr>
        <w:tc>
          <w:tcPr>
            <w:tcW w:w="605" w:type="dxa"/>
            <w:tcBorders>
              <w:top w:val="nil" w:sz="6" w:space="0" w:color="auto"/>
              <w:left w:val="nil" w:sz="6" w:space="0" w:color="auto"/>
              <w:bottom w:val="nil" w:sz="6" w:space="0" w:color="auto"/>
              <w:right w:val="nil" w:sz="6" w:space="0" w:color="auto"/>
            </w:tcBorders>
          </w:tcPr>
          <w:p>
            <w:pPr/>
          </w:p>
        </w:tc>
        <w:tc>
          <w:tcPr>
            <w:tcW w:w="4262" w:type="dxa"/>
            <w:tcBorders>
              <w:top w:val="nil" w:sz="6" w:space="0" w:color="auto"/>
              <w:left w:val="nil" w:sz="6" w:space="0" w:color="auto"/>
              <w:bottom w:val="nil" w:sz="6" w:space="0" w:color="auto"/>
              <w:right w:val="nil" w:sz="6" w:space="0" w:color="auto"/>
            </w:tcBorders>
          </w:tcPr>
          <w:p>
            <w:pPr>
              <w:pStyle w:val="TableParagraph"/>
              <w:spacing w:line="261" w:lineRule="exact"/>
              <w:ind w:left="142"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2529" w:type="dxa"/>
            <w:tcBorders>
              <w:top w:val="nil" w:sz="6" w:space="0" w:color="auto"/>
              <w:left w:val="nil" w:sz="6" w:space="0" w:color="auto"/>
              <w:bottom w:val="nil" w:sz="6" w:space="0" w:color="auto"/>
              <w:right w:val="nil" w:sz="6" w:space="0" w:color="auto"/>
            </w:tcBorders>
          </w:tcPr>
          <w:p>
            <w:pPr>
              <w:pStyle w:val="TableParagraph"/>
              <w:tabs>
                <w:tab w:pos="1095" w:val="left" w:leader="none"/>
                <w:tab w:pos="2264" w:val="left" w:leader="none"/>
              </w:tabs>
              <w:spacing w:line="240" w:lineRule="auto" w:before="20"/>
              <w:ind w:right="25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1,277,282</w:t>
              <w:tab/>
            </w:r>
            <w:r>
              <w:rPr>
                <w:rFonts w:ascii="Arial"/>
                <w:spacing w:val="-1"/>
                <w:sz w:val="24"/>
              </w:rPr>
            </w:r>
          </w:p>
        </w:tc>
        <w:tc>
          <w:tcPr>
            <w:tcW w:w="2627" w:type="dxa"/>
            <w:tcBorders>
              <w:top w:val="nil" w:sz="6" w:space="0" w:color="auto"/>
              <w:left w:val="nil" w:sz="6" w:space="0" w:color="auto"/>
              <w:bottom w:val="nil" w:sz="6" w:space="0" w:color="auto"/>
              <w:right w:val="nil" w:sz="6" w:space="0" w:color="auto"/>
            </w:tcBorders>
          </w:tcPr>
          <w:p>
            <w:pPr>
              <w:pStyle w:val="TableParagraph"/>
              <w:tabs>
                <w:tab w:pos="1098" w:val="left" w:leader="none"/>
                <w:tab w:pos="2267" w:val="left" w:leader="none"/>
              </w:tabs>
              <w:spacing w:line="240" w:lineRule="auto" w:before="20"/>
              <w:ind w:right="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1,263,095</w:t>
              <w:tab/>
            </w:r>
            <w:r>
              <w:rPr>
                <w:rFonts w:ascii="Arial"/>
                <w:spacing w:val="-1"/>
                <w:sz w:val="24"/>
              </w:rPr>
            </w:r>
          </w:p>
        </w:tc>
      </w:tr>
      <w:tr>
        <w:trPr>
          <w:trHeight w:val="437" w:hRule="exact"/>
        </w:trPr>
        <w:tc>
          <w:tcPr>
            <w:tcW w:w="605" w:type="dxa"/>
            <w:tcBorders>
              <w:top w:val="nil" w:sz="6" w:space="0" w:color="auto"/>
              <w:left w:val="nil" w:sz="6" w:space="0" w:color="auto"/>
              <w:bottom w:val="nil" w:sz="6" w:space="0" w:color="auto"/>
              <w:right w:val="nil" w:sz="6" w:space="0" w:color="auto"/>
            </w:tcBorders>
          </w:tcPr>
          <w:p>
            <w:pPr/>
          </w:p>
        </w:tc>
        <w:tc>
          <w:tcPr>
            <w:tcW w:w="4262" w:type="dxa"/>
            <w:tcBorders>
              <w:top w:val="nil" w:sz="6" w:space="0" w:color="auto"/>
              <w:left w:val="nil" w:sz="6" w:space="0" w:color="auto"/>
              <w:bottom w:val="nil" w:sz="6" w:space="0" w:color="auto"/>
              <w:right w:val="nil" w:sz="6" w:space="0" w:color="auto"/>
            </w:tcBorders>
          </w:tcPr>
          <w:p>
            <w:pPr/>
          </w:p>
        </w:tc>
        <w:tc>
          <w:tcPr>
            <w:tcW w:w="2529" w:type="dxa"/>
            <w:tcBorders>
              <w:top w:val="nil" w:sz="6" w:space="0" w:color="auto"/>
              <w:left w:val="nil" w:sz="6" w:space="0" w:color="auto"/>
              <w:bottom w:val="nil" w:sz="6" w:space="0" w:color="auto"/>
              <w:right w:val="nil" w:sz="6" w:space="0" w:color="auto"/>
            </w:tcBorders>
          </w:tcPr>
          <w:p>
            <w:pPr>
              <w:pStyle w:val="TableParagraph"/>
              <w:tabs>
                <w:tab w:pos="962" w:val="left" w:leader="none"/>
                <w:tab w:pos="2264" w:val="left" w:leader="none"/>
              </w:tabs>
              <w:spacing w:line="268" w:lineRule="exact"/>
              <w:ind w:right="25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75,504,739</w:t>
              <w:tab/>
            </w:r>
            <w:r>
              <w:rPr>
                <w:rFonts w:ascii="Arial"/>
                <w:spacing w:val="-1"/>
                <w:sz w:val="24"/>
              </w:rPr>
            </w:r>
          </w:p>
        </w:tc>
        <w:tc>
          <w:tcPr>
            <w:tcW w:w="2627" w:type="dxa"/>
            <w:tcBorders>
              <w:top w:val="nil" w:sz="6" w:space="0" w:color="auto"/>
              <w:left w:val="nil" w:sz="6" w:space="0" w:color="auto"/>
              <w:bottom w:val="nil" w:sz="6" w:space="0" w:color="auto"/>
              <w:right w:val="nil" w:sz="6" w:space="0" w:color="auto"/>
            </w:tcBorders>
          </w:tcPr>
          <w:p>
            <w:pPr>
              <w:pStyle w:val="TableParagraph"/>
              <w:tabs>
                <w:tab w:pos="965" w:val="left" w:leader="none"/>
                <w:tab w:pos="2267" w:val="left" w:leader="none"/>
              </w:tabs>
              <w:spacing w:line="268" w:lineRule="exact"/>
              <w:ind w:right="4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58,300,149</w:t>
              <w:tab/>
            </w:r>
            <w:r>
              <w:rPr>
                <w:rFonts w:ascii="Arial"/>
                <w:spacing w:val="-1"/>
                <w:sz w:val="24"/>
              </w:rPr>
            </w:r>
          </w:p>
        </w:tc>
      </w:tr>
      <w:tr>
        <w:trPr>
          <w:trHeight w:val="594" w:hRule="exact"/>
        </w:trPr>
        <w:tc>
          <w:tcPr>
            <w:tcW w:w="605" w:type="dxa"/>
            <w:tcBorders>
              <w:top w:val="nil" w:sz="6" w:space="0" w:color="auto"/>
              <w:left w:val="nil" w:sz="6" w:space="0" w:color="auto"/>
              <w:bottom w:val="nil" w:sz="6" w:space="0" w:color="auto"/>
              <w:right w:val="nil" w:sz="6" w:space="0" w:color="auto"/>
            </w:tcBorders>
          </w:tcPr>
          <w:p>
            <w:pPr/>
          </w:p>
        </w:tc>
        <w:tc>
          <w:tcPr>
            <w:tcW w:w="4262" w:type="dxa"/>
            <w:tcBorders>
              <w:top w:val="nil" w:sz="6" w:space="0" w:color="auto"/>
              <w:left w:val="nil" w:sz="6" w:space="0" w:color="auto"/>
              <w:bottom w:val="nil" w:sz="6" w:space="0" w:color="auto"/>
              <w:right w:val="nil" w:sz="6" w:space="0" w:color="auto"/>
            </w:tcBorders>
          </w:tcPr>
          <w:p>
            <w:pP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52"/>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42"/>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9" w:hRule="exact"/>
        </w:trPr>
        <w:tc>
          <w:tcPr>
            <w:tcW w:w="605" w:type="dxa"/>
            <w:tcBorders>
              <w:top w:val="nil" w:sz="6" w:space="0" w:color="auto"/>
              <w:left w:val="nil" w:sz="6" w:space="0" w:color="auto"/>
              <w:bottom w:val="nil" w:sz="6" w:space="0" w:color="auto"/>
              <w:right w:val="nil" w:sz="6" w:space="0" w:color="auto"/>
            </w:tcBorders>
          </w:tcPr>
          <w:p>
            <w:pPr/>
          </w:p>
        </w:tc>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2"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352"/>
              <w:jc w:val="right"/>
              <w:rPr>
                <w:rFonts w:ascii="Arial" w:hAnsi="Arial" w:cs="Arial" w:eastAsia="Arial" w:hint="default"/>
                <w:sz w:val="24"/>
                <w:szCs w:val="24"/>
              </w:rPr>
            </w:pPr>
            <w:r>
              <w:rPr>
                <w:rFonts w:ascii="Arial"/>
                <w:spacing w:val="-1"/>
                <w:w w:val="95"/>
                <w:sz w:val="24"/>
              </w:rPr>
              <w:t>61,915,817</w:t>
            </w:r>
            <w:r>
              <w:rPr>
                <w:rFonts w:ascii="Arial"/>
                <w:sz w:val="24"/>
              </w:rPr>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42"/>
              <w:jc w:val="right"/>
              <w:rPr>
                <w:rFonts w:ascii="Arial" w:hAnsi="Arial" w:cs="Arial" w:eastAsia="Arial" w:hint="default"/>
                <w:sz w:val="24"/>
                <w:szCs w:val="24"/>
              </w:rPr>
            </w:pPr>
            <w:r>
              <w:rPr>
                <w:rFonts w:ascii="Arial"/>
                <w:spacing w:val="-1"/>
                <w:w w:val="95"/>
                <w:sz w:val="24"/>
              </w:rPr>
              <w:t>48,105,321</w:t>
            </w:r>
            <w:r>
              <w:rPr>
                <w:rFonts w:ascii="Arial"/>
                <w:sz w:val="24"/>
              </w:rPr>
            </w:r>
          </w:p>
        </w:tc>
      </w:tr>
      <w:tr>
        <w:trPr>
          <w:trHeight w:val="314" w:hRule="exact"/>
        </w:trPr>
        <w:tc>
          <w:tcPr>
            <w:tcW w:w="605" w:type="dxa"/>
            <w:tcBorders>
              <w:top w:val="nil" w:sz="6" w:space="0" w:color="auto"/>
              <w:left w:val="nil" w:sz="6" w:space="0" w:color="auto"/>
              <w:bottom w:val="nil" w:sz="6" w:space="0" w:color="auto"/>
              <w:right w:val="nil" w:sz="6" w:space="0" w:color="auto"/>
            </w:tcBorders>
          </w:tcPr>
          <w:p>
            <w:pPr/>
          </w:p>
        </w:tc>
        <w:tc>
          <w:tcPr>
            <w:tcW w:w="4262" w:type="dxa"/>
            <w:tcBorders>
              <w:top w:val="nil" w:sz="6" w:space="0" w:color="auto"/>
              <w:left w:val="nil" w:sz="6" w:space="0" w:color="auto"/>
              <w:bottom w:val="nil" w:sz="6" w:space="0" w:color="auto"/>
              <w:right w:val="nil" w:sz="6" w:space="0" w:color="auto"/>
            </w:tcBorders>
          </w:tcPr>
          <w:p>
            <w:pPr>
              <w:pStyle w:val="TableParagraph"/>
              <w:spacing w:line="261" w:lineRule="exact"/>
              <w:ind w:left="142"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2529" w:type="dxa"/>
            <w:tcBorders>
              <w:top w:val="nil" w:sz="6" w:space="0" w:color="auto"/>
              <w:left w:val="nil" w:sz="6" w:space="0" w:color="auto"/>
              <w:bottom w:val="nil" w:sz="6" w:space="0" w:color="auto"/>
              <w:right w:val="nil" w:sz="6" w:space="0" w:color="auto"/>
            </w:tcBorders>
          </w:tcPr>
          <w:p>
            <w:pPr>
              <w:pStyle w:val="TableParagraph"/>
              <w:tabs>
                <w:tab w:pos="1297" w:val="left" w:leader="none"/>
                <w:tab w:pos="2264" w:val="left" w:leader="none"/>
              </w:tabs>
              <w:spacing w:line="240" w:lineRule="auto" w:before="20"/>
              <w:ind w:right="25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124,895</w:t>
              <w:tab/>
            </w:r>
            <w:r>
              <w:rPr>
                <w:rFonts w:ascii="Arial"/>
                <w:spacing w:val="-1"/>
                <w:sz w:val="24"/>
              </w:rPr>
            </w:r>
          </w:p>
        </w:tc>
        <w:tc>
          <w:tcPr>
            <w:tcW w:w="2627" w:type="dxa"/>
            <w:tcBorders>
              <w:top w:val="nil" w:sz="6" w:space="0" w:color="auto"/>
              <w:left w:val="nil" w:sz="6" w:space="0" w:color="auto"/>
              <w:bottom w:val="nil" w:sz="6" w:space="0" w:color="auto"/>
              <w:right w:val="nil" w:sz="6" w:space="0" w:color="auto"/>
            </w:tcBorders>
          </w:tcPr>
          <w:p>
            <w:pPr>
              <w:pStyle w:val="TableParagraph"/>
              <w:tabs>
                <w:tab w:pos="1433" w:val="left" w:leader="none"/>
                <w:tab w:pos="2267" w:val="left" w:leader="none"/>
              </w:tabs>
              <w:spacing w:line="240" w:lineRule="auto" w:before="20"/>
              <w:ind w:right="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80,468</w:t>
              <w:tab/>
            </w:r>
            <w:r>
              <w:rPr>
                <w:rFonts w:ascii="Arial"/>
                <w:spacing w:val="-1"/>
                <w:sz w:val="24"/>
              </w:rPr>
            </w:r>
          </w:p>
        </w:tc>
      </w:tr>
      <w:tr>
        <w:trPr>
          <w:trHeight w:val="416" w:hRule="exact"/>
        </w:trPr>
        <w:tc>
          <w:tcPr>
            <w:tcW w:w="605" w:type="dxa"/>
            <w:tcBorders>
              <w:top w:val="nil" w:sz="6" w:space="0" w:color="auto"/>
              <w:left w:val="nil" w:sz="6" w:space="0" w:color="auto"/>
              <w:bottom w:val="nil" w:sz="6" w:space="0" w:color="auto"/>
              <w:right w:val="nil" w:sz="6" w:space="0" w:color="auto"/>
            </w:tcBorders>
          </w:tcPr>
          <w:p>
            <w:pPr/>
          </w:p>
        </w:tc>
        <w:tc>
          <w:tcPr>
            <w:tcW w:w="4262" w:type="dxa"/>
            <w:tcBorders>
              <w:top w:val="nil" w:sz="6" w:space="0" w:color="auto"/>
              <w:left w:val="nil" w:sz="6" w:space="0" w:color="auto"/>
              <w:bottom w:val="nil" w:sz="6" w:space="0" w:color="auto"/>
              <w:right w:val="nil" w:sz="6" w:space="0" w:color="auto"/>
            </w:tcBorders>
          </w:tcPr>
          <w:p>
            <w:pPr/>
          </w:p>
        </w:tc>
        <w:tc>
          <w:tcPr>
            <w:tcW w:w="2529" w:type="dxa"/>
            <w:tcBorders>
              <w:top w:val="nil" w:sz="6" w:space="0" w:color="auto"/>
              <w:left w:val="nil" w:sz="6" w:space="0" w:color="auto"/>
              <w:bottom w:val="nil" w:sz="6" w:space="0" w:color="auto"/>
              <w:right w:val="nil" w:sz="6" w:space="0" w:color="auto"/>
            </w:tcBorders>
          </w:tcPr>
          <w:p>
            <w:pPr>
              <w:pStyle w:val="TableParagraph"/>
              <w:tabs>
                <w:tab w:pos="969" w:val="left" w:leader="none"/>
                <w:tab w:pos="2278" w:val="left" w:leader="none"/>
              </w:tabs>
              <w:spacing w:line="268" w:lineRule="exact"/>
              <w:ind w:right="242"/>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62,040,712</w:t>
              <w:tab/>
            </w:r>
            <w:r>
              <w:rPr>
                <w:rFonts w:ascii="Arial"/>
                <w:spacing w:val="-1"/>
                <w:sz w:val="24"/>
              </w:rPr>
            </w:r>
          </w:p>
        </w:tc>
        <w:tc>
          <w:tcPr>
            <w:tcW w:w="2627" w:type="dxa"/>
            <w:tcBorders>
              <w:top w:val="nil" w:sz="6" w:space="0" w:color="auto"/>
              <w:left w:val="nil" w:sz="6" w:space="0" w:color="auto"/>
              <w:bottom w:val="nil" w:sz="6" w:space="0" w:color="auto"/>
              <w:right w:val="nil" w:sz="6" w:space="0" w:color="auto"/>
            </w:tcBorders>
          </w:tcPr>
          <w:p>
            <w:pPr>
              <w:pStyle w:val="TableParagraph"/>
              <w:tabs>
                <w:tab w:pos="972" w:val="left" w:leader="none"/>
                <w:tab w:pos="2282"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48,185,789</w:t>
              <w:tab/>
            </w:r>
            <w:r>
              <w:rPr>
                <w:rFonts w:ascii="Arial"/>
                <w:spacing w:val="-1"/>
                <w:sz w:val="24"/>
              </w:rPr>
            </w:r>
          </w:p>
        </w:tc>
      </w:tr>
      <w:tr>
        <w:trPr>
          <w:trHeight w:val="574" w:hRule="exact"/>
        </w:trPr>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Arial" w:hAnsi="Arial" w:cs="Arial" w:eastAsia="Arial" w:hint="default"/>
                <w:sz w:val="24"/>
                <w:szCs w:val="24"/>
              </w:rPr>
            </w:pPr>
            <w:r>
              <w:rPr>
                <w:rFonts w:ascii="Arial"/>
                <w:sz w:val="24"/>
              </w:rPr>
              <w:t>(a)</w:t>
            </w:r>
          </w:p>
        </w:tc>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42" w:right="0"/>
              <w:jc w:val="left"/>
              <w:rPr>
                <w:rFonts w:ascii="宋体" w:hAnsi="宋体" w:cs="宋体" w:eastAsia="宋体" w:hint="default"/>
                <w:sz w:val="24"/>
                <w:szCs w:val="24"/>
              </w:rPr>
            </w:pPr>
            <w:r>
              <w:rPr>
                <w:rFonts w:ascii="宋体" w:hAnsi="宋体" w:cs="宋体" w:eastAsia="宋体" w:hint="default"/>
                <w:sz w:val="24"/>
                <w:szCs w:val="24"/>
              </w:rPr>
              <w:t>主营业务收入和主营业务成本</w:t>
            </w:r>
          </w:p>
        </w:tc>
        <w:tc>
          <w:tcPr>
            <w:tcW w:w="2529" w:type="dxa"/>
            <w:tcBorders>
              <w:top w:val="nil" w:sz="6" w:space="0" w:color="auto"/>
              <w:left w:val="nil" w:sz="6" w:space="0" w:color="auto"/>
              <w:bottom w:val="nil" w:sz="6" w:space="0" w:color="auto"/>
              <w:right w:val="nil" w:sz="6" w:space="0" w:color="auto"/>
            </w:tcBorders>
          </w:tcPr>
          <w:p>
            <w:pPr/>
          </w:p>
        </w:tc>
        <w:tc>
          <w:tcPr>
            <w:tcW w:w="2627" w:type="dxa"/>
            <w:tcBorders>
              <w:top w:val="nil" w:sz="6" w:space="0" w:color="auto"/>
              <w:left w:val="nil" w:sz="6" w:space="0" w:color="auto"/>
              <w:bottom w:val="nil" w:sz="6" w:space="0" w:color="auto"/>
              <w:right w:val="nil" w:sz="6" w:space="0" w:color="auto"/>
            </w:tcBorders>
          </w:tcPr>
          <w:p>
            <w:pPr/>
          </w:p>
        </w:tc>
      </w:tr>
      <w:tr>
        <w:trPr>
          <w:trHeight w:val="588" w:hRule="exact"/>
        </w:trPr>
        <w:tc>
          <w:tcPr>
            <w:tcW w:w="605" w:type="dxa"/>
            <w:tcBorders>
              <w:top w:val="nil" w:sz="6" w:space="0" w:color="auto"/>
              <w:left w:val="nil" w:sz="6" w:space="0" w:color="auto"/>
              <w:bottom w:val="nil" w:sz="6" w:space="0" w:color="auto"/>
              <w:right w:val="nil" w:sz="6" w:space="0" w:color="auto"/>
            </w:tcBorders>
          </w:tcPr>
          <w:p>
            <w:pPr/>
          </w:p>
        </w:tc>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2" w:right="0"/>
              <w:jc w:val="left"/>
              <w:rPr>
                <w:rFonts w:ascii="宋体" w:hAnsi="宋体" w:cs="宋体" w:eastAsia="宋体" w:hint="default"/>
                <w:sz w:val="24"/>
                <w:szCs w:val="24"/>
              </w:rPr>
            </w:pPr>
            <w:r>
              <w:rPr>
                <w:rFonts w:ascii="宋体" w:hAnsi="宋体" w:cs="宋体" w:eastAsia="宋体" w:hint="default"/>
                <w:sz w:val="24"/>
                <w:szCs w:val="24"/>
              </w:rPr>
              <w:t>按行业分析如下：</w:t>
            </w:r>
          </w:p>
        </w:tc>
        <w:tc>
          <w:tcPr>
            <w:tcW w:w="2529" w:type="dxa"/>
            <w:tcBorders>
              <w:top w:val="nil" w:sz="6" w:space="0" w:color="auto"/>
              <w:left w:val="nil" w:sz="6" w:space="0" w:color="auto"/>
              <w:bottom w:val="nil" w:sz="6" w:space="0" w:color="auto"/>
              <w:right w:val="nil" w:sz="6" w:space="0" w:color="auto"/>
            </w:tcBorders>
          </w:tcPr>
          <w:p>
            <w:pPr/>
          </w:p>
        </w:tc>
        <w:tc>
          <w:tcPr>
            <w:tcW w:w="2627" w:type="dxa"/>
            <w:tcBorders>
              <w:top w:val="nil" w:sz="6" w:space="0" w:color="auto"/>
              <w:left w:val="nil" w:sz="6" w:space="0" w:color="auto"/>
              <w:bottom w:val="nil" w:sz="6" w:space="0" w:color="auto"/>
              <w:right w:val="nil" w:sz="6" w:space="0" w:color="auto"/>
            </w:tcBorders>
          </w:tcPr>
          <w:p>
            <w:pPr/>
          </w:p>
        </w:tc>
      </w:tr>
      <w:tr>
        <w:trPr>
          <w:trHeight w:val="456" w:hRule="exact"/>
        </w:trPr>
        <w:tc>
          <w:tcPr>
            <w:tcW w:w="605" w:type="dxa"/>
            <w:tcBorders>
              <w:top w:val="nil" w:sz="6" w:space="0" w:color="auto"/>
              <w:left w:val="nil" w:sz="6" w:space="0" w:color="auto"/>
              <w:bottom w:val="nil" w:sz="6" w:space="0" w:color="auto"/>
              <w:right w:val="nil" w:sz="6" w:space="0" w:color="auto"/>
            </w:tcBorders>
          </w:tcPr>
          <w:p>
            <w:pPr/>
          </w:p>
        </w:tc>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529" w:type="dxa"/>
            <w:tcBorders>
              <w:top w:val="nil" w:sz="6" w:space="0" w:color="auto"/>
              <w:left w:val="nil" w:sz="6" w:space="0" w:color="auto"/>
              <w:bottom w:val="nil" w:sz="6" w:space="0" w:color="auto"/>
              <w:right w:val="nil" w:sz="6" w:space="0" w:color="auto"/>
            </w:tcBorders>
          </w:tcPr>
          <w:p>
            <w:pP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44" w:right="0"/>
              <w:jc w:val="lef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BodyText"/>
        <w:spacing w:line="240" w:lineRule="auto" w:before="26"/>
        <w:ind w:left="848" w:right="0"/>
        <w:jc w:val="left"/>
      </w:pPr>
      <w:r>
        <w:rPr/>
        <w:pict>
          <v:shape style="position:absolute;margin-left:87.830002pt;margin-top:-93.656891pt;width:465.95pt;height:88pt;mso-position-horizontal-relative:page;mso-position-vertical-relative:paragraph;z-index:3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8"/>
                    <w:gridCol w:w="1981"/>
                    <w:gridCol w:w="1901"/>
                    <w:gridCol w:w="1916"/>
                    <w:gridCol w:w="1881"/>
                  </w:tblGrid>
                  <w:tr>
                    <w:trPr>
                      <w:trHeight w:val="1083" w:hRule="exact"/>
                    </w:trPr>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30"/>
                            <w:szCs w:val="3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零售批发行业</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60" w:right="0" w:hanging="239"/>
                          <w:jc w:val="left"/>
                          <w:rPr>
                            <w:rFonts w:ascii="宋体" w:hAnsi="宋体" w:cs="宋体" w:eastAsia="宋体" w:hint="default"/>
                            <w:sz w:val="24"/>
                            <w:szCs w:val="24"/>
                          </w:rPr>
                        </w:pPr>
                        <w:r>
                          <w:rPr>
                            <w:rFonts w:ascii="宋体" w:hAnsi="宋体" w:cs="宋体" w:eastAsia="宋体" w:hint="default"/>
                            <w:sz w:val="24"/>
                            <w:szCs w:val="24"/>
                          </w:rPr>
                          <w:t>主营业务收入</w:t>
                        </w:r>
                      </w:p>
                      <w:p>
                        <w:pPr>
                          <w:pStyle w:val="TableParagraph"/>
                          <w:spacing w:line="240" w:lineRule="auto" w:before="5"/>
                          <w:ind w:right="0"/>
                          <w:jc w:val="left"/>
                          <w:rPr>
                            <w:rFonts w:ascii="宋体" w:hAnsi="宋体" w:cs="宋体" w:eastAsia="宋体" w:hint="default"/>
                            <w:sz w:val="34"/>
                            <w:szCs w:val="34"/>
                          </w:rPr>
                        </w:pPr>
                      </w:p>
                      <w:p>
                        <w:pPr>
                          <w:pStyle w:val="TableParagraph"/>
                          <w:spacing w:line="240" w:lineRule="auto"/>
                          <w:ind w:left="560" w:right="0"/>
                          <w:jc w:val="left"/>
                          <w:rPr>
                            <w:rFonts w:ascii="Arial" w:hAnsi="Arial" w:cs="Arial" w:eastAsia="Arial" w:hint="default"/>
                            <w:sz w:val="24"/>
                            <w:szCs w:val="24"/>
                          </w:rPr>
                        </w:pPr>
                        <w:r>
                          <w:rPr>
                            <w:rFonts w:ascii="Arial"/>
                            <w:sz w:val="24"/>
                          </w:rPr>
                          <w:t>73,372,868</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80" w:right="0" w:hanging="239"/>
                          <w:jc w:val="left"/>
                          <w:rPr>
                            <w:rFonts w:ascii="宋体" w:hAnsi="宋体" w:cs="宋体" w:eastAsia="宋体" w:hint="default"/>
                            <w:sz w:val="24"/>
                            <w:szCs w:val="24"/>
                          </w:rPr>
                        </w:pPr>
                        <w:r>
                          <w:rPr>
                            <w:rFonts w:ascii="宋体" w:hAnsi="宋体" w:cs="宋体" w:eastAsia="宋体" w:hint="default"/>
                            <w:sz w:val="24"/>
                            <w:szCs w:val="24"/>
                          </w:rPr>
                          <w:t>主营业务成本</w:t>
                        </w:r>
                      </w:p>
                      <w:p>
                        <w:pPr>
                          <w:pStyle w:val="TableParagraph"/>
                          <w:spacing w:line="240" w:lineRule="auto" w:before="5"/>
                          <w:ind w:right="0"/>
                          <w:jc w:val="left"/>
                          <w:rPr>
                            <w:rFonts w:ascii="宋体" w:hAnsi="宋体" w:cs="宋体" w:eastAsia="宋体" w:hint="default"/>
                            <w:sz w:val="34"/>
                            <w:szCs w:val="34"/>
                          </w:rPr>
                        </w:pPr>
                      </w:p>
                      <w:p>
                        <w:pPr>
                          <w:pStyle w:val="TableParagraph"/>
                          <w:spacing w:line="240" w:lineRule="auto"/>
                          <w:ind w:left="480" w:right="0"/>
                          <w:jc w:val="left"/>
                          <w:rPr>
                            <w:rFonts w:ascii="Arial" w:hAnsi="Arial" w:cs="Arial" w:eastAsia="Arial" w:hint="default"/>
                            <w:sz w:val="24"/>
                            <w:szCs w:val="24"/>
                          </w:rPr>
                        </w:pPr>
                        <w:r>
                          <w:rPr>
                            <w:rFonts w:ascii="Arial"/>
                            <w:sz w:val="24"/>
                          </w:rPr>
                          <w:t>61,329,383</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93" w:right="0" w:hanging="238"/>
                          <w:jc w:val="left"/>
                          <w:rPr>
                            <w:rFonts w:ascii="宋体" w:hAnsi="宋体" w:cs="宋体" w:eastAsia="宋体" w:hint="default"/>
                            <w:sz w:val="24"/>
                            <w:szCs w:val="24"/>
                          </w:rPr>
                        </w:pPr>
                        <w:r>
                          <w:rPr>
                            <w:rFonts w:ascii="宋体" w:hAnsi="宋体" w:cs="宋体" w:eastAsia="宋体" w:hint="default"/>
                            <w:sz w:val="24"/>
                            <w:szCs w:val="24"/>
                          </w:rPr>
                          <w:t>主营业务收入</w:t>
                        </w:r>
                      </w:p>
                      <w:p>
                        <w:pPr>
                          <w:pStyle w:val="TableParagraph"/>
                          <w:spacing w:line="240" w:lineRule="auto" w:before="5"/>
                          <w:ind w:right="0"/>
                          <w:jc w:val="left"/>
                          <w:rPr>
                            <w:rFonts w:ascii="宋体" w:hAnsi="宋体" w:cs="宋体" w:eastAsia="宋体" w:hint="default"/>
                            <w:sz w:val="34"/>
                            <w:szCs w:val="34"/>
                          </w:rPr>
                        </w:pPr>
                      </w:p>
                      <w:p>
                        <w:pPr>
                          <w:pStyle w:val="TableParagraph"/>
                          <w:spacing w:line="240" w:lineRule="auto"/>
                          <w:ind w:left="493" w:right="0"/>
                          <w:jc w:val="left"/>
                          <w:rPr>
                            <w:rFonts w:ascii="Arial" w:hAnsi="Arial" w:cs="Arial" w:eastAsia="Arial" w:hint="default"/>
                            <w:sz w:val="24"/>
                            <w:szCs w:val="24"/>
                          </w:rPr>
                        </w:pPr>
                        <w:r>
                          <w:rPr>
                            <w:rFonts w:ascii="Arial"/>
                            <w:sz w:val="24"/>
                          </w:rPr>
                          <w:t>56,512,963</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54" w:right="0" w:hanging="257"/>
                          <w:jc w:val="left"/>
                          <w:rPr>
                            <w:rFonts w:ascii="宋体" w:hAnsi="宋体" w:cs="宋体" w:eastAsia="宋体" w:hint="default"/>
                            <w:sz w:val="24"/>
                            <w:szCs w:val="24"/>
                          </w:rPr>
                        </w:pPr>
                        <w:r>
                          <w:rPr>
                            <w:rFonts w:ascii="宋体" w:hAnsi="宋体" w:cs="宋体" w:eastAsia="宋体" w:hint="default"/>
                            <w:sz w:val="24"/>
                            <w:szCs w:val="24"/>
                          </w:rPr>
                          <w:t>主营业务成本</w:t>
                        </w:r>
                      </w:p>
                      <w:p>
                        <w:pPr>
                          <w:pStyle w:val="TableParagraph"/>
                          <w:spacing w:line="240" w:lineRule="auto" w:before="5"/>
                          <w:ind w:right="0"/>
                          <w:jc w:val="left"/>
                          <w:rPr>
                            <w:rFonts w:ascii="宋体" w:hAnsi="宋体" w:cs="宋体" w:eastAsia="宋体" w:hint="default"/>
                            <w:sz w:val="34"/>
                            <w:szCs w:val="34"/>
                          </w:rPr>
                        </w:pPr>
                      </w:p>
                      <w:p>
                        <w:pPr>
                          <w:pStyle w:val="TableParagraph"/>
                          <w:spacing w:line="240" w:lineRule="auto"/>
                          <w:ind w:left="554" w:right="0"/>
                          <w:jc w:val="left"/>
                          <w:rPr>
                            <w:rFonts w:ascii="Arial" w:hAnsi="Arial" w:cs="Arial" w:eastAsia="Arial" w:hint="default"/>
                            <w:sz w:val="24"/>
                            <w:szCs w:val="24"/>
                          </w:rPr>
                        </w:pPr>
                        <w:r>
                          <w:rPr>
                            <w:rFonts w:ascii="Arial"/>
                            <w:spacing w:val="-3"/>
                            <w:sz w:val="24"/>
                          </w:rPr>
                          <w:t>47,791,311</w:t>
                        </w:r>
                      </w:p>
                    </w:tc>
                  </w:tr>
                  <w:tr>
                    <w:trPr>
                      <w:trHeight w:val="314" w:hRule="exact"/>
                    </w:trPr>
                    <w:tc>
                      <w:tcPr>
                        <w:tcW w:w="1638"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4"/>
                            <w:szCs w:val="24"/>
                          </w:rPr>
                        </w:pPr>
                        <w:r>
                          <w:rPr>
                            <w:rFonts w:ascii="宋体" w:hAnsi="宋体" w:cs="宋体" w:eastAsia="宋体" w:hint="default"/>
                            <w:sz w:val="24"/>
                            <w:szCs w:val="24"/>
                          </w:rPr>
                          <w:t>安装维修行业</w:t>
                        </w:r>
                      </w:p>
                    </w:tc>
                    <w:tc>
                      <w:tcPr>
                        <w:tcW w:w="1981" w:type="dxa"/>
                        <w:tcBorders>
                          <w:top w:val="nil" w:sz="6" w:space="0" w:color="auto"/>
                          <w:left w:val="nil" w:sz="6" w:space="0" w:color="auto"/>
                          <w:bottom w:val="nil" w:sz="6" w:space="0" w:color="auto"/>
                          <w:right w:val="nil" w:sz="6" w:space="0" w:color="auto"/>
                        </w:tcBorders>
                      </w:tcPr>
                      <w:p>
                        <w:pPr>
                          <w:pStyle w:val="TableParagraph"/>
                          <w:tabs>
                            <w:tab w:pos="724" w:val="left" w:leader="none"/>
                            <w:tab w:pos="1691" w:val="left" w:leader="none"/>
                          </w:tabs>
                          <w:spacing w:line="240" w:lineRule="auto" w:before="21"/>
                          <w:ind w:right="11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854,589</w:t>
                          <w:tab/>
                        </w:r>
                        <w:r>
                          <w:rPr>
                            <w:rFonts w:ascii="Arial"/>
                            <w:spacing w:val="-1"/>
                            <w:sz w:val="24"/>
                          </w:rPr>
                        </w:r>
                      </w:p>
                    </w:tc>
                    <w:tc>
                      <w:tcPr>
                        <w:tcW w:w="1901" w:type="dxa"/>
                        <w:tcBorders>
                          <w:top w:val="nil" w:sz="6" w:space="0" w:color="auto"/>
                          <w:left w:val="nil" w:sz="6" w:space="0" w:color="auto"/>
                          <w:bottom w:val="nil" w:sz="6" w:space="0" w:color="auto"/>
                          <w:right w:val="nil" w:sz="6" w:space="0" w:color="auto"/>
                        </w:tcBorders>
                      </w:tcPr>
                      <w:p>
                        <w:pPr>
                          <w:pStyle w:val="TableParagraph"/>
                          <w:tabs>
                            <w:tab w:pos="697" w:val="left" w:leader="none"/>
                            <w:tab w:pos="1664" w:val="left" w:leader="none"/>
                          </w:tabs>
                          <w:spacing w:line="240" w:lineRule="auto" w:before="21"/>
                          <w:ind w:right="0"/>
                          <w:jc w:val="center"/>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586,434</w:t>
                          <w:tab/>
                        </w:r>
                        <w:r>
                          <w:rPr>
                            <w:rFonts w:ascii="Arial"/>
                            <w:sz w:val="24"/>
                          </w:rPr>
                        </w:r>
                      </w:p>
                    </w:tc>
                    <w:tc>
                      <w:tcPr>
                        <w:tcW w:w="1916" w:type="dxa"/>
                        <w:tcBorders>
                          <w:top w:val="nil" w:sz="6" w:space="0" w:color="auto"/>
                          <w:left w:val="nil" w:sz="6" w:space="0" w:color="auto"/>
                          <w:bottom w:val="nil" w:sz="6" w:space="0" w:color="auto"/>
                          <w:right w:val="nil" w:sz="6" w:space="0" w:color="auto"/>
                        </w:tcBorders>
                      </w:tcPr>
                      <w:p>
                        <w:pPr>
                          <w:pStyle w:val="TableParagraph"/>
                          <w:tabs>
                            <w:tab w:pos="829" w:val="left" w:leader="none"/>
                            <w:tab w:pos="1796" w:val="left" w:leader="none"/>
                          </w:tabs>
                          <w:spacing w:line="240" w:lineRule="auto" w:before="21"/>
                          <w:ind w:left="11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524,091</w:t>
                          <w:tab/>
                        </w:r>
                        <w:r>
                          <w:rPr>
                            <w:rFonts w:ascii="Arial"/>
                            <w:sz w:val="24"/>
                          </w:rPr>
                        </w:r>
                      </w:p>
                    </w:tc>
                    <w:tc>
                      <w:tcPr>
                        <w:tcW w:w="1881" w:type="dxa"/>
                        <w:tcBorders>
                          <w:top w:val="nil" w:sz="6" w:space="0" w:color="auto"/>
                          <w:left w:val="nil" w:sz="6" w:space="0" w:color="auto"/>
                          <w:bottom w:val="nil" w:sz="6" w:space="0" w:color="auto"/>
                          <w:right w:val="nil" w:sz="6" w:space="0" w:color="auto"/>
                        </w:tcBorders>
                      </w:tcPr>
                      <w:p>
                        <w:pPr>
                          <w:pStyle w:val="TableParagraph"/>
                          <w:tabs>
                            <w:tab w:pos="751" w:val="left" w:leader="none"/>
                            <w:tab w:pos="1719" w:val="left" w:leader="none"/>
                          </w:tabs>
                          <w:spacing w:line="240" w:lineRule="auto" w:before="21"/>
                          <w:ind w:right="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314,010</w:t>
                          <w:tab/>
                        </w:r>
                        <w:r>
                          <w:rPr>
                            <w:rFonts w:ascii="Arial"/>
                            <w:spacing w:val="-1"/>
                            <w:sz w:val="24"/>
                          </w:rPr>
                        </w:r>
                      </w:p>
                    </w:tc>
                  </w:tr>
                  <w:tr>
                    <w:trPr>
                      <w:trHeight w:val="363" w:hRule="exact"/>
                    </w:trPr>
                    <w:tc>
                      <w:tcPr>
                        <w:tcW w:w="1638"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Style w:val="TableParagraph"/>
                          <w:tabs>
                            <w:tab w:pos="397" w:val="left" w:leader="none"/>
                            <w:tab w:pos="1706" w:val="left" w:leader="none"/>
                          </w:tabs>
                          <w:spacing w:line="268" w:lineRule="exact"/>
                          <w:ind w:right="10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74,227,457</w:t>
                          <w:tab/>
                        </w:r>
                        <w:r>
                          <w:rPr>
                            <w:rFonts w:ascii="Arial"/>
                            <w:spacing w:val="-1"/>
                            <w:sz w:val="24"/>
                          </w:rPr>
                        </w:r>
                      </w:p>
                    </w:tc>
                    <w:tc>
                      <w:tcPr>
                        <w:tcW w:w="1901" w:type="dxa"/>
                        <w:tcBorders>
                          <w:top w:val="nil" w:sz="6" w:space="0" w:color="auto"/>
                          <w:left w:val="nil" w:sz="6" w:space="0" w:color="auto"/>
                          <w:bottom w:val="nil" w:sz="6" w:space="0" w:color="auto"/>
                          <w:right w:val="nil" w:sz="6" w:space="0" w:color="auto"/>
                        </w:tcBorders>
                      </w:tcPr>
                      <w:p>
                        <w:pPr>
                          <w:pStyle w:val="TableParagraph"/>
                          <w:tabs>
                            <w:tab w:pos="369" w:val="left" w:leader="none"/>
                            <w:tab w:pos="1679" w:val="left" w:leader="none"/>
                          </w:tabs>
                          <w:spacing w:line="268" w:lineRule="exact"/>
                          <w:ind w:right="0"/>
                          <w:jc w:val="center"/>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61,915,817</w:t>
                          <w:tab/>
                        </w:r>
                        <w:r>
                          <w:rPr>
                            <w:rFonts w:ascii="Arial"/>
                            <w:sz w:val="24"/>
                          </w:rPr>
                        </w:r>
                      </w:p>
                    </w:tc>
                    <w:tc>
                      <w:tcPr>
                        <w:tcW w:w="1916" w:type="dxa"/>
                        <w:tcBorders>
                          <w:top w:val="nil" w:sz="6" w:space="0" w:color="auto"/>
                          <w:left w:val="nil" w:sz="6" w:space="0" w:color="auto"/>
                          <w:bottom w:val="nil" w:sz="6" w:space="0" w:color="auto"/>
                          <w:right w:val="nil" w:sz="6" w:space="0" w:color="auto"/>
                        </w:tcBorders>
                      </w:tcPr>
                      <w:p>
                        <w:pPr>
                          <w:pStyle w:val="TableParagraph"/>
                          <w:tabs>
                            <w:tab w:pos="493" w:val="left" w:leader="none"/>
                            <w:tab w:pos="1804" w:val="left" w:leader="none"/>
                          </w:tabs>
                          <w:spacing w:line="268" w:lineRule="exact"/>
                          <w:ind w:left="11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57,037,054</w:t>
                          <w:tab/>
                        </w:r>
                        <w:r>
                          <w:rPr>
                            <w:rFonts w:ascii="Arial"/>
                            <w:sz w:val="24"/>
                          </w:rPr>
                        </w:r>
                      </w:p>
                    </w:tc>
                    <w:tc>
                      <w:tcPr>
                        <w:tcW w:w="1881" w:type="dxa"/>
                        <w:tcBorders>
                          <w:top w:val="nil" w:sz="6" w:space="0" w:color="auto"/>
                          <w:left w:val="nil" w:sz="6" w:space="0" w:color="auto"/>
                          <w:bottom w:val="nil" w:sz="6" w:space="0" w:color="auto"/>
                          <w:right w:val="nil" w:sz="6" w:space="0" w:color="auto"/>
                        </w:tcBorders>
                      </w:tcPr>
                      <w:p>
                        <w:pPr>
                          <w:pStyle w:val="TableParagraph"/>
                          <w:tabs>
                            <w:tab w:pos="424" w:val="left" w:leader="none"/>
                            <w:tab w:pos="1733"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48,105,321</w:t>
                          <w:tab/>
                        </w:r>
                        <w:r>
                          <w:rPr>
                            <w:rFonts w:ascii="Arial"/>
                            <w:spacing w:val="-1"/>
                            <w:sz w:val="24"/>
                          </w:rPr>
                        </w:r>
                      </w:p>
                    </w:tc>
                  </w:tr>
                </w:tbl>
                <w:p>
                  <w:pPr/>
                </w:p>
              </w:txbxContent>
            </v:textbox>
            <w10:wrap type="none"/>
          </v:shape>
        </w:pict>
      </w:r>
      <w:r>
        <w:rPr/>
        <w:t>按产品分析如下：</w:t>
      </w:r>
    </w:p>
    <w:p>
      <w:pPr>
        <w:spacing w:line="240" w:lineRule="auto" w:before="12"/>
        <w:rPr>
          <w:rFonts w:ascii="宋体" w:hAnsi="宋体" w:cs="宋体" w:eastAsia="宋体" w:hint="default"/>
          <w:sz w:val="18"/>
          <w:szCs w:val="18"/>
        </w:rPr>
      </w:pPr>
    </w:p>
    <w:p>
      <w:pPr>
        <w:pStyle w:val="BodyText"/>
        <w:tabs>
          <w:tab w:pos="7743" w:val="left" w:leader="none"/>
        </w:tabs>
        <w:spacing w:line="240" w:lineRule="auto" w:before="26"/>
        <w:ind w:left="3891" w:right="0"/>
        <w:jc w:val="left"/>
      </w:pPr>
      <w:r>
        <w:rPr>
          <w:rFonts w:ascii="Arial" w:hAnsi="Arial" w:cs="Arial" w:eastAsia="Arial" w:hint="default"/>
        </w:rPr>
        <w:t>2010</w:t>
      </w:r>
      <w:r>
        <w:rPr>
          <w:rFonts w:ascii="Arial" w:hAnsi="Arial" w:cs="Arial" w:eastAsia="Arial" w:hint="default"/>
          <w:spacing w:val="-11"/>
        </w:rPr>
        <w:t> </w:t>
      </w:r>
      <w:r>
        <w:rPr/>
        <w:t>年度</w:t>
        <w:tab/>
      </w:r>
      <w:r>
        <w:rPr>
          <w:rFonts w:ascii="Arial" w:hAnsi="Arial" w:cs="Arial" w:eastAsia="Arial" w:hint="default"/>
        </w:rPr>
        <w:t>2009</w:t>
      </w:r>
      <w:r>
        <w:rPr>
          <w:rFonts w:ascii="Arial" w:hAnsi="Arial" w:cs="Arial" w:eastAsia="Arial" w:hint="default"/>
          <w:spacing w:val="-11"/>
        </w:rPr>
        <w:t> </w:t>
      </w:r>
      <w:r>
        <w:rPr/>
        <w:t>年度</w:t>
      </w:r>
    </w:p>
    <w:p>
      <w:pPr>
        <w:spacing w:line="240" w:lineRule="auto" w:before="8"/>
        <w:rPr>
          <w:rFonts w:ascii="宋体" w:hAnsi="宋体" w:cs="宋体" w:eastAsia="宋体" w:hint="default"/>
          <w:sz w:val="2"/>
          <w:szCs w:val="2"/>
        </w:rPr>
      </w:pPr>
    </w:p>
    <w:tbl>
      <w:tblPr>
        <w:tblW w:w="0" w:type="auto"/>
        <w:jc w:val="left"/>
        <w:tblInd w:w="813" w:type="dxa"/>
        <w:tblLayout w:type="fixed"/>
        <w:tblCellMar>
          <w:top w:w="0" w:type="dxa"/>
          <w:left w:w="0" w:type="dxa"/>
          <w:bottom w:w="0" w:type="dxa"/>
          <w:right w:w="0" w:type="dxa"/>
        </w:tblCellMar>
        <w:tblLook w:val="01E0"/>
      </w:tblPr>
      <w:tblGrid>
        <w:gridCol w:w="1775"/>
        <w:gridCol w:w="1848"/>
        <w:gridCol w:w="1903"/>
        <w:gridCol w:w="1918"/>
        <w:gridCol w:w="1867"/>
      </w:tblGrid>
      <w:tr>
        <w:trPr>
          <w:trHeight w:val="941"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黑色电器产品</w:t>
            </w:r>
          </w:p>
        </w:tc>
        <w:tc>
          <w:tcPr>
            <w:tcW w:w="1848" w:type="dxa"/>
            <w:tcBorders>
              <w:top w:val="nil" w:sz="6" w:space="0" w:color="auto"/>
              <w:left w:val="nil" w:sz="6" w:space="0" w:color="auto"/>
              <w:bottom w:val="nil" w:sz="6" w:space="0" w:color="auto"/>
              <w:right w:val="nil" w:sz="6" w:space="0" w:color="auto"/>
            </w:tcBorders>
          </w:tcPr>
          <w:p>
            <w:pPr>
              <w:pStyle w:val="TableParagraph"/>
              <w:spacing w:line="270" w:lineRule="exact"/>
              <w:ind w:left="427" w:right="0" w:hanging="239"/>
              <w:jc w:val="left"/>
              <w:rPr>
                <w:rFonts w:ascii="宋体" w:hAnsi="宋体" w:cs="宋体" w:eastAsia="宋体" w:hint="default"/>
                <w:sz w:val="24"/>
                <w:szCs w:val="24"/>
              </w:rPr>
            </w:pPr>
            <w:r>
              <w:rPr>
                <w:rFonts w:ascii="宋体" w:hAnsi="宋体" w:cs="宋体" w:eastAsia="宋体" w:hint="default"/>
                <w:sz w:val="24"/>
                <w:szCs w:val="24"/>
              </w:rPr>
              <w:t>主营业务收入</w:t>
            </w:r>
          </w:p>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7" w:right="0"/>
              <w:jc w:val="left"/>
              <w:rPr>
                <w:rFonts w:ascii="Arial" w:hAnsi="Arial" w:cs="Arial" w:eastAsia="Arial" w:hint="default"/>
                <w:sz w:val="24"/>
                <w:szCs w:val="24"/>
              </w:rPr>
            </w:pPr>
            <w:r>
              <w:rPr>
                <w:rFonts w:ascii="Arial"/>
                <w:sz w:val="24"/>
              </w:rPr>
              <w:t>19,713,007</w:t>
            </w:r>
          </w:p>
        </w:tc>
        <w:tc>
          <w:tcPr>
            <w:tcW w:w="1903" w:type="dxa"/>
            <w:tcBorders>
              <w:top w:val="nil" w:sz="6" w:space="0" w:color="auto"/>
              <w:left w:val="nil" w:sz="6" w:space="0" w:color="auto"/>
              <w:bottom w:val="nil" w:sz="6" w:space="0" w:color="auto"/>
              <w:right w:val="nil" w:sz="6" w:space="0" w:color="auto"/>
            </w:tcBorders>
          </w:tcPr>
          <w:p>
            <w:pPr>
              <w:pStyle w:val="TableParagraph"/>
              <w:spacing w:line="270" w:lineRule="exact"/>
              <w:ind w:left="481" w:right="0" w:hanging="239"/>
              <w:jc w:val="left"/>
              <w:rPr>
                <w:rFonts w:ascii="宋体" w:hAnsi="宋体" w:cs="宋体" w:eastAsia="宋体" w:hint="default"/>
                <w:sz w:val="24"/>
                <w:szCs w:val="24"/>
              </w:rPr>
            </w:pPr>
            <w:r>
              <w:rPr>
                <w:rFonts w:ascii="宋体" w:hAnsi="宋体" w:cs="宋体" w:eastAsia="宋体" w:hint="default"/>
                <w:sz w:val="24"/>
                <w:szCs w:val="24"/>
              </w:rPr>
              <w:t>主营业务成本</w:t>
            </w:r>
          </w:p>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81" w:right="0"/>
              <w:jc w:val="left"/>
              <w:rPr>
                <w:rFonts w:ascii="Arial" w:hAnsi="Arial" w:cs="Arial" w:eastAsia="Arial" w:hint="default"/>
                <w:sz w:val="24"/>
                <w:szCs w:val="24"/>
              </w:rPr>
            </w:pPr>
            <w:r>
              <w:rPr>
                <w:rFonts w:ascii="Arial"/>
                <w:sz w:val="24"/>
              </w:rPr>
              <w:t>15,950,653</w:t>
            </w:r>
          </w:p>
        </w:tc>
        <w:tc>
          <w:tcPr>
            <w:tcW w:w="1918" w:type="dxa"/>
            <w:tcBorders>
              <w:top w:val="nil" w:sz="6" w:space="0" w:color="auto"/>
              <w:left w:val="nil" w:sz="6" w:space="0" w:color="auto"/>
              <w:bottom w:val="nil" w:sz="6" w:space="0" w:color="auto"/>
              <w:right w:val="nil" w:sz="6" w:space="0" w:color="auto"/>
            </w:tcBorders>
          </w:tcPr>
          <w:p>
            <w:pPr>
              <w:pStyle w:val="TableParagraph"/>
              <w:spacing w:line="270" w:lineRule="exact"/>
              <w:ind w:left="495" w:right="0" w:hanging="238"/>
              <w:jc w:val="left"/>
              <w:rPr>
                <w:rFonts w:ascii="宋体" w:hAnsi="宋体" w:cs="宋体" w:eastAsia="宋体" w:hint="default"/>
                <w:sz w:val="24"/>
                <w:szCs w:val="24"/>
              </w:rPr>
            </w:pPr>
            <w:r>
              <w:rPr>
                <w:rFonts w:ascii="宋体" w:hAnsi="宋体" w:cs="宋体" w:eastAsia="宋体" w:hint="default"/>
                <w:sz w:val="24"/>
                <w:szCs w:val="24"/>
              </w:rPr>
              <w:t>主营业务收入</w:t>
            </w:r>
          </w:p>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95" w:right="0"/>
              <w:jc w:val="left"/>
              <w:rPr>
                <w:rFonts w:ascii="Arial" w:hAnsi="Arial" w:cs="Arial" w:eastAsia="Arial" w:hint="default"/>
                <w:sz w:val="24"/>
                <w:szCs w:val="24"/>
              </w:rPr>
            </w:pPr>
            <w:r>
              <w:rPr>
                <w:rFonts w:ascii="Arial"/>
                <w:sz w:val="24"/>
              </w:rPr>
              <w:t>16,545,875</w:t>
            </w:r>
          </w:p>
        </w:tc>
        <w:tc>
          <w:tcPr>
            <w:tcW w:w="1867" w:type="dxa"/>
            <w:tcBorders>
              <w:top w:val="nil" w:sz="6" w:space="0" w:color="auto"/>
              <w:left w:val="nil" w:sz="6" w:space="0" w:color="auto"/>
              <w:bottom w:val="nil" w:sz="6" w:space="0" w:color="auto"/>
              <w:right w:val="nil" w:sz="6" w:space="0" w:color="auto"/>
            </w:tcBorders>
          </w:tcPr>
          <w:p>
            <w:pPr>
              <w:pStyle w:val="TableParagraph"/>
              <w:spacing w:line="270" w:lineRule="exact"/>
              <w:ind w:left="529" w:right="0" w:hanging="239"/>
              <w:jc w:val="left"/>
              <w:rPr>
                <w:rFonts w:ascii="宋体" w:hAnsi="宋体" w:cs="宋体" w:eastAsia="宋体" w:hint="default"/>
                <w:sz w:val="24"/>
                <w:szCs w:val="24"/>
              </w:rPr>
            </w:pPr>
            <w:r>
              <w:rPr>
                <w:rFonts w:ascii="宋体" w:hAnsi="宋体" w:cs="宋体" w:eastAsia="宋体" w:hint="default"/>
                <w:sz w:val="24"/>
                <w:szCs w:val="24"/>
              </w:rPr>
              <w:t>主营业务成本</w:t>
            </w:r>
          </w:p>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9" w:right="0"/>
              <w:jc w:val="left"/>
              <w:rPr>
                <w:rFonts w:ascii="Arial" w:hAnsi="Arial" w:cs="Arial" w:eastAsia="Arial" w:hint="default"/>
                <w:sz w:val="24"/>
                <w:szCs w:val="24"/>
              </w:rPr>
            </w:pPr>
            <w:r>
              <w:rPr>
                <w:rFonts w:ascii="Arial"/>
                <w:sz w:val="24"/>
              </w:rPr>
              <w:t>13,558,152</w:t>
            </w:r>
          </w:p>
        </w:tc>
      </w:tr>
      <w:tr>
        <w:trPr>
          <w:trHeight w:val="322"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66" w:lineRule="exact"/>
              <w:ind w:left="35" w:right="0"/>
              <w:jc w:val="left"/>
              <w:rPr>
                <w:rFonts w:ascii="宋体" w:hAnsi="宋体" w:cs="宋体" w:eastAsia="宋体" w:hint="default"/>
                <w:sz w:val="24"/>
                <w:szCs w:val="24"/>
              </w:rPr>
            </w:pPr>
            <w:r>
              <w:rPr>
                <w:rFonts w:ascii="宋体" w:hAnsi="宋体" w:cs="宋体" w:eastAsia="宋体" w:hint="default"/>
                <w:sz w:val="24"/>
                <w:szCs w:val="24"/>
              </w:rPr>
              <w:t>白色电器产品</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9"/>
              <w:jc w:val="right"/>
              <w:rPr>
                <w:rFonts w:ascii="Arial" w:hAnsi="Arial" w:cs="Arial" w:eastAsia="Arial" w:hint="default"/>
                <w:sz w:val="24"/>
                <w:szCs w:val="24"/>
              </w:rPr>
            </w:pPr>
            <w:r>
              <w:rPr>
                <w:rFonts w:ascii="Arial"/>
                <w:spacing w:val="-1"/>
                <w:w w:val="95"/>
                <w:sz w:val="24"/>
              </w:rPr>
              <w:t>12,937,736</w:t>
            </w:r>
            <w:r>
              <w:rPr>
                <w:rFonts w:ascii="Arial"/>
                <w:sz w:val="24"/>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99" w:right="0"/>
              <w:jc w:val="left"/>
              <w:rPr>
                <w:rFonts w:ascii="Arial" w:hAnsi="Arial" w:cs="Arial" w:eastAsia="Arial" w:hint="default"/>
                <w:sz w:val="24"/>
                <w:szCs w:val="24"/>
              </w:rPr>
            </w:pPr>
            <w:r>
              <w:rPr>
                <w:rFonts w:ascii="Arial"/>
                <w:spacing w:val="-3"/>
                <w:sz w:val="24"/>
              </w:rPr>
              <w:t>10,201,114</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95" w:right="0"/>
              <w:jc w:val="left"/>
              <w:rPr>
                <w:rFonts w:ascii="Arial" w:hAnsi="Arial" w:cs="Arial" w:eastAsia="Arial" w:hint="default"/>
                <w:sz w:val="24"/>
                <w:szCs w:val="24"/>
              </w:rPr>
            </w:pPr>
            <w:r>
              <w:rPr>
                <w:rFonts w:ascii="Arial"/>
                <w:sz w:val="24"/>
              </w:rPr>
              <w:t>10,321,105</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5"/>
              <w:jc w:val="right"/>
              <w:rPr>
                <w:rFonts w:ascii="Arial" w:hAnsi="Arial" w:cs="Arial" w:eastAsia="Arial" w:hint="default"/>
                <w:sz w:val="24"/>
                <w:szCs w:val="24"/>
              </w:rPr>
            </w:pPr>
            <w:r>
              <w:rPr>
                <w:rFonts w:ascii="Arial"/>
                <w:spacing w:val="-1"/>
                <w:w w:val="95"/>
                <w:sz w:val="24"/>
              </w:rPr>
              <w:t>8,445,632</w:t>
            </w:r>
            <w:r>
              <w:rPr>
                <w:rFonts w:ascii="Arial"/>
                <w:sz w:val="24"/>
              </w:rPr>
            </w:r>
          </w:p>
        </w:tc>
      </w:tr>
      <w:tr>
        <w:trPr>
          <w:trHeight w:val="322"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left"/>
              <w:rPr>
                <w:rFonts w:ascii="宋体" w:hAnsi="宋体" w:cs="宋体" w:eastAsia="宋体" w:hint="default"/>
                <w:sz w:val="24"/>
                <w:szCs w:val="24"/>
              </w:rPr>
            </w:pPr>
            <w:r>
              <w:rPr>
                <w:rFonts w:ascii="宋体" w:hAnsi="宋体" w:cs="宋体" w:eastAsia="宋体" w:hint="default"/>
                <w:sz w:val="24"/>
                <w:szCs w:val="24"/>
              </w:rPr>
              <w:t>数码及</w:t>
            </w:r>
            <w:r>
              <w:rPr>
                <w:rFonts w:ascii="宋体" w:hAnsi="宋体" w:cs="宋体" w:eastAsia="宋体" w:hint="default"/>
                <w:spacing w:val="-60"/>
                <w:sz w:val="24"/>
                <w:szCs w:val="24"/>
              </w:rPr>
              <w:t> </w:t>
            </w:r>
            <w:r>
              <w:rPr>
                <w:rFonts w:ascii="Arial" w:hAnsi="Arial" w:cs="Arial" w:eastAsia="Arial" w:hint="default"/>
                <w:sz w:val="24"/>
                <w:szCs w:val="24"/>
              </w:rPr>
              <w:t>IT</w:t>
            </w:r>
            <w:r>
              <w:rPr>
                <w:rFonts w:ascii="Arial" w:hAnsi="Arial" w:cs="Arial" w:eastAsia="Arial" w:hint="default"/>
                <w:spacing w:val="-7"/>
                <w:sz w:val="24"/>
                <w:szCs w:val="24"/>
              </w:rPr>
              <w:t> </w:t>
            </w:r>
            <w:r>
              <w:rPr>
                <w:rFonts w:ascii="宋体" w:hAnsi="宋体" w:cs="宋体" w:eastAsia="宋体" w:hint="default"/>
                <w:sz w:val="24"/>
                <w:szCs w:val="24"/>
              </w:rPr>
              <w:t>产品</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9"/>
              <w:jc w:val="right"/>
              <w:rPr>
                <w:rFonts w:ascii="Arial" w:hAnsi="Arial" w:cs="Arial" w:eastAsia="Arial" w:hint="default"/>
                <w:sz w:val="24"/>
                <w:szCs w:val="24"/>
              </w:rPr>
            </w:pPr>
            <w:r>
              <w:rPr>
                <w:rFonts w:ascii="Arial"/>
                <w:spacing w:val="-1"/>
                <w:w w:val="95"/>
                <w:sz w:val="24"/>
              </w:rPr>
              <w:t>12,364,458</w:t>
            </w:r>
            <w:r>
              <w:rPr>
                <w:rFonts w:ascii="Arial"/>
                <w:sz w:val="24"/>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99" w:right="0"/>
              <w:jc w:val="left"/>
              <w:rPr>
                <w:rFonts w:ascii="Arial" w:hAnsi="Arial" w:cs="Arial" w:eastAsia="Arial" w:hint="default"/>
                <w:sz w:val="24"/>
                <w:szCs w:val="24"/>
              </w:rPr>
            </w:pPr>
            <w:r>
              <w:rPr>
                <w:rFonts w:ascii="Arial"/>
                <w:spacing w:val="-3"/>
                <w:sz w:val="24"/>
              </w:rPr>
              <w:t>11,460,497</w:t>
            </w:r>
            <w:r>
              <w:rPr>
                <w:rFonts w:ascii="Arial"/>
                <w:sz w:val="24"/>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8"/>
              <w:jc w:val="right"/>
              <w:rPr>
                <w:rFonts w:ascii="Arial" w:hAnsi="Arial" w:cs="Arial" w:eastAsia="Arial" w:hint="default"/>
                <w:sz w:val="24"/>
                <w:szCs w:val="24"/>
              </w:rPr>
            </w:pPr>
            <w:r>
              <w:rPr>
                <w:rFonts w:ascii="Arial"/>
                <w:spacing w:val="-1"/>
                <w:sz w:val="24"/>
              </w:rPr>
              <w:t>7,917,073</w:t>
            </w:r>
            <w:r>
              <w:rPr>
                <w:rFonts w:ascii="Arial"/>
                <w:sz w:val="24"/>
              </w:rPr>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5"/>
              <w:jc w:val="right"/>
              <w:rPr>
                <w:rFonts w:ascii="Arial" w:hAnsi="Arial" w:cs="Arial" w:eastAsia="Arial" w:hint="default"/>
                <w:sz w:val="24"/>
                <w:szCs w:val="24"/>
              </w:rPr>
            </w:pPr>
            <w:r>
              <w:rPr>
                <w:rFonts w:ascii="Arial"/>
                <w:spacing w:val="-1"/>
                <w:w w:val="95"/>
                <w:sz w:val="24"/>
              </w:rPr>
              <w:t>7,446,939</w:t>
            </w:r>
            <w:r>
              <w:rPr>
                <w:rFonts w:ascii="Arial"/>
                <w:sz w:val="24"/>
              </w:rPr>
            </w:r>
          </w:p>
        </w:tc>
      </w:tr>
      <w:tr>
        <w:trPr>
          <w:trHeight w:val="322"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67" w:lineRule="exact"/>
              <w:ind w:left="35" w:right="0"/>
              <w:jc w:val="left"/>
              <w:rPr>
                <w:rFonts w:ascii="宋体" w:hAnsi="宋体" w:cs="宋体" w:eastAsia="宋体" w:hint="default"/>
                <w:sz w:val="24"/>
                <w:szCs w:val="24"/>
              </w:rPr>
            </w:pPr>
            <w:r>
              <w:rPr>
                <w:rFonts w:ascii="宋体" w:hAnsi="宋体" w:cs="宋体" w:eastAsia="宋体" w:hint="default"/>
                <w:sz w:val="24"/>
                <w:szCs w:val="24"/>
              </w:rPr>
              <w:t>空调器产品</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9"/>
              <w:jc w:val="right"/>
              <w:rPr>
                <w:rFonts w:ascii="Arial" w:hAnsi="Arial" w:cs="Arial" w:eastAsia="Arial" w:hint="default"/>
                <w:sz w:val="24"/>
                <w:szCs w:val="24"/>
              </w:rPr>
            </w:pPr>
            <w:r>
              <w:rPr>
                <w:rFonts w:ascii="Arial"/>
                <w:spacing w:val="-1"/>
                <w:w w:val="95"/>
                <w:sz w:val="24"/>
              </w:rPr>
              <w:t>9,698,574</w:t>
            </w:r>
            <w:r>
              <w:rPr>
                <w:rFonts w:ascii="Arial"/>
                <w:sz w:val="24"/>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15" w:right="0"/>
              <w:jc w:val="left"/>
              <w:rPr>
                <w:rFonts w:ascii="Arial" w:hAnsi="Arial" w:cs="Arial" w:eastAsia="Arial" w:hint="default"/>
                <w:sz w:val="24"/>
                <w:szCs w:val="24"/>
              </w:rPr>
            </w:pPr>
            <w:r>
              <w:rPr>
                <w:rFonts w:ascii="Arial"/>
                <w:sz w:val="24"/>
              </w:rPr>
              <w:t>7,932,245</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8"/>
              <w:jc w:val="right"/>
              <w:rPr>
                <w:rFonts w:ascii="Arial" w:hAnsi="Arial" w:cs="Arial" w:eastAsia="Arial" w:hint="default"/>
                <w:sz w:val="24"/>
                <w:szCs w:val="24"/>
              </w:rPr>
            </w:pPr>
            <w:r>
              <w:rPr>
                <w:rFonts w:ascii="Arial"/>
                <w:spacing w:val="-1"/>
                <w:sz w:val="24"/>
              </w:rPr>
              <w:t>7,638,580</w:t>
            </w:r>
            <w:r>
              <w:rPr>
                <w:rFonts w:ascii="Arial"/>
                <w:sz w:val="24"/>
              </w:rPr>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5"/>
              <w:jc w:val="right"/>
              <w:rPr>
                <w:rFonts w:ascii="Arial" w:hAnsi="Arial" w:cs="Arial" w:eastAsia="Arial" w:hint="default"/>
                <w:sz w:val="24"/>
                <w:szCs w:val="24"/>
              </w:rPr>
            </w:pPr>
            <w:r>
              <w:rPr>
                <w:rFonts w:ascii="Arial"/>
                <w:spacing w:val="-1"/>
                <w:w w:val="95"/>
                <w:sz w:val="24"/>
              </w:rPr>
              <w:t>6,290,944</w:t>
            </w:r>
            <w:r>
              <w:rPr>
                <w:rFonts w:ascii="Arial"/>
                <w:sz w:val="24"/>
              </w:rPr>
            </w:r>
          </w:p>
        </w:tc>
      </w:tr>
      <w:tr>
        <w:trPr>
          <w:trHeight w:val="322"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66" w:lineRule="exact"/>
              <w:ind w:left="35" w:right="0"/>
              <w:jc w:val="left"/>
              <w:rPr>
                <w:rFonts w:ascii="宋体" w:hAnsi="宋体" w:cs="宋体" w:eastAsia="宋体" w:hint="default"/>
                <w:sz w:val="24"/>
                <w:szCs w:val="24"/>
              </w:rPr>
            </w:pPr>
            <w:r>
              <w:rPr>
                <w:rFonts w:ascii="宋体" w:hAnsi="宋体" w:cs="宋体" w:eastAsia="宋体" w:hint="default"/>
                <w:sz w:val="24"/>
                <w:szCs w:val="24"/>
              </w:rPr>
              <w:t>小家电产品</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9"/>
              <w:jc w:val="right"/>
              <w:rPr>
                <w:rFonts w:ascii="Arial" w:hAnsi="Arial" w:cs="Arial" w:eastAsia="Arial" w:hint="default"/>
                <w:sz w:val="24"/>
                <w:szCs w:val="24"/>
              </w:rPr>
            </w:pPr>
            <w:r>
              <w:rPr>
                <w:rFonts w:ascii="Arial"/>
                <w:spacing w:val="-1"/>
                <w:w w:val="95"/>
                <w:sz w:val="24"/>
              </w:rPr>
              <w:t>9,528,368</w:t>
            </w:r>
            <w:r>
              <w:rPr>
                <w:rFonts w:ascii="Arial"/>
                <w:sz w:val="24"/>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15" w:right="0"/>
              <w:jc w:val="left"/>
              <w:rPr>
                <w:rFonts w:ascii="Arial" w:hAnsi="Arial" w:cs="Arial" w:eastAsia="Arial" w:hint="default"/>
                <w:sz w:val="24"/>
                <w:szCs w:val="24"/>
              </w:rPr>
            </w:pPr>
            <w:r>
              <w:rPr>
                <w:rFonts w:ascii="Arial"/>
                <w:sz w:val="24"/>
              </w:rPr>
              <w:t>7,546,425</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8"/>
              <w:jc w:val="right"/>
              <w:rPr>
                <w:rFonts w:ascii="Arial" w:hAnsi="Arial" w:cs="Arial" w:eastAsia="Arial" w:hint="default"/>
                <w:sz w:val="24"/>
                <w:szCs w:val="24"/>
              </w:rPr>
            </w:pPr>
            <w:r>
              <w:rPr>
                <w:rFonts w:ascii="Arial"/>
                <w:spacing w:val="-1"/>
                <w:sz w:val="24"/>
              </w:rPr>
              <w:t>7,962,185</w:t>
            </w:r>
            <w:r>
              <w:rPr>
                <w:rFonts w:ascii="Arial"/>
                <w:sz w:val="24"/>
              </w:rPr>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5"/>
              <w:jc w:val="right"/>
              <w:rPr>
                <w:rFonts w:ascii="Arial" w:hAnsi="Arial" w:cs="Arial" w:eastAsia="Arial" w:hint="default"/>
                <w:sz w:val="24"/>
                <w:szCs w:val="24"/>
              </w:rPr>
            </w:pPr>
            <w:r>
              <w:rPr>
                <w:rFonts w:ascii="Arial"/>
                <w:spacing w:val="-1"/>
                <w:w w:val="95"/>
                <w:sz w:val="24"/>
              </w:rPr>
              <w:t>6,439,688</w:t>
            </w:r>
            <w:r>
              <w:rPr>
                <w:rFonts w:ascii="Arial"/>
                <w:sz w:val="24"/>
              </w:rPr>
            </w:r>
          </w:p>
        </w:tc>
      </w:tr>
      <w:tr>
        <w:trPr>
          <w:trHeight w:val="317"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66" w:lineRule="exact"/>
              <w:ind w:left="35" w:right="0"/>
              <w:jc w:val="left"/>
              <w:rPr>
                <w:rFonts w:ascii="宋体" w:hAnsi="宋体" w:cs="宋体" w:eastAsia="宋体" w:hint="default"/>
                <w:sz w:val="24"/>
                <w:szCs w:val="24"/>
              </w:rPr>
            </w:pPr>
            <w:r>
              <w:rPr>
                <w:rFonts w:ascii="宋体" w:hAnsi="宋体" w:cs="宋体" w:eastAsia="宋体" w:hint="default"/>
                <w:sz w:val="24"/>
                <w:szCs w:val="24"/>
              </w:rPr>
              <w:t>通讯产品</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9"/>
              <w:jc w:val="right"/>
              <w:rPr>
                <w:rFonts w:ascii="Arial" w:hAnsi="Arial" w:cs="Arial" w:eastAsia="Arial" w:hint="default"/>
                <w:sz w:val="24"/>
                <w:szCs w:val="24"/>
              </w:rPr>
            </w:pPr>
            <w:r>
              <w:rPr>
                <w:rFonts w:ascii="Arial"/>
                <w:spacing w:val="-1"/>
                <w:w w:val="95"/>
                <w:sz w:val="24"/>
              </w:rPr>
              <w:t>8,898,849</w:t>
            </w:r>
            <w:r>
              <w:rPr>
                <w:rFonts w:ascii="Arial"/>
                <w:sz w:val="24"/>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15" w:right="0"/>
              <w:jc w:val="left"/>
              <w:rPr>
                <w:rFonts w:ascii="Arial" w:hAnsi="Arial" w:cs="Arial" w:eastAsia="Arial" w:hint="default"/>
                <w:sz w:val="24"/>
                <w:szCs w:val="24"/>
              </w:rPr>
            </w:pPr>
            <w:r>
              <w:rPr>
                <w:rFonts w:ascii="Arial"/>
                <w:sz w:val="24"/>
              </w:rPr>
              <w:t>8,007,147</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8"/>
              <w:jc w:val="right"/>
              <w:rPr>
                <w:rFonts w:ascii="Arial" w:hAnsi="Arial" w:cs="Arial" w:eastAsia="Arial" w:hint="default"/>
                <w:sz w:val="24"/>
                <w:szCs w:val="24"/>
              </w:rPr>
            </w:pPr>
            <w:r>
              <w:rPr>
                <w:rFonts w:ascii="Arial"/>
                <w:spacing w:val="-1"/>
                <w:sz w:val="24"/>
              </w:rPr>
              <w:t>6,028,320</w:t>
            </w:r>
            <w:r>
              <w:rPr>
                <w:rFonts w:ascii="Arial"/>
                <w:sz w:val="24"/>
              </w:rPr>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5"/>
              <w:jc w:val="right"/>
              <w:rPr>
                <w:rFonts w:ascii="Arial" w:hAnsi="Arial" w:cs="Arial" w:eastAsia="Arial" w:hint="default"/>
                <w:sz w:val="24"/>
                <w:szCs w:val="24"/>
              </w:rPr>
            </w:pPr>
            <w:r>
              <w:rPr>
                <w:rFonts w:ascii="Arial"/>
                <w:spacing w:val="-1"/>
                <w:w w:val="95"/>
                <w:sz w:val="24"/>
              </w:rPr>
              <w:t>5,578,733</w:t>
            </w:r>
            <w:r>
              <w:rPr>
                <w:rFonts w:ascii="Arial"/>
                <w:sz w:val="24"/>
              </w:rPr>
            </w:r>
          </w:p>
        </w:tc>
      </w:tr>
      <w:tr>
        <w:trPr>
          <w:trHeight w:val="327"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安装维修业务</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7"/>
              <w:jc w:val="right"/>
              <w:rPr>
                <w:rFonts w:ascii="Arial" w:hAnsi="Arial" w:cs="Arial" w:eastAsia="Arial" w:hint="default"/>
                <w:sz w:val="24"/>
                <w:szCs w:val="24"/>
              </w:rPr>
            </w:pPr>
            <w:r>
              <w:rPr>
                <w:rFonts w:ascii="Arial"/>
                <w:spacing w:val="-1"/>
                <w:w w:val="95"/>
                <w:sz w:val="24"/>
              </w:rPr>
              <w:t>854,589</w:t>
            </w:r>
            <w:r>
              <w:rPr>
                <w:rFonts w:ascii="Arial"/>
                <w:sz w:val="24"/>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16" w:right="0"/>
              <w:jc w:val="left"/>
              <w:rPr>
                <w:rFonts w:ascii="Arial" w:hAnsi="Arial" w:cs="Arial" w:eastAsia="Arial" w:hint="default"/>
                <w:sz w:val="24"/>
                <w:szCs w:val="24"/>
              </w:rPr>
            </w:pPr>
            <w:r>
              <w:rPr>
                <w:rFonts w:ascii="Arial"/>
                <w:sz w:val="24"/>
              </w:rPr>
              <w:t>586,434</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8"/>
              <w:jc w:val="right"/>
              <w:rPr>
                <w:rFonts w:ascii="Arial" w:hAnsi="Arial" w:cs="Arial" w:eastAsia="Arial" w:hint="default"/>
                <w:sz w:val="24"/>
                <w:szCs w:val="24"/>
              </w:rPr>
            </w:pPr>
            <w:r>
              <w:rPr>
                <w:rFonts w:ascii="Arial"/>
                <w:spacing w:val="-1"/>
                <w:w w:val="95"/>
                <w:sz w:val="24"/>
              </w:rPr>
              <w:t>524,091</w:t>
            </w:r>
            <w:r>
              <w:rPr>
                <w:rFonts w:ascii="Arial"/>
                <w:sz w:val="24"/>
              </w:rPr>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314,010</w:t>
            </w:r>
            <w:r>
              <w:rPr>
                <w:rFonts w:ascii="Arial"/>
                <w:sz w:val="24"/>
              </w:rPr>
            </w:r>
          </w:p>
        </w:tc>
      </w:tr>
      <w:tr>
        <w:trPr>
          <w:trHeight w:val="299" w:hRule="exact"/>
        </w:trPr>
        <w:tc>
          <w:tcPr>
            <w:tcW w:w="3623" w:type="dxa"/>
            <w:gridSpan w:val="2"/>
            <w:tcBorders>
              <w:top w:val="nil" w:sz="6" w:space="0" w:color="auto"/>
              <w:left w:val="nil" w:sz="6" w:space="0" w:color="auto"/>
              <w:bottom w:val="nil" w:sz="6" w:space="0" w:color="auto"/>
              <w:right w:val="nil" w:sz="6" w:space="0" w:color="auto"/>
            </w:tcBorders>
          </w:tcPr>
          <w:p>
            <w:pPr>
              <w:pStyle w:val="TableParagraph"/>
              <w:tabs>
                <w:tab w:pos="1809" w:val="left" w:leader="none"/>
                <w:tab w:pos="2536" w:val="left" w:leader="none"/>
                <w:tab w:pos="3504" w:val="left" w:leader="none"/>
              </w:tabs>
              <w:spacing w:line="281" w:lineRule="exact"/>
              <w:ind w:left="35" w:right="0"/>
              <w:jc w:val="left"/>
              <w:rPr>
                <w:rFonts w:ascii="Arial" w:hAnsi="Arial" w:cs="Arial" w:eastAsia="Arial" w:hint="default"/>
                <w:sz w:val="24"/>
                <w:szCs w:val="24"/>
              </w:rPr>
            </w:pPr>
            <w:r>
              <w:rPr>
                <w:rFonts w:ascii="宋体" w:hAnsi="宋体" w:cs="宋体" w:eastAsia="宋体" w:hint="default"/>
                <w:position w:val="2"/>
                <w:sz w:val="24"/>
                <w:szCs w:val="24"/>
              </w:rPr>
              <w:t>其他产品</w:t>
              <w:tab/>
            </w:r>
            <w:r>
              <w:rPr>
                <w:rFonts w:ascii="Arial" w:hAnsi="Arial" w:cs="Arial" w:eastAsia="Arial" w:hint="default"/>
                <w:sz w:val="24"/>
                <w:szCs w:val="24"/>
              </w:rPr>
            </w:r>
            <w:r>
              <w:rPr>
                <w:rFonts w:ascii="Arial" w:hAnsi="Arial" w:cs="Arial" w:eastAsia="Arial" w:hint="default"/>
                <w:sz w:val="24"/>
                <w:szCs w:val="24"/>
                <w:u w:val="single" w:color="000000"/>
              </w:rPr>
              <w:t> </w:t>
              <w:tab/>
              <w:t>231,876</w:t>
              <w:tab/>
            </w:r>
            <w:r>
              <w:rPr>
                <w:rFonts w:ascii="Arial" w:hAnsi="Arial" w:cs="Arial" w:eastAsia="Arial" w:hint="default"/>
                <w:sz w:val="24"/>
                <w:szCs w:val="24"/>
              </w:rPr>
            </w:r>
          </w:p>
        </w:tc>
        <w:tc>
          <w:tcPr>
            <w:tcW w:w="1903" w:type="dxa"/>
            <w:tcBorders>
              <w:top w:val="nil" w:sz="6" w:space="0" w:color="auto"/>
              <w:left w:val="nil" w:sz="6" w:space="0" w:color="auto"/>
              <w:bottom w:val="nil" w:sz="6" w:space="0" w:color="auto"/>
              <w:right w:val="nil" w:sz="6" w:space="0" w:color="auto"/>
            </w:tcBorders>
          </w:tcPr>
          <w:p>
            <w:pPr>
              <w:pStyle w:val="TableParagraph"/>
              <w:tabs>
                <w:tab w:pos="697" w:val="left" w:leader="none"/>
                <w:tab w:pos="1665" w:val="left" w:leader="none"/>
              </w:tabs>
              <w:spacing w:line="240" w:lineRule="auto" w:before="5"/>
              <w:ind w:right="11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231,302</w:t>
              <w:tab/>
            </w:r>
            <w:r>
              <w:rPr>
                <w:rFonts w:ascii="Arial"/>
                <w:spacing w:val="-1"/>
                <w:sz w:val="24"/>
              </w:rPr>
            </w:r>
          </w:p>
        </w:tc>
        <w:tc>
          <w:tcPr>
            <w:tcW w:w="1918" w:type="dxa"/>
            <w:tcBorders>
              <w:top w:val="nil" w:sz="6" w:space="0" w:color="auto"/>
              <w:left w:val="nil" w:sz="6" w:space="0" w:color="auto"/>
              <w:bottom w:val="nil" w:sz="6" w:space="0" w:color="auto"/>
              <w:right w:val="nil" w:sz="6" w:space="0" w:color="auto"/>
            </w:tcBorders>
          </w:tcPr>
          <w:p>
            <w:pPr>
              <w:pStyle w:val="TableParagraph"/>
              <w:tabs>
                <w:tab w:pos="845" w:val="left" w:leader="none"/>
                <w:tab w:pos="1679" w:val="left" w:leader="none"/>
              </w:tabs>
              <w:spacing w:line="240" w:lineRule="auto" w:before="5"/>
              <w:ind w:right="11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99,825</w:t>
              <w:tab/>
            </w:r>
            <w:r>
              <w:rPr>
                <w:rFonts w:ascii="Arial"/>
                <w:spacing w:val="-1"/>
                <w:sz w:val="24"/>
              </w:rPr>
            </w:r>
          </w:p>
        </w:tc>
        <w:tc>
          <w:tcPr>
            <w:tcW w:w="1867" w:type="dxa"/>
            <w:tcBorders>
              <w:top w:val="nil" w:sz="6" w:space="0" w:color="auto"/>
              <w:left w:val="nil" w:sz="6" w:space="0" w:color="auto"/>
              <w:bottom w:val="nil" w:sz="6" w:space="0" w:color="auto"/>
              <w:right w:val="nil" w:sz="6" w:space="0" w:color="auto"/>
            </w:tcBorders>
          </w:tcPr>
          <w:p>
            <w:pPr>
              <w:pStyle w:val="TableParagraph"/>
              <w:tabs>
                <w:tab w:pos="878" w:val="left" w:leader="none"/>
                <w:tab w:pos="1713" w:val="left" w:leader="none"/>
              </w:tabs>
              <w:spacing w:line="240" w:lineRule="auto" w:before="5"/>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31,223</w:t>
              <w:tab/>
            </w:r>
            <w:r>
              <w:rPr>
                <w:rFonts w:ascii="Arial"/>
                <w:spacing w:val="-1"/>
                <w:sz w:val="24"/>
              </w:rPr>
            </w:r>
          </w:p>
        </w:tc>
      </w:tr>
      <w:tr>
        <w:trPr>
          <w:trHeight w:val="363" w:hRule="exact"/>
        </w:trPr>
        <w:tc>
          <w:tcPr>
            <w:tcW w:w="3623" w:type="dxa"/>
            <w:gridSpan w:val="2"/>
            <w:tcBorders>
              <w:top w:val="nil" w:sz="6" w:space="0" w:color="auto"/>
              <w:left w:val="nil" w:sz="6" w:space="0" w:color="auto"/>
              <w:bottom w:val="nil" w:sz="6" w:space="0" w:color="auto"/>
              <w:right w:val="nil" w:sz="6" w:space="0" w:color="auto"/>
            </w:tcBorders>
          </w:tcPr>
          <w:p>
            <w:pPr>
              <w:pStyle w:val="TableParagraph"/>
              <w:tabs>
                <w:tab w:pos="2202" w:val="left" w:leader="none"/>
                <w:tab w:pos="3504" w:val="left" w:leader="none"/>
              </w:tabs>
              <w:spacing w:line="268" w:lineRule="exact"/>
              <w:ind w:left="1809"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74,227,457</w:t>
              <w:tab/>
            </w:r>
            <w:r>
              <w:rPr>
                <w:rFonts w:ascii="Arial"/>
                <w:sz w:val="24"/>
              </w:rPr>
            </w:r>
          </w:p>
        </w:tc>
        <w:tc>
          <w:tcPr>
            <w:tcW w:w="1903" w:type="dxa"/>
            <w:tcBorders>
              <w:top w:val="nil" w:sz="6" w:space="0" w:color="auto"/>
              <w:left w:val="nil" w:sz="6" w:space="0" w:color="auto"/>
              <w:bottom w:val="nil" w:sz="6" w:space="0" w:color="auto"/>
              <w:right w:val="nil" w:sz="6" w:space="0" w:color="auto"/>
            </w:tcBorders>
          </w:tcPr>
          <w:p>
            <w:pPr>
              <w:pStyle w:val="TableParagraph"/>
              <w:tabs>
                <w:tab w:pos="362" w:val="left" w:leader="none"/>
                <w:tab w:pos="1665" w:val="left" w:leader="none"/>
              </w:tabs>
              <w:spacing w:line="268" w:lineRule="exact"/>
              <w:ind w:right="116"/>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61,915,817</w:t>
              <w:tab/>
            </w:r>
            <w:r>
              <w:rPr>
                <w:rFonts w:ascii="Arial"/>
                <w:spacing w:val="-1"/>
                <w:sz w:val="24"/>
              </w:rPr>
            </w:r>
          </w:p>
        </w:tc>
        <w:tc>
          <w:tcPr>
            <w:tcW w:w="1918" w:type="dxa"/>
            <w:tcBorders>
              <w:top w:val="nil" w:sz="6" w:space="0" w:color="auto"/>
              <w:left w:val="nil" w:sz="6" w:space="0" w:color="auto"/>
              <w:bottom w:val="nil" w:sz="6" w:space="0" w:color="auto"/>
              <w:right w:val="nil" w:sz="6" w:space="0" w:color="auto"/>
            </w:tcBorders>
          </w:tcPr>
          <w:p>
            <w:pPr>
              <w:pStyle w:val="TableParagraph"/>
              <w:tabs>
                <w:tab w:pos="376" w:val="left" w:leader="none"/>
                <w:tab w:pos="1679" w:val="left" w:leader="none"/>
              </w:tabs>
              <w:spacing w:line="268" w:lineRule="exact"/>
              <w:ind w:right="116"/>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57,037,054</w:t>
              <w:tab/>
            </w:r>
            <w:r>
              <w:rPr>
                <w:rFonts w:ascii="Arial"/>
                <w:spacing w:val="-1"/>
                <w:sz w:val="24"/>
              </w:rPr>
            </w:r>
          </w:p>
        </w:tc>
        <w:tc>
          <w:tcPr>
            <w:tcW w:w="1867" w:type="dxa"/>
            <w:tcBorders>
              <w:top w:val="nil" w:sz="6" w:space="0" w:color="auto"/>
              <w:left w:val="nil" w:sz="6" w:space="0" w:color="auto"/>
              <w:bottom w:val="nil" w:sz="6" w:space="0" w:color="auto"/>
              <w:right w:val="nil" w:sz="6" w:space="0" w:color="auto"/>
            </w:tcBorders>
          </w:tcPr>
          <w:p>
            <w:pPr>
              <w:pStyle w:val="TableParagraph"/>
              <w:tabs>
                <w:tab w:pos="410" w:val="left" w:leader="none"/>
                <w:tab w:pos="1713"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48,105,321</w:t>
              <w:tab/>
            </w:r>
            <w:r>
              <w:rPr>
                <w:rFonts w:ascii="Arial"/>
                <w:spacing w:val="-1"/>
                <w:sz w:val="24"/>
              </w:rPr>
            </w:r>
          </w:p>
        </w:tc>
      </w:tr>
    </w:tbl>
    <w:p>
      <w:pPr>
        <w:spacing w:after="0" w:line="268" w:lineRule="exact"/>
        <w:jc w:val="right"/>
        <w:rPr>
          <w:rFonts w:ascii="Arial" w:hAnsi="Arial" w:cs="Arial" w:eastAsia="Arial" w:hint="default"/>
          <w:sz w:val="24"/>
          <w:szCs w:val="24"/>
        </w:rPr>
        <w:sectPr>
          <w:pgSz w:w="11910" w:h="16840"/>
          <w:pgMar w:header="0" w:footer="947" w:top="2300" w:bottom="1140" w:left="940" w:right="720"/>
        </w:sectPr>
      </w:pPr>
    </w:p>
    <w:p>
      <w:pPr>
        <w:spacing w:line="240" w:lineRule="auto" w:before="6"/>
        <w:rPr>
          <w:rFonts w:ascii="宋体" w:hAnsi="宋体" w:cs="宋体" w:eastAsia="宋体" w:hint="default"/>
          <w:sz w:val="13"/>
          <w:szCs w:val="13"/>
        </w:rPr>
      </w:pPr>
    </w:p>
    <w:p>
      <w:pPr>
        <w:pStyle w:val="Heading2"/>
        <w:tabs>
          <w:tab w:pos="763" w:val="left" w:leader="none"/>
        </w:tabs>
        <w:spacing w:line="240" w:lineRule="auto"/>
        <w:ind w:left="135" w:right="0"/>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27" w:val="left" w:leader="none"/>
        </w:tabs>
        <w:spacing w:before="0"/>
        <w:ind w:left="118" w:right="0" w:firstLine="0"/>
        <w:jc w:val="left"/>
        <w:rPr>
          <w:rFonts w:ascii="Arial" w:hAnsi="Arial" w:cs="Arial" w:eastAsia="Arial" w:hint="default"/>
          <w:sz w:val="24"/>
          <w:szCs w:val="24"/>
        </w:rPr>
      </w:pPr>
      <w:r>
        <w:rPr>
          <w:rFonts w:ascii="Arial" w:hAnsi="Arial" w:cs="Arial" w:eastAsia="Arial" w:hint="default"/>
          <w:w w:val="95"/>
          <w:position w:val="2"/>
          <w:sz w:val="24"/>
          <w:szCs w:val="24"/>
        </w:rPr>
        <w:t>(36)</w:t>
        <w:tab/>
      </w:r>
      <w:r>
        <w:rPr>
          <w:rFonts w:ascii="宋体" w:hAnsi="宋体" w:cs="宋体" w:eastAsia="宋体" w:hint="default"/>
          <w:b/>
          <w:bCs/>
          <w:sz w:val="24"/>
          <w:szCs w:val="24"/>
        </w:rPr>
        <w:t>营业收入和营业成本</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27" w:val="left" w:leader="none"/>
        </w:tabs>
        <w:spacing w:line="427" w:lineRule="auto"/>
        <w:ind w:left="827" w:right="5874" w:hanging="710"/>
        <w:jc w:val="left"/>
      </w:pPr>
      <w:r>
        <w:rPr>
          <w:rFonts w:ascii="Arial" w:hAnsi="Arial" w:cs="Arial" w:eastAsia="Arial" w:hint="default"/>
          <w:w w:val="95"/>
          <w:position w:val="2"/>
        </w:rPr>
        <w:t>(a)</w:t>
        <w:tab/>
      </w:r>
      <w:r>
        <w:rPr/>
        <w:t>主营业务收入和主营业务成本</w:t>
      </w:r>
      <w:r>
        <w:rPr>
          <w:rFonts w:ascii="Arial" w:hAnsi="Arial" w:cs="Arial" w:eastAsia="Arial" w:hint="default"/>
        </w:rPr>
        <w:t>(</w:t>
      </w:r>
      <w:r>
        <w:rPr/>
        <w:t>续</w:t>
      </w:r>
      <w:r>
        <w:rPr>
          <w:rFonts w:ascii="Arial" w:hAnsi="Arial" w:cs="Arial" w:eastAsia="Arial" w:hint="default"/>
        </w:rPr>
        <w:t>) </w:t>
      </w:r>
      <w:r>
        <w:rPr/>
        <w:t>按地区分析如下：</w:t>
      </w:r>
    </w:p>
    <w:p>
      <w:pPr>
        <w:pStyle w:val="BodyText"/>
        <w:tabs>
          <w:tab w:pos="7727" w:val="left" w:leader="none"/>
        </w:tabs>
        <w:spacing w:line="240" w:lineRule="auto" w:before="86"/>
        <w:ind w:left="3871" w:right="0"/>
        <w:jc w:val="left"/>
      </w:pPr>
      <w:r>
        <w:rPr>
          <w:rFonts w:ascii="Arial" w:hAnsi="Arial" w:cs="Arial" w:eastAsia="Arial" w:hint="default"/>
        </w:rPr>
        <w:t>2010</w:t>
      </w:r>
      <w:r>
        <w:rPr>
          <w:rFonts w:ascii="Arial" w:hAnsi="Arial" w:cs="Arial" w:eastAsia="Arial" w:hint="default"/>
          <w:spacing w:val="-11"/>
        </w:rPr>
        <w:t> </w:t>
      </w:r>
      <w:r>
        <w:rPr/>
        <w:t>年度</w:t>
        <w:tab/>
      </w:r>
      <w:r>
        <w:rPr>
          <w:rFonts w:ascii="Arial" w:hAnsi="Arial" w:cs="Arial" w:eastAsia="Arial" w:hint="default"/>
        </w:rPr>
        <w:t>2009</w:t>
      </w:r>
      <w:r>
        <w:rPr>
          <w:rFonts w:ascii="Arial" w:hAnsi="Arial" w:cs="Arial" w:eastAsia="Arial" w:hint="default"/>
          <w:spacing w:val="-11"/>
        </w:rPr>
        <w:t> </w:t>
      </w:r>
      <w:r>
        <w:rPr/>
        <w:t>年度</w:t>
      </w:r>
    </w:p>
    <w:p>
      <w:pPr>
        <w:spacing w:line="240" w:lineRule="auto" w:before="8"/>
        <w:rPr>
          <w:rFonts w:ascii="宋体" w:hAnsi="宋体" w:cs="宋体" w:eastAsia="宋体" w:hint="default"/>
          <w:sz w:val="2"/>
          <w:szCs w:val="2"/>
        </w:rPr>
      </w:pPr>
    </w:p>
    <w:tbl>
      <w:tblPr>
        <w:tblW w:w="0" w:type="auto"/>
        <w:jc w:val="left"/>
        <w:tblInd w:w="793" w:type="dxa"/>
        <w:tblLayout w:type="fixed"/>
        <w:tblCellMar>
          <w:top w:w="0" w:type="dxa"/>
          <w:left w:w="0" w:type="dxa"/>
          <w:bottom w:w="0" w:type="dxa"/>
          <w:right w:w="0" w:type="dxa"/>
        </w:tblCellMar>
        <w:tblLook w:val="01E0"/>
      </w:tblPr>
      <w:tblGrid>
        <w:gridCol w:w="1768"/>
        <w:gridCol w:w="1855"/>
        <w:gridCol w:w="1903"/>
        <w:gridCol w:w="1918"/>
        <w:gridCol w:w="1883"/>
      </w:tblGrid>
      <w:tr>
        <w:trPr>
          <w:trHeight w:val="949"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华东一区</w:t>
            </w:r>
          </w:p>
        </w:tc>
        <w:tc>
          <w:tcPr>
            <w:tcW w:w="1855" w:type="dxa"/>
            <w:tcBorders>
              <w:top w:val="nil" w:sz="6" w:space="0" w:color="auto"/>
              <w:left w:val="nil" w:sz="6" w:space="0" w:color="auto"/>
              <w:bottom w:val="nil" w:sz="6" w:space="0" w:color="auto"/>
              <w:right w:val="nil" w:sz="6" w:space="0" w:color="auto"/>
            </w:tcBorders>
          </w:tcPr>
          <w:p>
            <w:pPr>
              <w:pStyle w:val="TableParagraph"/>
              <w:spacing w:line="270" w:lineRule="exact"/>
              <w:ind w:left="434" w:right="0" w:hanging="239"/>
              <w:jc w:val="left"/>
              <w:rPr>
                <w:rFonts w:ascii="宋体" w:hAnsi="宋体" w:cs="宋体" w:eastAsia="宋体" w:hint="default"/>
                <w:sz w:val="24"/>
                <w:szCs w:val="24"/>
              </w:rPr>
            </w:pPr>
            <w:r>
              <w:rPr>
                <w:rFonts w:ascii="宋体" w:hAnsi="宋体" w:cs="宋体" w:eastAsia="宋体" w:hint="default"/>
                <w:sz w:val="24"/>
                <w:szCs w:val="24"/>
              </w:rPr>
              <w:t>主营业务收入</w:t>
            </w: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34" w:right="0"/>
              <w:jc w:val="left"/>
              <w:rPr>
                <w:rFonts w:ascii="Arial" w:hAnsi="Arial" w:cs="Arial" w:eastAsia="Arial" w:hint="default"/>
                <w:sz w:val="24"/>
                <w:szCs w:val="24"/>
              </w:rPr>
            </w:pPr>
            <w:r>
              <w:rPr>
                <w:rFonts w:ascii="Arial"/>
                <w:sz w:val="24"/>
              </w:rPr>
              <w:t>17,442,207</w:t>
            </w:r>
          </w:p>
        </w:tc>
        <w:tc>
          <w:tcPr>
            <w:tcW w:w="1903" w:type="dxa"/>
            <w:tcBorders>
              <w:top w:val="nil" w:sz="6" w:space="0" w:color="auto"/>
              <w:left w:val="nil" w:sz="6" w:space="0" w:color="auto"/>
              <w:bottom w:val="nil" w:sz="6" w:space="0" w:color="auto"/>
              <w:right w:val="nil" w:sz="6" w:space="0" w:color="auto"/>
            </w:tcBorders>
          </w:tcPr>
          <w:p>
            <w:pPr>
              <w:pStyle w:val="TableParagraph"/>
              <w:spacing w:line="270" w:lineRule="exact"/>
              <w:ind w:left="492" w:right="0" w:hanging="250"/>
              <w:jc w:val="left"/>
              <w:rPr>
                <w:rFonts w:ascii="宋体" w:hAnsi="宋体" w:cs="宋体" w:eastAsia="宋体" w:hint="default"/>
                <w:sz w:val="24"/>
                <w:szCs w:val="24"/>
              </w:rPr>
            </w:pPr>
            <w:r>
              <w:rPr>
                <w:rFonts w:ascii="宋体" w:hAnsi="宋体" w:cs="宋体" w:eastAsia="宋体" w:hint="default"/>
                <w:sz w:val="24"/>
                <w:szCs w:val="24"/>
              </w:rPr>
              <w:t>主营业务成本</w:t>
            </w: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92" w:right="0"/>
              <w:jc w:val="left"/>
              <w:rPr>
                <w:rFonts w:ascii="Arial" w:hAnsi="Arial" w:cs="Arial" w:eastAsia="Arial" w:hint="default"/>
                <w:sz w:val="24"/>
                <w:szCs w:val="24"/>
              </w:rPr>
            </w:pPr>
            <w:r>
              <w:rPr>
                <w:rFonts w:ascii="Arial"/>
                <w:sz w:val="24"/>
              </w:rPr>
              <w:t>14,909,226</w:t>
            </w:r>
          </w:p>
        </w:tc>
        <w:tc>
          <w:tcPr>
            <w:tcW w:w="1918" w:type="dxa"/>
            <w:tcBorders>
              <w:top w:val="nil" w:sz="6" w:space="0" w:color="auto"/>
              <w:left w:val="nil" w:sz="6" w:space="0" w:color="auto"/>
              <w:bottom w:val="nil" w:sz="6" w:space="0" w:color="auto"/>
              <w:right w:val="nil" w:sz="6" w:space="0" w:color="auto"/>
            </w:tcBorders>
          </w:tcPr>
          <w:p>
            <w:pPr>
              <w:pStyle w:val="TableParagraph"/>
              <w:spacing w:line="270" w:lineRule="exact"/>
              <w:ind w:left="505" w:right="0" w:hanging="248"/>
              <w:jc w:val="left"/>
              <w:rPr>
                <w:rFonts w:ascii="宋体" w:hAnsi="宋体" w:cs="宋体" w:eastAsia="宋体" w:hint="default"/>
                <w:sz w:val="24"/>
                <w:szCs w:val="24"/>
              </w:rPr>
            </w:pPr>
            <w:r>
              <w:rPr>
                <w:rFonts w:ascii="宋体" w:hAnsi="宋体" w:cs="宋体" w:eastAsia="宋体" w:hint="default"/>
                <w:sz w:val="24"/>
                <w:szCs w:val="24"/>
              </w:rPr>
              <w:t>主营业务收入</w:t>
            </w: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05" w:right="0"/>
              <w:jc w:val="left"/>
              <w:rPr>
                <w:rFonts w:ascii="Arial" w:hAnsi="Arial" w:cs="Arial" w:eastAsia="Arial" w:hint="default"/>
                <w:sz w:val="24"/>
                <w:szCs w:val="24"/>
              </w:rPr>
            </w:pPr>
            <w:r>
              <w:rPr>
                <w:rFonts w:ascii="Arial"/>
                <w:sz w:val="24"/>
              </w:rPr>
              <w:t>13,216,497</w:t>
            </w:r>
          </w:p>
        </w:tc>
        <w:tc>
          <w:tcPr>
            <w:tcW w:w="1883" w:type="dxa"/>
            <w:tcBorders>
              <w:top w:val="nil" w:sz="6" w:space="0" w:color="auto"/>
              <w:left w:val="nil" w:sz="6" w:space="0" w:color="auto"/>
              <w:bottom w:val="nil" w:sz="6" w:space="0" w:color="auto"/>
              <w:right w:val="nil" w:sz="6" w:space="0" w:color="auto"/>
            </w:tcBorders>
          </w:tcPr>
          <w:p>
            <w:pPr>
              <w:pStyle w:val="TableParagraph"/>
              <w:spacing w:line="270" w:lineRule="exact"/>
              <w:ind w:left="553" w:right="0" w:hanging="254"/>
              <w:jc w:val="left"/>
              <w:rPr>
                <w:rFonts w:ascii="宋体" w:hAnsi="宋体" w:cs="宋体" w:eastAsia="宋体" w:hint="default"/>
                <w:sz w:val="24"/>
                <w:szCs w:val="24"/>
              </w:rPr>
            </w:pPr>
            <w:r>
              <w:rPr>
                <w:rFonts w:ascii="宋体" w:hAnsi="宋体" w:cs="宋体" w:eastAsia="宋体" w:hint="default"/>
                <w:sz w:val="24"/>
                <w:szCs w:val="24"/>
              </w:rPr>
              <w:t>主营业务成本</w:t>
            </w: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53" w:right="0"/>
              <w:jc w:val="left"/>
              <w:rPr>
                <w:rFonts w:ascii="Arial" w:hAnsi="Arial" w:cs="Arial" w:eastAsia="Arial" w:hint="default"/>
                <w:sz w:val="24"/>
                <w:szCs w:val="24"/>
              </w:rPr>
            </w:pPr>
            <w:r>
              <w:rPr>
                <w:rFonts w:ascii="Arial"/>
                <w:spacing w:val="-3"/>
                <w:sz w:val="24"/>
              </w:rPr>
              <w:t>11,243,504</w:t>
            </w:r>
            <w:r>
              <w:rPr>
                <w:rFonts w:ascii="Arial"/>
                <w:sz w:val="24"/>
              </w:rPr>
            </w:r>
          </w:p>
        </w:tc>
      </w:tr>
      <w:tr>
        <w:trPr>
          <w:trHeight w:val="322"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267" w:lineRule="exact"/>
              <w:ind w:left="35" w:right="0"/>
              <w:jc w:val="left"/>
              <w:rPr>
                <w:rFonts w:ascii="宋体" w:hAnsi="宋体" w:cs="宋体" w:eastAsia="宋体" w:hint="default"/>
                <w:sz w:val="24"/>
                <w:szCs w:val="24"/>
              </w:rPr>
            </w:pPr>
            <w:r>
              <w:rPr>
                <w:rFonts w:ascii="宋体" w:hAnsi="宋体" w:cs="宋体" w:eastAsia="宋体" w:hint="default"/>
                <w:sz w:val="24"/>
                <w:szCs w:val="24"/>
              </w:rPr>
              <w:t>华东二区</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9"/>
              <w:jc w:val="right"/>
              <w:rPr>
                <w:rFonts w:ascii="Arial" w:hAnsi="Arial" w:cs="Arial" w:eastAsia="Arial" w:hint="default"/>
                <w:sz w:val="24"/>
                <w:szCs w:val="24"/>
              </w:rPr>
            </w:pPr>
            <w:r>
              <w:rPr>
                <w:rFonts w:ascii="Arial"/>
                <w:spacing w:val="-1"/>
                <w:w w:val="95"/>
                <w:sz w:val="24"/>
              </w:rPr>
              <w:t>13,581,781</w:t>
            </w:r>
            <w:r>
              <w:rPr>
                <w:rFonts w:ascii="Arial"/>
                <w:sz w:val="24"/>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10" w:right="0"/>
              <w:jc w:val="left"/>
              <w:rPr>
                <w:rFonts w:ascii="Arial" w:hAnsi="Arial" w:cs="Arial" w:eastAsia="Arial" w:hint="default"/>
                <w:sz w:val="24"/>
                <w:szCs w:val="24"/>
              </w:rPr>
            </w:pPr>
            <w:r>
              <w:rPr>
                <w:rFonts w:ascii="Arial"/>
                <w:spacing w:val="-3"/>
                <w:sz w:val="24"/>
              </w:rPr>
              <w:t>11,170,193</w:t>
            </w:r>
            <w:r>
              <w:rPr>
                <w:rFonts w:ascii="Arial"/>
                <w:sz w:val="24"/>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05" w:right="0"/>
              <w:jc w:val="left"/>
              <w:rPr>
                <w:rFonts w:ascii="Arial" w:hAnsi="Arial" w:cs="Arial" w:eastAsia="Arial" w:hint="default"/>
                <w:sz w:val="24"/>
                <w:szCs w:val="24"/>
              </w:rPr>
            </w:pPr>
            <w:r>
              <w:rPr>
                <w:rFonts w:ascii="Arial"/>
                <w:sz w:val="24"/>
              </w:rPr>
              <w:t>10,945,392</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5"/>
              <w:jc w:val="right"/>
              <w:rPr>
                <w:rFonts w:ascii="Arial" w:hAnsi="Arial" w:cs="Arial" w:eastAsia="Arial" w:hint="default"/>
                <w:sz w:val="24"/>
                <w:szCs w:val="24"/>
              </w:rPr>
            </w:pPr>
            <w:r>
              <w:rPr>
                <w:rFonts w:ascii="Arial"/>
                <w:w w:val="95"/>
                <w:sz w:val="24"/>
              </w:rPr>
              <w:t>9,194,652</w:t>
            </w:r>
            <w:r>
              <w:rPr>
                <w:rFonts w:ascii="Arial"/>
                <w:sz w:val="24"/>
              </w:rPr>
            </w:r>
          </w:p>
        </w:tc>
      </w:tr>
      <w:tr>
        <w:trPr>
          <w:trHeight w:val="322"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266" w:lineRule="exact"/>
              <w:ind w:left="35" w:right="0"/>
              <w:jc w:val="left"/>
              <w:rPr>
                <w:rFonts w:ascii="宋体" w:hAnsi="宋体" w:cs="宋体" w:eastAsia="宋体" w:hint="default"/>
                <w:sz w:val="24"/>
                <w:szCs w:val="24"/>
              </w:rPr>
            </w:pPr>
            <w:r>
              <w:rPr>
                <w:rFonts w:ascii="宋体" w:hAnsi="宋体" w:cs="宋体" w:eastAsia="宋体" w:hint="default"/>
                <w:sz w:val="24"/>
                <w:szCs w:val="24"/>
              </w:rPr>
              <w:t>华北地区</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9"/>
              <w:jc w:val="right"/>
              <w:rPr>
                <w:rFonts w:ascii="Arial" w:hAnsi="Arial" w:cs="Arial" w:eastAsia="Arial" w:hint="default"/>
                <w:sz w:val="24"/>
                <w:szCs w:val="24"/>
              </w:rPr>
            </w:pPr>
            <w:r>
              <w:rPr>
                <w:rFonts w:ascii="Arial"/>
                <w:spacing w:val="-3"/>
                <w:sz w:val="24"/>
              </w:rPr>
              <w:t>11,707,477</w:t>
            </w:r>
            <w:r>
              <w:rPr>
                <w:rFonts w:ascii="Arial"/>
                <w:sz w:val="24"/>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25" w:right="0"/>
              <w:jc w:val="left"/>
              <w:rPr>
                <w:rFonts w:ascii="Arial" w:hAnsi="Arial" w:cs="Arial" w:eastAsia="Arial" w:hint="default"/>
                <w:sz w:val="24"/>
                <w:szCs w:val="24"/>
              </w:rPr>
            </w:pPr>
            <w:r>
              <w:rPr>
                <w:rFonts w:ascii="Arial"/>
                <w:sz w:val="24"/>
              </w:rPr>
              <w:t>9,728,991</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8"/>
              <w:jc w:val="right"/>
              <w:rPr>
                <w:rFonts w:ascii="Arial" w:hAnsi="Arial" w:cs="Arial" w:eastAsia="Arial" w:hint="default"/>
                <w:sz w:val="24"/>
                <w:szCs w:val="24"/>
              </w:rPr>
            </w:pPr>
            <w:r>
              <w:rPr>
                <w:rFonts w:ascii="Arial"/>
                <w:spacing w:val="-1"/>
                <w:sz w:val="24"/>
              </w:rPr>
              <w:t>9,494,030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5"/>
              <w:jc w:val="right"/>
              <w:rPr>
                <w:rFonts w:ascii="Arial" w:hAnsi="Arial" w:cs="Arial" w:eastAsia="Arial" w:hint="default"/>
                <w:sz w:val="24"/>
                <w:szCs w:val="24"/>
              </w:rPr>
            </w:pPr>
            <w:r>
              <w:rPr>
                <w:rFonts w:ascii="Arial"/>
                <w:w w:val="95"/>
                <w:sz w:val="24"/>
              </w:rPr>
              <w:t>8,014,637</w:t>
            </w:r>
            <w:r>
              <w:rPr>
                <w:rFonts w:ascii="Arial"/>
                <w:sz w:val="24"/>
              </w:rPr>
            </w:r>
          </w:p>
        </w:tc>
      </w:tr>
      <w:tr>
        <w:trPr>
          <w:trHeight w:val="322"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266" w:lineRule="exact"/>
              <w:ind w:left="35" w:right="0"/>
              <w:jc w:val="left"/>
              <w:rPr>
                <w:rFonts w:ascii="宋体" w:hAnsi="宋体" w:cs="宋体" w:eastAsia="宋体" w:hint="default"/>
                <w:sz w:val="24"/>
                <w:szCs w:val="24"/>
              </w:rPr>
            </w:pPr>
            <w:r>
              <w:rPr>
                <w:rFonts w:ascii="宋体" w:hAnsi="宋体" w:cs="宋体" w:eastAsia="宋体" w:hint="default"/>
                <w:sz w:val="24"/>
                <w:szCs w:val="24"/>
              </w:rPr>
              <w:t>华南地区</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9"/>
              <w:jc w:val="right"/>
              <w:rPr>
                <w:rFonts w:ascii="Arial" w:hAnsi="Arial" w:cs="Arial" w:eastAsia="Arial" w:hint="default"/>
                <w:sz w:val="24"/>
                <w:szCs w:val="24"/>
              </w:rPr>
            </w:pPr>
            <w:r>
              <w:rPr>
                <w:rFonts w:ascii="Arial"/>
                <w:spacing w:val="-3"/>
                <w:sz w:val="24"/>
              </w:rPr>
              <w:t>11,349,500</w:t>
            </w:r>
            <w:r>
              <w:rPr>
                <w:rFonts w:ascii="Arial"/>
                <w:sz w:val="24"/>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25" w:right="0"/>
              <w:jc w:val="left"/>
              <w:rPr>
                <w:rFonts w:ascii="Arial" w:hAnsi="Arial" w:cs="Arial" w:eastAsia="Arial" w:hint="default"/>
                <w:sz w:val="24"/>
                <w:szCs w:val="24"/>
              </w:rPr>
            </w:pPr>
            <w:r>
              <w:rPr>
                <w:rFonts w:ascii="Arial"/>
                <w:sz w:val="24"/>
              </w:rPr>
              <w:t>9,382,525</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8"/>
              <w:jc w:val="right"/>
              <w:rPr>
                <w:rFonts w:ascii="Arial" w:hAnsi="Arial" w:cs="Arial" w:eastAsia="Arial" w:hint="default"/>
                <w:sz w:val="24"/>
                <w:szCs w:val="24"/>
              </w:rPr>
            </w:pPr>
            <w:r>
              <w:rPr>
                <w:rFonts w:ascii="Arial"/>
                <w:spacing w:val="-1"/>
                <w:sz w:val="24"/>
              </w:rPr>
              <w:t>8,371,237</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5"/>
              <w:jc w:val="right"/>
              <w:rPr>
                <w:rFonts w:ascii="Arial" w:hAnsi="Arial" w:cs="Arial" w:eastAsia="Arial" w:hint="default"/>
                <w:sz w:val="24"/>
                <w:szCs w:val="24"/>
              </w:rPr>
            </w:pPr>
            <w:r>
              <w:rPr>
                <w:rFonts w:ascii="Arial"/>
                <w:w w:val="95"/>
                <w:sz w:val="24"/>
              </w:rPr>
              <w:t>6,993,620</w:t>
            </w:r>
            <w:r>
              <w:rPr>
                <w:rFonts w:ascii="Arial"/>
                <w:sz w:val="24"/>
              </w:rPr>
            </w:r>
          </w:p>
        </w:tc>
      </w:tr>
      <w:tr>
        <w:trPr>
          <w:trHeight w:val="322"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267" w:lineRule="exact"/>
              <w:ind w:left="35" w:right="0"/>
              <w:jc w:val="left"/>
              <w:rPr>
                <w:rFonts w:ascii="宋体" w:hAnsi="宋体" w:cs="宋体" w:eastAsia="宋体" w:hint="default"/>
                <w:sz w:val="24"/>
                <w:szCs w:val="24"/>
              </w:rPr>
            </w:pPr>
            <w:r>
              <w:rPr>
                <w:rFonts w:ascii="宋体" w:hAnsi="宋体" w:cs="宋体" w:eastAsia="宋体" w:hint="default"/>
                <w:sz w:val="24"/>
                <w:szCs w:val="24"/>
              </w:rPr>
              <w:t>西南地区</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8"/>
              <w:jc w:val="right"/>
              <w:rPr>
                <w:rFonts w:ascii="Arial" w:hAnsi="Arial" w:cs="Arial" w:eastAsia="Arial" w:hint="default"/>
                <w:sz w:val="24"/>
                <w:szCs w:val="24"/>
              </w:rPr>
            </w:pPr>
            <w:r>
              <w:rPr>
                <w:rFonts w:ascii="Arial"/>
                <w:spacing w:val="-1"/>
                <w:w w:val="95"/>
                <w:sz w:val="24"/>
              </w:rPr>
              <w:t>7,513,241</w:t>
            </w:r>
            <w:r>
              <w:rPr>
                <w:rFonts w:ascii="Arial"/>
                <w:sz w:val="24"/>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26" w:right="0"/>
              <w:jc w:val="left"/>
              <w:rPr>
                <w:rFonts w:ascii="Arial" w:hAnsi="Arial" w:cs="Arial" w:eastAsia="Arial" w:hint="default"/>
                <w:sz w:val="24"/>
                <w:szCs w:val="24"/>
              </w:rPr>
            </w:pPr>
            <w:r>
              <w:rPr>
                <w:rFonts w:ascii="Arial"/>
                <w:sz w:val="24"/>
              </w:rPr>
              <w:t>6,162,654</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9"/>
              <w:jc w:val="right"/>
              <w:rPr>
                <w:rFonts w:ascii="Arial" w:hAnsi="Arial" w:cs="Arial" w:eastAsia="Arial" w:hint="default"/>
                <w:sz w:val="24"/>
                <w:szCs w:val="24"/>
              </w:rPr>
            </w:pPr>
            <w:r>
              <w:rPr>
                <w:rFonts w:ascii="Arial"/>
                <w:spacing w:val="-3"/>
                <w:w w:val="95"/>
                <w:sz w:val="24"/>
              </w:rPr>
              <w:t>5,811,678</w:t>
            </w:r>
            <w:r>
              <w:rPr>
                <w:rFonts w:ascii="Arial"/>
                <w:sz w:val="24"/>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6"/>
              <w:jc w:val="right"/>
              <w:rPr>
                <w:rFonts w:ascii="Arial" w:hAnsi="Arial" w:cs="Arial" w:eastAsia="Arial" w:hint="default"/>
                <w:sz w:val="24"/>
                <w:szCs w:val="24"/>
              </w:rPr>
            </w:pPr>
            <w:r>
              <w:rPr>
                <w:rFonts w:ascii="Arial"/>
                <w:spacing w:val="-1"/>
                <w:w w:val="95"/>
                <w:sz w:val="24"/>
              </w:rPr>
              <w:t>4,872,246</w:t>
            </w:r>
            <w:r>
              <w:rPr>
                <w:rFonts w:ascii="Arial"/>
                <w:sz w:val="24"/>
              </w:rPr>
            </w:r>
          </w:p>
        </w:tc>
      </w:tr>
      <w:tr>
        <w:trPr>
          <w:trHeight w:val="322"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266" w:lineRule="exact"/>
              <w:ind w:left="35" w:right="0"/>
              <w:jc w:val="left"/>
              <w:rPr>
                <w:rFonts w:ascii="宋体" w:hAnsi="宋体" w:cs="宋体" w:eastAsia="宋体" w:hint="default"/>
                <w:sz w:val="24"/>
                <w:szCs w:val="24"/>
              </w:rPr>
            </w:pPr>
            <w:r>
              <w:rPr>
                <w:rFonts w:ascii="宋体" w:hAnsi="宋体" w:cs="宋体" w:eastAsia="宋体" w:hint="default"/>
                <w:sz w:val="24"/>
                <w:szCs w:val="24"/>
              </w:rPr>
              <w:t>东北地区</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8"/>
              <w:jc w:val="right"/>
              <w:rPr>
                <w:rFonts w:ascii="Arial" w:hAnsi="Arial" w:cs="Arial" w:eastAsia="Arial" w:hint="default"/>
                <w:sz w:val="24"/>
                <w:szCs w:val="24"/>
              </w:rPr>
            </w:pPr>
            <w:r>
              <w:rPr>
                <w:rFonts w:ascii="Arial"/>
                <w:spacing w:val="-1"/>
                <w:w w:val="95"/>
                <w:sz w:val="24"/>
              </w:rPr>
              <w:t>4,298,562</w:t>
            </w:r>
            <w:r>
              <w:rPr>
                <w:rFonts w:ascii="Arial"/>
                <w:sz w:val="24"/>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26" w:right="0"/>
              <w:jc w:val="left"/>
              <w:rPr>
                <w:rFonts w:ascii="Arial" w:hAnsi="Arial" w:cs="Arial" w:eastAsia="Arial" w:hint="default"/>
                <w:sz w:val="24"/>
                <w:szCs w:val="24"/>
              </w:rPr>
            </w:pPr>
            <w:r>
              <w:rPr>
                <w:rFonts w:ascii="Arial"/>
                <w:sz w:val="24"/>
              </w:rPr>
              <w:t>3,590,636</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8"/>
              <w:jc w:val="right"/>
              <w:rPr>
                <w:rFonts w:ascii="Arial" w:hAnsi="Arial" w:cs="Arial" w:eastAsia="Arial" w:hint="default"/>
                <w:sz w:val="24"/>
                <w:szCs w:val="24"/>
              </w:rPr>
            </w:pPr>
            <w:r>
              <w:rPr>
                <w:rFonts w:ascii="Arial"/>
                <w:spacing w:val="-1"/>
                <w:sz w:val="24"/>
              </w:rPr>
              <w:t>3,398,401</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5"/>
              <w:jc w:val="right"/>
              <w:rPr>
                <w:rFonts w:ascii="Arial" w:hAnsi="Arial" w:cs="Arial" w:eastAsia="Arial" w:hint="default"/>
                <w:sz w:val="24"/>
                <w:szCs w:val="24"/>
              </w:rPr>
            </w:pPr>
            <w:r>
              <w:rPr>
                <w:rFonts w:ascii="Arial"/>
                <w:w w:val="95"/>
                <w:sz w:val="24"/>
              </w:rPr>
              <w:t>2,902,956</w:t>
            </w:r>
            <w:r>
              <w:rPr>
                <w:rFonts w:ascii="Arial"/>
                <w:sz w:val="24"/>
              </w:rPr>
            </w:r>
          </w:p>
        </w:tc>
      </w:tr>
      <w:tr>
        <w:trPr>
          <w:trHeight w:val="322"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266" w:lineRule="exact"/>
              <w:ind w:left="35" w:right="0"/>
              <w:jc w:val="left"/>
              <w:rPr>
                <w:rFonts w:ascii="宋体" w:hAnsi="宋体" w:cs="宋体" w:eastAsia="宋体" w:hint="default"/>
                <w:sz w:val="24"/>
                <w:szCs w:val="24"/>
              </w:rPr>
            </w:pPr>
            <w:r>
              <w:rPr>
                <w:rFonts w:ascii="宋体" w:hAnsi="宋体" w:cs="宋体" w:eastAsia="宋体" w:hint="default"/>
                <w:sz w:val="24"/>
                <w:szCs w:val="24"/>
              </w:rPr>
              <w:t>华中地区</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8"/>
              <w:jc w:val="right"/>
              <w:rPr>
                <w:rFonts w:ascii="Arial" w:hAnsi="Arial" w:cs="Arial" w:eastAsia="Arial" w:hint="default"/>
                <w:sz w:val="24"/>
                <w:szCs w:val="24"/>
              </w:rPr>
            </w:pPr>
            <w:r>
              <w:rPr>
                <w:rFonts w:ascii="Arial"/>
                <w:spacing w:val="-1"/>
                <w:w w:val="95"/>
                <w:sz w:val="24"/>
              </w:rPr>
              <w:t>4,245,513</w:t>
            </w:r>
            <w:r>
              <w:rPr>
                <w:rFonts w:ascii="Arial"/>
                <w:sz w:val="24"/>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26" w:right="0"/>
              <w:jc w:val="left"/>
              <w:rPr>
                <w:rFonts w:ascii="Arial" w:hAnsi="Arial" w:cs="Arial" w:eastAsia="Arial" w:hint="default"/>
                <w:sz w:val="24"/>
                <w:szCs w:val="24"/>
              </w:rPr>
            </w:pPr>
            <w:r>
              <w:rPr>
                <w:rFonts w:ascii="Arial"/>
                <w:sz w:val="24"/>
              </w:rPr>
              <w:t>3,513,971</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8"/>
              <w:jc w:val="right"/>
              <w:rPr>
                <w:rFonts w:ascii="Arial" w:hAnsi="Arial" w:cs="Arial" w:eastAsia="Arial" w:hint="default"/>
                <w:sz w:val="24"/>
                <w:szCs w:val="24"/>
              </w:rPr>
            </w:pPr>
            <w:r>
              <w:rPr>
                <w:rFonts w:ascii="Arial"/>
                <w:spacing w:val="-1"/>
                <w:sz w:val="24"/>
              </w:rPr>
              <w:t>3,225,453</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5"/>
              <w:jc w:val="right"/>
              <w:rPr>
                <w:rFonts w:ascii="Arial" w:hAnsi="Arial" w:cs="Arial" w:eastAsia="Arial" w:hint="default"/>
                <w:sz w:val="24"/>
                <w:szCs w:val="24"/>
              </w:rPr>
            </w:pPr>
            <w:r>
              <w:rPr>
                <w:rFonts w:ascii="Arial"/>
                <w:w w:val="95"/>
                <w:sz w:val="24"/>
              </w:rPr>
              <w:t>2,716,523</w:t>
            </w:r>
            <w:r>
              <w:rPr>
                <w:rFonts w:ascii="Arial"/>
                <w:sz w:val="24"/>
              </w:rPr>
            </w:r>
          </w:p>
        </w:tc>
      </w:tr>
      <w:tr>
        <w:trPr>
          <w:trHeight w:val="332"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267" w:lineRule="exact"/>
              <w:ind w:left="35" w:right="0"/>
              <w:jc w:val="left"/>
              <w:rPr>
                <w:rFonts w:ascii="宋体" w:hAnsi="宋体" w:cs="宋体" w:eastAsia="宋体" w:hint="default"/>
                <w:sz w:val="24"/>
                <w:szCs w:val="24"/>
              </w:rPr>
            </w:pPr>
            <w:r>
              <w:rPr>
                <w:rFonts w:ascii="宋体" w:hAnsi="宋体" w:cs="宋体" w:eastAsia="宋体" w:hint="default"/>
                <w:sz w:val="24"/>
                <w:szCs w:val="24"/>
              </w:rPr>
              <w:t>西北地区</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8"/>
              <w:jc w:val="right"/>
              <w:rPr>
                <w:rFonts w:ascii="Arial" w:hAnsi="Arial" w:cs="Arial" w:eastAsia="Arial" w:hint="default"/>
                <w:sz w:val="24"/>
                <w:szCs w:val="24"/>
              </w:rPr>
            </w:pPr>
            <w:r>
              <w:rPr>
                <w:rFonts w:ascii="Arial"/>
                <w:spacing w:val="-1"/>
                <w:w w:val="95"/>
                <w:sz w:val="24"/>
              </w:rPr>
              <w:t>3,252,174</w:t>
            </w:r>
            <w:r>
              <w:rPr>
                <w:rFonts w:ascii="Arial"/>
                <w:sz w:val="24"/>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26" w:right="0"/>
              <w:jc w:val="left"/>
              <w:rPr>
                <w:rFonts w:ascii="Arial" w:hAnsi="Arial" w:cs="Arial" w:eastAsia="Arial" w:hint="default"/>
                <w:sz w:val="24"/>
                <w:szCs w:val="24"/>
              </w:rPr>
            </w:pPr>
            <w:r>
              <w:rPr>
                <w:rFonts w:ascii="Arial"/>
                <w:sz w:val="24"/>
              </w:rPr>
              <w:t>2,693,573</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8"/>
              <w:jc w:val="right"/>
              <w:rPr>
                <w:rFonts w:ascii="Arial" w:hAnsi="Arial" w:cs="Arial" w:eastAsia="Arial" w:hint="default"/>
                <w:sz w:val="24"/>
                <w:szCs w:val="24"/>
              </w:rPr>
            </w:pPr>
            <w:r>
              <w:rPr>
                <w:rFonts w:ascii="Arial"/>
                <w:spacing w:val="-1"/>
                <w:sz w:val="24"/>
              </w:rPr>
              <w:t>2,574,366</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5"/>
              <w:jc w:val="right"/>
              <w:rPr>
                <w:rFonts w:ascii="Arial" w:hAnsi="Arial" w:cs="Arial" w:eastAsia="Arial" w:hint="default"/>
                <w:sz w:val="24"/>
                <w:szCs w:val="24"/>
              </w:rPr>
            </w:pPr>
            <w:r>
              <w:rPr>
                <w:rFonts w:ascii="Arial"/>
                <w:w w:val="95"/>
                <w:sz w:val="24"/>
              </w:rPr>
              <w:t>2,167,183</w:t>
            </w:r>
            <w:r>
              <w:rPr>
                <w:rFonts w:ascii="Arial"/>
                <w:sz w:val="24"/>
              </w:rPr>
            </w:r>
          </w:p>
        </w:tc>
      </w:tr>
      <w:tr>
        <w:trPr>
          <w:trHeight w:val="299" w:hRule="exact"/>
        </w:trPr>
        <w:tc>
          <w:tcPr>
            <w:tcW w:w="3623" w:type="dxa"/>
            <w:gridSpan w:val="2"/>
            <w:tcBorders>
              <w:top w:val="nil" w:sz="6" w:space="0" w:color="auto"/>
              <w:left w:val="nil" w:sz="6" w:space="0" w:color="auto"/>
              <w:bottom w:val="nil" w:sz="6" w:space="0" w:color="auto"/>
              <w:right w:val="nil" w:sz="6" w:space="0" w:color="auto"/>
            </w:tcBorders>
          </w:tcPr>
          <w:p>
            <w:pPr>
              <w:pStyle w:val="TableParagraph"/>
              <w:tabs>
                <w:tab w:pos="1809" w:val="left" w:leader="none"/>
                <w:tab w:pos="2536" w:val="left" w:leader="none"/>
                <w:tab w:pos="3504" w:val="left" w:leader="none"/>
              </w:tabs>
              <w:spacing w:line="281" w:lineRule="exact"/>
              <w:ind w:left="35" w:right="0"/>
              <w:jc w:val="left"/>
              <w:rPr>
                <w:rFonts w:ascii="Arial" w:hAnsi="Arial" w:cs="Arial" w:eastAsia="Arial" w:hint="default"/>
                <w:sz w:val="24"/>
                <w:szCs w:val="24"/>
              </w:rPr>
            </w:pPr>
            <w:r>
              <w:rPr>
                <w:rFonts w:ascii="宋体" w:hAnsi="宋体" w:cs="宋体" w:eastAsia="宋体" w:hint="default"/>
                <w:position w:val="2"/>
                <w:sz w:val="24"/>
                <w:szCs w:val="24"/>
              </w:rPr>
              <w:t>香港地区</w:t>
              <w:tab/>
            </w:r>
            <w:r>
              <w:rPr>
                <w:rFonts w:ascii="Arial" w:hAnsi="Arial" w:cs="Arial" w:eastAsia="Arial" w:hint="default"/>
                <w:sz w:val="24"/>
                <w:szCs w:val="24"/>
              </w:rPr>
            </w:r>
            <w:r>
              <w:rPr>
                <w:rFonts w:ascii="Arial" w:hAnsi="Arial" w:cs="Arial" w:eastAsia="Arial" w:hint="default"/>
                <w:sz w:val="24"/>
                <w:szCs w:val="24"/>
                <w:u w:val="single" w:color="000000"/>
              </w:rPr>
              <w:t> </w:t>
              <w:tab/>
              <w:t>837,002</w:t>
              <w:tab/>
            </w:r>
            <w:r>
              <w:rPr>
                <w:rFonts w:ascii="Arial" w:hAnsi="Arial" w:cs="Arial" w:eastAsia="Arial" w:hint="default"/>
                <w:sz w:val="24"/>
                <w:szCs w:val="24"/>
              </w:rPr>
            </w:r>
          </w:p>
        </w:tc>
        <w:tc>
          <w:tcPr>
            <w:tcW w:w="1903" w:type="dxa"/>
            <w:tcBorders>
              <w:top w:val="nil" w:sz="6" w:space="0" w:color="auto"/>
              <w:left w:val="nil" w:sz="6" w:space="0" w:color="auto"/>
              <w:bottom w:val="nil" w:sz="6" w:space="0" w:color="auto"/>
              <w:right w:val="nil" w:sz="6" w:space="0" w:color="auto"/>
            </w:tcBorders>
          </w:tcPr>
          <w:p>
            <w:pPr>
              <w:pStyle w:val="TableParagraph"/>
              <w:tabs>
                <w:tab w:pos="709" w:val="left" w:leader="none"/>
                <w:tab w:pos="1665" w:val="left" w:leader="none"/>
              </w:tabs>
              <w:spacing w:line="240" w:lineRule="auto" w:before="5"/>
              <w:ind w:right="11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764,048</w:t>
              <w:tab/>
            </w:r>
            <w:r>
              <w:rPr>
                <w:rFonts w:ascii="Arial"/>
                <w:spacing w:val="-1"/>
                <w:sz w:val="24"/>
              </w:rPr>
            </w:r>
          </w:p>
        </w:tc>
        <w:tc>
          <w:tcPr>
            <w:tcW w:w="1918" w:type="dxa"/>
            <w:tcBorders>
              <w:top w:val="nil" w:sz="6" w:space="0" w:color="auto"/>
              <w:left w:val="nil" w:sz="6" w:space="0" w:color="auto"/>
              <w:bottom w:val="nil" w:sz="6" w:space="0" w:color="auto"/>
              <w:right w:val="nil" w:sz="6" w:space="0" w:color="auto"/>
            </w:tcBorders>
          </w:tcPr>
          <w:p>
            <w:pPr>
              <w:pStyle w:val="TableParagraph"/>
              <w:tabs>
                <w:tab w:pos="1508" w:val="left" w:leader="none"/>
                <w:tab w:pos="1679" w:val="left" w:leader="none"/>
              </w:tabs>
              <w:spacing w:line="240" w:lineRule="auto" w:before="5"/>
              <w:ind w:right="11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c>
          <w:tcPr>
            <w:tcW w:w="1883" w:type="dxa"/>
            <w:tcBorders>
              <w:top w:val="nil" w:sz="6" w:space="0" w:color="auto"/>
              <w:left w:val="nil" w:sz="6" w:space="0" w:color="auto"/>
              <w:bottom w:val="nil" w:sz="6" w:space="0" w:color="auto"/>
              <w:right w:val="nil" w:sz="6" w:space="0" w:color="auto"/>
            </w:tcBorders>
          </w:tcPr>
          <w:p>
            <w:pPr>
              <w:pStyle w:val="TableParagraph"/>
              <w:tabs>
                <w:tab w:pos="1536" w:val="left" w:leader="none"/>
                <w:tab w:pos="1721" w:val="left" w:leader="none"/>
              </w:tabs>
              <w:spacing w:line="240" w:lineRule="auto" w:before="5"/>
              <w:ind w:right="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363" w:hRule="exact"/>
        </w:trPr>
        <w:tc>
          <w:tcPr>
            <w:tcW w:w="3623" w:type="dxa"/>
            <w:gridSpan w:val="2"/>
            <w:tcBorders>
              <w:top w:val="nil" w:sz="6" w:space="0" w:color="auto"/>
              <w:left w:val="nil" w:sz="6" w:space="0" w:color="auto"/>
              <w:bottom w:val="nil" w:sz="6" w:space="0" w:color="auto"/>
              <w:right w:val="nil" w:sz="6" w:space="0" w:color="auto"/>
            </w:tcBorders>
          </w:tcPr>
          <w:p>
            <w:pPr>
              <w:pStyle w:val="TableParagraph"/>
              <w:tabs>
                <w:tab w:pos="2202" w:val="left" w:leader="none"/>
                <w:tab w:pos="3511" w:val="left" w:leader="none"/>
              </w:tabs>
              <w:spacing w:line="268" w:lineRule="exact"/>
              <w:ind w:left="180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74,227,457</w:t>
              <w:tab/>
            </w:r>
            <w:r>
              <w:rPr>
                <w:rFonts w:ascii="Arial"/>
                <w:sz w:val="24"/>
              </w:rPr>
            </w:r>
          </w:p>
        </w:tc>
        <w:tc>
          <w:tcPr>
            <w:tcW w:w="1903" w:type="dxa"/>
            <w:tcBorders>
              <w:top w:val="nil" w:sz="6" w:space="0" w:color="auto"/>
              <w:left w:val="nil" w:sz="6" w:space="0" w:color="auto"/>
              <w:bottom w:val="nil" w:sz="6" w:space="0" w:color="auto"/>
              <w:right w:val="nil" w:sz="6" w:space="0" w:color="auto"/>
            </w:tcBorders>
          </w:tcPr>
          <w:p>
            <w:pPr>
              <w:pStyle w:val="TableParagraph"/>
              <w:tabs>
                <w:tab w:pos="381" w:val="left" w:leader="none"/>
                <w:tab w:pos="1679" w:val="left" w:leader="none"/>
              </w:tabs>
              <w:spacing w:line="268" w:lineRule="exact"/>
              <w:ind w:right="10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61,915,817</w:t>
              <w:tab/>
            </w:r>
            <w:r>
              <w:rPr>
                <w:rFonts w:ascii="Arial"/>
                <w:spacing w:val="-1"/>
                <w:sz w:val="24"/>
              </w:rPr>
            </w:r>
          </w:p>
        </w:tc>
        <w:tc>
          <w:tcPr>
            <w:tcW w:w="1918" w:type="dxa"/>
            <w:tcBorders>
              <w:top w:val="nil" w:sz="6" w:space="0" w:color="auto"/>
              <w:left w:val="nil" w:sz="6" w:space="0" w:color="auto"/>
              <w:bottom w:val="nil" w:sz="6" w:space="0" w:color="auto"/>
              <w:right w:val="nil" w:sz="6" w:space="0" w:color="auto"/>
            </w:tcBorders>
          </w:tcPr>
          <w:p>
            <w:pPr>
              <w:pStyle w:val="TableParagraph"/>
              <w:tabs>
                <w:tab w:pos="394" w:val="left" w:leader="none"/>
                <w:tab w:pos="1694" w:val="left" w:leader="none"/>
              </w:tabs>
              <w:spacing w:line="268" w:lineRule="exact"/>
              <w:ind w:right="10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57,037,054</w:t>
              <w:tab/>
            </w:r>
            <w:r>
              <w:rPr>
                <w:rFonts w:ascii="Arial"/>
                <w:spacing w:val="-1"/>
                <w:sz w:val="24"/>
              </w:rPr>
            </w:r>
          </w:p>
        </w:tc>
        <w:tc>
          <w:tcPr>
            <w:tcW w:w="1883" w:type="dxa"/>
            <w:tcBorders>
              <w:top w:val="nil" w:sz="6" w:space="0" w:color="auto"/>
              <w:left w:val="nil" w:sz="6" w:space="0" w:color="auto"/>
              <w:bottom w:val="nil" w:sz="6" w:space="0" w:color="auto"/>
              <w:right w:val="nil" w:sz="6" w:space="0" w:color="auto"/>
            </w:tcBorders>
          </w:tcPr>
          <w:p>
            <w:pPr>
              <w:pStyle w:val="TableParagraph"/>
              <w:tabs>
                <w:tab w:pos="422" w:val="left" w:leader="none"/>
                <w:tab w:pos="1736"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48,105,321</w:t>
            </w:r>
            <w:r>
              <w:rPr>
                <w:rFonts w:ascii="Arial"/>
                <w:sz w:val="24"/>
                <w:u w:val="thick" w:color="000000"/>
              </w:rPr>
              <w:tab/>
            </w:r>
            <w:r>
              <w:rPr>
                <w:rFonts w:ascii="Arial"/>
                <w:sz w:val="24"/>
              </w:rPr>
            </w:r>
          </w:p>
        </w:tc>
      </w:tr>
    </w:tbl>
    <w:p>
      <w:pPr>
        <w:spacing w:line="240" w:lineRule="auto" w:before="3"/>
        <w:rPr>
          <w:rFonts w:ascii="宋体" w:hAnsi="宋体" w:cs="宋体" w:eastAsia="宋体" w:hint="default"/>
          <w:sz w:val="8"/>
          <w:szCs w:val="8"/>
        </w:rPr>
      </w:pPr>
    </w:p>
    <w:p>
      <w:pPr>
        <w:pStyle w:val="BodyText"/>
        <w:tabs>
          <w:tab w:pos="823" w:val="left" w:leader="none"/>
        </w:tabs>
        <w:spacing w:line="240" w:lineRule="auto" w:before="32"/>
        <w:ind w:left="118" w:right="0"/>
        <w:jc w:val="left"/>
      </w:pPr>
      <w:r>
        <w:rPr>
          <w:rFonts w:ascii="Arial" w:hAnsi="Arial" w:cs="Arial" w:eastAsia="Arial" w:hint="default"/>
          <w:w w:val="95"/>
          <w:position w:val="2"/>
        </w:rPr>
        <w:t>(b)</w:t>
        <w:tab/>
      </w:r>
      <w:r>
        <w:rPr/>
        <w:t>其他业务收入和其他业务成本</w:t>
      </w:r>
    </w:p>
    <w:p>
      <w:pPr>
        <w:spacing w:line="240" w:lineRule="auto" w:before="7"/>
        <w:rPr>
          <w:rFonts w:ascii="宋体" w:hAnsi="宋体" w:cs="宋体" w:eastAsia="宋体" w:hint="default"/>
          <w:sz w:val="18"/>
          <w:szCs w:val="18"/>
        </w:rPr>
      </w:pPr>
    </w:p>
    <w:p>
      <w:pPr>
        <w:tabs>
          <w:tab w:pos="7924" w:val="left" w:leader="none"/>
        </w:tabs>
        <w:spacing w:before="38"/>
        <w:ind w:left="4095" w:right="0" w:firstLine="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年度</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年度</w:t>
      </w:r>
    </w:p>
    <w:p>
      <w:pPr>
        <w:spacing w:line="240" w:lineRule="auto" w:before="9"/>
        <w:rPr>
          <w:rFonts w:ascii="宋体" w:hAnsi="宋体" w:cs="宋体" w:eastAsia="宋体" w:hint="default"/>
          <w:sz w:val="2"/>
          <w:szCs w:val="2"/>
        </w:rPr>
      </w:pPr>
    </w:p>
    <w:tbl>
      <w:tblPr>
        <w:tblW w:w="0" w:type="auto"/>
        <w:jc w:val="left"/>
        <w:tblInd w:w="788" w:type="dxa"/>
        <w:tblLayout w:type="fixed"/>
        <w:tblCellMar>
          <w:top w:w="0" w:type="dxa"/>
          <w:left w:w="0" w:type="dxa"/>
          <w:bottom w:w="0" w:type="dxa"/>
          <w:right w:w="0" w:type="dxa"/>
        </w:tblCellMar>
        <w:tblLook w:val="01E0"/>
      </w:tblPr>
      <w:tblGrid>
        <w:gridCol w:w="2046"/>
        <w:gridCol w:w="1560"/>
        <w:gridCol w:w="282"/>
        <w:gridCol w:w="1562"/>
        <w:gridCol w:w="425"/>
        <w:gridCol w:w="1561"/>
        <w:gridCol w:w="284"/>
        <w:gridCol w:w="1595"/>
      </w:tblGrid>
      <w:tr>
        <w:trPr>
          <w:trHeight w:val="742" w:hRule="exact"/>
        </w:trPr>
        <w:tc>
          <w:tcPr>
            <w:tcW w:w="20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35" w:right="0"/>
              <w:jc w:val="left"/>
              <w:rPr>
                <w:rFonts w:ascii="Arial" w:hAnsi="Arial" w:cs="Arial" w:eastAsia="Arial" w:hint="default"/>
                <w:sz w:val="20"/>
                <w:szCs w:val="20"/>
              </w:rPr>
            </w:pPr>
            <w:r>
              <w:rPr>
                <w:rFonts w:ascii="宋体" w:hAnsi="宋体" w:cs="宋体" w:eastAsia="宋体" w:hint="default"/>
                <w:sz w:val="20"/>
                <w:szCs w:val="20"/>
              </w:rPr>
              <w:t>连锁店服务收入</w:t>
            </w:r>
            <w:r>
              <w:rPr>
                <w:rFonts w:ascii="Arial" w:hAnsi="Arial" w:cs="Arial" w:eastAsia="Arial" w:hint="default"/>
                <w:sz w:val="20"/>
                <w:szCs w:val="20"/>
              </w:rPr>
              <w:t>(</w:t>
            </w:r>
            <w:r>
              <w:rPr>
                <w:rFonts w:ascii="宋体" w:hAnsi="宋体" w:cs="宋体" w:eastAsia="宋体" w:hint="default"/>
                <w:sz w:val="20"/>
                <w:szCs w:val="20"/>
              </w:rPr>
              <w:t>注</w:t>
            </w:r>
            <w:r>
              <w:rPr>
                <w:rFonts w:ascii="Arial" w:hAnsi="Arial" w:cs="Arial" w:eastAsia="Arial" w:hint="default"/>
                <w:sz w:val="20"/>
                <w:szCs w:val="20"/>
              </w:rPr>
              <w:t>)</w:t>
            </w:r>
          </w:p>
        </w:tc>
        <w:tc>
          <w:tcPr>
            <w:tcW w:w="1560" w:type="dxa"/>
            <w:tcBorders>
              <w:top w:val="nil" w:sz="6" w:space="0" w:color="auto"/>
              <w:left w:val="nil" w:sz="6" w:space="0" w:color="auto"/>
              <w:bottom w:val="nil" w:sz="6" w:space="0" w:color="auto"/>
              <w:right w:val="nil" w:sz="6" w:space="0" w:color="auto"/>
            </w:tcBorders>
          </w:tcPr>
          <w:p>
            <w:pPr>
              <w:pStyle w:val="TableParagraph"/>
              <w:spacing w:line="211" w:lineRule="exact"/>
              <w:ind w:left="258" w:right="0"/>
              <w:jc w:val="left"/>
              <w:rPr>
                <w:rFonts w:ascii="宋体" w:hAnsi="宋体" w:cs="宋体" w:eastAsia="宋体" w:hint="default"/>
                <w:sz w:val="20"/>
                <w:szCs w:val="20"/>
              </w:rPr>
            </w:pPr>
            <w:r>
              <w:rPr>
                <w:rFonts w:ascii="宋体" w:hAnsi="宋体" w:cs="宋体" w:eastAsia="宋体" w:hint="default"/>
                <w:sz w:val="20"/>
                <w:szCs w:val="20"/>
              </w:rPr>
              <w:t>其他业务收入</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34" w:right="0"/>
              <w:jc w:val="left"/>
              <w:rPr>
                <w:rFonts w:ascii="Arial" w:hAnsi="Arial" w:cs="Arial" w:eastAsia="Arial" w:hint="default"/>
                <w:sz w:val="20"/>
                <w:szCs w:val="20"/>
              </w:rPr>
            </w:pPr>
            <w:r>
              <w:rPr>
                <w:rFonts w:ascii="Arial"/>
                <w:sz w:val="20"/>
              </w:rPr>
              <w:t>784,470</w:t>
            </w:r>
          </w:p>
        </w:tc>
        <w:tc>
          <w:tcPr>
            <w:tcW w:w="28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11" w:lineRule="exact"/>
              <w:ind w:right="97"/>
              <w:jc w:val="right"/>
              <w:rPr>
                <w:rFonts w:ascii="宋体" w:hAnsi="宋体" w:cs="宋体" w:eastAsia="宋体" w:hint="default"/>
                <w:sz w:val="20"/>
                <w:szCs w:val="20"/>
              </w:rPr>
            </w:pPr>
            <w:r>
              <w:rPr>
                <w:rFonts w:ascii="宋体" w:hAnsi="宋体" w:cs="宋体" w:eastAsia="宋体" w:hint="default"/>
                <w:spacing w:val="-1"/>
                <w:sz w:val="20"/>
                <w:szCs w:val="20"/>
              </w:rPr>
              <w:t>其他业务成本</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Arial" w:hAnsi="Arial" w:cs="Arial" w:eastAsia="Arial" w:hint="default"/>
                <w:sz w:val="20"/>
                <w:szCs w:val="20"/>
              </w:rPr>
            </w:pPr>
            <w:r>
              <w:rPr>
                <w:rFonts w:ascii="Arial"/>
                <w:sz w:val="20"/>
              </w:rPr>
              <w:t>57</w:t>
            </w:r>
          </w:p>
        </w:tc>
        <w:tc>
          <w:tcPr>
            <w:tcW w:w="425"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11" w:lineRule="exact"/>
              <w:ind w:left="260" w:right="0"/>
              <w:jc w:val="left"/>
              <w:rPr>
                <w:rFonts w:ascii="宋体" w:hAnsi="宋体" w:cs="宋体" w:eastAsia="宋体" w:hint="default"/>
                <w:sz w:val="20"/>
                <w:szCs w:val="20"/>
              </w:rPr>
            </w:pPr>
            <w:r>
              <w:rPr>
                <w:rFonts w:ascii="宋体" w:hAnsi="宋体" w:cs="宋体" w:eastAsia="宋体" w:hint="default"/>
                <w:sz w:val="20"/>
                <w:szCs w:val="20"/>
              </w:rPr>
              <w:t>其他业务收入</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36" w:right="0"/>
              <w:jc w:val="left"/>
              <w:rPr>
                <w:rFonts w:ascii="Arial" w:hAnsi="Arial" w:cs="Arial" w:eastAsia="Arial" w:hint="default"/>
                <w:sz w:val="20"/>
                <w:szCs w:val="20"/>
              </w:rPr>
            </w:pPr>
            <w:r>
              <w:rPr>
                <w:rFonts w:ascii="Arial"/>
                <w:sz w:val="20"/>
              </w:rPr>
              <w:t>782,762</w:t>
            </w:r>
          </w:p>
        </w:tc>
        <w:tc>
          <w:tcPr>
            <w:tcW w:w="284"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11" w:lineRule="exact"/>
              <w:ind w:right="132"/>
              <w:jc w:val="right"/>
              <w:rPr>
                <w:rFonts w:ascii="宋体" w:hAnsi="宋体" w:cs="宋体" w:eastAsia="宋体" w:hint="default"/>
                <w:sz w:val="20"/>
                <w:szCs w:val="20"/>
              </w:rPr>
            </w:pPr>
            <w:r>
              <w:rPr>
                <w:rFonts w:ascii="宋体" w:hAnsi="宋体" w:cs="宋体" w:eastAsia="宋体" w:hint="default"/>
                <w:spacing w:val="-1"/>
                <w:sz w:val="20"/>
                <w:szCs w:val="20"/>
              </w:rPr>
              <w:t>其他业务成本</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34"/>
              <w:jc w:val="right"/>
              <w:rPr>
                <w:rFonts w:ascii="Arial" w:hAnsi="Arial" w:cs="Arial" w:eastAsia="Arial" w:hint="default"/>
                <w:sz w:val="20"/>
                <w:szCs w:val="20"/>
              </w:rPr>
            </w:pPr>
            <w:r>
              <w:rPr>
                <w:rFonts w:ascii="Arial"/>
                <w:w w:val="100"/>
                <w:sz w:val="20"/>
              </w:rPr>
              <w:t>-</w:t>
            </w:r>
          </w:p>
        </w:tc>
      </w:tr>
      <w:tr>
        <w:trPr>
          <w:trHeight w:val="260" w:hRule="exact"/>
        </w:trPr>
        <w:tc>
          <w:tcPr>
            <w:tcW w:w="2046"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租赁收入</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Arial" w:hAnsi="Arial" w:cs="Arial" w:eastAsia="Arial" w:hint="default"/>
                <w:sz w:val="20"/>
                <w:szCs w:val="20"/>
              </w:rPr>
            </w:pPr>
            <w:r>
              <w:rPr>
                <w:rFonts w:ascii="Arial"/>
                <w:spacing w:val="-1"/>
                <w:sz w:val="20"/>
              </w:rPr>
              <w:t>191,243</w:t>
            </w:r>
          </w:p>
        </w:tc>
        <w:tc>
          <w:tcPr>
            <w:tcW w:w="28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Arial" w:hAnsi="Arial" w:cs="Arial" w:eastAsia="Arial" w:hint="default"/>
                <w:sz w:val="20"/>
                <w:szCs w:val="20"/>
              </w:rPr>
            </w:pPr>
            <w:r>
              <w:rPr>
                <w:rFonts w:ascii="Arial"/>
                <w:spacing w:val="-1"/>
                <w:sz w:val="20"/>
              </w:rPr>
              <w:t>124,838</w:t>
            </w:r>
          </w:p>
        </w:tc>
        <w:tc>
          <w:tcPr>
            <w:tcW w:w="425"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Arial" w:hAnsi="Arial" w:cs="Arial" w:eastAsia="Arial" w:hint="default"/>
                <w:sz w:val="20"/>
                <w:szCs w:val="20"/>
              </w:rPr>
            </w:pPr>
            <w:r>
              <w:rPr>
                <w:rFonts w:ascii="Arial"/>
                <w:spacing w:val="-1"/>
                <w:sz w:val="20"/>
              </w:rPr>
              <w:t>145,216</w:t>
            </w:r>
          </w:p>
        </w:tc>
        <w:tc>
          <w:tcPr>
            <w:tcW w:w="284"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4"/>
              <w:jc w:val="right"/>
              <w:rPr>
                <w:rFonts w:ascii="Arial" w:hAnsi="Arial" w:cs="Arial" w:eastAsia="Arial" w:hint="default"/>
                <w:sz w:val="20"/>
                <w:szCs w:val="20"/>
              </w:rPr>
            </w:pPr>
            <w:r>
              <w:rPr>
                <w:rFonts w:ascii="Arial"/>
                <w:sz w:val="20"/>
              </w:rPr>
              <w:t>78,896</w:t>
            </w:r>
          </w:p>
        </w:tc>
      </w:tr>
      <w:tr>
        <w:trPr>
          <w:trHeight w:val="260" w:hRule="exact"/>
        </w:trPr>
        <w:tc>
          <w:tcPr>
            <w:tcW w:w="2046"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广告位使用费收入</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Arial" w:hAnsi="Arial" w:cs="Arial" w:eastAsia="Arial" w:hint="default"/>
                <w:sz w:val="20"/>
                <w:szCs w:val="20"/>
              </w:rPr>
            </w:pPr>
            <w:r>
              <w:rPr>
                <w:rFonts w:ascii="Arial"/>
                <w:spacing w:val="-1"/>
                <w:sz w:val="20"/>
              </w:rPr>
              <w:t>182,525</w:t>
            </w:r>
          </w:p>
        </w:tc>
        <w:tc>
          <w:tcPr>
            <w:tcW w:w="28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Arial" w:hAnsi="Arial" w:cs="Arial" w:eastAsia="Arial" w:hint="default"/>
                <w:sz w:val="20"/>
                <w:szCs w:val="20"/>
              </w:rPr>
            </w:pPr>
            <w:r>
              <w:rPr>
                <w:rFonts w:ascii="Arial"/>
                <w:w w:val="100"/>
                <w:sz w:val="20"/>
              </w:rPr>
              <w:t>-</w:t>
            </w:r>
          </w:p>
        </w:tc>
        <w:tc>
          <w:tcPr>
            <w:tcW w:w="425"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pacing w:val="-1"/>
                <w:sz w:val="20"/>
              </w:rPr>
              <w:t>228,820</w:t>
            </w:r>
          </w:p>
        </w:tc>
        <w:tc>
          <w:tcPr>
            <w:tcW w:w="284"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4"/>
              <w:jc w:val="right"/>
              <w:rPr>
                <w:rFonts w:ascii="Arial" w:hAnsi="Arial" w:cs="Arial" w:eastAsia="Arial" w:hint="default"/>
                <w:sz w:val="20"/>
                <w:szCs w:val="20"/>
              </w:rPr>
            </w:pPr>
            <w:r>
              <w:rPr>
                <w:rFonts w:ascii="Arial"/>
                <w:w w:val="100"/>
                <w:sz w:val="20"/>
              </w:rPr>
              <w:t>-</w:t>
            </w:r>
          </w:p>
        </w:tc>
      </w:tr>
      <w:tr>
        <w:trPr>
          <w:trHeight w:val="268" w:hRule="exact"/>
        </w:trPr>
        <w:tc>
          <w:tcPr>
            <w:tcW w:w="2046"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20"/>
                <w:szCs w:val="20"/>
              </w:rPr>
            </w:pPr>
            <w:r>
              <w:rPr>
                <w:rFonts w:ascii="宋体" w:hAnsi="宋体" w:cs="宋体" w:eastAsia="宋体" w:hint="default"/>
                <w:sz w:val="20"/>
                <w:szCs w:val="20"/>
              </w:rPr>
              <w:t>代理费收入</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0"/>
              <w:jc w:val="right"/>
              <w:rPr>
                <w:rFonts w:ascii="Arial" w:hAnsi="Arial" w:cs="Arial" w:eastAsia="Arial" w:hint="default"/>
                <w:sz w:val="20"/>
                <w:szCs w:val="20"/>
              </w:rPr>
            </w:pPr>
            <w:r>
              <w:rPr>
                <w:rFonts w:ascii="Arial"/>
                <w:spacing w:val="-3"/>
                <w:sz w:val="20"/>
              </w:rPr>
              <w:t>115,536</w:t>
            </w:r>
          </w:p>
        </w:tc>
        <w:tc>
          <w:tcPr>
            <w:tcW w:w="28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right"/>
              <w:rPr>
                <w:rFonts w:ascii="Arial" w:hAnsi="Arial" w:cs="Arial" w:eastAsia="Arial" w:hint="default"/>
                <w:sz w:val="20"/>
                <w:szCs w:val="20"/>
              </w:rPr>
            </w:pPr>
            <w:r>
              <w:rPr>
                <w:rFonts w:ascii="Arial"/>
                <w:w w:val="100"/>
                <w:sz w:val="20"/>
              </w:rPr>
              <w:t>-</w:t>
            </w:r>
          </w:p>
        </w:tc>
        <w:tc>
          <w:tcPr>
            <w:tcW w:w="425"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right"/>
              <w:rPr>
                <w:rFonts w:ascii="Arial" w:hAnsi="Arial" w:cs="Arial" w:eastAsia="Arial" w:hint="default"/>
                <w:sz w:val="20"/>
                <w:szCs w:val="20"/>
              </w:rPr>
            </w:pPr>
            <w:r>
              <w:rPr>
                <w:rFonts w:ascii="Arial"/>
                <w:spacing w:val="-1"/>
                <w:sz w:val="20"/>
              </w:rPr>
              <w:t>101,538</w:t>
            </w:r>
          </w:p>
        </w:tc>
        <w:tc>
          <w:tcPr>
            <w:tcW w:w="284"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4"/>
              <w:jc w:val="right"/>
              <w:rPr>
                <w:rFonts w:ascii="Arial" w:hAnsi="Arial" w:cs="Arial" w:eastAsia="Arial" w:hint="default"/>
                <w:sz w:val="20"/>
                <w:szCs w:val="20"/>
              </w:rPr>
            </w:pPr>
            <w:r>
              <w:rPr>
                <w:rFonts w:ascii="Arial"/>
                <w:sz w:val="20"/>
              </w:rPr>
              <w:t>1,572</w:t>
            </w:r>
          </w:p>
        </w:tc>
      </w:tr>
      <w:tr>
        <w:trPr>
          <w:trHeight w:val="293" w:hRule="exact"/>
        </w:trPr>
        <w:tc>
          <w:tcPr>
            <w:tcW w:w="2046"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20"/>
                <w:szCs w:val="20"/>
              </w:rPr>
            </w:pPr>
            <w:r>
              <w:rPr>
                <w:rFonts w:ascii="宋体" w:hAnsi="宋体" w:cs="宋体" w:eastAsia="宋体" w:hint="default"/>
                <w:sz w:val="20"/>
                <w:szCs w:val="20"/>
              </w:rPr>
              <w:t>培训费收入</w:t>
            </w:r>
          </w:p>
        </w:tc>
        <w:tc>
          <w:tcPr>
            <w:tcW w:w="1560" w:type="dxa"/>
            <w:tcBorders>
              <w:top w:val="nil" w:sz="6" w:space="0" w:color="auto"/>
              <w:left w:val="nil" w:sz="6" w:space="0" w:color="auto"/>
              <w:bottom w:val="nil" w:sz="6" w:space="0" w:color="auto"/>
              <w:right w:val="nil" w:sz="6" w:space="0" w:color="auto"/>
            </w:tcBorders>
          </w:tcPr>
          <w:p>
            <w:pPr>
              <w:pStyle w:val="TableParagraph"/>
              <w:tabs>
                <w:tab w:pos="956" w:val="left" w:leader="none"/>
                <w:tab w:pos="1559" w:val="left" w:leader="none"/>
              </w:tabs>
              <w:spacing w:line="240" w:lineRule="auto" w:before="24"/>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3,508</w:t>
              <w:tab/>
            </w:r>
            <w:r>
              <w:rPr>
                <w:rFonts w:ascii="Arial"/>
                <w:sz w:val="20"/>
              </w:rPr>
            </w:r>
          </w:p>
        </w:tc>
        <w:tc>
          <w:tcPr>
            <w:tcW w:w="28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tabs>
                <w:tab w:pos="1394" w:val="left" w:leader="none"/>
                <w:tab w:pos="1562" w:val="left" w:leader="none"/>
              </w:tabs>
              <w:spacing w:line="240" w:lineRule="auto" w:before="24"/>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tabs>
                <w:tab w:pos="958" w:val="left" w:leader="none"/>
                <w:tab w:pos="1561" w:val="left" w:leader="none"/>
              </w:tabs>
              <w:spacing w:line="240" w:lineRule="auto" w:before="24"/>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4,759</w:t>
              <w:tab/>
            </w:r>
            <w:r>
              <w:rPr>
                <w:rFonts w:ascii="Arial"/>
                <w:sz w:val="20"/>
              </w:rPr>
            </w:r>
          </w:p>
        </w:tc>
        <w:tc>
          <w:tcPr>
            <w:tcW w:w="284"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tabs>
                <w:tab w:pos="1392" w:val="left" w:leader="none"/>
                <w:tab w:pos="1559" w:val="left" w:leader="none"/>
              </w:tabs>
              <w:spacing w:line="240" w:lineRule="auto" w:before="24"/>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r>
            <w:r>
              <w:rPr>
                <w:rFonts w:ascii="Arial"/>
                <w:sz w:val="20"/>
              </w:rPr>
            </w:r>
          </w:p>
        </w:tc>
      </w:tr>
      <w:tr>
        <w:trPr>
          <w:trHeight w:val="265" w:hRule="exact"/>
        </w:trPr>
        <w:tc>
          <w:tcPr>
            <w:tcW w:w="204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99"/>
              <w:jc w:val="right"/>
              <w:rPr>
                <w:rFonts w:ascii="Arial" w:hAnsi="Arial" w:cs="Arial" w:eastAsia="Arial" w:hint="default"/>
                <w:sz w:val="20"/>
                <w:szCs w:val="20"/>
              </w:rPr>
            </w:pPr>
            <w:r>
              <w:rPr>
                <w:rFonts w:ascii="Arial"/>
                <w:spacing w:val="-1"/>
                <w:sz w:val="20"/>
              </w:rPr>
              <w:t>1,277,282</w:t>
            </w:r>
          </w:p>
        </w:tc>
        <w:tc>
          <w:tcPr>
            <w:tcW w:w="28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98"/>
              <w:jc w:val="right"/>
              <w:rPr>
                <w:rFonts w:ascii="Arial" w:hAnsi="Arial" w:cs="Arial" w:eastAsia="Arial" w:hint="default"/>
                <w:sz w:val="20"/>
                <w:szCs w:val="20"/>
              </w:rPr>
            </w:pPr>
            <w:r>
              <w:rPr>
                <w:rFonts w:ascii="Arial"/>
                <w:spacing w:val="-1"/>
                <w:sz w:val="20"/>
              </w:rPr>
              <w:t>124,895</w:t>
            </w:r>
          </w:p>
        </w:tc>
        <w:tc>
          <w:tcPr>
            <w:tcW w:w="425"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98"/>
              <w:jc w:val="right"/>
              <w:rPr>
                <w:rFonts w:ascii="Arial" w:hAnsi="Arial" w:cs="Arial" w:eastAsia="Arial" w:hint="default"/>
                <w:sz w:val="20"/>
                <w:szCs w:val="20"/>
              </w:rPr>
            </w:pPr>
            <w:r>
              <w:rPr>
                <w:rFonts w:ascii="Arial"/>
                <w:spacing w:val="-1"/>
                <w:sz w:val="20"/>
              </w:rPr>
              <w:t>1,263,095</w:t>
            </w:r>
          </w:p>
        </w:tc>
        <w:tc>
          <w:tcPr>
            <w:tcW w:w="284"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133"/>
              <w:jc w:val="right"/>
              <w:rPr>
                <w:rFonts w:ascii="Arial" w:hAnsi="Arial" w:cs="Arial" w:eastAsia="Arial" w:hint="default"/>
                <w:sz w:val="20"/>
                <w:szCs w:val="20"/>
              </w:rPr>
            </w:pPr>
            <w:r>
              <w:rPr>
                <w:rFonts w:ascii="Arial"/>
                <w:sz w:val="20"/>
              </w:rPr>
              <w:t>80,468</w:t>
            </w:r>
          </w:p>
        </w:tc>
      </w:tr>
    </w:tbl>
    <w:p>
      <w:pPr>
        <w:spacing w:line="240" w:lineRule="auto" w:before="13"/>
        <w:rPr>
          <w:rFonts w:ascii="宋体" w:hAnsi="宋体" w:cs="宋体" w:eastAsia="宋体" w:hint="default"/>
          <w:sz w:val="14"/>
          <w:szCs w:val="14"/>
        </w:rPr>
      </w:pPr>
    </w:p>
    <w:p>
      <w:pPr>
        <w:pStyle w:val="BodyText"/>
        <w:spacing w:line="240" w:lineRule="auto" w:before="26"/>
        <w:ind w:left="823" w:right="0"/>
        <w:jc w:val="left"/>
      </w:pPr>
      <w:r>
        <w:rPr/>
        <w:t>注：连锁店服务收入指供应商支付的广告促销服务收入及广告服务费收入等。</w:t>
      </w:r>
    </w:p>
    <w:p>
      <w:pPr>
        <w:spacing w:after="0" w:line="240" w:lineRule="auto"/>
        <w:jc w:val="left"/>
        <w:sectPr>
          <w:pgSz w:w="11910" w:h="16840"/>
          <w:pgMar w:header="0" w:footer="947" w:top="2300" w:bottom="1140" w:left="960" w:right="720"/>
        </w:sectPr>
      </w:pPr>
    </w:p>
    <w:p>
      <w:pPr>
        <w:spacing w:line="240" w:lineRule="auto" w:before="6"/>
        <w:rPr>
          <w:rFonts w:ascii="宋体" w:hAnsi="宋体" w:cs="宋体" w:eastAsia="宋体" w:hint="default"/>
          <w:sz w:val="13"/>
          <w:szCs w:val="13"/>
        </w:rPr>
      </w:pPr>
    </w:p>
    <w:p>
      <w:pPr>
        <w:pStyle w:val="Heading2"/>
        <w:tabs>
          <w:tab w:pos="823" w:val="left" w:leader="none"/>
        </w:tabs>
        <w:spacing w:line="240" w:lineRule="auto"/>
        <w:ind w:left="118" w:right="104"/>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23" w:val="left" w:leader="none"/>
        </w:tabs>
        <w:spacing w:before="0"/>
        <w:ind w:left="118" w:right="104" w:firstLine="0"/>
        <w:jc w:val="left"/>
        <w:rPr>
          <w:rFonts w:ascii="Arial" w:hAnsi="Arial" w:cs="Arial" w:eastAsia="Arial" w:hint="default"/>
          <w:sz w:val="24"/>
          <w:szCs w:val="24"/>
        </w:rPr>
      </w:pPr>
      <w:r>
        <w:rPr>
          <w:rFonts w:ascii="Arial" w:hAnsi="Arial" w:cs="Arial" w:eastAsia="Arial" w:hint="default"/>
          <w:w w:val="95"/>
          <w:position w:val="2"/>
          <w:sz w:val="24"/>
          <w:szCs w:val="24"/>
        </w:rPr>
        <w:t>(36)</w:t>
        <w:tab/>
      </w:r>
      <w:r>
        <w:rPr>
          <w:rFonts w:ascii="宋体" w:hAnsi="宋体" w:cs="宋体" w:eastAsia="宋体" w:hint="default"/>
          <w:b/>
          <w:bCs/>
          <w:sz w:val="24"/>
          <w:szCs w:val="24"/>
        </w:rPr>
        <w:t>营业收入和营业成本</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23" w:val="left" w:leader="none"/>
        </w:tabs>
        <w:spacing w:line="240" w:lineRule="auto"/>
        <w:ind w:left="118" w:right="104"/>
        <w:jc w:val="left"/>
      </w:pPr>
      <w:r>
        <w:rPr>
          <w:rFonts w:ascii="Arial" w:hAnsi="Arial" w:cs="Arial" w:eastAsia="Arial" w:hint="default"/>
          <w:position w:val="2"/>
        </w:rPr>
        <w:t>(c)</w:t>
        <w:tab/>
      </w:r>
      <w:r>
        <w:rPr/>
        <w:t>本集团前五名客户的营业收入情况</w:t>
      </w:r>
    </w:p>
    <w:p>
      <w:pPr>
        <w:spacing w:line="240" w:lineRule="auto" w:before="12"/>
        <w:rPr>
          <w:rFonts w:ascii="宋体" w:hAnsi="宋体" w:cs="宋体" w:eastAsia="宋体" w:hint="default"/>
          <w:sz w:val="20"/>
          <w:szCs w:val="20"/>
        </w:rPr>
      </w:pPr>
    </w:p>
    <w:p>
      <w:pPr>
        <w:pStyle w:val="BodyText"/>
        <w:spacing w:line="322" w:lineRule="exact"/>
        <w:ind w:left="823" w:right="104"/>
        <w:jc w:val="left"/>
      </w:pPr>
      <w:r>
        <w:rPr/>
        <w:t>本集团前五名客户营业收入的总额约人民币 </w:t>
      </w:r>
      <w:r>
        <w:rPr>
          <w:rFonts w:ascii="Arial" w:hAnsi="Arial" w:cs="Arial" w:eastAsia="Arial" w:hint="default"/>
        </w:rPr>
        <w:t>77,342  </w:t>
      </w:r>
      <w:r>
        <w:rPr/>
        <w:t>万元</w:t>
      </w:r>
      <w:r>
        <w:rPr>
          <w:rFonts w:ascii="Arial" w:hAnsi="Arial" w:cs="Arial" w:eastAsia="Arial" w:hint="default"/>
        </w:rPr>
        <w:t>(2009 </w:t>
      </w:r>
      <w:r>
        <w:rPr/>
        <w:t>年：约人民币 </w:t>
      </w:r>
      <w:r>
        <w:rPr>
          <w:rFonts w:ascii="Arial" w:hAnsi="Arial" w:cs="Arial" w:eastAsia="Arial" w:hint="default"/>
        </w:rPr>
        <w:t>8,554</w:t>
      </w:r>
      <w:r>
        <w:rPr>
          <w:rFonts w:ascii="Arial" w:hAnsi="Arial" w:cs="Arial" w:eastAsia="Arial" w:hint="default"/>
          <w:spacing w:val="-38"/>
        </w:rPr>
        <w:t> </w:t>
      </w:r>
      <w:r>
        <w:rPr/>
        <w:t>万</w:t>
      </w:r>
    </w:p>
    <w:p>
      <w:pPr>
        <w:pStyle w:val="BodyText"/>
        <w:spacing w:line="322" w:lineRule="exact"/>
        <w:ind w:left="823" w:right="104"/>
        <w:jc w:val="left"/>
      </w:pPr>
      <w:r>
        <w:rPr/>
        <w:t>元</w:t>
      </w:r>
      <w:r>
        <w:rPr>
          <w:rFonts w:ascii="Arial" w:hAnsi="Arial" w:cs="Arial" w:eastAsia="Arial" w:hint="default"/>
        </w:rPr>
        <w:t>)</w:t>
      </w:r>
      <w:r>
        <w:rPr/>
        <w:t>，占本集团全部营业收入的比例为</w:t>
      </w:r>
      <w:r>
        <w:rPr>
          <w:spacing w:val="-68"/>
        </w:rPr>
        <w:t> </w:t>
      </w:r>
      <w:r>
        <w:rPr>
          <w:rFonts w:ascii="Arial" w:hAnsi="Arial" w:cs="Arial" w:eastAsia="Arial" w:hint="default"/>
        </w:rPr>
        <w:t>1.02%(2009</w:t>
      </w:r>
      <w:r>
        <w:rPr>
          <w:rFonts w:ascii="Arial" w:hAnsi="Arial" w:cs="Arial" w:eastAsia="Arial" w:hint="default"/>
          <w:spacing w:val="-15"/>
        </w:rPr>
        <w:t> </w:t>
      </w:r>
      <w:r>
        <w:rPr/>
        <w:t>年：</w:t>
      </w:r>
      <w:r>
        <w:rPr>
          <w:rFonts w:ascii="Arial" w:hAnsi="Arial" w:cs="Arial" w:eastAsia="Arial" w:hint="default"/>
        </w:rPr>
        <w:t>0.15%)</w:t>
      </w:r>
      <w:r>
        <w:rPr/>
        <w:t>，具体情况如下：</w:t>
      </w: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947" w:top="2300" w:bottom="1140" w:left="960" w:right="760"/>
        </w:sectPr>
      </w:pPr>
    </w:p>
    <w:p>
      <w:pPr>
        <w:spacing w:line="240" w:lineRule="auto" w:before="11"/>
        <w:rPr>
          <w:rFonts w:ascii="宋体" w:hAnsi="宋体" w:cs="宋体" w:eastAsia="宋体" w:hint="default"/>
          <w:sz w:val="25"/>
          <w:szCs w:val="25"/>
        </w:rPr>
      </w:pPr>
    </w:p>
    <w:p>
      <w:pPr>
        <w:pStyle w:val="BodyText"/>
        <w:spacing w:line="240" w:lineRule="auto"/>
        <w:ind w:left="0" w:right="0"/>
        <w:jc w:val="right"/>
      </w:pPr>
      <w:r>
        <w:rPr/>
        <w:t>营业收入</w:t>
      </w:r>
    </w:p>
    <w:p>
      <w:pPr>
        <w:pStyle w:val="BodyText"/>
        <w:spacing w:line="312" w:lineRule="exact" w:before="56"/>
        <w:ind w:left="459" w:right="233" w:firstLine="614"/>
        <w:jc w:val="left"/>
        <w:rPr>
          <w:rFonts w:ascii="Arial" w:hAnsi="Arial" w:cs="Arial" w:eastAsia="Arial" w:hint="default"/>
        </w:rPr>
      </w:pPr>
      <w:r>
        <w:rPr/>
        <w:br w:type="column"/>
      </w:r>
      <w:r>
        <w:rPr/>
        <w:t>占本集团全部 营业收入的比例</w:t>
      </w:r>
      <w:r>
        <w:rPr>
          <w:rFonts w:ascii="Arial" w:hAnsi="Arial" w:cs="Arial" w:eastAsia="Arial" w:hint="default"/>
        </w:rPr>
        <w:t>(%)</w:t>
      </w:r>
    </w:p>
    <w:p>
      <w:pPr>
        <w:spacing w:after="0" w:line="312" w:lineRule="exact"/>
        <w:jc w:val="left"/>
        <w:rPr>
          <w:rFonts w:ascii="Arial" w:hAnsi="Arial" w:cs="Arial" w:eastAsia="Arial" w:hint="default"/>
        </w:rPr>
        <w:sectPr>
          <w:type w:val="continuous"/>
          <w:pgSz w:w="11910" w:h="16840"/>
          <w:pgMar w:top="920" w:bottom="900" w:left="960" w:right="760"/>
          <w:cols w:num="2" w:equalWidth="0">
            <w:col w:w="7378" w:space="40"/>
            <w:col w:w="2772"/>
          </w:cols>
        </w:sectPr>
      </w:pPr>
    </w:p>
    <w:p>
      <w:pPr>
        <w:spacing w:line="240" w:lineRule="auto" w:before="1"/>
        <w:rPr>
          <w:rFonts w:ascii="Arial" w:hAnsi="Arial" w:cs="Arial" w:eastAsia="Arial" w:hint="default"/>
          <w:sz w:val="19"/>
          <w:szCs w:val="19"/>
        </w:rPr>
      </w:pPr>
    </w:p>
    <w:p>
      <w:pPr>
        <w:pStyle w:val="BodyText"/>
        <w:tabs>
          <w:tab w:pos="6488" w:val="left" w:leader="none"/>
          <w:tab w:pos="9250" w:val="left" w:leader="none"/>
        </w:tabs>
        <w:spacing w:line="332" w:lineRule="exact" w:before="24"/>
        <w:ind w:left="823" w:right="104"/>
        <w:jc w:val="left"/>
        <w:rPr>
          <w:rFonts w:ascii="Arial" w:hAnsi="Arial" w:cs="Arial" w:eastAsia="Arial" w:hint="default"/>
        </w:rPr>
      </w:pPr>
      <w:r>
        <w:rPr>
          <w:position w:val="2"/>
        </w:rPr>
        <w:t>大唐高鸿信息技术有限公司</w:t>
        <w:tab/>
      </w:r>
      <w:r>
        <w:rPr>
          <w:rFonts w:ascii="Arial" w:hAnsi="Arial" w:cs="Arial" w:eastAsia="Arial" w:hint="default"/>
          <w:spacing w:val="-1"/>
        </w:rPr>
        <w:t>200,760</w:t>
        <w:tab/>
        <w:t>0.27%</w:t>
      </w:r>
      <w:r>
        <w:rPr>
          <w:rFonts w:ascii="Arial" w:hAnsi="Arial" w:cs="Arial" w:eastAsia="Arial" w:hint="default"/>
        </w:rPr>
      </w:r>
    </w:p>
    <w:p>
      <w:pPr>
        <w:pStyle w:val="BodyText"/>
        <w:tabs>
          <w:tab w:pos="6488" w:val="left" w:leader="none"/>
          <w:tab w:pos="9250" w:val="left" w:leader="none"/>
        </w:tabs>
        <w:spacing w:line="312" w:lineRule="exact"/>
        <w:ind w:left="823" w:right="104"/>
        <w:jc w:val="left"/>
        <w:rPr>
          <w:rFonts w:ascii="Arial" w:hAnsi="Arial" w:cs="Arial" w:eastAsia="Arial" w:hint="default"/>
        </w:rPr>
      </w:pPr>
      <w:r>
        <w:rPr>
          <w:position w:val="2"/>
        </w:rPr>
        <w:t>中邮普泰通信服务股份有限公司</w:t>
        <w:tab/>
      </w:r>
      <w:r>
        <w:rPr>
          <w:rFonts w:ascii="Arial" w:hAnsi="Arial" w:cs="Arial" w:eastAsia="Arial" w:hint="default"/>
          <w:spacing w:val="-1"/>
        </w:rPr>
        <w:t>171,282</w:t>
        <w:tab/>
        <w:t>0.23%</w:t>
      </w:r>
      <w:r>
        <w:rPr>
          <w:rFonts w:ascii="Arial" w:hAnsi="Arial" w:cs="Arial" w:eastAsia="Arial" w:hint="default"/>
        </w:rPr>
      </w:r>
    </w:p>
    <w:p>
      <w:pPr>
        <w:pStyle w:val="BodyText"/>
        <w:tabs>
          <w:tab w:pos="6488" w:val="left" w:leader="none"/>
          <w:tab w:pos="9250" w:val="left" w:leader="none"/>
        </w:tabs>
        <w:spacing w:line="312" w:lineRule="exact"/>
        <w:ind w:left="823" w:right="104"/>
        <w:jc w:val="left"/>
        <w:rPr>
          <w:rFonts w:ascii="Arial" w:hAnsi="Arial" w:cs="Arial" w:eastAsia="Arial" w:hint="default"/>
        </w:rPr>
      </w:pPr>
      <w:r>
        <w:rPr>
          <w:position w:val="2"/>
        </w:rPr>
        <w:t>中仪英斯泰克进出口公司</w:t>
        <w:tab/>
      </w:r>
      <w:r>
        <w:rPr>
          <w:rFonts w:ascii="Arial" w:hAnsi="Arial" w:cs="Arial" w:eastAsia="Arial" w:hint="default"/>
          <w:spacing w:val="-1"/>
        </w:rPr>
        <w:t>171,050</w:t>
        <w:tab/>
        <w:t>0.22%</w:t>
      </w:r>
      <w:r>
        <w:rPr>
          <w:rFonts w:ascii="Arial" w:hAnsi="Arial" w:cs="Arial" w:eastAsia="Arial" w:hint="default"/>
        </w:rPr>
      </w:r>
    </w:p>
    <w:p>
      <w:pPr>
        <w:pStyle w:val="BodyText"/>
        <w:tabs>
          <w:tab w:pos="6488" w:val="left" w:leader="none"/>
          <w:tab w:pos="9250" w:val="left" w:leader="none"/>
        </w:tabs>
        <w:spacing w:line="312" w:lineRule="exact"/>
        <w:ind w:left="823" w:right="104"/>
        <w:jc w:val="left"/>
        <w:rPr>
          <w:rFonts w:ascii="Arial" w:hAnsi="Arial" w:cs="Arial" w:eastAsia="Arial" w:hint="default"/>
        </w:rPr>
      </w:pPr>
      <w:r>
        <w:rPr>
          <w:position w:val="2"/>
        </w:rPr>
        <w:t>航天信息股份有限公司</w:t>
        <w:tab/>
      </w:r>
      <w:r>
        <w:rPr>
          <w:rFonts w:ascii="Arial" w:hAnsi="Arial" w:cs="Arial" w:eastAsia="Arial" w:hint="default"/>
          <w:spacing w:val="-1"/>
        </w:rPr>
        <w:t>144,680</w:t>
        <w:tab/>
        <w:t>0.19%</w:t>
      </w:r>
      <w:r>
        <w:rPr>
          <w:rFonts w:ascii="Arial" w:hAnsi="Arial" w:cs="Arial" w:eastAsia="Arial" w:hint="default"/>
        </w:rPr>
      </w:r>
    </w:p>
    <w:p>
      <w:pPr>
        <w:pStyle w:val="BodyText"/>
        <w:tabs>
          <w:tab w:pos="5385" w:val="left" w:leader="none"/>
          <w:tab w:pos="6621" w:val="left" w:leader="none"/>
          <w:tab w:pos="7724" w:val="left" w:leader="none"/>
          <w:tab w:pos="9268" w:val="left" w:leader="none"/>
          <w:tab w:pos="10069" w:val="left" w:leader="none"/>
        </w:tabs>
        <w:spacing w:line="332" w:lineRule="exact"/>
        <w:ind w:left="823" w:right="104"/>
        <w:jc w:val="left"/>
        <w:rPr>
          <w:rFonts w:ascii="Arial" w:hAnsi="Arial" w:cs="Arial" w:eastAsia="Arial" w:hint="default"/>
        </w:rPr>
      </w:pPr>
      <w:r>
        <w:rPr>
          <w:position w:val="2"/>
        </w:rPr>
        <w:t>欧亚集团沈阳联营有限公司</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85,652</w:t>
      </w:r>
      <w:r>
        <w:rPr>
          <w:rFonts w:ascii="Arial" w:hAnsi="Arial" w:cs="Arial" w:eastAsia="Arial" w:hint="default"/>
          <w:spacing w:val="-1"/>
        </w:rPr>
        <w:tab/>
      </w:r>
      <w:r>
        <w:rPr>
          <w:rFonts w:ascii="Arial" w:hAnsi="Arial" w:cs="Arial" w:eastAsia="Arial" w:hint="default"/>
          <w:spacing w:val="-1"/>
          <w:u w:val="single" w:color="000000"/>
        </w:rPr>
        <w:t> </w:t>
        <w:tab/>
      </w:r>
      <w:r>
        <w:rPr>
          <w:rFonts w:ascii="Arial" w:hAnsi="Arial" w:cs="Arial" w:eastAsia="Arial" w:hint="default"/>
          <w:spacing w:val="-4"/>
          <w:u w:val="single" w:color="000000"/>
        </w:rPr>
        <w:t>0.11%</w:t>
        <w:tab/>
      </w:r>
      <w:r>
        <w:rPr>
          <w:rFonts w:ascii="Arial" w:hAnsi="Arial" w:cs="Arial" w:eastAsia="Arial" w:hint="default"/>
          <w:spacing w:val="-4"/>
        </w:rPr>
      </w:r>
    </w:p>
    <w:p>
      <w:pPr>
        <w:pStyle w:val="BodyText"/>
        <w:tabs>
          <w:tab w:pos="6488" w:val="left" w:leader="none"/>
          <w:tab w:pos="7717" w:val="left" w:leader="none"/>
          <w:tab w:pos="9250" w:val="left" w:leader="none"/>
          <w:tab w:pos="10076" w:val="left" w:leader="none"/>
        </w:tabs>
        <w:spacing w:line="240" w:lineRule="auto" w:before="9"/>
        <w:ind w:left="5378" w:right="104"/>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773,424</w:t>
      </w:r>
      <w:r>
        <w:rPr>
          <w:rFonts w:ascii="Arial"/>
          <w:spacing w:val="-1"/>
        </w:rPr>
        <w:tab/>
      </w:r>
      <w:r>
        <w:rPr>
          <w:rFonts w:ascii="Arial"/>
          <w:spacing w:val="-1"/>
          <w:u w:val="thick" w:color="000000"/>
        </w:rPr>
        <w:t> </w:t>
        <w:tab/>
        <w:t>1.02%</w:t>
        <w:tab/>
      </w:r>
      <w:r>
        <w:rPr>
          <w:rFonts w:ascii="Arial"/>
          <w:spacing w:val="-1"/>
        </w:rPr>
      </w:r>
    </w:p>
    <w:p>
      <w:pPr>
        <w:spacing w:line="240" w:lineRule="auto" w:before="8"/>
        <w:rPr>
          <w:rFonts w:ascii="Arial" w:hAnsi="Arial" w:cs="Arial" w:eastAsia="Arial" w:hint="default"/>
          <w:sz w:val="17"/>
          <w:szCs w:val="17"/>
        </w:rPr>
      </w:pPr>
    </w:p>
    <w:p>
      <w:pPr>
        <w:tabs>
          <w:tab w:pos="823" w:val="left" w:leader="none"/>
        </w:tabs>
        <w:spacing w:before="32"/>
        <w:ind w:left="118"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(37)</w:t>
        <w:tab/>
      </w:r>
      <w:r>
        <w:rPr>
          <w:rFonts w:ascii="宋体" w:hAnsi="宋体" w:cs="宋体" w:eastAsia="宋体" w:hint="default"/>
          <w:b/>
          <w:bCs/>
          <w:sz w:val="24"/>
          <w:szCs w:val="24"/>
        </w:rPr>
        <w:t>营业税金及附加</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pStyle w:val="BodyText"/>
        <w:tabs>
          <w:tab w:pos="6767" w:val="left" w:leader="none"/>
          <w:tab w:pos="9008" w:val="left" w:leader="none"/>
        </w:tabs>
        <w:spacing w:line="240" w:lineRule="auto" w:before="26"/>
        <w:ind w:left="5064" w:right="104"/>
        <w:jc w:val="left"/>
      </w:pPr>
      <w:r>
        <w:rPr>
          <w:rFonts w:ascii="Arial" w:hAnsi="Arial" w:cs="Arial" w:eastAsia="Arial" w:hint="default"/>
        </w:rPr>
        <w:t>2010</w:t>
      </w:r>
      <w:r>
        <w:rPr>
          <w:rFonts w:ascii="Arial" w:hAnsi="Arial" w:cs="Arial" w:eastAsia="Arial" w:hint="default"/>
          <w:spacing w:val="-11"/>
        </w:rPr>
        <w:t> </w:t>
      </w:r>
      <w:r>
        <w:rPr/>
        <w:t>年度</w:t>
        <w:tab/>
      </w:r>
      <w:r>
        <w:rPr>
          <w:rFonts w:ascii="Arial" w:hAnsi="Arial" w:cs="Arial" w:eastAsia="Arial" w:hint="default"/>
        </w:rPr>
        <w:t>2009</w:t>
      </w:r>
      <w:r>
        <w:rPr>
          <w:rFonts w:ascii="Arial" w:hAnsi="Arial" w:cs="Arial" w:eastAsia="Arial" w:hint="default"/>
          <w:spacing w:val="-11"/>
        </w:rPr>
        <w:t> </w:t>
      </w:r>
      <w:r>
        <w:rPr/>
        <w:t>年度</w:t>
        <w:tab/>
        <w:t>计缴标准</w:t>
      </w: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920" w:bottom="900" w:left="960" w:right="760"/>
        </w:sectPr>
      </w:pPr>
    </w:p>
    <w:p>
      <w:pPr>
        <w:spacing w:line="240" w:lineRule="auto" w:before="9"/>
        <w:rPr>
          <w:rFonts w:ascii="宋体" w:hAnsi="宋体" w:cs="宋体" w:eastAsia="宋体" w:hint="default"/>
          <w:sz w:val="25"/>
          <w:szCs w:val="25"/>
        </w:rPr>
      </w:pPr>
    </w:p>
    <w:p>
      <w:pPr>
        <w:pStyle w:val="BodyText"/>
        <w:tabs>
          <w:tab w:pos="5287" w:val="left" w:leader="none"/>
          <w:tab w:pos="6973" w:val="left" w:leader="none"/>
        </w:tabs>
        <w:spacing w:line="240" w:lineRule="auto"/>
        <w:ind w:left="823" w:right="-14"/>
        <w:jc w:val="left"/>
        <w:rPr>
          <w:rFonts w:ascii="Arial" w:hAnsi="Arial" w:cs="Arial" w:eastAsia="Arial" w:hint="default"/>
        </w:rPr>
      </w:pPr>
      <w:r>
        <w:rPr>
          <w:position w:val="2"/>
        </w:rPr>
        <w:t>城市维护建设税</w:t>
        <w:tab/>
      </w:r>
      <w:r>
        <w:rPr>
          <w:rFonts w:ascii="Arial" w:hAnsi="Arial" w:cs="Arial" w:eastAsia="Arial" w:hint="default"/>
          <w:spacing w:val="-4"/>
        </w:rPr>
        <w:t>117,191</w:t>
        <w:tab/>
      </w:r>
      <w:r>
        <w:rPr>
          <w:rFonts w:ascii="Arial" w:hAnsi="Arial" w:cs="Arial" w:eastAsia="Arial" w:hint="default"/>
          <w:spacing w:val="-1"/>
        </w:rPr>
        <w:t>123,854</w:t>
      </w:r>
      <w:r>
        <w:rPr>
          <w:rFonts w:ascii="Arial" w:hAnsi="Arial" w:cs="Arial" w:eastAsia="Arial" w:hint="default"/>
        </w:rPr>
      </w:r>
    </w:p>
    <w:p>
      <w:pPr>
        <w:pStyle w:val="BodyText"/>
        <w:spacing w:line="312" w:lineRule="exact" w:before="56"/>
        <w:ind w:left="888" w:right="196" w:hanging="308"/>
        <w:jc w:val="left"/>
      </w:pPr>
      <w:r>
        <w:rPr/>
        <w:br w:type="column"/>
      </w:r>
      <w:r>
        <w:rPr/>
        <w:t>营业税</w:t>
      </w:r>
      <w:r>
        <w:rPr>
          <w:rFonts w:ascii="Arial" w:hAnsi="Arial" w:cs="Arial" w:eastAsia="Arial" w:hint="default"/>
        </w:rPr>
        <w:t>/</w:t>
      </w:r>
      <w:r>
        <w:rPr/>
        <w:t>增值税 的应纳税额</w:t>
      </w:r>
    </w:p>
    <w:p>
      <w:pPr>
        <w:spacing w:after="0" w:line="312" w:lineRule="exact"/>
        <w:jc w:val="left"/>
        <w:sectPr>
          <w:type w:val="continuous"/>
          <w:pgSz w:w="11910" w:h="16840"/>
          <w:pgMar w:top="920" w:bottom="900" w:left="960" w:right="760"/>
          <w:cols w:num="2" w:equalWidth="0">
            <w:col w:w="7840" w:space="40"/>
            <w:col w:w="2310"/>
          </w:cols>
        </w:sectPr>
      </w:pPr>
    </w:p>
    <w:p>
      <w:pPr>
        <w:pStyle w:val="BodyText"/>
        <w:tabs>
          <w:tab w:pos="5402" w:val="left" w:leader="none"/>
          <w:tab w:pos="7106" w:val="left" w:leader="none"/>
          <w:tab w:pos="8528" w:val="left" w:leader="none"/>
        </w:tabs>
        <w:spacing w:line="294" w:lineRule="exact" w:before="26"/>
        <w:ind w:left="8461" w:right="215" w:hanging="7638"/>
        <w:jc w:val="right"/>
      </w:pPr>
      <w:r>
        <w:rPr>
          <w:position w:val="2"/>
        </w:rPr>
        <w:t>营业税</w:t>
        <w:tab/>
      </w:r>
      <w:r>
        <w:rPr>
          <w:rFonts w:ascii="Arial" w:hAnsi="Arial" w:cs="Arial" w:eastAsia="Arial" w:hint="default"/>
          <w:spacing w:val="-1"/>
        </w:rPr>
        <w:t>85,834</w:t>
        <w:tab/>
        <w:t>79,326</w:t>
        <w:tab/>
        <w:tab/>
      </w:r>
      <w:r>
        <w:rPr>
          <w:position w:val="2"/>
        </w:rPr>
        <w:t>应纳税营业额 </w:t>
      </w:r>
      <w:r>
        <w:rPr/>
        <w:t>营业税</w:t>
      </w:r>
      <w:r>
        <w:rPr>
          <w:rFonts w:ascii="Arial" w:hAnsi="Arial" w:cs="Arial" w:eastAsia="Arial" w:hint="default"/>
        </w:rPr>
        <w:t>/</w:t>
      </w:r>
      <w:r>
        <w:rPr/>
        <w:t>增值税</w:t>
      </w:r>
    </w:p>
    <w:p>
      <w:pPr>
        <w:spacing w:after="0" w:line="294" w:lineRule="exact"/>
        <w:jc w:val="right"/>
        <w:sectPr>
          <w:type w:val="continuous"/>
          <w:pgSz w:w="11910" w:h="16840"/>
          <w:pgMar w:top="920" w:bottom="900" w:left="960" w:right="760"/>
        </w:sectPr>
      </w:pPr>
    </w:p>
    <w:p>
      <w:pPr>
        <w:pStyle w:val="BodyText"/>
        <w:tabs>
          <w:tab w:pos="4820" w:val="left" w:leader="none"/>
          <w:tab w:pos="5402" w:val="left" w:leader="none"/>
          <w:tab w:pos="6524" w:val="left" w:leader="none"/>
          <w:tab w:pos="7106" w:val="left" w:leader="none"/>
          <w:tab w:pos="7941" w:val="left" w:leader="none"/>
        </w:tabs>
        <w:spacing w:line="322" w:lineRule="exact"/>
        <w:ind w:left="823" w:right="0"/>
        <w:jc w:val="left"/>
        <w:rPr>
          <w:rFonts w:ascii="Arial" w:hAnsi="Arial" w:cs="Arial" w:eastAsia="Arial" w:hint="default"/>
        </w:rPr>
      </w:pPr>
      <w:r>
        <w:rPr>
          <w:position w:val="2"/>
        </w:rPr>
        <w:t>教育费附加</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65,104</w:t>
      </w:r>
      <w:r>
        <w:rPr>
          <w:rFonts w:ascii="Arial" w:hAnsi="Arial" w:cs="Arial" w:eastAsia="Arial" w:hint="default"/>
          <w:spacing w:val="-1"/>
        </w:rPr>
        <w:tab/>
      </w:r>
      <w:r>
        <w:rPr>
          <w:rFonts w:ascii="Arial" w:hAnsi="Arial" w:cs="Arial" w:eastAsia="Arial" w:hint="default"/>
          <w:spacing w:val="-1"/>
          <w:u w:val="single" w:color="000000"/>
        </w:rPr>
        <w:t> </w:t>
        <w:tab/>
        <w:t>68,336</w:t>
        <w:tab/>
      </w:r>
      <w:r>
        <w:rPr>
          <w:rFonts w:ascii="Arial" w:hAnsi="Arial" w:cs="Arial" w:eastAsia="Arial" w:hint="default"/>
          <w:spacing w:val="-1"/>
        </w:rPr>
      </w:r>
    </w:p>
    <w:p>
      <w:pPr>
        <w:pStyle w:val="BodyText"/>
        <w:tabs>
          <w:tab w:pos="5269" w:val="left" w:leader="none"/>
          <w:tab w:pos="6517" w:val="left" w:leader="none"/>
          <w:tab w:pos="6973" w:val="left" w:leader="none"/>
          <w:tab w:pos="7948" w:val="left" w:leader="none"/>
        </w:tabs>
        <w:spacing w:line="240" w:lineRule="auto" w:before="9"/>
        <w:ind w:left="4813" w:right="0"/>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268,129</w:t>
      </w:r>
      <w:r>
        <w:rPr>
          <w:rFonts w:ascii="Arial"/>
          <w:spacing w:val="-1"/>
        </w:rPr>
        <w:tab/>
      </w:r>
      <w:r>
        <w:rPr>
          <w:rFonts w:ascii="Arial"/>
          <w:spacing w:val="-1"/>
          <w:u w:val="thick" w:color="000000"/>
        </w:rPr>
        <w:t> </w:t>
        <w:tab/>
        <w:t>271,516</w:t>
        <w:tab/>
      </w:r>
      <w:r>
        <w:rPr>
          <w:rFonts w:ascii="Arial"/>
          <w:spacing w:val="-1"/>
        </w:rPr>
      </w:r>
    </w:p>
    <w:p>
      <w:pPr>
        <w:pStyle w:val="BodyText"/>
        <w:spacing w:line="287" w:lineRule="exact"/>
        <w:ind w:left="779" w:right="0"/>
        <w:jc w:val="left"/>
      </w:pPr>
      <w:r>
        <w:rPr/>
        <w:br w:type="column"/>
      </w:r>
      <w:r>
        <w:rPr/>
        <w:t>的应纳税额</w:t>
      </w:r>
    </w:p>
    <w:p>
      <w:pPr>
        <w:spacing w:after="0" w:line="287" w:lineRule="exact"/>
        <w:jc w:val="left"/>
        <w:sectPr>
          <w:type w:val="continuous"/>
          <w:pgSz w:w="11910" w:h="16840"/>
          <w:pgMar w:top="920" w:bottom="900" w:left="960" w:right="760"/>
          <w:cols w:num="2" w:equalWidth="0">
            <w:col w:w="7949" w:space="40"/>
            <w:col w:w="2201"/>
          </w:cols>
        </w:sectPr>
      </w:pPr>
    </w:p>
    <w:p>
      <w:pPr>
        <w:spacing w:line="240" w:lineRule="auto" w:before="4"/>
        <w:rPr>
          <w:rFonts w:ascii="Times New Roman" w:hAnsi="Times New Roman" w:cs="Times New Roman" w:eastAsia="Times New Roman"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598"/>
        <w:gridCol w:w="4069"/>
        <w:gridCol w:w="2215"/>
        <w:gridCol w:w="587"/>
        <w:gridCol w:w="2166"/>
      </w:tblGrid>
      <w:tr>
        <w:trPr>
          <w:trHeight w:val="891" w:hRule="exact"/>
        </w:trPr>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1"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406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97"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36" w:right="0"/>
              <w:jc w:val="left"/>
              <w:rPr>
                <w:rFonts w:ascii="宋体" w:hAnsi="宋体" w:cs="宋体" w:eastAsia="宋体" w:hint="default"/>
                <w:sz w:val="24"/>
                <w:szCs w:val="24"/>
              </w:rPr>
            </w:pPr>
            <w:r>
              <w:rPr>
                <w:rFonts w:ascii="宋体" w:hAnsi="宋体" w:cs="宋体" w:eastAsia="宋体" w:hint="default"/>
                <w:b/>
                <w:bCs/>
                <w:sz w:val="24"/>
                <w:szCs w:val="24"/>
              </w:rPr>
              <w:t>销售费用</w:t>
            </w:r>
            <w:r>
              <w:rPr>
                <w:rFonts w:ascii="宋体" w:hAnsi="宋体" w:cs="宋体" w:eastAsia="宋体" w:hint="default"/>
                <w:sz w:val="24"/>
                <w:szCs w:val="24"/>
              </w:rPr>
            </w:r>
          </w:p>
        </w:tc>
        <w:tc>
          <w:tcPr>
            <w:tcW w:w="4968" w:type="dxa"/>
            <w:gridSpan w:val="3"/>
            <w:vMerge w:val="restart"/>
            <w:tcBorders>
              <w:top w:val="nil" w:sz="6" w:space="0" w:color="auto"/>
              <w:left w:val="nil" w:sz="6" w:space="0" w:color="auto"/>
              <w:right w:val="nil" w:sz="6" w:space="0" w:color="auto"/>
            </w:tcBorders>
          </w:tcPr>
          <w:p>
            <w:pPr/>
          </w:p>
        </w:tc>
      </w:tr>
      <w:tr>
        <w:trPr>
          <w:trHeight w:val="259" w:hRule="exact"/>
        </w:trPr>
        <w:tc>
          <w:tcPr>
            <w:tcW w:w="598"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Arial" w:hAnsi="Arial" w:cs="Arial" w:eastAsia="Arial" w:hint="default"/>
                <w:sz w:val="24"/>
                <w:szCs w:val="24"/>
              </w:rPr>
            </w:pPr>
            <w:r>
              <w:rPr>
                <w:rFonts w:ascii="Arial"/>
                <w:sz w:val="24"/>
              </w:rPr>
              <w:t>(38)</w:t>
            </w:r>
          </w:p>
        </w:tc>
        <w:tc>
          <w:tcPr>
            <w:tcW w:w="4069" w:type="dxa"/>
            <w:tcBorders>
              <w:top w:val="nil" w:sz="6" w:space="0" w:color="auto"/>
              <w:left w:val="nil" w:sz="6" w:space="0" w:color="auto"/>
              <w:bottom w:val="nil" w:sz="6" w:space="0" w:color="auto"/>
              <w:right w:val="nil" w:sz="6" w:space="0" w:color="auto"/>
            </w:tcBorders>
          </w:tcPr>
          <w:p>
            <w:pPr/>
          </w:p>
        </w:tc>
        <w:tc>
          <w:tcPr>
            <w:tcW w:w="4968" w:type="dxa"/>
            <w:gridSpan w:val="3"/>
            <w:vMerge/>
            <w:tcBorders>
              <w:left w:val="nil" w:sz="6" w:space="0" w:color="auto"/>
              <w:bottom w:val="nil" w:sz="6" w:space="0" w:color="auto"/>
              <w:right w:val="nil" w:sz="6" w:space="0" w:color="auto"/>
            </w:tcBorders>
          </w:tcPr>
          <w:p>
            <w:pPr/>
          </w:p>
        </w:tc>
      </w:tr>
      <w:tr>
        <w:trPr>
          <w:trHeight w:val="438"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
        </w:tc>
        <w:tc>
          <w:tcPr>
            <w:tcW w:w="2215" w:type="dxa"/>
            <w:tcBorders>
              <w:top w:val="nil" w:sz="6" w:space="0" w:color="auto"/>
              <w:left w:val="nil" w:sz="6" w:space="0" w:color="auto"/>
              <w:bottom w:val="nil" w:sz="6" w:space="0" w:color="auto"/>
              <w:right w:val="nil" w:sz="6" w:space="0" w:color="auto"/>
            </w:tcBorders>
          </w:tcPr>
          <w:p>
            <w:pPr>
              <w:pStyle w:val="TableParagraph"/>
              <w:spacing w:line="278" w:lineRule="exact"/>
              <w:ind w:right="101"/>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78" w:lineRule="exact"/>
              <w:ind w:right="98"/>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4"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36"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9"/>
              <w:jc w:val="right"/>
              <w:rPr>
                <w:rFonts w:ascii="Arial" w:hAnsi="Arial" w:cs="Arial" w:eastAsia="Arial" w:hint="default"/>
                <w:sz w:val="24"/>
                <w:szCs w:val="24"/>
              </w:rPr>
            </w:pPr>
            <w:r>
              <w:rPr>
                <w:rFonts w:ascii="Arial"/>
                <w:spacing w:val="-1"/>
                <w:w w:val="95"/>
                <w:sz w:val="24"/>
              </w:rPr>
              <w:t>2,559,254</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9"/>
              <w:jc w:val="right"/>
              <w:rPr>
                <w:rFonts w:ascii="Arial" w:hAnsi="Arial" w:cs="Arial" w:eastAsia="Arial" w:hint="default"/>
                <w:sz w:val="24"/>
                <w:szCs w:val="24"/>
              </w:rPr>
            </w:pPr>
            <w:r>
              <w:rPr>
                <w:rFonts w:ascii="Arial"/>
                <w:spacing w:val="-1"/>
                <w:w w:val="95"/>
                <w:sz w:val="24"/>
              </w:rPr>
              <w:t>2,052,050</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工资、奖金、津贴和补贴</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4"/>
                <w:szCs w:val="24"/>
              </w:rPr>
            </w:pPr>
            <w:r>
              <w:rPr>
                <w:rFonts w:ascii="Arial"/>
                <w:spacing w:val="-1"/>
                <w:w w:val="95"/>
                <w:sz w:val="24"/>
              </w:rPr>
              <w:t>1,294,258</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847,081</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广告费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952,678</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693,737</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电费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384,850</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327,736</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运输费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348,205</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285,700</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门店装修费摊销</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4"/>
                <w:sz w:val="24"/>
              </w:rPr>
              <w:t>237,511</w:t>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207,598</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社会保险费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201,865</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147,460</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市场推广费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158,397</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106,826</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固定资产折旧费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97,080</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85,934</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店面物料费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75,954</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54,830</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59,560</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61,390</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住房公积金</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34,732</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25,576</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24,363</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16,643</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16,757</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14,268</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12,848</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7"/>
              <w:jc w:val="right"/>
              <w:rPr>
                <w:rFonts w:ascii="Arial" w:hAnsi="Arial" w:cs="Arial" w:eastAsia="Arial" w:hint="default"/>
                <w:sz w:val="24"/>
                <w:szCs w:val="24"/>
              </w:rPr>
            </w:pPr>
            <w:r>
              <w:rPr>
                <w:rFonts w:ascii="Arial"/>
                <w:spacing w:val="-1"/>
                <w:w w:val="95"/>
                <w:sz w:val="24"/>
              </w:rPr>
              <w:t>2,494</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6,223</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7"/>
              <w:jc w:val="right"/>
              <w:rPr>
                <w:rFonts w:ascii="Arial" w:hAnsi="Arial" w:cs="Arial" w:eastAsia="Arial" w:hint="default"/>
                <w:sz w:val="24"/>
                <w:szCs w:val="24"/>
              </w:rPr>
            </w:pPr>
            <w:r>
              <w:rPr>
                <w:rFonts w:ascii="Arial"/>
                <w:spacing w:val="-1"/>
                <w:w w:val="95"/>
                <w:sz w:val="24"/>
              </w:rPr>
              <w:t>5,546</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工会经费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2,700</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7"/>
              <w:jc w:val="right"/>
              <w:rPr>
                <w:rFonts w:ascii="Arial" w:hAnsi="Arial" w:cs="Arial" w:eastAsia="Arial" w:hint="default"/>
                <w:sz w:val="24"/>
                <w:szCs w:val="24"/>
              </w:rPr>
            </w:pPr>
            <w:r>
              <w:rPr>
                <w:rFonts w:ascii="Arial"/>
                <w:spacing w:val="-1"/>
                <w:w w:val="95"/>
                <w:sz w:val="24"/>
              </w:rPr>
              <w:t>2,189</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税费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1,485</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7"/>
              <w:jc w:val="right"/>
              <w:rPr>
                <w:rFonts w:ascii="Arial" w:hAnsi="Arial" w:cs="Arial" w:eastAsia="Arial" w:hint="default"/>
                <w:sz w:val="24"/>
                <w:szCs w:val="24"/>
              </w:rPr>
            </w:pPr>
            <w:r>
              <w:rPr>
                <w:rFonts w:ascii="Arial"/>
                <w:spacing w:val="-1"/>
                <w:w w:val="95"/>
                <w:sz w:val="24"/>
              </w:rPr>
              <w:t>1,196</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教育经费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447</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7"/>
              <w:jc w:val="right"/>
              <w:rPr>
                <w:rFonts w:ascii="Arial" w:hAnsi="Arial" w:cs="Arial" w:eastAsia="Arial" w:hint="default"/>
                <w:sz w:val="24"/>
                <w:szCs w:val="24"/>
              </w:rPr>
            </w:pPr>
            <w:r>
              <w:rPr>
                <w:rFonts w:ascii="Arial"/>
                <w:spacing w:val="-1"/>
                <w:w w:val="95"/>
                <w:sz w:val="24"/>
              </w:rPr>
              <w:t>231</w:t>
            </w:r>
            <w:r>
              <w:rPr>
                <w:rFonts w:ascii="Arial"/>
                <w:sz w:val="24"/>
              </w:rPr>
            </w:r>
          </w:p>
        </w:tc>
      </w:tr>
      <w:tr>
        <w:trPr>
          <w:trHeight w:val="321"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1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339,942</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253,871</w:t>
            </w:r>
            <w:r>
              <w:rPr>
                <w:rFonts w:ascii="Arial"/>
                <w:sz w:val="24"/>
              </w:rPr>
            </w:r>
          </w:p>
        </w:tc>
      </w:tr>
      <w:tr>
        <w:trPr>
          <w:trHeight w:val="297"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
        </w:tc>
        <w:tc>
          <w:tcPr>
            <w:tcW w:w="2215"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1"/>
                <w:w w:val="95"/>
                <w:sz w:val="24"/>
              </w:rPr>
              <w:t>6,809,109</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9"/>
              <w:jc w:val="right"/>
              <w:rPr>
                <w:rFonts w:ascii="Arial" w:hAnsi="Arial" w:cs="Arial" w:eastAsia="Arial" w:hint="default"/>
                <w:sz w:val="24"/>
                <w:szCs w:val="24"/>
              </w:rPr>
            </w:pPr>
            <w:r>
              <w:rPr>
                <w:rFonts w:ascii="Arial"/>
                <w:spacing w:val="-1"/>
                <w:w w:val="95"/>
                <w:sz w:val="24"/>
              </w:rPr>
              <w:t>5,192,356</w:t>
            </w:r>
            <w:r>
              <w:rPr>
                <w:rFonts w:ascii="Arial"/>
                <w:sz w:val="24"/>
              </w:rPr>
            </w:r>
          </w:p>
        </w:tc>
      </w:tr>
    </w:tbl>
    <w:p>
      <w:pPr>
        <w:spacing w:after="0" w:line="274" w:lineRule="exact"/>
        <w:jc w:val="right"/>
        <w:rPr>
          <w:rFonts w:ascii="Arial" w:hAnsi="Arial" w:cs="Arial" w:eastAsia="Arial" w:hint="default"/>
          <w:sz w:val="24"/>
          <w:szCs w:val="24"/>
        </w:rPr>
        <w:sectPr>
          <w:pgSz w:w="11910" w:h="16840"/>
          <w:pgMar w:header="0" w:footer="947" w:top="2300" w:bottom="1140" w:left="880" w:right="1180"/>
        </w:sectPr>
      </w:pPr>
    </w:p>
    <w:p>
      <w:pPr>
        <w:spacing w:line="240" w:lineRule="auto" w:before="4"/>
        <w:rPr>
          <w:rFonts w:ascii="Times New Roman" w:hAnsi="Times New Roman" w:cs="Times New Roman" w:eastAsia="Times New Roman"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598"/>
        <w:gridCol w:w="4069"/>
        <w:gridCol w:w="2215"/>
        <w:gridCol w:w="587"/>
        <w:gridCol w:w="2166"/>
      </w:tblGrid>
      <w:tr>
        <w:trPr>
          <w:trHeight w:val="929" w:hRule="exact"/>
        </w:trPr>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35" w:right="0"/>
              <w:jc w:val="left"/>
              <w:rPr>
                <w:rFonts w:ascii="Arial" w:hAnsi="Arial" w:cs="Arial" w:eastAsia="Arial" w:hint="default"/>
                <w:sz w:val="24"/>
                <w:szCs w:val="24"/>
              </w:rPr>
            </w:pPr>
            <w:r>
              <w:rPr>
                <w:rFonts w:ascii="Arial"/>
                <w:sz w:val="24"/>
              </w:rPr>
              <w:t>(39)</w:t>
            </w:r>
          </w:p>
        </w:tc>
        <w:tc>
          <w:tcPr>
            <w:tcW w:w="406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6"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36" w:right="0"/>
              <w:jc w:val="left"/>
              <w:rPr>
                <w:rFonts w:ascii="宋体" w:hAnsi="宋体" w:cs="宋体" w:eastAsia="宋体" w:hint="default"/>
                <w:sz w:val="24"/>
                <w:szCs w:val="24"/>
              </w:rPr>
            </w:pPr>
            <w:r>
              <w:rPr>
                <w:rFonts w:ascii="宋体" w:hAnsi="宋体" w:cs="宋体" w:eastAsia="宋体" w:hint="default"/>
                <w:b/>
                <w:bCs/>
                <w:sz w:val="24"/>
                <w:szCs w:val="24"/>
              </w:rPr>
              <w:t>管理费用</w:t>
            </w:r>
            <w:r>
              <w:rPr>
                <w:rFonts w:ascii="宋体" w:hAnsi="宋体" w:cs="宋体" w:eastAsia="宋体" w:hint="default"/>
                <w:sz w:val="24"/>
                <w:szCs w:val="24"/>
              </w:rPr>
            </w:r>
          </w:p>
        </w:tc>
        <w:tc>
          <w:tcPr>
            <w:tcW w:w="4968" w:type="dxa"/>
            <w:gridSpan w:val="3"/>
            <w:tcBorders>
              <w:top w:val="nil" w:sz="6" w:space="0" w:color="auto"/>
              <w:left w:val="nil" w:sz="6" w:space="0" w:color="auto"/>
              <w:bottom w:val="nil" w:sz="6" w:space="0" w:color="auto"/>
              <w:right w:val="nil" w:sz="6" w:space="0" w:color="auto"/>
            </w:tcBorders>
          </w:tcPr>
          <w:p>
            <w:pPr/>
          </w:p>
        </w:tc>
      </w:tr>
      <w:tr>
        <w:trPr>
          <w:trHeight w:val="453"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
        </w:tc>
        <w:tc>
          <w:tcPr>
            <w:tcW w:w="2215" w:type="dxa"/>
            <w:tcBorders>
              <w:top w:val="nil" w:sz="6" w:space="0" w:color="auto"/>
              <w:left w:val="nil" w:sz="6" w:space="0" w:color="auto"/>
              <w:bottom w:val="nil" w:sz="6" w:space="0" w:color="auto"/>
              <w:right w:val="nil" w:sz="6" w:space="0" w:color="auto"/>
            </w:tcBorders>
          </w:tcPr>
          <w:p>
            <w:pPr>
              <w:pStyle w:val="TableParagraph"/>
              <w:spacing w:line="293" w:lineRule="exact"/>
              <w:ind w:right="101"/>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93" w:lineRule="exact"/>
              <w:ind w:right="98"/>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4"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36" w:right="0"/>
              <w:jc w:val="left"/>
              <w:rPr>
                <w:rFonts w:ascii="宋体" w:hAnsi="宋体" w:cs="宋体" w:eastAsia="宋体" w:hint="default"/>
                <w:sz w:val="24"/>
                <w:szCs w:val="24"/>
              </w:rPr>
            </w:pPr>
            <w:r>
              <w:rPr>
                <w:rFonts w:ascii="宋体" w:hAnsi="宋体" w:cs="宋体" w:eastAsia="宋体" w:hint="default"/>
                <w:sz w:val="24"/>
                <w:szCs w:val="24"/>
              </w:rPr>
              <w:t>工资、奖金、津贴和补贴</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8"/>
              <w:jc w:val="right"/>
              <w:rPr>
                <w:rFonts w:ascii="Arial" w:hAnsi="Arial" w:cs="Arial" w:eastAsia="Arial" w:hint="default"/>
                <w:sz w:val="24"/>
                <w:szCs w:val="24"/>
              </w:rPr>
            </w:pPr>
            <w:r>
              <w:rPr>
                <w:rFonts w:ascii="Arial"/>
                <w:spacing w:val="-4"/>
                <w:sz w:val="24"/>
              </w:rPr>
              <w:t>429,011</w:t>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8"/>
              <w:jc w:val="right"/>
              <w:rPr>
                <w:rFonts w:ascii="Arial" w:hAnsi="Arial" w:cs="Arial" w:eastAsia="Arial" w:hint="default"/>
                <w:sz w:val="24"/>
                <w:szCs w:val="24"/>
              </w:rPr>
            </w:pPr>
            <w:r>
              <w:rPr>
                <w:rFonts w:ascii="Arial"/>
                <w:spacing w:val="-1"/>
                <w:w w:val="95"/>
                <w:sz w:val="24"/>
              </w:rPr>
              <w:t>303,640</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固定资产折旧费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99,456</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100,362</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社会保险费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89,523</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71,928</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87,385</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67,606</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税费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69,203</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55,541</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咨询费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54,790</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30,769</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48,154</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30,364</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45,885</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23,375</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32,661</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18,705</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网络月租费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31,130</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19,265</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广告费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21,655</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7"/>
              <w:jc w:val="right"/>
              <w:rPr>
                <w:rFonts w:ascii="Arial" w:hAnsi="Arial" w:cs="Arial" w:eastAsia="Arial" w:hint="default"/>
                <w:sz w:val="24"/>
                <w:szCs w:val="24"/>
              </w:rPr>
            </w:pPr>
            <w:r>
              <w:rPr>
                <w:rFonts w:ascii="Arial"/>
                <w:spacing w:val="-1"/>
                <w:w w:val="95"/>
                <w:sz w:val="24"/>
              </w:rPr>
              <w:t>4,417</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住房公积金</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17,680</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12,940</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市场推广费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13,487</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7"/>
              <w:jc w:val="right"/>
              <w:rPr>
                <w:rFonts w:ascii="Arial" w:hAnsi="Arial" w:cs="Arial" w:eastAsia="Arial" w:hint="default"/>
                <w:sz w:val="24"/>
                <w:szCs w:val="24"/>
              </w:rPr>
            </w:pPr>
            <w:r>
              <w:rPr>
                <w:rFonts w:ascii="Arial"/>
                <w:spacing w:val="-1"/>
                <w:w w:val="95"/>
                <w:sz w:val="24"/>
              </w:rPr>
              <w:t>2,712</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电费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10,386</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7"/>
              <w:jc w:val="right"/>
              <w:rPr>
                <w:rFonts w:ascii="Arial" w:hAnsi="Arial" w:cs="Arial" w:eastAsia="Arial" w:hint="default"/>
                <w:sz w:val="24"/>
                <w:szCs w:val="24"/>
              </w:rPr>
            </w:pPr>
            <w:r>
              <w:rPr>
                <w:rFonts w:ascii="Arial"/>
                <w:spacing w:val="-1"/>
                <w:w w:val="95"/>
                <w:sz w:val="24"/>
              </w:rPr>
              <w:t>8,615</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7,495</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7"/>
              <w:jc w:val="right"/>
              <w:rPr>
                <w:rFonts w:ascii="Arial" w:hAnsi="Arial" w:cs="Arial" w:eastAsia="Arial" w:hint="default"/>
                <w:sz w:val="24"/>
                <w:szCs w:val="24"/>
              </w:rPr>
            </w:pPr>
            <w:r>
              <w:rPr>
                <w:rFonts w:ascii="Arial"/>
                <w:spacing w:val="-1"/>
                <w:w w:val="95"/>
                <w:sz w:val="24"/>
              </w:rPr>
              <w:t>5,357</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5,709</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7"/>
              <w:jc w:val="right"/>
              <w:rPr>
                <w:rFonts w:ascii="Arial" w:hAnsi="Arial" w:cs="Arial" w:eastAsia="Arial" w:hint="default"/>
                <w:sz w:val="24"/>
                <w:szCs w:val="24"/>
              </w:rPr>
            </w:pPr>
            <w:r>
              <w:rPr>
                <w:rFonts w:ascii="Arial"/>
                <w:spacing w:val="-1"/>
                <w:w w:val="95"/>
                <w:sz w:val="24"/>
              </w:rPr>
              <w:t>8,402</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办公区装修费摊销</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5,702</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12,968</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教育经费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3,629</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7"/>
              <w:jc w:val="right"/>
              <w:rPr>
                <w:rFonts w:ascii="Arial" w:hAnsi="Arial" w:cs="Arial" w:eastAsia="Arial" w:hint="default"/>
                <w:sz w:val="24"/>
                <w:szCs w:val="24"/>
              </w:rPr>
            </w:pPr>
            <w:r>
              <w:rPr>
                <w:rFonts w:ascii="Arial"/>
                <w:spacing w:val="-1"/>
                <w:w w:val="95"/>
                <w:sz w:val="24"/>
              </w:rPr>
              <w:t>2,213</w:t>
            </w:r>
            <w:r>
              <w:rPr>
                <w:rFonts w:ascii="Arial"/>
                <w:sz w:val="24"/>
              </w:rPr>
            </w:r>
          </w:p>
        </w:tc>
      </w:tr>
      <w:tr>
        <w:trPr>
          <w:trHeight w:val="312"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工会经费</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3,250</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7"/>
              <w:jc w:val="right"/>
              <w:rPr>
                <w:rFonts w:ascii="Arial" w:hAnsi="Arial" w:cs="Arial" w:eastAsia="Arial" w:hint="default"/>
                <w:sz w:val="24"/>
                <w:szCs w:val="24"/>
              </w:rPr>
            </w:pPr>
            <w:r>
              <w:rPr>
                <w:rFonts w:ascii="Arial"/>
                <w:spacing w:val="-1"/>
                <w:w w:val="95"/>
                <w:sz w:val="24"/>
              </w:rPr>
              <w:t>2,883</w:t>
            </w:r>
            <w:r>
              <w:rPr>
                <w:rFonts w:ascii="Arial"/>
                <w:sz w:val="24"/>
              </w:rPr>
            </w:r>
          </w:p>
        </w:tc>
      </w:tr>
      <w:tr>
        <w:trPr>
          <w:trHeight w:val="321"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Style w:val="TableParagraph"/>
              <w:spacing w:line="279" w:lineRule="exact"/>
              <w:ind w:left="13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1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9"/>
              <w:jc w:val="right"/>
              <w:rPr>
                <w:rFonts w:ascii="Arial" w:hAnsi="Arial" w:cs="Arial" w:eastAsia="Arial" w:hint="default"/>
                <w:sz w:val="24"/>
                <w:szCs w:val="24"/>
              </w:rPr>
            </w:pPr>
            <w:r>
              <w:rPr>
                <w:rFonts w:ascii="Arial"/>
                <w:spacing w:val="-1"/>
                <w:w w:val="95"/>
                <w:sz w:val="24"/>
              </w:rPr>
              <w:t>174,120</w:t>
            </w:r>
            <w:r>
              <w:rPr>
                <w:rFonts w:ascii="Arial"/>
                <w:sz w:val="24"/>
              </w:rPr>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130,031</w:t>
            </w:r>
            <w:r>
              <w:rPr>
                <w:rFonts w:ascii="Arial"/>
                <w:sz w:val="24"/>
              </w:rPr>
            </w:r>
          </w:p>
        </w:tc>
      </w:tr>
      <w:tr>
        <w:trPr>
          <w:trHeight w:val="297" w:hRule="exact"/>
        </w:trPr>
        <w:tc>
          <w:tcPr>
            <w:tcW w:w="598"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nil" w:sz="6" w:space="0" w:color="auto"/>
              <w:right w:val="nil" w:sz="6" w:space="0" w:color="auto"/>
            </w:tcBorders>
          </w:tcPr>
          <w:p>
            <w:pPr/>
          </w:p>
        </w:tc>
        <w:tc>
          <w:tcPr>
            <w:tcW w:w="2215"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0"/>
              <w:jc w:val="right"/>
              <w:rPr>
                <w:rFonts w:ascii="Arial" w:hAnsi="Arial" w:cs="Arial" w:eastAsia="Arial" w:hint="default"/>
                <w:sz w:val="24"/>
                <w:szCs w:val="24"/>
              </w:rPr>
            </w:pPr>
            <w:r>
              <w:rPr>
                <w:rFonts w:ascii="Arial"/>
                <w:spacing w:val="-3"/>
                <w:sz w:val="24"/>
              </w:rPr>
              <w:t>1,250,311</w:t>
            </w:r>
          </w:p>
        </w:tc>
        <w:tc>
          <w:tcPr>
            <w:tcW w:w="587" w:type="dxa"/>
            <w:tcBorders>
              <w:top w:val="nil" w:sz="6" w:space="0" w:color="auto"/>
              <w:left w:val="nil" w:sz="6" w:space="0" w:color="auto"/>
              <w:bottom w:val="nil" w:sz="6" w:space="0" w:color="auto"/>
              <w:right w:val="nil" w:sz="6" w:space="0" w:color="auto"/>
            </w:tcBorders>
          </w:tcPr>
          <w:p>
            <w:pPr/>
          </w:p>
        </w:tc>
        <w:tc>
          <w:tcPr>
            <w:tcW w:w="216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98"/>
              <w:jc w:val="right"/>
              <w:rPr>
                <w:rFonts w:ascii="Arial" w:hAnsi="Arial" w:cs="Arial" w:eastAsia="Arial" w:hint="default"/>
                <w:sz w:val="24"/>
                <w:szCs w:val="24"/>
              </w:rPr>
            </w:pPr>
            <w:r>
              <w:rPr>
                <w:rFonts w:ascii="Arial"/>
                <w:spacing w:val="-1"/>
                <w:w w:val="95"/>
                <w:sz w:val="24"/>
              </w:rPr>
              <w:t>912,093</w:t>
            </w:r>
            <w:r>
              <w:rPr>
                <w:rFonts w:ascii="Arial"/>
                <w:sz w:val="24"/>
              </w:rPr>
            </w:r>
          </w:p>
        </w:tc>
      </w:tr>
    </w:tbl>
    <w:p>
      <w:pPr>
        <w:spacing w:after="0" w:line="274" w:lineRule="exact"/>
        <w:jc w:val="right"/>
        <w:rPr>
          <w:rFonts w:ascii="Arial" w:hAnsi="Arial" w:cs="Arial" w:eastAsia="Arial" w:hint="default"/>
          <w:sz w:val="24"/>
          <w:szCs w:val="24"/>
        </w:rPr>
        <w:sectPr>
          <w:pgSz w:w="11910" w:h="16840"/>
          <w:pgMar w:header="0" w:footer="947" w:top="2300" w:bottom="1140" w:left="880" w:right="11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pStyle w:val="BodyText"/>
        <w:spacing w:line="240" w:lineRule="auto" w:before="26"/>
        <w:ind w:left="844" w:right="0"/>
        <w:jc w:val="left"/>
      </w:pPr>
      <w:r>
        <w:rPr/>
        <w:pict>
          <v:shape style="position:absolute;margin-left:52.189999pt;margin-top:-223.496887pt;width:501.05pt;height:289.850pt;mso-position-horizontal-relative:page;mso-position-vertical-relative:paragraph;z-index:3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4"/>
                    <w:gridCol w:w="4698"/>
                    <w:gridCol w:w="1985"/>
                    <w:gridCol w:w="566"/>
                    <w:gridCol w:w="2167"/>
                  </w:tblGrid>
                  <w:tr>
                    <w:trPr>
                      <w:trHeight w:val="970" w:hRule="exact"/>
                    </w:trPr>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1" w:right="0"/>
                          <w:jc w:val="left"/>
                          <w:rPr>
                            <w:rFonts w:ascii="宋体" w:hAnsi="宋体" w:cs="宋体" w:eastAsia="宋体" w:hint="default"/>
                            <w:sz w:val="24"/>
                            <w:szCs w:val="24"/>
                          </w:rPr>
                        </w:pPr>
                        <w:r>
                          <w:rPr>
                            <w:rFonts w:ascii="宋体" w:hAnsi="宋体" w:cs="宋体" w:eastAsia="宋体" w:hint="default"/>
                            <w:sz w:val="24"/>
                            <w:szCs w:val="24"/>
                          </w:rPr>
                          <w:t>五</w:t>
                        </w: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1" w:right="0"/>
                          <w:jc w:val="left"/>
                          <w:rPr>
                            <w:rFonts w:ascii="Arial" w:hAnsi="Arial" w:cs="Arial" w:eastAsia="Arial" w:hint="default"/>
                            <w:sz w:val="24"/>
                            <w:szCs w:val="24"/>
                          </w:rPr>
                        </w:pPr>
                        <w:r>
                          <w:rPr>
                            <w:rFonts w:ascii="Arial"/>
                            <w:sz w:val="24"/>
                          </w:rPr>
                          <w:t>(40)</w:t>
                        </w:r>
                      </w:p>
                    </w:tc>
                    <w:tc>
                      <w:tcPr>
                        <w:tcW w:w="469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9"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24"/>
                            <w:szCs w:val="24"/>
                          </w:rPr>
                        </w:pPr>
                        <w:r>
                          <w:rPr>
                            <w:rFonts w:ascii="宋体" w:hAnsi="宋体" w:cs="宋体" w:eastAsia="宋体" w:hint="default"/>
                            <w:b/>
                            <w:bCs/>
                            <w:sz w:val="24"/>
                            <w:szCs w:val="24"/>
                          </w:rPr>
                          <w:t>财务费用</w:t>
                        </w:r>
                        <w:r>
                          <w:rPr>
                            <w:rFonts w:ascii="Arial" w:hAnsi="Arial" w:cs="Arial" w:eastAsia="Arial" w:hint="default"/>
                            <w:b/>
                            <w:bCs/>
                            <w:sz w:val="24"/>
                            <w:szCs w:val="24"/>
                          </w:rPr>
                          <w:t>-</w:t>
                        </w:r>
                        <w:r>
                          <w:rPr>
                            <w:rFonts w:ascii="宋体" w:hAnsi="宋体" w:cs="宋体" w:eastAsia="宋体" w:hint="default"/>
                            <w:b/>
                            <w:bCs/>
                            <w:sz w:val="24"/>
                            <w:szCs w:val="24"/>
                          </w:rPr>
                          <w:t>净额</w:t>
                        </w:r>
                        <w:r>
                          <w:rPr>
                            <w:rFonts w:ascii="宋体" w:hAnsi="宋体" w:cs="宋体" w:eastAsia="宋体" w:hint="default"/>
                            <w:sz w:val="24"/>
                            <w:szCs w:val="24"/>
                          </w:rPr>
                        </w:r>
                      </w:p>
                    </w:tc>
                    <w:tc>
                      <w:tcPr>
                        <w:tcW w:w="4719" w:type="dxa"/>
                        <w:gridSpan w:val="3"/>
                        <w:tcBorders>
                          <w:top w:val="nil" w:sz="6" w:space="0" w:color="auto"/>
                          <w:left w:val="nil" w:sz="6" w:space="0" w:color="auto"/>
                          <w:bottom w:val="nil" w:sz="6" w:space="0" w:color="auto"/>
                          <w:right w:val="nil" w:sz="6" w:space="0" w:color="auto"/>
                        </w:tcBorders>
                      </w:tcPr>
                      <w:p>
                        <w:pPr/>
                      </w:p>
                    </w:tc>
                  </w:tr>
                  <w:tr>
                    <w:trPr>
                      <w:trHeight w:val="450" w:hRule="exact"/>
                    </w:trPr>
                    <w:tc>
                      <w:tcPr>
                        <w:tcW w:w="604" w:type="dxa"/>
                        <w:tcBorders>
                          <w:top w:val="nil" w:sz="6" w:space="0" w:color="auto"/>
                          <w:left w:val="nil" w:sz="6" w:space="0" w:color="auto"/>
                          <w:bottom w:val="nil" w:sz="6" w:space="0" w:color="auto"/>
                          <w:right w:val="nil" w:sz="6" w:space="0" w:color="auto"/>
                        </w:tcBorders>
                      </w:tcPr>
                      <w:p>
                        <w:pPr/>
                      </w:p>
                    </w:tc>
                    <w:tc>
                      <w:tcPr>
                        <w:tcW w:w="4698"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87" w:lineRule="exact"/>
                          <w:ind w:right="95"/>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734" w:type="dxa"/>
                        <w:gridSpan w:val="2"/>
                        <w:tcBorders>
                          <w:top w:val="nil" w:sz="6" w:space="0" w:color="auto"/>
                          <w:left w:val="nil" w:sz="6" w:space="0" w:color="auto"/>
                          <w:bottom w:val="nil" w:sz="6" w:space="0" w:color="auto"/>
                          <w:right w:val="nil" w:sz="6" w:space="0" w:color="auto"/>
                        </w:tcBorders>
                      </w:tcPr>
                      <w:p>
                        <w:pPr>
                          <w:pStyle w:val="TableParagraph"/>
                          <w:spacing w:line="287" w:lineRule="exact"/>
                          <w:ind w:left="1523" w:right="0"/>
                          <w:jc w:val="lef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9" w:hRule="exact"/>
                    </w:trPr>
                    <w:tc>
                      <w:tcPr>
                        <w:tcW w:w="604" w:type="dxa"/>
                        <w:tcBorders>
                          <w:top w:val="nil" w:sz="6" w:space="0" w:color="auto"/>
                          <w:left w:val="nil" w:sz="6" w:space="0" w:color="auto"/>
                          <w:bottom w:val="nil" w:sz="6" w:space="0" w:color="auto"/>
                          <w:right w:val="nil" w:sz="6" w:space="0" w:color="auto"/>
                        </w:tcBorders>
                      </w:tcPr>
                      <w:p>
                        <w:pPr/>
                      </w:p>
                    </w:tc>
                    <w:tc>
                      <w:tcPr>
                        <w:tcW w:w="469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9"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93"/>
                          <w:jc w:val="right"/>
                          <w:rPr>
                            <w:rFonts w:ascii="Arial" w:hAnsi="Arial" w:cs="Arial" w:eastAsia="Arial" w:hint="default"/>
                            <w:sz w:val="24"/>
                            <w:szCs w:val="24"/>
                          </w:rPr>
                        </w:pPr>
                        <w:r>
                          <w:rPr>
                            <w:rFonts w:ascii="Arial"/>
                            <w:spacing w:val="-1"/>
                            <w:w w:val="95"/>
                            <w:sz w:val="24"/>
                          </w:rPr>
                          <w:t>1,483</w:t>
                        </w:r>
                        <w:r>
                          <w:rPr>
                            <w:rFonts w:ascii="Arial"/>
                            <w:sz w:val="24"/>
                          </w:rPr>
                        </w:r>
                      </w:p>
                    </w:tc>
                    <w:tc>
                      <w:tcPr>
                        <w:tcW w:w="27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7"/>
                          <w:ind w:right="133"/>
                          <w:jc w:val="right"/>
                          <w:rPr>
                            <w:rFonts w:ascii="Arial" w:hAnsi="Arial" w:cs="Arial" w:eastAsia="Arial" w:hint="default"/>
                            <w:sz w:val="24"/>
                            <w:szCs w:val="24"/>
                          </w:rPr>
                        </w:pPr>
                        <w:r>
                          <w:rPr>
                            <w:rFonts w:ascii="Arial"/>
                            <w:spacing w:val="-1"/>
                            <w:w w:val="95"/>
                            <w:sz w:val="24"/>
                          </w:rPr>
                          <w:t>1,500</w:t>
                        </w:r>
                        <w:r>
                          <w:rPr>
                            <w:rFonts w:ascii="Arial"/>
                            <w:sz w:val="24"/>
                          </w:rPr>
                        </w:r>
                      </w:p>
                    </w:tc>
                  </w:tr>
                  <w:tr>
                    <w:trPr>
                      <w:trHeight w:val="312" w:hRule="exact"/>
                    </w:trPr>
                    <w:tc>
                      <w:tcPr>
                        <w:tcW w:w="604" w:type="dxa"/>
                        <w:tcBorders>
                          <w:top w:val="nil" w:sz="6" w:space="0" w:color="auto"/>
                          <w:left w:val="nil" w:sz="6" w:space="0" w:color="auto"/>
                          <w:bottom w:val="nil" w:sz="6" w:space="0" w:color="auto"/>
                          <w:right w:val="nil" w:sz="6" w:space="0" w:color="auto"/>
                        </w:tcBorders>
                      </w:tcPr>
                      <w:p>
                        <w:pPr/>
                      </w:p>
                    </w:tc>
                    <w:tc>
                      <w:tcPr>
                        <w:tcW w:w="4698" w:type="dxa"/>
                        <w:tcBorders>
                          <w:top w:val="nil" w:sz="6" w:space="0" w:color="auto"/>
                          <w:left w:val="nil" w:sz="6" w:space="0" w:color="auto"/>
                          <w:bottom w:val="nil" w:sz="6" w:space="0" w:color="auto"/>
                          <w:right w:val="nil" w:sz="6" w:space="0" w:color="auto"/>
                        </w:tcBorders>
                      </w:tcPr>
                      <w:p>
                        <w:pPr>
                          <w:pStyle w:val="TableParagraph"/>
                          <w:spacing w:line="261" w:lineRule="exact"/>
                          <w:ind w:left="139"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2"/>
                          <w:jc w:val="right"/>
                          <w:rPr>
                            <w:rFonts w:ascii="Arial" w:hAnsi="Arial" w:cs="Arial" w:eastAsia="Arial" w:hint="default"/>
                            <w:sz w:val="24"/>
                            <w:szCs w:val="24"/>
                          </w:rPr>
                        </w:pPr>
                        <w:r>
                          <w:rPr>
                            <w:rFonts w:ascii="Arial"/>
                            <w:spacing w:val="-1"/>
                            <w:w w:val="95"/>
                            <w:sz w:val="24"/>
                          </w:rPr>
                          <w:t>(624,418)</w:t>
                        </w:r>
                        <w:r>
                          <w:rPr>
                            <w:rFonts w:ascii="Arial"/>
                            <w:sz w:val="24"/>
                          </w:rPr>
                        </w:r>
                      </w:p>
                    </w:tc>
                    <w:tc>
                      <w:tcPr>
                        <w:tcW w:w="27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1650" w:right="0"/>
                          <w:jc w:val="left"/>
                          <w:rPr>
                            <w:rFonts w:ascii="Arial" w:hAnsi="Arial" w:cs="Arial" w:eastAsia="Arial" w:hint="default"/>
                            <w:sz w:val="24"/>
                            <w:szCs w:val="24"/>
                          </w:rPr>
                        </w:pPr>
                        <w:r>
                          <w:rPr>
                            <w:rFonts w:ascii="Arial"/>
                            <w:sz w:val="24"/>
                          </w:rPr>
                          <w:t>(371,058)</w:t>
                        </w:r>
                      </w:p>
                    </w:tc>
                  </w:tr>
                  <w:tr>
                    <w:trPr>
                      <w:trHeight w:val="314" w:hRule="exact"/>
                    </w:trPr>
                    <w:tc>
                      <w:tcPr>
                        <w:tcW w:w="604" w:type="dxa"/>
                        <w:tcBorders>
                          <w:top w:val="nil" w:sz="6" w:space="0" w:color="auto"/>
                          <w:left w:val="nil" w:sz="6" w:space="0" w:color="auto"/>
                          <w:bottom w:val="nil" w:sz="6" w:space="0" w:color="auto"/>
                          <w:right w:val="nil" w:sz="6" w:space="0" w:color="auto"/>
                        </w:tcBorders>
                      </w:tcPr>
                      <w:p>
                        <w:pPr/>
                      </w:p>
                    </w:tc>
                    <w:tc>
                      <w:tcPr>
                        <w:tcW w:w="4698" w:type="dxa"/>
                        <w:tcBorders>
                          <w:top w:val="nil" w:sz="6" w:space="0" w:color="auto"/>
                          <w:left w:val="nil" w:sz="6" w:space="0" w:color="auto"/>
                          <w:bottom w:val="nil" w:sz="6" w:space="0" w:color="auto"/>
                          <w:right w:val="nil" w:sz="6" w:space="0" w:color="auto"/>
                        </w:tcBorders>
                      </w:tcPr>
                      <w:p>
                        <w:pPr>
                          <w:pStyle w:val="TableParagraph"/>
                          <w:spacing w:line="261" w:lineRule="exact"/>
                          <w:ind w:left="139"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1985" w:type="dxa"/>
                        <w:tcBorders>
                          <w:top w:val="nil" w:sz="6" w:space="0" w:color="auto"/>
                          <w:left w:val="nil" w:sz="6" w:space="0" w:color="auto"/>
                          <w:bottom w:val="nil" w:sz="6" w:space="0" w:color="auto"/>
                          <w:right w:val="nil" w:sz="6" w:space="0" w:color="auto"/>
                        </w:tcBorders>
                      </w:tcPr>
                      <w:p>
                        <w:pPr>
                          <w:pStyle w:val="TableParagraph"/>
                          <w:tabs>
                            <w:tab w:pos="999" w:val="left" w:leader="none"/>
                            <w:tab w:pos="1985" w:val="left" w:leader="none"/>
                          </w:tabs>
                          <w:spacing w:line="240" w:lineRule="auto" w:before="20"/>
                          <w:ind w:right="-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262,166</w:t>
                          <w:tab/>
                        </w:r>
                        <w:r>
                          <w:rPr>
                            <w:rFonts w:ascii="Arial"/>
                            <w:spacing w:val="-1"/>
                            <w:sz w:val="24"/>
                          </w:rPr>
                        </w:r>
                      </w:p>
                    </w:tc>
                    <w:tc>
                      <w:tcPr>
                        <w:tcW w:w="2734" w:type="dxa"/>
                        <w:gridSpan w:val="2"/>
                        <w:tcBorders>
                          <w:top w:val="nil" w:sz="6" w:space="0" w:color="auto"/>
                          <w:left w:val="nil" w:sz="6" w:space="0" w:color="auto"/>
                          <w:bottom w:val="nil" w:sz="6" w:space="0" w:color="auto"/>
                          <w:right w:val="nil" w:sz="6" w:space="0" w:color="auto"/>
                        </w:tcBorders>
                      </w:tcPr>
                      <w:p>
                        <w:pPr>
                          <w:pStyle w:val="TableParagraph"/>
                          <w:tabs>
                            <w:tab w:pos="1731" w:val="left" w:leader="none"/>
                            <w:tab w:pos="2698" w:val="left" w:leader="none"/>
                          </w:tabs>
                          <w:spacing w:line="240" w:lineRule="auto" w:before="20"/>
                          <w:ind w:left="57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196,634</w:t>
                          <w:tab/>
                        </w:r>
                        <w:r>
                          <w:rPr>
                            <w:rFonts w:ascii="Arial"/>
                            <w:sz w:val="24"/>
                          </w:rPr>
                        </w:r>
                      </w:p>
                    </w:tc>
                  </w:tr>
                  <w:tr>
                    <w:trPr>
                      <w:trHeight w:val="417" w:hRule="exact"/>
                    </w:trPr>
                    <w:tc>
                      <w:tcPr>
                        <w:tcW w:w="604" w:type="dxa"/>
                        <w:tcBorders>
                          <w:top w:val="nil" w:sz="6" w:space="0" w:color="auto"/>
                          <w:left w:val="nil" w:sz="6" w:space="0" w:color="auto"/>
                          <w:bottom w:val="nil" w:sz="6" w:space="0" w:color="auto"/>
                          <w:right w:val="nil" w:sz="6" w:space="0" w:color="auto"/>
                        </w:tcBorders>
                      </w:tcPr>
                      <w:p>
                        <w:pPr/>
                      </w:p>
                    </w:tc>
                    <w:tc>
                      <w:tcPr>
                        <w:tcW w:w="4698"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tabs>
                            <w:tab w:pos="924" w:val="left" w:leader="none"/>
                          </w:tabs>
                          <w:spacing w:line="268" w:lineRule="exact"/>
                          <w:ind w:left="-3" w:right="32"/>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w w:val="95"/>
                            <w:sz w:val="24"/>
                            <w:u w:val="thick" w:color="000000"/>
                          </w:rPr>
                          <w:t>(360,769)</w:t>
                        </w:r>
                        <w:r>
                          <w:rPr>
                            <w:rFonts w:ascii="Arial"/>
                            <w:spacing w:val="-1"/>
                            <w:w w:val="95"/>
                            <w:sz w:val="24"/>
                          </w:rPr>
                        </w:r>
                        <w:r>
                          <w:rPr>
                            <w:rFonts w:ascii="Arial"/>
                            <w:sz w:val="24"/>
                          </w:rPr>
                        </w:r>
                      </w:p>
                    </w:tc>
                    <w:tc>
                      <w:tcPr>
                        <w:tcW w:w="2734" w:type="dxa"/>
                        <w:gridSpan w:val="2"/>
                        <w:tcBorders>
                          <w:top w:val="nil" w:sz="6" w:space="0" w:color="auto"/>
                          <w:left w:val="nil" w:sz="6" w:space="0" w:color="auto"/>
                          <w:bottom w:val="nil" w:sz="6" w:space="0" w:color="auto"/>
                          <w:right w:val="nil" w:sz="6" w:space="0" w:color="auto"/>
                        </w:tcBorders>
                      </w:tcPr>
                      <w:p>
                        <w:pPr>
                          <w:pStyle w:val="TableParagraph"/>
                          <w:tabs>
                            <w:tab w:pos="1650" w:val="left" w:leader="none"/>
                          </w:tabs>
                          <w:spacing w:line="268" w:lineRule="exact"/>
                          <w:ind w:left="56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(172,924)</w:t>
                        </w:r>
                        <w:r>
                          <w:rPr>
                            <w:rFonts w:ascii="Arial"/>
                            <w:sz w:val="24"/>
                          </w:rPr>
                        </w:r>
                      </w:p>
                    </w:tc>
                  </w:tr>
                  <w:tr>
                    <w:trPr>
                      <w:trHeight w:val="574" w:hRule="exact"/>
                    </w:trPr>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Arial" w:hAnsi="Arial" w:cs="Arial" w:eastAsia="Arial" w:hint="default"/>
                            <w:sz w:val="24"/>
                            <w:szCs w:val="24"/>
                          </w:rPr>
                        </w:pPr>
                        <w:r>
                          <w:rPr>
                            <w:rFonts w:ascii="Arial"/>
                            <w:sz w:val="24"/>
                          </w:rPr>
                          <w:t>(41)</w:t>
                        </w:r>
                      </w:p>
                    </w:tc>
                    <w:tc>
                      <w:tcPr>
                        <w:tcW w:w="46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36" w:right="0"/>
                          <w:jc w:val="left"/>
                          <w:rPr>
                            <w:rFonts w:ascii="宋体" w:hAnsi="宋体" w:cs="宋体" w:eastAsia="宋体" w:hint="default"/>
                            <w:sz w:val="24"/>
                            <w:szCs w:val="24"/>
                          </w:rPr>
                        </w:pPr>
                        <w:r>
                          <w:rPr>
                            <w:rFonts w:ascii="宋体" w:hAnsi="宋体" w:cs="宋体" w:eastAsia="宋体" w:hint="default"/>
                            <w:b/>
                            <w:bCs/>
                            <w:sz w:val="24"/>
                            <w:szCs w:val="24"/>
                          </w:rPr>
                          <w:t>投资收益</w:t>
                        </w:r>
                        <w:r>
                          <w:rPr>
                            <w:rFonts w:ascii="宋体" w:hAnsi="宋体" w:cs="宋体" w:eastAsia="宋体" w:hint="default"/>
                            <w:sz w:val="24"/>
                            <w:szCs w:val="24"/>
                          </w:rPr>
                        </w:r>
                      </w:p>
                    </w:tc>
                    <w:tc>
                      <w:tcPr>
                        <w:tcW w:w="1985" w:type="dxa"/>
                        <w:tcBorders>
                          <w:top w:val="nil" w:sz="6" w:space="0" w:color="auto"/>
                          <w:left w:val="nil" w:sz="6" w:space="0" w:color="auto"/>
                          <w:bottom w:val="nil" w:sz="6" w:space="0" w:color="auto"/>
                          <w:right w:val="nil" w:sz="6" w:space="0" w:color="auto"/>
                        </w:tcBorders>
                      </w:tcPr>
                      <w:p>
                        <w:pPr/>
                      </w:p>
                    </w:tc>
                    <w:tc>
                      <w:tcPr>
                        <w:tcW w:w="2734" w:type="dxa"/>
                        <w:gridSpan w:val="2"/>
                        <w:tcBorders>
                          <w:top w:val="nil" w:sz="6" w:space="0" w:color="auto"/>
                          <w:left w:val="nil" w:sz="6" w:space="0" w:color="auto"/>
                          <w:bottom w:val="nil" w:sz="6" w:space="0" w:color="auto"/>
                          <w:right w:val="nil" w:sz="6" w:space="0" w:color="auto"/>
                        </w:tcBorders>
                      </w:tcPr>
                      <w:p>
                        <w:pPr/>
                      </w:p>
                    </w:tc>
                  </w:tr>
                  <w:tr>
                    <w:trPr>
                      <w:trHeight w:val="591" w:hRule="exact"/>
                    </w:trPr>
                    <w:tc>
                      <w:tcPr>
                        <w:tcW w:w="72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right="101"/>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566"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9"/>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615" w:hRule="exact"/>
                    </w:trPr>
                    <w:tc>
                      <w:tcPr>
                        <w:tcW w:w="7287" w:type="dxa"/>
                        <w:gridSpan w:val="3"/>
                        <w:tcBorders>
                          <w:top w:val="nil" w:sz="6" w:space="0" w:color="auto"/>
                          <w:left w:val="nil" w:sz="6" w:space="0" w:color="auto"/>
                          <w:bottom w:val="nil" w:sz="6" w:space="0" w:color="auto"/>
                          <w:right w:val="nil" w:sz="6" w:space="0" w:color="auto"/>
                        </w:tcBorders>
                      </w:tcPr>
                      <w:p>
                        <w:pPr>
                          <w:pStyle w:val="TableParagraph"/>
                          <w:tabs>
                            <w:tab w:pos="6584" w:val="left" w:leader="none"/>
                          </w:tabs>
                          <w:spacing w:line="240" w:lineRule="auto" w:before="97"/>
                          <w:ind w:left="740" w:right="0"/>
                          <w:jc w:val="left"/>
                          <w:rPr>
                            <w:rFonts w:ascii="Arial" w:hAnsi="Arial" w:cs="Arial" w:eastAsia="Arial" w:hint="default"/>
                            <w:sz w:val="24"/>
                            <w:szCs w:val="24"/>
                          </w:rPr>
                        </w:pPr>
                        <w:r>
                          <w:rPr>
                            <w:rFonts w:ascii="宋体" w:hAnsi="宋体" w:cs="宋体" w:eastAsia="宋体" w:hint="default"/>
                            <w:spacing w:val="-1"/>
                            <w:sz w:val="24"/>
                            <w:szCs w:val="24"/>
                          </w:rPr>
                          <w:t>权益法核算的长期股权投资收益</w:t>
                        </w:r>
                        <w:r>
                          <w:rPr>
                            <w:rFonts w:ascii="Arial" w:hAnsi="Arial" w:cs="Arial" w:eastAsia="Arial" w:hint="default"/>
                            <w:spacing w:val="-1"/>
                            <w:sz w:val="24"/>
                            <w:szCs w:val="24"/>
                          </w:rPr>
                          <w:t>/(</w:t>
                        </w:r>
                        <w:r>
                          <w:rPr>
                            <w:rFonts w:ascii="宋体" w:hAnsi="宋体" w:cs="宋体" w:eastAsia="宋体" w:hint="default"/>
                            <w:spacing w:val="-1"/>
                            <w:sz w:val="24"/>
                            <w:szCs w:val="24"/>
                          </w:rPr>
                          <w:t>损失</w:t>
                        </w:r>
                        <w:r>
                          <w:rPr>
                            <w:rFonts w:ascii="Arial" w:hAnsi="Arial" w:cs="Arial" w:eastAsia="Arial" w:hint="default"/>
                            <w:spacing w:val="-1"/>
                            <w:sz w:val="24"/>
                            <w:szCs w:val="24"/>
                          </w:rPr>
                          <w:t>)(a)</w:t>
                          <w:tab/>
                        </w:r>
                        <w:r>
                          <w:rPr>
                            <w:rFonts w:ascii="Arial" w:hAnsi="Arial" w:cs="Arial" w:eastAsia="Arial" w:hint="default"/>
                            <w:spacing w:val="-1"/>
                            <w:position w:val="2"/>
                            <w:sz w:val="24"/>
                            <w:szCs w:val="24"/>
                          </w:rPr>
                          <w:t>4,967</w:t>
                        </w:r>
                        <w:r>
                          <w:rPr>
                            <w:rFonts w:ascii="Arial" w:hAnsi="Arial" w:cs="Arial" w:eastAsia="Arial" w:hint="default"/>
                            <w:sz w:val="24"/>
                            <w:szCs w:val="24"/>
                          </w:rPr>
                        </w:r>
                      </w:p>
                    </w:tc>
                    <w:tc>
                      <w:tcPr>
                        <w:tcW w:w="566"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39"/>
                          <w:jc w:val="right"/>
                          <w:rPr>
                            <w:rFonts w:ascii="Arial" w:hAnsi="Arial" w:cs="Arial" w:eastAsia="Arial" w:hint="default"/>
                            <w:sz w:val="24"/>
                            <w:szCs w:val="24"/>
                          </w:rPr>
                        </w:pPr>
                        <w:r>
                          <w:rPr>
                            <w:rFonts w:ascii="Arial"/>
                            <w:spacing w:val="-1"/>
                            <w:w w:val="95"/>
                            <w:sz w:val="24"/>
                          </w:rPr>
                          <w:t>(3,941)</w:t>
                        </w:r>
                        <w:r>
                          <w:rPr>
                            <w:rFonts w:ascii="Arial"/>
                            <w:sz w:val="24"/>
                          </w:rPr>
                        </w:r>
                      </w:p>
                    </w:tc>
                  </w:tr>
                  <w:tr>
                    <w:trPr>
                      <w:trHeight w:val="772" w:hRule="exact"/>
                    </w:trPr>
                    <w:tc>
                      <w:tcPr>
                        <w:tcW w:w="7287" w:type="dxa"/>
                        <w:gridSpan w:val="3"/>
                        <w:tcBorders>
                          <w:top w:val="nil" w:sz="6" w:space="0" w:color="auto"/>
                          <w:left w:val="nil" w:sz="6" w:space="0" w:color="auto"/>
                          <w:bottom w:val="nil" w:sz="6" w:space="0" w:color="auto"/>
                          <w:right w:val="nil" w:sz="6" w:space="0" w:color="auto"/>
                        </w:tcBorders>
                      </w:tcPr>
                      <w:p>
                        <w:pPr>
                          <w:pStyle w:val="TableParagraph"/>
                          <w:tabs>
                            <w:tab w:pos="6584" w:val="left" w:leader="none"/>
                          </w:tabs>
                          <w:spacing w:line="333" w:lineRule="exact" w:before="104"/>
                          <w:ind w:left="986" w:right="0"/>
                          <w:jc w:val="left"/>
                          <w:rPr>
                            <w:rFonts w:ascii="Arial" w:hAnsi="Arial" w:cs="Arial" w:eastAsia="Arial" w:hint="default"/>
                            <w:sz w:val="24"/>
                            <w:szCs w:val="24"/>
                          </w:rPr>
                        </w:pPr>
                        <w:r>
                          <w:rPr>
                            <w:rFonts w:ascii="宋体" w:hAnsi="宋体" w:cs="宋体" w:eastAsia="宋体" w:hint="default"/>
                            <w:position w:val="2"/>
                            <w:sz w:val="24"/>
                            <w:szCs w:val="24"/>
                          </w:rPr>
                          <w:t>股预约权交割收益</w:t>
                          <w:tab/>
                        </w:r>
                        <w:r>
                          <w:rPr>
                            <w:rFonts w:ascii="Arial" w:hAnsi="Arial" w:cs="Arial" w:eastAsia="Arial" w:hint="default"/>
                            <w:sz w:val="24"/>
                            <w:szCs w:val="24"/>
                          </w:rPr>
                          <w:t>5,658</w:t>
                        </w:r>
                      </w:p>
                      <w:p>
                        <w:pPr>
                          <w:pStyle w:val="TableParagraph"/>
                          <w:tabs>
                            <w:tab w:pos="7104" w:val="left" w:leader="none"/>
                          </w:tabs>
                          <w:spacing w:line="295" w:lineRule="exact"/>
                          <w:ind w:left="740" w:right="0"/>
                          <w:jc w:val="left"/>
                          <w:rPr>
                            <w:rFonts w:ascii="Arial" w:hAnsi="Arial" w:cs="Arial" w:eastAsia="Arial" w:hint="default"/>
                            <w:sz w:val="24"/>
                            <w:szCs w:val="24"/>
                          </w:rPr>
                        </w:pPr>
                        <w:r>
                          <w:rPr>
                            <w:rFonts w:ascii="宋体" w:hAnsi="宋体" w:cs="宋体" w:eastAsia="宋体" w:hint="default"/>
                            <w:sz w:val="24"/>
                            <w:szCs w:val="24"/>
                          </w:rPr>
                          <w:t>核销长期股权投资产生的投资损失</w:t>
                          <w:tab/>
                        </w:r>
                        <w:r>
                          <w:rPr>
                            <w:rFonts w:ascii="Arial" w:hAnsi="Arial" w:cs="Arial" w:eastAsia="Arial" w:hint="default"/>
                            <w:position w:val="2"/>
                            <w:sz w:val="24"/>
                            <w:szCs w:val="24"/>
                          </w:rPr>
                          <w:t>-</w:t>
                        </w:r>
                        <w:r>
                          <w:rPr>
                            <w:rFonts w:ascii="Arial" w:hAnsi="Arial" w:cs="Arial" w:eastAsia="Arial" w:hint="default"/>
                            <w:sz w:val="24"/>
                            <w:szCs w:val="24"/>
                          </w:rPr>
                        </w:r>
                      </w:p>
                    </w:tc>
                    <w:tc>
                      <w:tcPr>
                        <w:tcW w:w="566"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single" w:sz="2" w:space="0" w:color="000000"/>
                          <w:right w:val="nil" w:sz="6" w:space="0" w:color="auto"/>
                        </w:tcBorders>
                      </w:tcPr>
                      <w:p>
                        <w:pPr>
                          <w:pStyle w:val="TableParagraph"/>
                          <w:spacing w:line="240" w:lineRule="auto" w:before="179"/>
                          <w:ind w:left="1617" w:right="139" w:firstLine="254"/>
                          <w:jc w:val="left"/>
                          <w:rPr>
                            <w:rFonts w:ascii="Arial" w:hAnsi="Arial" w:cs="Arial" w:eastAsia="Arial" w:hint="default"/>
                            <w:sz w:val="24"/>
                            <w:szCs w:val="24"/>
                          </w:rPr>
                        </w:pPr>
                        <w:r>
                          <w:rPr>
                            <w:rFonts w:ascii="Arial"/>
                            <w:sz w:val="24"/>
                          </w:rPr>
                          <w:t>-</w:t>
                        </w:r>
                        <w:r>
                          <w:rPr>
                            <w:rFonts w:ascii="Arial"/>
                            <w:w w:val="99"/>
                            <w:sz w:val="24"/>
                          </w:rPr>
                          <w:t> </w:t>
                        </w:r>
                        <w:r>
                          <w:rPr>
                            <w:rFonts w:ascii="Arial"/>
                            <w:spacing w:val="-5"/>
                            <w:sz w:val="24"/>
                          </w:rPr>
                          <w:t>(11)</w:t>
                        </w:r>
                      </w:p>
                    </w:tc>
                  </w:tr>
                  <w:tr>
                    <w:trPr>
                      <w:trHeight w:val="293" w:hRule="exact"/>
                    </w:trPr>
                    <w:tc>
                      <w:tcPr>
                        <w:tcW w:w="7287"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99"/>
                          <w:jc w:val="right"/>
                          <w:rPr>
                            <w:rFonts w:ascii="Arial" w:hAnsi="Arial" w:cs="Arial" w:eastAsia="Arial" w:hint="default"/>
                            <w:sz w:val="24"/>
                            <w:szCs w:val="24"/>
                          </w:rPr>
                        </w:pPr>
                        <w:r>
                          <w:rPr>
                            <w:rFonts w:ascii="Arial"/>
                            <w:spacing w:val="-1"/>
                            <w:w w:val="95"/>
                            <w:sz w:val="24"/>
                          </w:rPr>
                          <w:t>10,625</w:t>
                        </w:r>
                        <w:r>
                          <w:rPr>
                            <w:rFonts w:ascii="Arial"/>
                            <w:sz w:val="24"/>
                          </w:rPr>
                        </w:r>
                      </w:p>
                    </w:tc>
                    <w:tc>
                      <w:tcPr>
                        <w:tcW w:w="566" w:type="dxa"/>
                        <w:tcBorders>
                          <w:top w:val="nil" w:sz="6" w:space="0" w:color="auto"/>
                          <w:left w:val="nil" w:sz="6" w:space="0" w:color="auto"/>
                          <w:bottom w:val="nil" w:sz="6" w:space="0" w:color="auto"/>
                          <w:right w:val="nil" w:sz="6" w:space="0" w:color="auto"/>
                        </w:tcBorders>
                      </w:tcPr>
                      <w:p>
                        <w:pPr/>
                      </w:p>
                    </w:tc>
                    <w:tc>
                      <w:tcPr>
                        <w:tcW w:w="2167"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139"/>
                          <w:jc w:val="right"/>
                          <w:rPr>
                            <w:rFonts w:ascii="Arial" w:hAnsi="Arial" w:cs="Arial" w:eastAsia="Arial" w:hint="default"/>
                            <w:sz w:val="24"/>
                            <w:szCs w:val="24"/>
                          </w:rPr>
                        </w:pPr>
                        <w:r>
                          <w:rPr>
                            <w:rFonts w:ascii="Arial"/>
                            <w:spacing w:val="-1"/>
                            <w:w w:val="95"/>
                            <w:sz w:val="24"/>
                          </w:rPr>
                          <w:t>(3,952)</w:t>
                        </w:r>
                        <w:r>
                          <w:rPr>
                            <w:rFonts w:ascii="Arial"/>
                            <w:sz w:val="24"/>
                          </w:rPr>
                        </w:r>
                      </w:p>
                    </w:tc>
                  </w:tr>
                </w:tbl>
                <w:p>
                  <w:pPr/>
                </w:p>
              </w:txbxContent>
            </v:textbox>
            <w10:wrap type="none"/>
          </v:shape>
        </w:pict>
      </w:r>
      <w:r>
        <w:rPr>
          <w:spacing w:val="2"/>
        </w:rPr>
        <w:t>处置交易性金融资产取得的投资收益 </w:t>
      </w:r>
      <w:r>
        <w:rPr>
          <w:rFonts w:ascii="Arial" w:hAnsi="Arial" w:cs="Arial" w:eastAsia="Arial" w:hint="default"/>
        </w:rPr>
        <w:t>- </w:t>
      </w:r>
      <w:r>
        <w:rPr>
          <w:rFonts w:ascii="Arial" w:hAnsi="Arial" w:cs="Arial" w:eastAsia="Arial" w:hint="default"/>
          <w:spacing w:val="7"/>
        </w:rPr>
        <w:t> </w:t>
      </w:r>
      <w:r>
        <w:rPr/>
        <w:t>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before="26"/>
        <w:ind w:left="844" w:right="0"/>
        <w:jc w:val="left"/>
      </w:pPr>
      <w:r>
        <w:rPr/>
        <w:t>本集团不存在投资收益汇回的重大限制。</w:t>
      </w:r>
    </w:p>
    <w:p>
      <w:pPr>
        <w:spacing w:line="240" w:lineRule="auto" w:before="4"/>
        <w:rPr>
          <w:rFonts w:ascii="宋体" w:hAnsi="宋体" w:cs="宋体" w:eastAsia="宋体" w:hint="default"/>
          <w:sz w:val="18"/>
          <w:szCs w:val="18"/>
        </w:rPr>
      </w:pPr>
    </w:p>
    <w:p>
      <w:pPr>
        <w:pStyle w:val="BodyText"/>
        <w:tabs>
          <w:tab w:pos="843" w:val="left" w:leader="none"/>
        </w:tabs>
        <w:spacing w:line="240" w:lineRule="auto"/>
        <w:ind w:left="138" w:right="0"/>
        <w:jc w:val="left"/>
        <w:rPr>
          <w:rFonts w:ascii="Arial" w:hAnsi="Arial" w:cs="Arial" w:eastAsia="Arial" w:hint="default"/>
        </w:rPr>
      </w:pPr>
      <w:r>
        <w:rPr>
          <w:rFonts w:ascii="Arial" w:hAnsi="Arial" w:cs="Arial" w:eastAsia="Arial" w:hint="default"/>
          <w:w w:val="95"/>
          <w:position w:val="2"/>
        </w:rPr>
        <w:t>(a)</w:t>
        <w:tab/>
      </w:r>
      <w:r>
        <w:rPr/>
        <w:t>权益法核算的长期股权投资收益</w:t>
      </w:r>
      <w:r>
        <w:rPr>
          <w:rFonts w:ascii="Arial" w:hAnsi="Arial" w:cs="Arial" w:eastAsia="Arial" w:hint="default"/>
        </w:rPr>
        <w:t>/(</w:t>
      </w:r>
      <w:r>
        <w:rPr/>
        <w:t>损失</w:t>
      </w:r>
      <w:r>
        <w:rPr>
          <w:rFonts w:ascii="Arial" w:hAnsi="Arial" w:cs="Arial" w:eastAsia="Arial" w:hint="default"/>
        </w:rPr>
        <w:t>)</w:t>
      </w:r>
    </w:p>
    <w:p>
      <w:pPr>
        <w:spacing w:line="240" w:lineRule="auto" w:before="1"/>
        <w:rPr>
          <w:rFonts w:ascii="Arial" w:hAnsi="Arial" w:cs="Arial" w:eastAsia="Arial" w:hint="default"/>
          <w:sz w:val="20"/>
          <w:szCs w:val="20"/>
        </w:rPr>
      </w:pPr>
    </w:p>
    <w:p>
      <w:pPr>
        <w:spacing w:after="0" w:line="240" w:lineRule="auto"/>
        <w:rPr>
          <w:rFonts w:ascii="Arial" w:hAnsi="Arial" w:cs="Arial" w:eastAsia="Arial" w:hint="default"/>
          <w:sz w:val="20"/>
          <w:szCs w:val="20"/>
        </w:rPr>
        <w:sectPr>
          <w:pgSz w:w="11910" w:h="16840"/>
          <w:pgMar w:header="0" w:footer="947" w:top="2300" w:bottom="1140" w:left="940" w:right="740"/>
        </w:sectPr>
      </w:pPr>
    </w:p>
    <w:p>
      <w:pPr>
        <w:pStyle w:val="BodyText"/>
        <w:tabs>
          <w:tab w:pos="5936" w:val="left" w:leader="none"/>
        </w:tabs>
        <w:spacing w:line="322" w:lineRule="exact" w:before="26"/>
        <w:ind w:left="3796" w:right="-13"/>
        <w:jc w:val="left"/>
      </w:pPr>
      <w:r>
        <w:rPr>
          <w:rFonts w:ascii="Arial" w:hAnsi="Arial" w:cs="Arial" w:eastAsia="Arial" w:hint="default"/>
        </w:rPr>
        <w:t>2010</w:t>
      </w:r>
      <w:r>
        <w:rPr>
          <w:rFonts w:ascii="Arial" w:hAnsi="Arial" w:cs="Arial" w:eastAsia="Arial" w:hint="default"/>
          <w:spacing w:val="-11"/>
        </w:rPr>
        <w:t> </w:t>
      </w:r>
      <w:r>
        <w:rPr/>
        <w:t>年度</w:t>
        <w:tab/>
      </w:r>
      <w:r>
        <w:rPr>
          <w:rFonts w:ascii="Arial" w:hAnsi="Arial" w:cs="Arial" w:eastAsia="Arial" w:hint="default"/>
        </w:rPr>
        <w:t>2009</w:t>
      </w:r>
      <w:r>
        <w:rPr>
          <w:rFonts w:ascii="Arial" w:hAnsi="Arial" w:cs="Arial" w:eastAsia="Arial" w:hint="default"/>
          <w:spacing w:val="-11"/>
        </w:rPr>
        <w:t> </w:t>
      </w:r>
      <w:r>
        <w:rPr/>
        <w:t>年</w:t>
      </w:r>
    </w:p>
    <w:p>
      <w:pPr>
        <w:pStyle w:val="BodyText"/>
        <w:spacing w:line="304" w:lineRule="exact"/>
        <w:ind w:left="0" w:right="539"/>
        <w:jc w:val="right"/>
      </w:pPr>
      <w:r>
        <w:rPr/>
        <w:t>度</w:t>
      </w:r>
    </w:p>
    <w:p>
      <w:pPr>
        <w:spacing w:line="240" w:lineRule="auto" w:before="5"/>
        <w:rPr>
          <w:rFonts w:ascii="宋体" w:hAnsi="宋体" w:cs="宋体" w:eastAsia="宋体" w:hint="default"/>
          <w:sz w:val="23"/>
          <w:szCs w:val="23"/>
        </w:rPr>
      </w:pPr>
    </w:p>
    <w:p>
      <w:pPr>
        <w:pStyle w:val="BodyText"/>
        <w:tabs>
          <w:tab w:pos="4227" w:val="left" w:leader="none"/>
          <w:tab w:pos="6073" w:val="left" w:leader="none"/>
        </w:tabs>
        <w:spacing w:line="240" w:lineRule="auto"/>
        <w:ind w:left="843" w:right="-13"/>
        <w:jc w:val="left"/>
        <w:rPr>
          <w:rFonts w:ascii="Arial" w:hAnsi="Arial" w:cs="Arial" w:eastAsia="Arial" w:hint="default"/>
        </w:rPr>
      </w:pPr>
      <w:r>
        <w:rPr>
          <w:rFonts w:ascii="Arial" w:hAnsi="Arial" w:cs="Arial" w:eastAsia="Arial" w:hint="default"/>
          <w:position w:val="-4"/>
        </w:rPr>
        <w:t>LAOX</w:t>
      </w:r>
      <w:r>
        <w:rPr>
          <w:rFonts w:ascii="Arial" w:hAnsi="Arial" w:cs="Arial" w:eastAsia="Arial" w:hint="default"/>
          <w:spacing w:val="-8"/>
          <w:position w:val="-4"/>
        </w:rPr>
        <w:t> </w:t>
      </w:r>
      <w:r>
        <w:rPr>
          <w:position w:val="-4"/>
        </w:rPr>
        <w:t>株式会社</w:t>
        <w:tab/>
      </w:r>
      <w:r>
        <w:rPr>
          <w:rFonts w:ascii="Arial" w:hAnsi="Arial" w:cs="Arial" w:eastAsia="Arial" w:hint="default"/>
          <w:spacing w:val="-1"/>
        </w:rPr>
        <w:t>4,967</w:t>
        <w:tab/>
        <w:t>(3,941)</w:t>
      </w:r>
      <w:r>
        <w:rPr>
          <w:rFonts w:ascii="Arial" w:hAnsi="Arial" w:cs="Arial" w:eastAsia="Arial" w:hint="default"/>
        </w:rPr>
      </w:r>
    </w:p>
    <w:p>
      <w:pPr>
        <w:pStyle w:val="BodyText"/>
        <w:spacing w:line="240" w:lineRule="auto" w:before="26"/>
        <w:ind w:left="970" w:right="0" w:hanging="741"/>
        <w:jc w:val="left"/>
      </w:pPr>
      <w:r>
        <w:rPr/>
        <w:br w:type="column"/>
      </w:r>
      <w:r>
        <w:rPr/>
        <w:t>本期比上期增减变动的原因</w:t>
      </w:r>
    </w:p>
    <w:p>
      <w:pPr>
        <w:spacing w:line="240" w:lineRule="auto" w:before="0"/>
        <w:rPr>
          <w:rFonts w:ascii="宋体" w:hAnsi="宋体" w:cs="宋体" w:eastAsia="宋体" w:hint="default"/>
          <w:sz w:val="26"/>
          <w:szCs w:val="26"/>
        </w:rPr>
      </w:pPr>
    </w:p>
    <w:p>
      <w:pPr>
        <w:pStyle w:val="BodyText"/>
        <w:spacing w:line="312" w:lineRule="exact"/>
        <w:ind w:left="1189" w:right="221" w:hanging="220"/>
        <w:jc w:val="left"/>
      </w:pPr>
      <w:r>
        <w:rPr>
          <w:rFonts w:ascii="Arial" w:hAnsi="Arial" w:cs="Arial" w:eastAsia="Arial" w:hint="default"/>
        </w:rPr>
        <w:t>LAOX</w:t>
      </w:r>
      <w:r>
        <w:rPr>
          <w:rFonts w:ascii="Arial" w:hAnsi="Arial" w:cs="Arial" w:eastAsia="Arial" w:hint="default"/>
          <w:spacing w:val="-10"/>
        </w:rPr>
        <w:t> </w:t>
      </w:r>
      <w:r>
        <w:rPr/>
        <w:t>株式会社上期</w:t>
      </w:r>
      <w:r>
        <w:rPr>
          <w:w w:val="100"/>
        </w:rPr>
        <w:t> </w:t>
      </w:r>
      <w:r>
        <w:rPr/>
        <w:t>亏损，本年度盈利</w:t>
      </w:r>
    </w:p>
    <w:p>
      <w:pPr>
        <w:spacing w:after="0" w:line="312" w:lineRule="exact"/>
        <w:jc w:val="left"/>
        <w:sectPr>
          <w:type w:val="continuous"/>
          <w:pgSz w:w="11910" w:h="16840"/>
          <w:pgMar w:top="920" w:bottom="900" w:left="940" w:right="740"/>
          <w:cols w:num="2" w:equalWidth="0">
            <w:col w:w="6835" w:space="40"/>
            <w:col w:w="3355"/>
          </w:cols>
        </w:sectPr>
      </w:pPr>
    </w:p>
    <w:p>
      <w:pPr>
        <w:tabs>
          <w:tab w:pos="5357" w:val="left" w:leader="none"/>
        </w:tabs>
        <w:spacing w:line="30" w:lineRule="exact"/>
        <w:ind w:left="3137" w:right="0" w:firstLine="0"/>
        <w:rPr>
          <w:rFonts w:ascii="宋体" w:hAnsi="宋体" w:cs="宋体" w:eastAsia="宋体" w:hint="default"/>
          <w:sz w:val="3"/>
          <w:szCs w:val="3"/>
        </w:rPr>
      </w:pPr>
      <w:r>
        <w:rPr>
          <w:rFonts w:ascii="宋体"/>
          <w:position w:val="0"/>
          <w:sz w:val="3"/>
        </w:rPr>
        <w:pict>
          <v:group style="width:92.5pt;height:1.5pt;mso-position-horizontal-relative:char;mso-position-vertical-relative:line" coordorigin="0,0" coordsize="1850,30">
            <v:group style="position:absolute;left:15;top:15;width:1820;height:2" coordorigin="15,15" coordsize="1820,2">
              <v:shape style="position:absolute;left:15;top:15;width:1820;height:2" coordorigin="15,15" coordsize="1820,0" path="m15,15l1834,15e" filled="false" stroked="true" strokeweight="1.5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79.7pt;height:1.5pt;mso-position-horizontal-relative:char;mso-position-vertical-relative:line" coordorigin="0,0" coordsize="1594,30">
            <v:group style="position:absolute;left:15;top:15;width:1564;height:2" coordorigin="15,15" coordsize="1564,2">
              <v:shape style="position:absolute;left:15;top:15;width:1564;height:2" coordorigin="15,15" coordsize="1564,0" path="m15,15l1579,15e" filled="false" stroked="true" strokeweight="1.5pt" strokecolor="#000000">
                <v:path arrowok="t"/>
              </v:shape>
            </v:group>
          </v:group>
        </w:pict>
      </w:r>
      <w:r>
        <w:rPr>
          <w:rFonts w:ascii="宋体"/>
          <w:position w:val="0"/>
          <w:sz w:val="3"/>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601"/>
        <w:gridCol w:w="4697"/>
        <w:gridCol w:w="1960"/>
        <w:gridCol w:w="540"/>
        <w:gridCol w:w="2183"/>
      </w:tblGrid>
      <w:tr>
        <w:trPr>
          <w:trHeight w:val="835" w:hRule="exact"/>
        </w:trPr>
        <w:tc>
          <w:tcPr>
            <w:tcW w:w="60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Arial" w:hAnsi="Arial" w:cs="Arial" w:eastAsia="Arial" w:hint="default"/>
                <w:sz w:val="24"/>
                <w:szCs w:val="24"/>
              </w:rPr>
            </w:pPr>
            <w:r>
              <w:rPr>
                <w:rFonts w:ascii="Arial"/>
                <w:sz w:val="24"/>
              </w:rPr>
              <w:t>(42)</w:t>
            </w:r>
          </w:p>
        </w:tc>
        <w:tc>
          <w:tcPr>
            <w:tcW w:w="469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38" w:right="0"/>
              <w:jc w:val="left"/>
              <w:rPr>
                <w:rFonts w:ascii="宋体" w:hAnsi="宋体" w:cs="宋体" w:eastAsia="宋体" w:hint="default"/>
                <w:sz w:val="24"/>
                <w:szCs w:val="24"/>
              </w:rPr>
            </w:pPr>
            <w:r>
              <w:rPr>
                <w:rFonts w:ascii="宋体" w:hAnsi="宋体" w:cs="宋体" w:eastAsia="宋体" w:hint="default"/>
                <w:b/>
                <w:bCs/>
                <w:sz w:val="24"/>
                <w:szCs w:val="24"/>
              </w:rPr>
              <w:t>资产减值损失</w:t>
            </w:r>
            <w:r>
              <w:rPr>
                <w:rFonts w:ascii="宋体" w:hAnsi="宋体" w:cs="宋体" w:eastAsia="宋体" w:hint="default"/>
                <w:sz w:val="24"/>
                <w:szCs w:val="24"/>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540"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0" w:hRule="exact"/>
        </w:trPr>
        <w:tc>
          <w:tcPr>
            <w:tcW w:w="601" w:type="dxa"/>
            <w:tcBorders>
              <w:top w:val="nil" w:sz="6" w:space="0" w:color="auto"/>
              <w:left w:val="nil" w:sz="6" w:space="0" w:color="auto"/>
              <w:bottom w:val="nil" w:sz="6" w:space="0" w:color="auto"/>
              <w:right w:val="nil" w:sz="6" w:space="0" w:color="auto"/>
            </w:tcBorders>
          </w:tcPr>
          <w:p>
            <w:pPr/>
          </w:p>
        </w:tc>
        <w:tc>
          <w:tcPr>
            <w:tcW w:w="469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38" w:right="0"/>
              <w:jc w:val="left"/>
              <w:rPr>
                <w:rFonts w:ascii="Arial" w:hAnsi="Arial" w:cs="Arial" w:eastAsia="Arial" w:hint="default"/>
                <w:sz w:val="24"/>
                <w:szCs w:val="24"/>
              </w:rPr>
            </w:pPr>
            <w:r>
              <w:rPr>
                <w:rFonts w:ascii="宋体" w:hAnsi="宋体" w:cs="宋体" w:eastAsia="宋体" w:hint="default"/>
                <w:sz w:val="24"/>
                <w:szCs w:val="24"/>
              </w:rPr>
              <w:t>坏账损失</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(19))</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9"/>
              <w:jc w:val="right"/>
              <w:rPr>
                <w:rFonts w:ascii="Arial" w:hAnsi="Arial" w:cs="Arial" w:eastAsia="Arial" w:hint="default"/>
                <w:sz w:val="24"/>
                <w:szCs w:val="24"/>
              </w:rPr>
            </w:pPr>
            <w:r>
              <w:rPr>
                <w:rFonts w:ascii="Arial"/>
                <w:spacing w:val="-1"/>
                <w:w w:val="95"/>
                <w:sz w:val="24"/>
              </w:rPr>
              <w:t>21,635</w:t>
            </w:r>
            <w:r>
              <w:rPr>
                <w:rFonts w:ascii="Arial"/>
                <w:sz w:val="24"/>
              </w:rPr>
            </w:r>
          </w:p>
        </w:tc>
        <w:tc>
          <w:tcPr>
            <w:tcW w:w="540"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8"/>
              <w:jc w:val="right"/>
              <w:rPr>
                <w:rFonts w:ascii="Arial" w:hAnsi="Arial" w:cs="Arial" w:eastAsia="Arial" w:hint="default"/>
                <w:sz w:val="24"/>
                <w:szCs w:val="24"/>
              </w:rPr>
            </w:pPr>
            <w:r>
              <w:rPr>
                <w:rFonts w:ascii="Arial"/>
                <w:spacing w:val="-1"/>
                <w:w w:val="95"/>
                <w:sz w:val="24"/>
              </w:rPr>
              <w:t>8,610</w:t>
            </w:r>
            <w:r>
              <w:rPr>
                <w:rFonts w:ascii="Arial"/>
                <w:sz w:val="24"/>
              </w:rPr>
            </w:r>
          </w:p>
        </w:tc>
      </w:tr>
      <w:tr>
        <w:trPr>
          <w:trHeight w:val="313" w:hRule="exact"/>
        </w:trPr>
        <w:tc>
          <w:tcPr>
            <w:tcW w:w="601" w:type="dxa"/>
            <w:tcBorders>
              <w:top w:val="nil" w:sz="6" w:space="0" w:color="auto"/>
              <w:left w:val="nil" w:sz="6" w:space="0" w:color="auto"/>
              <w:bottom w:val="nil" w:sz="6" w:space="0" w:color="auto"/>
              <w:right w:val="nil" w:sz="6" w:space="0" w:color="auto"/>
            </w:tcBorders>
          </w:tcPr>
          <w:p>
            <w:pPr/>
          </w:p>
        </w:tc>
        <w:tc>
          <w:tcPr>
            <w:tcW w:w="4697" w:type="dxa"/>
            <w:tcBorders>
              <w:top w:val="nil" w:sz="6" w:space="0" w:color="auto"/>
              <w:left w:val="nil" w:sz="6" w:space="0" w:color="auto"/>
              <w:bottom w:val="nil" w:sz="6" w:space="0" w:color="auto"/>
              <w:right w:val="nil" w:sz="6" w:space="0" w:color="auto"/>
            </w:tcBorders>
          </w:tcPr>
          <w:p>
            <w:pPr>
              <w:pStyle w:val="TableParagraph"/>
              <w:spacing w:line="290" w:lineRule="exact"/>
              <w:ind w:left="138" w:right="0"/>
              <w:jc w:val="left"/>
              <w:rPr>
                <w:rFonts w:ascii="Arial" w:hAnsi="Arial" w:cs="Arial" w:eastAsia="Arial" w:hint="default"/>
                <w:sz w:val="24"/>
                <w:szCs w:val="24"/>
              </w:rPr>
            </w:pPr>
            <w:r>
              <w:rPr>
                <w:rFonts w:ascii="宋体" w:hAnsi="宋体" w:cs="宋体" w:eastAsia="宋体" w:hint="default"/>
                <w:sz w:val="24"/>
                <w:szCs w:val="24"/>
              </w:rPr>
              <w:t>存货跌价损失</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(19))</w:t>
            </w:r>
          </w:p>
        </w:tc>
        <w:tc>
          <w:tcPr>
            <w:tcW w:w="1960" w:type="dxa"/>
            <w:tcBorders>
              <w:top w:val="nil" w:sz="6" w:space="0" w:color="auto"/>
              <w:left w:val="nil" w:sz="6" w:space="0" w:color="auto"/>
              <w:bottom w:val="single" w:sz="2" w:space="0" w:color="000000"/>
              <w:right w:val="nil" w:sz="6" w:space="0" w:color="auto"/>
            </w:tcBorders>
          </w:tcPr>
          <w:p>
            <w:pPr>
              <w:pStyle w:val="TableParagraph"/>
              <w:spacing w:line="272" w:lineRule="exact"/>
              <w:ind w:right="98"/>
              <w:jc w:val="right"/>
              <w:rPr>
                <w:rFonts w:ascii="Arial" w:hAnsi="Arial" w:cs="Arial" w:eastAsia="Arial" w:hint="default"/>
                <w:sz w:val="24"/>
                <w:szCs w:val="24"/>
              </w:rPr>
            </w:pPr>
            <w:r>
              <w:rPr>
                <w:rFonts w:ascii="Arial"/>
                <w:spacing w:val="-1"/>
                <w:w w:val="95"/>
                <w:sz w:val="24"/>
              </w:rPr>
              <w:t>54,289</w:t>
            </w:r>
            <w:r>
              <w:rPr>
                <w:rFonts w:ascii="Arial"/>
                <w:sz w:val="24"/>
              </w:rPr>
            </w:r>
          </w:p>
        </w:tc>
        <w:tc>
          <w:tcPr>
            <w:tcW w:w="540"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single" w:sz="2" w:space="0" w:color="000000"/>
              <w:right w:val="nil" w:sz="6" w:space="0" w:color="auto"/>
            </w:tcBorders>
          </w:tcPr>
          <w:p>
            <w:pPr>
              <w:pStyle w:val="TableParagraph"/>
              <w:spacing w:line="272" w:lineRule="exact"/>
              <w:ind w:right="97"/>
              <w:jc w:val="right"/>
              <w:rPr>
                <w:rFonts w:ascii="Arial" w:hAnsi="Arial" w:cs="Arial" w:eastAsia="Arial" w:hint="default"/>
                <w:sz w:val="24"/>
                <w:szCs w:val="24"/>
              </w:rPr>
            </w:pPr>
            <w:r>
              <w:rPr>
                <w:rFonts w:ascii="Arial"/>
                <w:spacing w:val="-1"/>
                <w:w w:val="95"/>
                <w:sz w:val="24"/>
              </w:rPr>
              <w:t>23,725</w:t>
            </w:r>
            <w:r>
              <w:rPr>
                <w:rFonts w:ascii="Arial"/>
                <w:sz w:val="24"/>
              </w:rPr>
            </w:r>
          </w:p>
        </w:tc>
      </w:tr>
      <w:tr>
        <w:trPr>
          <w:trHeight w:val="293" w:hRule="exact"/>
        </w:trPr>
        <w:tc>
          <w:tcPr>
            <w:tcW w:w="601" w:type="dxa"/>
            <w:tcBorders>
              <w:top w:val="nil" w:sz="6" w:space="0" w:color="auto"/>
              <w:left w:val="nil" w:sz="6" w:space="0" w:color="auto"/>
              <w:bottom w:val="nil" w:sz="6" w:space="0" w:color="auto"/>
              <w:right w:val="nil" w:sz="6" w:space="0" w:color="auto"/>
            </w:tcBorders>
          </w:tcPr>
          <w:p>
            <w:pPr/>
          </w:p>
        </w:tc>
        <w:tc>
          <w:tcPr>
            <w:tcW w:w="4697" w:type="dxa"/>
            <w:tcBorders>
              <w:top w:val="nil" w:sz="6" w:space="0" w:color="auto"/>
              <w:left w:val="nil" w:sz="6" w:space="0" w:color="auto"/>
              <w:bottom w:val="nil" w:sz="6" w:space="0" w:color="auto"/>
              <w:right w:val="nil" w:sz="6" w:space="0" w:color="auto"/>
            </w:tcBorders>
          </w:tcPr>
          <w:p>
            <w:pPr/>
          </w:p>
        </w:tc>
        <w:tc>
          <w:tcPr>
            <w:tcW w:w="1960"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98"/>
              <w:jc w:val="right"/>
              <w:rPr>
                <w:rFonts w:ascii="Arial" w:hAnsi="Arial" w:cs="Arial" w:eastAsia="Arial" w:hint="default"/>
                <w:sz w:val="24"/>
                <w:szCs w:val="24"/>
              </w:rPr>
            </w:pPr>
            <w:r>
              <w:rPr>
                <w:rFonts w:ascii="Arial"/>
                <w:spacing w:val="-1"/>
                <w:w w:val="95"/>
                <w:sz w:val="24"/>
              </w:rPr>
              <w:t>75,924</w:t>
            </w:r>
            <w:r>
              <w:rPr>
                <w:rFonts w:ascii="Arial"/>
                <w:sz w:val="24"/>
              </w:rPr>
            </w:r>
          </w:p>
        </w:tc>
        <w:tc>
          <w:tcPr>
            <w:tcW w:w="540" w:type="dxa"/>
            <w:tcBorders>
              <w:top w:val="nil" w:sz="6" w:space="0" w:color="auto"/>
              <w:left w:val="nil" w:sz="6" w:space="0" w:color="auto"/>
              <w:bottom w:val="nil" w:sz="6" w:space="0" w:color="auto"/>
              <w:right w:val="nil" w:sz="6" w:space="0" w:color="auto"/>
            </w:tcBorders>
          </w:tcPr>
          <w:p>
            <w:pPr/>
          </w:p>
        </w:tc>
        <w:tc>
          <w:tcPr>
            <w:tcW w:w="2183"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97"/>
              <w:jc w:val="right"/>
              <w:rPr>
                <w:rFonts w:ascii="Arial" w:hAnsi="Arial" w:cs="Arial" w:eastAsia="Arial" w:hint="default"/>
                <w:sz w:val="24"/>
                <w:szCs w:val="24"/>
              </w:rPr>
            </w:pPr>
            <w:r>
              <w:rPr>
                <w:rFonts w:ascii="Arial"/>
                <w:spacing w:val="-1"/>
                <w:w w:val="95"/>
                <w:sz w:val="24"/>
              </w:rPr>
              <w:t>32,335</w:t>
            </w:r>
            <w:r>
              <w:rPr>
                <w:rFonts w:ascii="Arial"/>
                <w:sz w:val="24"/>
              </w:rPr>
            </w:r>
          </w:p>
        </w:tc>
      </w:tr>
    </w:tbl>
    <w:p>
      <w:pPr>
        <w:spacing w:after="0" w:line="274" w:lineRule="exact"/>
        <w:jc w:val="right"/>
        <w:rPr>
          <w:rFonts w:ascii="Arial" w:hAnsi="Arial" w:cs="Arial" w:eastAsia="Arial" w:hint="default"/>
          <w:sz w:val="24"/>
          <w:szCs w:val="24"/>
        </w:rPr>
        <w:sectPr>
          <w:type w:val="continuous"/>
          <w:pgSz w:w="11910" w:h="16840"/>
          <w:pgMar w:top="920" w:bottom="900" w:left="940" w:right="740"/>
        </w:sectPr>
      </w:pPr>
    </w:p>
    <w:p>
      <w:pPr>
        <w:spacing w:line="240" w:lineRule="auto" w:before="6"/>
        <w:rPr>
          <w:rFonts w:ascii="宋体" w:hAnsi="宋体" w:cs="宋体" w:eastAsia="宋体" w:hint="default"/>
          <w:sz w:val="13"/>
          <w:szCs w:val="13"/>
        </w:rPr>
      </w:pPr>
    </w:p>
    <w:p>
      <w:pPr>
        <w:pStyle w:val="Heading2"/>
        <w:tabs>
          <w:tab w:pos="886" w:val="left" w:leader="none"/>
        </w:tabs>
        <w:spacing w:line="240" w:lineRule="auto"/>
        <w:ind w:left="178" w:right="0"/>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19"/>
          <w:szCs w:val="19"/>
        </w:rPr>
      </w:pPr>
    </w:p>
    <w:p>
      <w:pPr>
        <w:tabs>
          <w:tab w:pos="886" w:val="left" w:leader="none"/>
        </w:tabs>
        <w:spacing w:before="0"/>
        <w:ind w:left="178"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(43)</w:t>
        <w:tab/>
      </w:r>
      <w:r>
        <w:rPr>
          <w:rFonts w:ascii="宋体" w:hAnsi="宋体" w:cs="宋体" w:eastAsia="宋体" w:hint="default"/>
          <w:b/>
          <w:bCs/>
          <w:sz w:val="24"/>
          <w:szCs w:val="24"/>
        </w:rPr>
        <w:t>营业外收入</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pStyle w:val="BodyText"/>
        <w:tabs>
          <w:tab w:pos="1721" w:val="left" w:leader="none"/>
          <w:tab w:pos="3391" w:val="left" w:leader="none"/>
        </w:tabs>
        <w:spacing w:line="322" w:lineRule="exact" w:before="26"/>
        <w:ind w:left="0" w:right="498"/>
        <w:jc w:val="right"/>
      </w:pPr>
      <w:r>
        <w:rPr>
          <w:rFonts w:ascii="Arial" w:hAnsi="Arial" w:cs="Arial" w:eastAsia="Arial" w:hint="default"/>
        </w:rPr>
        <w:t>2010</w:t>
      </w:r>
      <w:r>
        <w:rPr>
          <w:rFonts w:ascii="Arial" w:hAnsi="Arial" w:cs="Arial" w:eastAsia="Arial" w:hint="default"/>
          <w:spacing w:val="-11"/>
        </w:rPr>
        <w:t> </w:t>
      </w:r>
      <w:r>
        <w:rPr/>
        <w:t>年度</w:t>
        <w:tab/>
      </w:r>
      <w:r>
        <w:rPr>
          <w:rFonts w:ascii="Arial" w:hAnsi="Arial" w:cs="Arial" w:eastAsia="Arial" w:hint="default"/>
        </w:rPr>
        <w:t>2009</w:t>
      </w:r>
      <w:r>
        <w:rPr>
          <w:rFonts w:ascii="Arial" w:hAnsi="Arial" w:cs="Arial" w:eastAsia="Arial" w:hint="default"/>
          <w:spacing w:val="-11"/>
        </w:rPr>
        <w:t> </w:t>
      </w:r>
      <w:r>
        <w:rPr/>
        <w:t>年度</w:t>
        <w:tab/>
        <w:t>计入</w:t>
      </w:r>
      <w:r>
        <w:rPr>
          <w:spacing w:val="-62"/>
        </w:rPr>
        <w:t> </w:t>
      </w:r>
      <w:r>
        <w:rPr>
          <w:rFonts w:ascii="Arial" w:hAnsi="Arial" w:cs="Arial" w:eastAsia="Arial" w:hint="default"/>
        </w:rPr>
        <w:t>2010</w:t>
      </w:r>
      <w:r>
        <w:rPr>
          <w:rFonts w:ascii="Arial" w:hAnsi="Arial" w:cs="Arial" w:eastAsia="Arial" w:hint="default"/>
          <w:spacing w:val="-8"/>
        </w:rPr>
        <w:t> </w:t>
      </w:r>
      <w:r>
        <w:rPr/>
        <w:t>年度非</w:t>
      </w:r>
    </w:p>
    <w:p>
      <w:pPr>
        <w:pStyle w:val="BodyText"/>
        <w:spacing w:line="304" w:lineRule="exact"/>
        <w:ind w:left="0" w:right="498"/>
        <w:jc w:val="right"/>
      </w:pPr>
      <w:r>
        <w:rPr/>
        <w:t>经常性损益的金额</w:t>
      </w:r>
    </w:p>
    <w:p>
      <w:pPr>
        <w:spacing w:line="240" w:lineRule="auto" w:before="12"/>
        <w:rPr>
          <w:rFonts w:ascii="宋体" w:hAnsi="宋体" w:cs="宋体" w:eastAsia="宋体" w:hint="default"/>
          <w:sz w:val="20"/>
          <w:szCs w:val="20"/>
        </w:rPr>
      </w:pPr>
    </w:p>
    <w:p>
      <w:pPr>
        <w:pStyle w:val="BodyText"/>
        <w:tabs>
          <w:tab w:pos="4972" w:val="left" w:leader="none"/>
          <w:tab w:pos="6894" w:val="left" w:leader="none"/>
          <w:tab w:pos="9143" w:val="left" w:leader="none"/>
        </w:tabs>
        <w:spacing w:line="240" w:lineRule="auto"/>
        <w:ind w:left="921" w:right="0"/>
        <w:jc w:val="left"/>
        <w:rPr>
          <w:rFonts w:ascii="Arial" w:hAnsi="Arial" w:cs="Arial" w:eastAsia="Arial" w:hint="default"/>
        </w:rPr>
      </w:pPr>
      <w:r>
        <w:rPr/>
        <w:t>非流动资产处置利得</w:t>
        <w:tab/>
      </w:r>
      <w:r>
        <w:rPr>
          <w:rFonts w:ascii="Arial" w:hAnsi="Arial" w:cs="Arial" w:eastAsia="Arial" w:hint="default"/>
          <w:spacing w:val="-1"/>
          <w:position w:val="2"/>
        </w:rPr>
        <w:t>1,165</w:t>
        <w:tab/>
        <w:t>478</w:t>
        <w:tab/>
        <w:t>1,165</w:t>
      </w:r>
      <w:r>
        <w:rPr>
          <w:rFonts w:ascii="Arial" w:hAnsi="Arial" w:cs="Arial" w:eastAsia="Arial" w:hint="default"/>
        </w:rPr>
      </w:r>
    </w:p>
    <w:p>
      <w:pPr>
        <w:pStyle w:val="BodyText"/>
        <w:tabs>
          <w:tab w:pos="4972" w:val="left" w:leader="none"/>
          <w:tab w:pos="6894" w:val="left" w:leader="none"/>
          <w:tab w:pos="9143" w:val="left" w:leader="none"/>
        </w:tabs>
        <w:spacing w:line="240" w:lineRule="auto" w:before="7"/>
        <w:ind w:left="921" w:right="0"/>
        <w:jc w:val="left"/>
        <w:rPr>
          <w:rFonts w:ascii="Arial" w:hAnsi="Arial" w:cs="Arial" w:eastAsia="Arial" w:hint="default"/>
        </w:rPr>
      </w:pPr>
      <w:r>
        <w:rPr/>
        <w:pict>
          <v:group style="position:absolute;margin-left:83.340012pt;margin-top:1.58596pt;width:454.65pt;height:17.1pt;mso-position-horizontal-relative:page;mso-position-vertical-relative:paragraph;z-index:-1002544" coordorigin="1667,32" coordsize="9093,342">
            <v:group style="position:absolute;left:1672;top:41;width:9083;height:2" coordorigin="1672,41" coordsize="9083,2">
              <v:shape style="position:absolute;left:1672;top:41;width:9083;height:2" coordorigin="1672,41" coordsize="9083,0" path="m1672,41l10754,41e" filled="false" stroked="true" strokeweight=".47998pt" strokecolor="#000000">
                <v:path arrowok="t"/>
              </v:shape>
            </v:group>
            <v:group style="position:absolute;left:1679;top:46;width:2;height:314" coordorigin="1679,46" coordsize="2,314">
              <v:shape style="position:absolute;left:1679;top:46;width:2;height:314" coordorigin="1679,46" coordsize="0,314" path="m1679,46l1679,359e" filled="false" stroked="true" strokeweight=".48pt" strokecolor="#000000">
                <v:path arrowok="t"/>
              </v:shape>
            </v:group>
            <v:group style="position:absolute;left:10752;top:37;width:2;height:333" coordorigin="10752,37" coordsize="2,333">
              <v:shape style="position:absolute;left:10752;top:37;width:2;height:333" coordorigin="10752,37" coordsize="0,333" path="m10752,37l10752,369e" filled="false" stroked="true" strokeweight=".47998pt" strokecolor="#000000">
                <v:path arrowok="t"/>
              </v:shape>
            </v:group>
            <v:group style="position:absolute;left:1672;top:364;width:9083;height:2" coordorigin="1672,364" coordsize="9083,2">
              <v:shape style="position:absolute;left:1672;top:364;width:9083;height:2" coordorigin="1672,364" coordsize="9083,0" path="m1672,364l10754,364e" filled="false" stroked="true" strokeweight=".47998pt" strokecolor="#000000">
                <v:path arrowok="t"/>
              </v:shape>
            </v:group>
            <w10:wrap type="none"/>
          </v:group>
        </w:pict>
      </w:r>
      <w:r>
        <w:rPr/>
        <w:t>其中：固定资产处置利得</w:t>
        <w:tab/>
      </w:r>
      <w:r>
        <w:rPr>
          <w:rFonts w:ascii="Arial" w:hAnsi="Arial" w:cs="Arial" w:eastAsia="Arial" w:hint="default"/>
          <w:spacing w:val="-1"/>
          <w:position w:val="2"/>
        </w:rPr>
        <w:t>1,165</w:t>
        <w:tab/>
        <w:t>478</w:t>
        <w:tab/>
        <w:t>1,165</w:t>
      </w:r>
      <w:r>
        <w:rPr>
          <w:rFonts w:ascii="Arial" w:hAnsi="Arial" w:cs="Arial" w:eastAsia="Arial" w:hint="default"/>
        </w:rPr>
      </w:r>
    </w:p>
    <w:p>
      <w:pPr>
        <w:pStyle w:val="BodyText"/>
        <w:tabs>
          <w:tab w:pos="4839" w:val="left" w:leader="none"/>
          <w:tab w:pos="6561" w:val="left" w:leader="none"/>
          <w:tab w:pos="9010" w:val="left" w:leader="none"/>
        </w:tabs>
        <w:spacing w:line="322" w:lineRule="exact" w:before="8"/>
        <w:ind w:left="921" w:right="0"/>
        <w:jc w:val="left"/>
        <w:rPr>
          <w:rFonts w:ascii="Arial" w:hAnsi="Arial" w:cs="Arial" w:eastAsia="Arial" w:hint="default"/>
        </w:rPr>
      </w:pPr>
      <w:r>
        <w:rPr>
          <w:w w:val="95"/>
        </w:rPr>
        <w:t>政府补助</w:t>
      </w:r>
      <w:r>
        <w:rPr>
          <w:rFonts w:ascii="Arial" w:hAnsi="Arial" w:cs="Arial" w:eastAsia="Arial" w:hint="default"/>
          <w:w w:val="95"/>
        </w:rPr>
        <w:t>(a)</w:t>
        <w:tab/>
      </w:r>
      <w:r>
        <w:rPr>
          <w:rFonts w:ascii="Arial" w:hAnsi="Arial" w:cs="Arial" w:eastAsia="Arial" w:hint="default"/>
          <w:spacing w:val="-1"/>
          <w:position w:val="2"/>
        </w:rPr>
        <w:t>41,982</w:t>
        <w:tab/>
        <w:t>71,155</w:t>
        <w:tab/>
        <w:t>41,982</w:t>
      </w:r>
      <w:r>
        <w:rPr>
          <w:rFonts w:ascii="Arial" w:hAnsi="Arial" w:cs="Arial" w:eastAsia="Arial" w:hint="default"/>
        </w:rPr>
      </w:r>
    </w:p>
    <w:p>
      <w:pPr>
        <w:pStyle w:val="BodyText"/>
        <w:tabs>
          <w:tab w:pos="6561" w:val="left" w:leader="none"/>
        </w:tabs>
        <w:spacing w:line="303" w:lineRule="exact"/>
        <w:ind w:left="921" w:right="0"/>
        <w:jc w:val="left"/>
        <w:rPr>
          <w:rFonts w:ascii="Arial" w:hAnsi="Arial" w:cs="Arial" w:eastAsia="Arial" w:hint="default"/>
        </w:rPr>
      </w:pPr>
      <w:r>
        <w:rPr/>
        <w:t>取得长期股权投资利得</w:t>
        <w:tab/>
      </w:r>
      <w:r>
        <w:rPr>
          <w:rFonts w:ascii="Arial" w:hAnsi="Arial" w:cs="Arial" w:eastAsia="Arial" w:hint="default"/>
          <w:position w:val="2"/>
        </w:rPr>
        <w:t>10,049</w:t>
      </w:r>
      <w:r>
        <w:rPr>
          <w:rFonts w:ascii="Arial" w:hAnsi="Arial" w:cs="Arial" w:eastAsia="Arial" w:hint="default"/>
        </w:rPr>
      </w:r>
    </w:p>
    <w:p>
      <w:pPr>
        <w:pStyle w:val="BodyText"/>
        <w:tabs>
          <w:tab w:pos="4839" w:val="left" w:leader="none"/>
          <w:tab w:pos="6561" w:val="left" w:leader="none"/>
          <w:tab w:pos="9010" w:val="left" w:leader="none"/>
        </w:tabs>
        <w:spacing w:line="313" w:lineRule="exact"/>
        <w:ind w:left="921" w:right="0"/>
        <w:jc w:val="left"/>
        <w:rPr>
          <w:rFonts w:ascii="Arial" w:hAnsi="Arial" w:cs="Arial" w:eastAsia="Arial" w:hint="default"/>
        </w:rPr>
      </w:pPr>
      <w:r>
        <w:rPr/>
        <w:t>其他</w:t>
        <w:tab/>
      </w:r>
      <w:r>
        <w:rPr>
          <w:rFonts w:ascii="Arial" w:hAnsi="Arial" w:cs="Arial" w:eastAsia="Arial" w:hint="default"/>
          <w:spacing w:val="-1"/>
          <w:position w:val="2"/>
        </w:rPr>
        <w:t>29,318</w:t>
        <w:tab/>
        <w:t>29,896</w:t>
        <w:tab/>
        <w:t>29,318</w:t>
      </w:r>
      <w:r>
        <w:rPr>
          <w:rFonts w:ascii="Arial" w:hAnsi="Arial" w:cs="Arial" w:eastAsia="Arial" w:hint="default"/>
        </w:rPr>
      </w:r>
    </w:p>
    <w:p>
      <w:pPr>
        <w:spacing w:line="240" w:lineRule="auto" w:before="3"/>
        <w:rPr>
          <w:rFonts w:ascii="Arial" w:hAnsi="Arial" w:cs="Arial" w:eastAsia="Arial" w:hint="default"/>
          <w:sz w:val="3"/>
          <w:szCs w:val="3"/>
        </w:rPr>
      </w:pPr>
    </w:p>
    <w:p>
      <w:pPr>
        <w:tabs>
          <w:tab w:pos="5949" w:val="left" w:leader="none"/>
          <w:tab w:pos="7700" w:val="left" w:leader="none"/>
        </w:tabs>
        <w:spacing w:line="20" w:lineRule="exact"/>
        <w:ind w:left="3946" w:right="0" w:firstLine="0"/>
        <w:rPr>
          <w:rFonts w:ascii="Arial" w:hAnsi="Arial" w:cs="Arial" w:eastAsia="Arial" w:hint="default"/>
          <w:sz w:val="2"/>
          <w:szCs w:val="2"/>
        </w:rPr>
      </w:pPr>
      <w:r>
        <w:rPr>
          <w:rFonts w:ascii="Arial"/>
          <w:sz w:val="2"/>
        </w:rPr>
        <w:pict>
          <v:group style="width:86.6pt;height:.5pt;mso-position-horizontal-relative:char;mso-position-vertical-relative:line" coordorigin="0,0" coordsize="1732,10">
            <v:group style="position:absolute;left:5;top:5;width:1722;height:2" coordorigin="5,5" coordsize="1722,2">
              <v:shape style="position:absolute;left:5;top:5;width:1722;height:2" coordorigin="5,5" coordsize="1722,0" path="m5,5l1727,5e" filled="false" stroked="true" strokeweight=".47998pt" strokecolor="#000000">
                <v:path arrowok="t"/>
              </v:shape>
            </v:group>
          </v:group>
        </w:pict>
      </w:r>
      <w:r>
        <w:rPr>
          <w:rFonts w:ascii="Arial"/>
          <w:sz w:val="2"/>
        </w:rPr>
      </w:r>
      <w:r>
        <w:rPr>
          <w:rFonts w:ascii="Arial"/>
          <w:sz w:val="2"/>
        </w:rPr>
        <w:tab/>
      </w:r>
      <w:r>
        <w:rPr>
          <w:rFonts w:ascii="Arial"/>
          <w:sz w:val="2"/>
        </w:rPr>
        <w:pict>
          <v:group style="width:72.5pt;height:.5pt;mso-position-horizontal-relative:char;mso-position-vertical-relative:line" coordorigin="0,0" coordsize="1450,10">
            <v:group style="position:absolute;left:5;top:5;width:1440;height:2" coordorigin="5,5" coordsize="1440,2">
              <v:shape style="position:absolute;left:5;top:5;width:1440;height:2" coordorigin="5,5" coordsize="1440,0" path="m5,5l1445,5e" filled="false" stroked="true" strokeweight=".47998pt" strokecolor="#000000">
                <v:path arrowok="t"/>
              </v:shape>
            </v:group>
          </v:group>
        </w:pict>
      </w:r>
      <w:r>
        <w:rPr>
          <w:rFonts w:ascii="Arial"/>
          <w:sz w:val="2"/>
        </w:rPr>
      </w:r>
      <w:r>
        <w:rPr>
          <w:rFonts w:ascii="Arial"/>
          <w:sz w:val="2"/>
        </w:rPr>
        <w:tab/>
      </w:r>
      <w:r>
        <w:rPr>
          <w:rFonts w:ascii="Arial"/>
          <w:sz w:val="2"/>
        </w:rPr>
        <w:pict>
          <v:group style="width:107.35pt;height:.25pt;mso-position-horizontal-relative:char;mso-position-vertical-relative:line" coordorigin="0,0" coordsize="2147,5">
            <v:group style="position:absolute;left:2;top:2;width:2142;height:2" coordorigin="2,2" coordsize="2142,2">
              <v:shape style="position:absolute;left:2;top:2;width:2142;height:2" coordorigin="2,2" coordsize="2142,0" path="m2,2l2144,2e" filled="false" stroked="true" strokeweight=".23999pt" strokecolor="#000000">
                <v:path arrowok="t"/>
              </v:shape>
            </v:group>
          </v:group>
        </w:pict>
      </w:r>
      <w:r>
        <w:rPr>
          <w:rFonts w:ascii="Arial"/>
          <w:sz w:val="2"/>
        </w:rPr>
      </w:r>
    </w:p>
    <w:p>
      <w:pPr>
        <w:pStyle w:val="BodyText"/>
        <w:tabs>
          <w:tab w:pos="1624" w:val="left" w:leader="none"/>
          <w:tab w:pos="4170" w:val="left" w:leader="none"/>
        </w:tabs>
        <w:spacing w:line="240" w:lineRule="auto"/>
        <w:ind w:left="0" w:right="499"/>
        <w:jc w:val="right"/>
        <w:rPr>
          <w:rFonts w:ascii="Arial" w:hAnsi="Arial" w:cs="Arial" w:eastAsia="Arial" w:hint="default"/>
        </w:rPr>
      </w:pPr>
      <w:r>
        <w:rPr>
          <w:rFonts w:ascii="Arial"/>
          <w:spacing w:val="-1"/>
        </w:rPr>
        <w:t>72,465</w:t>
        <w:tab/>
      </w:r>
      <w:r>
        <w:rPr>
          <w:rFonts w:ascii="Arial"/>
          <w:spacing w:val="-6"/>
          <w:w w:val="95"/>
        </w:rPr>
        <w:t>111,578</w:t>
        <w:tab/>
      </w:r>
      <w:r>
        <w:rPr>
          <w:rFonts w:ascii="Arial"/>
          <w:spacing w:val="-1"/>
          <w:w w:val="95"/>
        </w:rPr>
        <w:t>72,465</w:t>
      </w:r>
      <w:r>
        <w:rPr>
          <w:rFonts w:ascii="Arial"/>
        </w:rPr>
      </w:r>
    </w:p>
    <w:p>
      <w:pPr>
        <w:tabs>
          <w:tab w:pos="5939" w:val="left" w:leader="none"/>
          <w:tab w:pos="7687" w:val="left" w:leader="none"/>
        </w:tabs>
        <w:spacing w:line="30" w:lineRule="exact"/>
        <w:ind w:left="3936" w:right="0" w:firstLine="0"/>
        <w:rPr>
          <w:rFonts w:ascii="Arial" w:hAnsi="Arial" w:cs="Arial" w:eastAsia="Arial" w:hint="default"/>
          <w:sz w:val="3"/>
          <w:szCs w:val="3"/>
        </w:rPr>
      </w:pPr>
      <w:r>
        <w:rPr>
          <w:rFonts w:ascii="Arial"/>
          <w:position w:val="0"/>
          <w:sz w:val="3"/>
        </w:rPr>
        <w:pict>
          <v:group style="width:87.6pt;height:1.5pt;mso-position-horizontal-relative:char;mso-position-vertical-relative:line" coordorigin="0,0" coordsize="1752,30">
            <v:group style="position:absolute;left:15;top:15;width:1722;height:2" coordorigin="15,15" coordsize="1722,2">
              <v:shape style="position:absolute;left:15;top:15;width:1722;height:2" coordorigin="15,15" coordsize="1722,0" path="m15,15l1737,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73.5pt;height:1.5pt;mso-position-horizontal-relative:char;mso-position-vertical-relative:line" coordorigin="0,0" coordsize="1470,30">
            <v:group style="position:absolute;left:15;top:15;width:1440;height:2" coordorigin="15,15" coordsize="1440,2">
              <v:shape style="position:absolute;left:15;top:15;width:1440;height:2" coordorigin="15,15" coordsize="1440,0" path="m15,15l1455,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08.6pt;height:1.5pt;mso-position-horizontal-relative:char;mso-position-vertical-relative:line" coordorigin="0,0" coordsize="2172,30">
            <v:group style="position:absolute;left:15;top:15;width:2142;height:2" coordorigin="15,15" coordsize="2142,2">
              <v:shape style="position:absolute;left:15;top:15;width:2142;height:2" coordorigin="15,15" coordsize="2142,0" path="m15,15l2157,15e" filled="false" stroked="true" strokeweight="1.5pt" strokecolor="#000000">
                <v:path arrowok="t"/>
              </v:shape>
            </v:group>
          </v:group>
        </w:pict>
      </w:r>
      <w:r>
        <w:rPr>
          <w:rFonts w:ascii="Arial"/>
          <w:position w:val="0"/>
          <w:sz w:val="3"/>
        </w:rPr>
      </w:r>
    </w:p>
    <w:p>
      <w:pPr>
        <w:spacing w:line="240" w:lineRule="auto" w:before="9"/>
        <w:rPr>
          <w:rFonts w:ascii="Arial" w:hAnsi="Arial" w:cs="Arial" w:eastAsia="Arial" w:hint="default"/>
          <w:sz w:val="17"/>
          <w:szCs w:val="17"/>
        </w:rPr>
      </w:pPr>
    </w:p>
    <w:p>
      <w:pPr>
        <w:pStyle w:val="BodyText"/>
        <w:tabs>
          <w:tab w:pos="886" w:val="left" w:leader="none"/>
        </w:tabs>
        <w:spacing w:line="240" w:lineRule="auto" w:before="32"/>
        <w:ind w:left="178" w:right="0"/>
        <w:jc w:val="left"/>
      </w:pPr>
      <w:r>
        <w:rPr>
          <w:rFonts w:ascii="Arial" w:hAnsi="Arial" w:cs="Arial" w:eastAsia="Arial" w:hint="default"/>
          <w:w w:val="95"/>
          <w:position w:val="2"/>
        </w:rPr>
        <w:t>(a)</w:t>
        <w:tab/>
      </w:r>
      <w:r>
        <w:rPr/>
        <w:t>政府补助明细</w:t>
      </w:r>
    </w:p>
    <w:p>
      <w:pPr>
        <w:spacing w:line="240" w:lineRule="auto" w:before="12"/>
        <w:rPr>
          <w:rFonts w:ascii="宋体" w:hAnsi="宋体" w:cs="宋体" w:eastAsia="宋体" w:hint="default"/>
          <w:sz w:val="18"/>
          <w:szCs w:val="18"/>
        </w:rPr>
      </w:pPr>
    </w:p>
    <w:p>
      <w:pPr>
        <w:pStyle w:val="BodyText"/>
        <w:tabs>
          <w:tab w:pos="5257" w:val="left" w:leader="none"/>
          <w:tab w:pos="9123" w:val="left" w:leader="none"/>
        </w:tabs>
        <w:spacing w:line="240" w:lineRule="auto" w:before="26"/>
        <w:ind w:left="3294" w:right="0"/>
        <w:jc w:val="left"/>
      </w:pPr>
      <w:r>
        <w:rPr>
          <w:rFonts w:ascii="Arial" w:hAnsi="Arial" w:cs="Arial" w:eastAsia="Arial" w:hint="default"/>
        </w:rPr>
        <w:t>2010</w:t>
      </w:r>
      <w:r>
        <w:rPr>
          <w:rFonts w:ascii="Arial" w:hAnsi="Arial" w:cs="Arial" w:eastAsia="Arial" w:hint="default"/>
          <w:spacing w:val="-11"/>
        </w:rPr>
        <w:t> </w:t>
      </w:r>
      <w:r>
        <w:rPr/>
        <w:t>年度</w:t>
        <w:tab/>
      </w:r>
      <w:r>
        <w:rPr>
          <w:rFonts w:ascii="Arial" w:hAnsi="Arial" w:cs="Arial" w:eastAsia="Arial" w:hint="default"/>
        </w:rPr>
        <w:t>2009</w:t>
      </w:r>
      <w:r>
        <w:rPr>
          <w:rFonts w:ascii="Arial" w:hAnsi="Arial" w:cs="Arial" w:eastAsia="Arial" w:hint="default"/>
          <w:spacing w:val="-11"/>
        </w:rPr>
        <w:t> </w:t>
      </w:r>
      <w:r>
        <w:rPr/>
        <w:t>年度</w:t>
        <w:tab/>
        <w:t>说明</w:t>
      </w: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947" w:top="2300" w:bottom="1140" w:left="900" w:right="760"/>
        </w:sectPr>
      </w:pPr>
    </w:p>
    <w:p>
      <w:pPr>
        <w:pStyle w:val="BodyText"/>
        <w:spacing w:line="321" w:lineRule="exact" w:before="26"/>
        <w:ind w:left="886" w:right="0"/>
        <w:jc w:val="left"/>
        <w:rPr>
          <w:rFonts w:ascii="Arial" w:hAnsi="Arial" w:cs="Arial" w:eastAsia="Arial" w:hint="default"/>
        </w:rPr>
      </w:pPr>
      <w:r>
        <w:rPr/>
        <w:t>财政补贴</w:t>
      </w:r>
      <w:r>
        <w:rPr>
          <w:rFonts w:ascii="Arial" w:hAnsi="Arial" w:cs="Arial" w:eastAsia="Arial" w:hint="default"/>
        </w:rPr>
        <w:t>-</w:t>
      </w:r>
    </w:p>
    <w:p>
      <w:pPr>
        <w:pStyle w:val="BodyText"/>
        <w:tabs>
          <w:tab w:pos="3634" w:val="left" w:leader="none"/>
          <w:tab w:pos="5007" w:val="left" w:leader="none"/>
          <w:tab w:pos="5597" w:val="left" w:leader="none"/>
          <w:tab w:pos="6439" w:val="left" w:leader="none"/>
        </w:tabs>
        <w:spacing w:line="341" w:lineRule="exact"/>
        <w:ind w:left="1126" w:right="0"/>
        <w:jc w:val="left"/>
        <w:rPr>
          <w:rFonts w:ascii="Arial" w:hAnsi="Arial" w:cs="Arial" w:eastAsia="Arial" w:hint="default"/>
        </w:rPr>
      </w:pPr>
      <w:r>
        <w:rPr>
          <w:position w:val="2"/>
        </w:rPr>
        <w:t>企业发展基金</w:t>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41,982</w:t>
      </w:r>
      <w:r>
        <w:rPr>
          <w:rFonts w:ascii="Arial" w:hAnsi="Arial" w:cs="Arial" w:eastAsia="Arial" w:hint="default"/>
          <w:spacing w:val="-1"/>
        </w:rPr>
        <w:tab/>
      </w:r>
      <w:r>
        <w:rPr>
          <w:rFonts w:ascii="Arial" w:hAnsi="Arial" w:cs="Arial" w:eastAsia="Arial" w:hint="default"/>
          <w:spacing w:val="-1"/>
          <w:u w:val="thick" w:color="000000"/>
        </w:rPr>
        <w:t> </w:t>
        <w:tab/>
        <w:t>71,155</w:t>
        <w:tab/>
      </w:r>
      <w:r>
        <w:rPr>
          <w:rFonts w:ascii="Arial" w:hAnsi="Arial" w:cs="Arial" w:eastAsia="Arial" w:hint="default"/>
          <w:spacing w:val="-1"/>
        </w:rPr>
      </w:r>
    </w:p>
    <w:p>
      <w:pPr>
        <w:pStyle w:val="BodyText"/>
        <w:spacing w:line="312" w:lineRule="exact" w:before="56"/>
        <w:ind w:left="964" w:right="621" w:hanging="240"/>
        <w:jc w:val="left"/>
      </w:pPr>
      <w:r>
        <w:rPr/>
        <w:br w:type="column"/>
      </w:r>
      <w:r>
        <w:rPr/>
        <w:t>各子公司当地财政部门 给予的企业发展补助</w:t>
      </w:r>
    </w:p>
    <w:p>
      <w:pPr>
        <w:spacing w:after="0" w:line="312" w:lineRule="exact"/>
        <w:jc w:val="left"/>
        <w:sectPr>
          <w:type w:val="continuous"/>
          <w:pgSz w:w="11910" w:h="16840"/>
          <w:pgMar w:top="920" w:bottom="900" w:left="900" w:right="760"/>
          <w:cols w:num="2" w:equalWidth="0">
            <w:col w:w="6440" w:space="40"/>
            <w:col w:w="3770"/>
          </w:cols>
        </w:sectPr>
      </w:pP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920" w:bottom="900" w:left="900" w:right="760"/>
        </w:sectPr>
      </w:pPr>
    </w:p>
    <w:p>
      <w:pPr>
        <w:pStyle w:val="Heading2"/>
        <w:spacing w:line="296" w:lineRule="exact"/>
        <w:ind w:left="834" w:right="0"/>
        <w:jc w:val="left"/>
        <w:rPr>
          <w:b w:val="0"/>
          <w:bCs w:val="0"/>
        </w:rPr>
      </w:pPr>
      <w:r>
        <w:rPr>
          <w:w w:val="95"/>
        </w:rPr>
        <w:t>营业外支出</w:t>
      </w:r>
      <w:r>
        <w:rPr>
          <w:b w:val="0"/>
          <w:bCs w:val="0"/>
        </w:rPr>
      </w:r>
    </w:p>
    <w:p>
      <w:pPr>
        <w:pStyle w:val="BodyText"/>
        <w:spacing w:line="258" w:lineRule="exact"/>
        <w:ind w:left="114" w:right="0"/>
        <w:jc w:val="left"/>
        <w:rPr>
          <w:rFonts w:ascii="Arial" w:hAnsi="Arial" w:cs="Arial" w:eastAsia="Arial" w:hint="default"/>
        </w:rPr>
      </w:pPr>
      <w:r>
        <w:rPr>
          <w:rFonts w:ascii="Arial"/>
        </w:rPr>
        <w:t>(44)</w:t>
      </w:r>
    </w:p>
    <w:p>
      <w:pPr>
        <w:spacing w:line="240" w:lineRule="auto" w:before="0"/>
        <w:rPr>
          <w:rFonts w:ascii="Arial" w:hAnsi="Arial" w:cs="Arial" w:eastAsia="Arial" w:hint="default"/>
          <w:sz w:val="24"/>
          <w:szCs w:val="24"/>
        </w:rPr>
      </w:pPr>
      <w:r>
        <w:rPr/>
        <w:br w:type="column"/>
      </w:r>
      <w:r>
        <w:rPr>
          <w:rFonts w:ascii="Arial"/>
          <w:sz w:val="24"/>
        </w:rPr>
      </w:r>
    </w:p>
    <w:p>
      <w:pPr>
        <w:spacing w:line="240" w:lineRule="auto" w:before="0"/>
        <w:rPr>
          <w:rFonts w:ascii="Arial" w:hAnsi="Arial" w:cs="Arial" w:eastAsia="Arial" w:hint="default"/>
          <w:sz w:val="24"/>
          <w:szCs w:val="24"/>
        </w:rPr>
      </w:pPr>
    </w:p>
    <w:p>
      <w:pPr>
        <w:spacing w:line="240" w:lineRule="auto" w:before="3"/>
        <w:rPr>
          <w:rFonts w:ascii="Arial" w:hAnsi="Arial" w:cs="Arial" w:eastAsia="Arial" w:hint="default"/>
          <w:sz w:val="23"/>
          <w:szCs w:val="23"/>
        </w:rPr>
      </w:pPr>
    </w:p>
    <w:p>
      <w:pPr>
        <w:pStyle w:val="BodyText"/>
        <w:tabs>
          <w:tab w:pos="1957" w:val="left" w:leader="none"/>
        </w:tabs>
        <w:spacing w:line="240" w:lineRule="auto"/>
        <w:ind w:left="114" w:right="-17"/>
        <w:jc w:val="left"/>
      </w:pPr>
      <w:r>
        <w:rPr>
          <w:rFonts w:ascii="Arial" w:hAnsi="Arial" w:cs="Arial" w:eastAsia="Arial" w:hint="default"/>
        </w:rPr>
        <w:t>2010</w:t>
      </w:r>
      <w:r>
        <w:rPr>
          <w:rFonts w:ascii="Arial" w:hAnsi="Arial" w:cs="Arial" w:eastAsia="Arial" w:hint="default"/>
          <w:spacing w:val="-11"/>
        </w:rPr>
        <w:t> </w:t>
      </w:r>
      <w:r>
        <w:rPr/>
        <w:t>年度</w:t>
        <w:tab/>
      </w:r>
      <w:r>
        <w:rPr>
          <w:rFonts w:ascii="Arial" w:hAnsi="Arial" w:cs="Arial" w:eastAsia="Arial" w:hint="default"/>
        </w:rPr>
        <w:t>2009</w:t>
      </w:r>
      <w:r>
        <w:rPr>
          <w:rFonts w:ascii="Arial" w:hAnsi="Arial" w:cs="Arial" w:eastAsia="Arial" w:hint="default"/>
          <w:spacing w:val="-11"/>
        </w:rPr>
        <w:t> </w:t>
      </w:r>
      <w:r>
        <w:rPr/>
        <w:t>年度</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1"/>
        <w:rPr>
          <w:rFonts w:ascii="宋体" w:hAnsi="宋体" w:cs="宋体" w:eastAsia="宋体" w:hint="default"/>
          <w:sz w:val="19"/>
          <w:szCs w:val="19"/>
        </w:rPr>
      </w:pPr>
    </w:p>
    <w:p>
      <w:pPr>
        <w:pStyle w:val="BodyText"/>
        <w:spacing w:line="312" w:lineRule="exact"/>
        <w:ind w:left="113" w:right="589" w:firstLine="66"/>
        <w:jc w:val="left"/>
      </w:pPr>
      <w:r>
        <w:rPr/>
        <w:t>计入</w:t>
      </w:r>
      <w:r>
        <w:rPr>
          <w:spacing w:val="-62"/>
        </w:rPr>
        <w:t> </w:t>
      </w:r>
      <w:r>
        <w:rPr>
          <w:rFonts w:ascii="Arial" w:hAnsi="Arial" w:cs="Arial" w:eastAsia="Arial" w:hint="default"/>
        </w:rPr>
        <w:t>2010</w:t>
      </w:r>
      <w:r>
        <w:rPr>
          <w:rFonts w:ascii="Arial" w:hAnsi="Arial" w:cs="Arial" w:eastAsia="Arial" w:hint="default"/>
          <w:spacing w:val="-8"/>
        </w:rPr>
        <w:t> </w:t>
      </w:r>
      <w:r>
        <w:rPr/>
        <w:t>年度非 经常性损益的金额</w:t>
      </w:r>
    </w:p>
    <w:p>
      <w:pPr>
        <w:spacing w:after="0" w:line="312" w:lineRule="exact"/>
        <w:jc w:val="left"/>
        <w:sectPr>
          <w:type w:val="continuous"/>
          <w:pgSz w:w="11910" w:h="16840"/>
          <w:pgMar w:top="920" w:bottom="900" w:left="900" w:right="760"/>
          <w:cols w:num="3" w:equalWidth="0">
            <w:col w:w="2036" w:space="2060"/>
            <w:col w:w="3031" w:space="476"/>
            <w:col w:w="2647"/>
          </w:cols>
        </w:sectPr>
      </w:pPr>
    </w:p>
    <w:p>
      <w:pPr>
        <w:spacing w:line="240" w:lineRule="auto" w:before="4"/>
        <w:rPr>
          <w:rFonts w:ascii="宋体" w:hAnsi="宋体" w:cs="宋体" w:eastAsia="宋体" w:hint="default"/>
          <w:sz w:val="16"/>
          <w:szCs w:val="16"/>
        </w:rPr>
      </w:pPr>
    </w:p>
    <w:p>
      <w:pPr>
        <w:pStyle w:val="BodyText"/>
        <w:tabs>
          <w:tab w:pos="4683" w:val="left" w:leader="none"/>
          <w:tab w:pos="6727" w:val="left" w:leader="none"/>
          <w:tab w:pos="9035" w:val="left" w:leader="none"/>
        </w:tabs>
        <w:spacing w:line="336" w:lineRule="exact" w:before="30"/>
        <w:ind w:left="868" w:right="0"/>
        <w:jc w:val="left"/>
        <w:rPr>
          <w:rFonts w:ascii="Arial" w:hAnsi="Arial" w:cs="Arial" w:eastAsia="Arial" w:hint="default"/>
        </w:rPr>
      </w:pPr>
      <w:r>
        <w:rPr>
          <w:position w:val="2"/>
        </w:rPr>
        <w:t>非流动资产处置损失</w:t>
        <w:tab/>
      </w:r>
      <w:r>
        <w:rPr>
          <w:rFonts w:ascii="Arial" w:hAnsi="Arial" w:cs="Arial" w:eastAsia="Arial" w:hint="default"/>
          <w:spacing w:val="-1"/>
          <w:position w:val="4"/>
        </w:rPr>
        <w:t>4,882</w:t>
        <w:tab/>
      </w:r>
      <w:r>
        <w:rPr>
          <w:rFonts w:ascii="Arial" w:hAnsi="Arial" w:cs="Arial" w:eastAsia="Arial" w:hint="default"/>
          <w:spacing w:val="-1"/>
        </w:rPr>
        <w:t>881</w:t>
        <w:tab/>
      </w:r>
      <w:r>
        <w:rPr>
          <w:rFonts w:ascii="Arial" w:hAnsi="Arial" w:cs="Arial" w:eastAsia="Arial" w:hint="default"/>
          <w:spacing w:val="-1"/>
          <w:position w:val="4"/>
        </w:rPr>
        <w:t>4,882</w:t>
      </w:r>
      <w:r>
        <w:rPr>
          <w:rFonts w:ascii="Arial" w:hAnsi="Arial" w:cs="Arial" w:eastAsia="Arial" w:hint="default"/>
        </w:rPr>
      </w:r>
    </w:p>
    <w:p>
      <w:pPr>
        <w:pStyle w:val="BodyText"/>
        <w:tabs>
          <w:tab w:pos="4683" w:val="left" w:leader="none"/>
          <w:tab w:pos="6727" w:val="left" w:leader="none"/>
          <w:tab w:pos="9035" w:val="left" w:leader="none"/>
        </w:tabs>
        <w:spacing w:line="324" w:lineRule="exact"/>
        <w:ind w:left="868" w:right="0"/>
        <w:jc w:val="left"/>
        <w:rPr>
          <w:rFonts w:ascii="Arial" w:hAnsi="Arial" w:cs="Arial" w:eastAsia="Arial" w:hint="default"/>
        </w:rPr>
      </w:pPr>
      <w:r>
        <w:rPr/>
        <w:pict>
          <v:group style="position:absolute;margin-left:80.699997pt;margin-top:.596628pt;width:451.9pt;height:16.9pt;mso-position-horizontal-relative:page;mso-position-vertical-relative:paragraph;z-index:-1002520" coordorigin="1614,12" coordsize="9038,338">
            <v:group style="position:absolute;left:1619;top:22;width:9028;height:2" coordorigin="1619,22" coordsize="9028,2">
              <v:shape style="position:absolute;left:1619;top:22;width:9028;height:2" coordorigin="1619,22" coordsize="9028,0" path="m1619,22l10646,22e" filled="false" stroked="true" strokeweight=".48001pt" strokecolor="#000000">
                <v:path arrowok="t"/>
              </v:shape>
            </v:group>
            <v:group style="position:absolute;left:1626;top:26;width:2;height:314" coordorigin="1626,26" coordsize="2,314">
              <v:shape style="position:absolute;left:1626;top:26;width:2;height:314" coordorigin="1626,26" coordsize="0,314" path="m1626,26l1626,340e" filled="false" stroked="true" strokeweight=".48pt" strokecolor="#000000">
                <v:path arrowok="t"/>
              </v:shape>
            </v:group>
            <v:group style="position:absolute;left:10644;top:17;width:2;height:323" coordorigin="10644,17" coordsize="2,323">
              <v:shape style="position:absolute;left:10644;top:17;width:2;height:323" coordorigin="10644,17" coordsize="0,323" path="m10644,17l10644,340e" filled="false" stroked="true" strokeweight=".47998pt" strokecolor="#000000">
                <v:path arrowok="t"/>
              </v:shape>
            </v:group>
            <v:group style="position:absolute;left:1619;top:342;width:3107;height:2" coordorigin="1619,342" coordsize="3107,2">
              <v:shape style="position:absolute;left:1619;top:342;width:3107;height:2" coordorigin="1619,342" coordsize="3107,0" path="m1619,342l4726,342e" filled="false" stroked="true" strokeweight=".23999pt" strokecolor="#000000">
                <v:path arrowok="t"/>
              </v:shape>
            </v:group>
            <v:group style="position:absolute;left:4726;top:344;width:5912;height:2" coordorigin="4726,344" coordsize="5912,2">
              <v:shape style="position:absolute;left:4726;top:344;width:5912;height:2" coordorigin="4726,344" coordsize="5912,0" path="m4726,344l10637,344e" filled="false" stroked="true" strokeweight=".48001pt" strokecolor="#000000">
                <v:path arrowok="t"/>
              </v:shape>
            </v:group>
            <w10:wrap type="none"/>
          </v:group>
        </w:pict>
      </w:r>
      <w:r>
        <w:rPr>
          <w:position w:val="2"/>
        </w:rPr>
        <w:t>其中：固定资产处置损失</w:t>
        <w:tab/>
      </w:r>
      <w:r>
        <w:rPr>
          <w:rFonts w:ascii="Arial" w:hAnsi="Arial" w:cs="Arial" w:eastAsia="Arial" w:hint="default"/>
          <w:spacing w:val="-1"/>
          <w:position w:val="4"/>
        </w:rPr>
        <w:t>4,882</w:t>
        <w:tab/>
      </w:r>
      <w:r>
        <w:rPr>
          <w:rFonts w:ascii="Arial" w:hAnsi="Arial" w:cs="Arial" w:eastAsia="Arial" w:hint="default"/>
          <w:spacing w:val="-1"/>
        </w:rPr>
        <w:t>881</w:t>
        <w:tab/>
      </w:r>
      <w:r>
        <w:rPr>
          <w:rFonts w:ascii="Arial" w:hAnsi="Arial" w:cs="Arial" w:eastAsia="Arial" w:hint="default"/>
          <w:spacing w:val="-1"/>
          <w:position w:val="4"/>
        </w:rPr>
        <w:t>4,882</w:t>
      </w:r>
      <w:r>
        <w:rPr>
          <w:rFonts w:ascii="Arial" w:hAnsi="Arial" w:cs="Arial" w:eastAsia="Arial" w:hint="default"/>
        </w:rPr>
      </w:r>
    </w:p>
    <w:p>
      <w:pPr>
        <w:pStyle w:val="BodyText"/>
        <w:tabs>
          <w:tab w:pos="4550" w:val="left" w:leader="none"/>
          <w:tab w:pos="6393" w:val="left" w:leader="none"/>
          <w:tab w:pos="8902" w:val="left" w:leader="none"/>
        </w:tabs>
        <w:spacing w:line="319" w:lineRule="exact"/>
        <w:ind w:left="954" w:right="0"/>
        <w:jc w:val="left"/>
        <w:rPr>
          <w:rFonts w:ascii="Arial" w:hAnsi="Arial" w:cs="Arial" w:eastAsia="Arial" w:hint="default"/>
        </w:rPr>
      </w:pPr>
      <w:r>
        <w:rPr>
          <w:position w:val="-1"/>
        </w:rPr>
        <w:t>对外捐赠</w:t>
        <w:tab/>
      </w:r>
      <w:r>
        <w:rPr>
          <w:rFonts w:ascii="Arial" w:hAnsi="Arial" w:cs="Arial" w:eastAsia="Arial" w:hint="default"/>
          <w:spacing w:val="-1"/>
        </w:rPr>
        <w:t>41,683</w:t>
        <w:tab/>
      </w:r>
      <w:r>
        <w:rPr>
          <w:rFonts w:ascii="Arial" w:hAnsi="Arial" w:cs="Arial" w:eastAsia="Arial" w:hint="default"/>
          <w:spacing w:val="-1"/>
          <w:position w:val="-3"/>
        </w:rPr>
        <w:t>14,724</w:t>
        <w:tab/>
      </w:r>
      <w:r>
        <w:rPr>
          <w:rFonts w:ascii="Arial" w:hAnsi="Arial" w:cs="Arial" w:eastAsia="Arial" w:hint="default"/>
          <w:spacing w:val="-1"/>
        </w:rPr>
        <w:t>41,683</w:t>
      </w:r>
      <w:r>
        <w:rPr>
          <w:rFonts w:ascii="Arial" w:hAnsi="Arial" w:cs="Arial" w:eastAsia="Arial" w:hint="default"/>
        </w:rPr>
      </w:r>
    </w:p>
    <w:p>
      <w:pPr>
        <w:pStyle w:val="BodyText"/>
        <w:tabs>
          <w:tab w:pos="4550" w:val="left" w:leader="none"/>
          <w:tab w:pos="6526" w:val="left" w:leader="none"/>
          <w:tab w:pos="8902" w:val="left" w:leader="none"/>
        </w:tabs>
        <w:spacing w:line="312" w:lineRule="exact"/>
        <w:ind w:left="868" w:right="0"/>
        <w:jc w:val="left"/>
        <w:rPr>
          <w:rFonts w:ascii="Arial" w:hAnsi="Arial" w:cs="Arial" w:eastAsia="Arial" w:hint="default"/>
        </w:rPr>
      </w:pPr>
      <w:r>
        <w:rPr>
          <w:position w:val="-1"/>
        </w:rPr>
        <w:t>罚款支出</w:t>
        <w:tab/>
      </w:r>
      <w:r>
        <w:rPr>
          <w:rFonts w:ascii="Arial" w:hAnsi="Arial" w:cs="Arial" w:eastAsia="Arial" w:hint="default"/>
          <w:spacing w:val="-1"/>
        </w:rPr>
        <w:t>13,249</w:t>
        <w:tab/>
      </w:r>
      <w:r>
        <w:rPr>
          <w:rFonts w:ascii="Arial" w:hAnsi="Arial" w:cs="Arial" w:eastAsia="Arial" w:hint="default"/>
          <w:spacing w:val="-1"/>
          <w:position w:val="-3"/>
        </w:rPr>
        <w:t>8,628</w:t>
        <w:tab/>
      </w:r>
      <w:r>
        <w:rPr>
          <w:rFonts w:ascii="Arial" w:hAnsi="Arial" w:cs="Arial" w:eastAsia="Arial" w:hint="default"/>
          <w:spacing w:val="-1"/>
        </w:rPr>
        <w:t>13,249</w:t>
      </w:r>
      <w:r>
        <w:rPr>
          <w:rFonts w:ascii="Arial" w:hAnsi="Arial" w:cs="Arial" w:eastAsia="Arial" w:hint="default"/>
        </w:rPr>
      </w:r>
    </w:p>
    <w:p>
      <w:pPr>
        <w:pStyle w:val="BodyText"/>
        <w:tabs>
          <w:tab w:pos="4550" w:val="left" w:leader="none"/>
          <w:tab w:pos="6393" w:val="left" w:leader="none"/>
          <w:tab w:pos="8902" w:val="left" w:leader="none"/>
        </w:tabs>
        <w:spacing w:line="332" w:lineRule="exact"/>
        <w:ind w:left="868" w:right="0"/>
        <w:jc w:val="left"/>
        <w:rPr>
          <w:rFonts w:ascii="Arial" w:hAnsi="Arial" w:cs="Arial" w:eastAsia="Arial" w:hint="default"/>
        </w:rPr>
      </w:pPr>
      <w:r>
        <w:rPr>
          <w:position w:val="-1"/>
        </w:rPr>
        <w:t>其他</w:t>
        <w:tab/>
      </w:r>
      <w:r>
        <w:rPr>
          <w:rFonts w:ascii="Arial" w:hAnsi="Arial" w:cs="Arial" w:eastAsia="Arial" w:hint="default"/>
          <w:spacing w:val="-1"/>
        </w:rPr>
        <w:t>42,555</w:t>
        <w:tab/>
      </w:r>
      <w:r>
        <w:rPr>
          <w:rFonts w:ascii="Arial" w:hAnsi="Arial" w:cs="Arial" w:eastAsia="Arial" w:hint="default"/>
          <w:spacing w:val="-1"/>
          <w:position w:val="-3"/>
        </w:rPr>
        <w:t>36,010</w:t>
        <w:tab/>
      </w:r>
      <w:r>
        <w:rPr>
          <w:rFonts w:ascii="Arial" w:hAnsi="Arial" w:cs="Arial" w:eastAsia="Arial" w:hint="default"/>
          <w:spacing w:val="-1"/>
        </w:rPr>
        <w:t>42,555</w:t>
      </w:r>
      <w:r>
        <w:rPr>
          <w:rFonts w:ascii="Arial" w:hAnsi="Arial" w:cs="Arial" w:eastAsia="Arial" w:hint="default"/>
        </w:rPr>
      </w:r>
    </w:p>
    <w:p>
      <w:pPr>
        <w:tabs>
          <w:tab w:pos="5664" w:val="left" w:leader="none"/>
          <w:tab w:pos="7507" w:val="left" w:leader="none"/>
        </w:tabs>
        <w:spacing w:line="20" w:lineRule="exact"/>
        <w:ind w:left="3820" w:right="0" w:firstLine="0"/>
        <w:rPr>
          <w:rFonts w:ascii="Arial" w:hAnsi="Arial" w:cs="Arial" w:eastAsia="Arial" w:hint="default"/>
          <w:sz w:val="2"/>
          <w:szCs w:val="2"/>
        </w:rPr>
      </w:pPr>
      <w:r>
        <w:rPr>
          <w:rFonts w:ascii="Arial"/>
          <w:sz w:val="2"/>
        </w:rPr>
        <w:pict>
          <v:group style="width:78.45pt;height:.5pt;mso-position-horizontal-relative:char;mso-position-vertical-relative:line" coordorigin="0,0" coordsize="1569,10">
            <v:group style="position:absolute;left:5;top:5;width:1559;height:2" coordorigin="5,5" coordsize="1559,2">
              <v:shape style="position:absolute;left:5;top:5;width:1559;height:2" coordorigin="5,5" coordsize="1559,0" path="m5,5l1564,5e" filled="false" stroked="true" strokeweight=".48pt" strokecolor="#000000">
                <v:path arrowok="t"/>
              </v:shape>
            </v:group>
          </v:group>
        </w:pict>
      </w:r>
      <w:r>
        <w:rPr>
          <w:rFonts w:ascii="Arial"/>
          <w:sz w:val="2"/>
        </w:rPr>
      </w:r>
      <w:r>
        <w:rPr>
          <w:rFonts w:ascii="Arial"/>
          <w:sz w:val="2"/>
        </w:rPr>
        <w:tab/>
      </w:r>
      <w:r>
        <w:rPr>
          <w:rFonts w:ascii="Arial"/>
          <w:sz w:val="2"/>
        </w:rPr>
        <w:pict>
          <v:group style="width:78.45pt;height:.5pt;mso-position-horizontal-relative:char;mso-position-vertical-relative:line" coordorigin="0,0" coordsize="1569,10">
            <v:group style="position:absolute;left:5;top:5;width:1559;height:2" coordorigin="5,5" coordsize="1559,2">
              <v:shape style="position:absolute;left:5;top:5;width:1559;height:2" coordorigin="5,5" coordsize="1559,0" path="m5,5l1564,5e" filled="false" stroked="true" strokeweight=".48pt" strokecolor="#000000">
                <v:path arrowok="t"/>
              </v:shape>
            </v:group>
          </v:group>
        </w:pict>
      </w:r>
      <w:r>
        <w:rPr>
          <w:rFonts w:ascii="Arial"/>
          <w:sz w:val="2"/>
        </w:rPr>
      </w:r>
      <w:r>
        <w:rPr>
          <w:rFonts w:ascii="Arial"/>
          <w:sz w:val="2"/>
        </w:rPr>
        <w:tab/>
      </w:r>
      <w:r>
        <w:rPr>
          <w:rFonts w:ascii="Arial"/>
          <w:sz w:val="2"/>
        </w:rPr>
        <w:pict>
          <v:group style="width:111.75pt;height:.5pt;mso-position-horizontal-relative:char;mso-position-vertical-relative:line" coordorigin="0,0" coordsize="2235,10">
            <v:group style="position:absolute;left:5;top:5;width:2225;height:2" coordorigin="5,5" coordsize="2225,2">
              <v:shape style="position:absolute;left:5;top:5;width:2225;height:2" coordorigin="5,5" coordsize="2225,0" path="m5,5l2230,5e" filled="false" stroked="true" strokeweight=".48pt" strokecolor="#000000">
                <v:path arrowok="t"/>
              </v:shape>
            </v:group>
          </v:group>
        </w:pict>
      </w:r>
      <w:r>
        <w:rPr>
          <w:rFonts w:ascii="Arial"/>
          <w:sz w:val="2"/>
        </w:rPr>
      </w:r>
    </w:p>
    <w:p>
      <w:pPr>
        <w:pStyle w:val="BodyText"/>
        <w:tabs>
          <w:tab w:pos="6393" w:val="left" w:leader="none"/>
          <w:tab w:pos="8768" w:val="left" w:leader="none"/>
        </w:tabs>
        <w:spacing w:line="240" w:lineRule="auto"/>
        <w:ind w:left="4417" w:right="0"/>
        <w:jc w:val="left"/>
        <w:rPr>
          <w:rFonts w:ascii="Arial" w:hAnsi="Arial" w:cs="Arial" w:eastAsia="Arial" w:hint="default"/>
        </w:rPr>
      </w:pPr>
      <w:r>
        <w:rPr>
          <w:rFonts w:ascii="Arial"/>
          <w:spacing w:val="-1"/>
        </w:rPr>
        <w:t>102,369</w:t>
        <w:tab/>
        <w:t>60,243</w:t>
        <w:tab/>
        <w:t>102,369</w:t>
      </w:r>
      <w:r>
        <w:rPr>
          <w:rFonts w:ascii="Arial"/>
        </w:rPr>
      </w:r>
    </w:p>
    <w:p>
      <w:pPr>
        <w:tabs>
          <w:tab w:pos="5668" w:val="left" w:leader="none"/>
          <w:tab w:pos="7511" w:val="left" w:leader="none"/>
        </w:tabs>
        <w:spacing w:line="30" w:lineRule="exact"/>
        <w:ind w:left="3825" w:right="0" w:firstLine="0"/>
        <w:rPr>
          <w:rFonts w:ascii="Arial" w:hAnsi="Arial" w:cs="Arial" w:eastAsia="Arial" w:hint="default"/>
          <w:sz w:val="3"/>
          <w:szCs w:val="3"/>
        </w:rPr>
      </w:pPr>
      <w:r>
        <w:rPr>
          <w:rFonts w:ascii="Arial"/>
          <w:position w:val="0"/>
          <w:sz w:val="3"/>
        </w:rPr>
        <w:pict>
          <v:group style="width:78.75pt;height:1.5pt;mso-position-horizontal-relative:char;mso-position-vertical-relative:line" coordorigin="0,0" coordsize="1575,30">
            <v:group style="position:absolute;left:15;top:15;width:1545;height:2" coordorigin="15,15" coordsize="1545,2">
              <v:shape style="position:absolute;left:15;top:15;width:1545;height:2" coordorigin="15,15" coordsize="1545,0" path="m15,15l1559,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78.75pt;height:1.5pt;mso-position-horizontal-relative:char;mso-position-vertical-relative:line" coordorigin="0,0" coordsize="1575,30">
            <v:group style="position:absolute;left:15;top:15;width:1545;height:2" coordorigin="15,15" coordsize="1545,2">
              <v:shape style="position:absolute;left:15;top:15;width:1545;height:2" coordorigin="15,15" coordsize="1545,0" path="m15,15l1559,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12.05pt;height:1.5pt;mso-position-horizontal-relative:char;mso-position-vertical-relative:line" coordorigin="0,0" coordsize="2241,30">
            <v:group style="position:absolute;left:15;top:15;width:2211;height:2" coordorigin="15,15" coordsize="2211,2">
              <v:shape style="position:absolute;left:15;top:15;width:2211;height:2" coordorigin="15,15" coordsize="2211,0" path="m15,15l2225,15e" filled="false" stroked="true" strokeweight="1.5pt" strokecolor="#000000">
                <v:path arrowok="t"/>
              </v:shape>
            </v:group>
          </v:group>
        </w:pict>
      </w:r>
      <w:r>
        <w:rPr>
          <w:rFonts w:ascii="Arial"/>
          <w:position w:val="0"/>
          <w:sz w:val="3"/>
        </w:rPr>
      </w:r>
    </w:p>
    <w:p>
      <w:pPr>
        <w:spacing w:line="240" w:lineRule="auto" w:before="9"/>
        <w:rPr>
          <w:rFonts w:ascii="Arial" w:hAnsi="Arial" w:cs="Arial" w:eastAsia="Arial" w:hint="default"/>
          <w:sz w:val="14"/>
          <w:szCs w:val="14"/>
        </w:rPr>
      </w:pPr>
    </w:p>
    <w:p>
      <w:pPr>
        <w:tabs>
          <w:tab w:pos="887" w:val="left" w:leader="none"/>
        </w:tabs>
        <w:spacing w:before="32"/>
        <w:ind w:left="174"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(45)</w:t>
        <w:tab/>
      </w:r>
      <w:r>
        <w:rPr>
          <w:rFonts w:ascii="宋体" w:hAnsi="宋体" w:cs="宋体" w:eastAsia="宋体" w:hint="default"/>
          <w:b/>
          <w:bCs/>
          <w:sz w:val="24"/>
          <w:szCs w:val="24"/>
        </w:rPr>
        <w:t>所得税费用</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pStyle w:val="BodyText"/>
        <w:tabs>
          <w:tab w:pos="8954" w:val="left" w:leader="none"/>
        </w:tabs>
        <w:spacing w:line="240" w:lineRule="auto" w:before="26"/>
        <w:ind w:left="6472" w:right="0"/>
        <w:jc w:val="left"/>
      </w:pPr>
      <w:r>
        <w:rPr>
          <w:rFonts w:ascii="Arial" w:hAnsi="Arial" w:cs="Arial" w:eastAsia="Arial" w:hint="default"/>
        </w:rPr>
        <w:t>2010</w:t>
      </w:r>
      <w:r>
        <w:rPr>
          <w:rFonts w:ascii="Arial" w:hAnsi="Arial" w:cs="Arial" w:eastAsia="Arial" w:hint="default"/>
          <w:spacing w:val="-11"/>
        </w:rPr>
        <w:t> </w:t>
      </w:r>
      <w:r>
        <w:rPr/>
        <w:t>年度</w:t>
        <w:tab/>
      </w:r>
      <w:r>
        <w:rPr>
          <w:rFonts w:ascii="Arial" w:hAnsi="Arial" w:cs="Arial" w:eastAsia="Arial" w:hint="default"/>
        </w:rPr>
        <w:t>2009</w:t>
      </w:r>
      <w:r>
        <w:rPr>
          <w:rFonts w:ascii="Arial" w:hAnsi="Arial" w:cs="Arial" w:eastAsia="Arial" w:hint="default"/>
          <w:spacing w:val="-11"/>
        </w:rPr>
        <w:t> </w:t>
      </w:r>
      <w:r>
        <w:rPr/>
        <w:t>年度</w:t>
      </w:r>
    </w:p>
    <w:p>
      <w:pPr>
        <w:spacing w:line="240" w:lineRule="auto" w:before="6"/>
        <w:rPr>
          <w:rFonts w:ascii="宋体" w:hAnsi="宋体" w:cs="宋体" w:eastAsia="宋体" w:hint="default"/>
          <w:sz w:val="19"/>
          <w:szCs w:val="19"/>
        </w:rPr>
      </w:pPr>
    </w:p>
    <w:p>
      <w:pPr>
        <w:pStyle w:val="BodyText"/>
        <w:tabs>
          <w:tab w:pos="6478" w:val="left" w:leader="none"/>
          <w:tab w:pos="8959" w:val="left" w:leader="none"/>
        </w:tabs>
        <w:spacing w:line="332" w:lineRule="exact"/>
        <w:ind w:left="888" w:right="0"/>
        <w:jc w:val="left"/>
        <w:rPr>
          <w:rFonts w:ascii="Arial" w:hAnsi="Arial" w:cs="Arial" w:eastAsia="Arial" w:hint="default"/>
        </w:rPr>
      </w:pPr>
      <w:r>
        <w:rPr>
          <w:position w:val="2"/>
        </w:rPr>
        <w:t>按税法及相关规定计算的当期所得税</w:t>
        <w:tab/>
      </w:r>
      <w:r>
        <w:rPr>
          <w:rFonts w:ascii="Arial" w:hAnsi="Arial" w:cs="Arial" w:eastAsia="Arial" w:hint="default"/>
          <w:spacing w:val="-1"/>
        </w:rPr>
        <w:t>1,327,182</w:t>
        <w:tab/>
        <w:t>1,026,791</w:t>
      </w:r>
      <w:r>
        <w:rPr>
          <w:rFonts w:ascii="Arial" w:hAnsi="Arial" w:cs="Arial" w:eastAsia="Arial" w:hint="default"/>
        </w:rPr>
      </w:r>
    </w:p>
    <w:p>
      <w:pPr>
        <w:pStyle w:val="BodyText"/>
        <w:tabs>
          <w:tab w:pos="5805" w:val="left" w:leader="none"/>
          <w:tab w:pos="6733" w:val="left" w:leader="none"/>
          <w:tab w:pos="8215" w:val="left" w:leader="none"/>
          <w:tab w:pos="9214" w:val="left" w:leader="none"/>
        </w:tabs>
        <w:spacing w:line="332" w:lineRule="exact"/>
        <w:ind w:left="888" w:right="0"/>
        <w:jc w:val="left"/>
        <w:rPr>
          <w:rFonts w:ascii="Arial" w:hAnsi="Arial" w:cs="Arial" w:eastAsia="Arial" w:hint="default"/>
        </w:rPr>
      </w:pPr>
      <w:r>
        <w:rPr>
          <w:position w:val="2"/>
        </w:rPr>
        <w:t>递延所得税</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(30,646)</w:t>
      </w:r>
      <w:r>
        <w:rPr>
          <w:rFonts w:ascii="Arial" w:hAnsi="Arial" w:cs="Arial" w:eastAsia="Arial" w:hint="default"/>
          <w:spacing w:val="-1"/>
        </w:rPr>
        <w:tab/>
      </w:r>
      <w:r>
        <w:rPr>
          <w:rFonts w:ascii="Arial" w:hAnsi="Arial" w:cs="Arial" w:eastAsia="Arial" w:hint="default"/>
          <w:spacing w:val="-1"/>
          <w:u w:val="single" w:color="000000"/>
        </w:rPr>
        <w:t> </w:t>
        <w:tab/>
        <w:t>(88,919)</w:t>
      </w:r>
      <w:r>
        <w:rPr>
          <w:rFonts w:ascii="Arial" w:hAnsi="Arial" w:cs="Arial" w:eastAsia="Arial" w:hint="default"/>
          <w:spacing w:val="-1"/>
        </w:rPr>
      </w:r>
      <w:r>
        <w:rPr>
          <w:rFonts w:ascii="Arial" w:hAnsi="Arial" w:cs="Arial" w:eastAsia="Arial" w:hint="default"/>
        </w:rPr>
      </w:r>
    </w:p>
    <w:p>
      <w:pPr>
        <w:pStyle w:val="BodyText"/>
        <w:tabs>
          <w:tab w:pos="6478" w:val="left" w:leader="none"/>
          <w:tab w:pos="8207" w:val="left" w:leader="none"/>
          <w:tab w:pos="9160" w:val="left" w:leader="none"/>
          <w:tab w:pos="10136" w:val="left" w:leader="none"/>
        </w:tabs>
        <w:spacing w:line="240" w:lineRule="auto" w:before="9"/>
        <w:ind w:left="5798" w:right="0"/>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1,296,536</w:t>
      </w:r>
      <w:r>
        <w:rPr>
          <w:rFonts w:ascii="Arial"/>
          <w:spacing w:val="-1"/>
        </w:rPr>
        <w:tab/>
      </w:r>
      <w:r>
        <w:rPr>
          <w:rFonts w:ascii="Arial"/>
          <w:spacing w:val="-1"/>
          <w:u w:val="thick" w:color="000000"/>
        </w:rPr>
        <w:t> </w:t>
        <w:tab/>
        <w:t>937,872</w:t>
        <w:tab/>
      </w:r>
      <w:r>
        <w:rPr>
          <w:rFonts w:ascii="Arial"/>
          <w:spacing w:val="-1"/>
        </w:rPr>
      </w:r>
    </w:p>
    <w:p>
      <w:pPr>
        <w:spacing w:after="0" w:line="240" w:lineRule="auto"/>
        <w:jc w:val="left"/>
        <w:rPr>
          <w:rFonts w:ascii="Arial" w:hAnsi="Arial" w:cs="Arial" w:eastAsia="Arial" w:hint="default"/>
        </w:rPr>
        <w:sectPr>
          <w:type w:val="continuous"/>
          <w:pgSz w:w="11910" w:h="16840"/>
          <w:pgMar w:top="920" w:bottom="900" w:left="900" w:right="760"/>
        </w:sectPr>
      </w:pPr>
    </w:p>
    <w:p>
      <w:pPr>
        <w:spacing w:line="240" w:lineRule="auto" w:before="4"/>
        <w:rPr>
          <w:rFonts w:ascii="Arial" w:hAnsi="Arial" w:cs="Arial" w:eastAsia="Arial" w:hint="default"/>
          <w:sz w:val="15"/>
          <w:szCs w:val="15"/>
        </w:rPr>
      </w:pPr>
    </w:p>
    <w:p>
      <w:pPr>
        <w:spacing w:after="0" w:line="240" w:lineRule="auto"/>
        <w:rPr>
          <w:rFonts w:ascii="Arial" w:hAnsi="Arial" w:cs="Arial" w:eastAsia="Arial" w:hint="default"/>
          <w:sz w:val="15"/>
          <w:szCs w:val="15"/>
        </w:rPr>
        <w:sectPr>
          <w:pgSz w:w="11910" w:h="16840"/>
          <w:pgMar w:header="0" w:footer="947" w:top="2300" w:bottom="1140" w:left="960" w:right="760"/>
        </w:sectPr>
      </w:pPr>
    </w:p>
    <w:p>
      <w:pPr>
        <w:pStyle w:val="Heading2"/>
        <w:spacing w:line="240" w:lineRule="auto"/>
        <w:ind w:left="114" w:right="-17"/>
        <w:jc w:val="left"/>
        <w:rPr>
          <w:b w:val="0"/>
          <w:bCs w:val="0"/>
        </w:rPr>
      </w:pPr>
      <w:r>
        <w:rPr>
          <w:w w:val="99"/>
        </w:rPr>
        <w:t>五</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ind w:left="114" w:right="-17"/>
        <w:jc w:val="left"/>
        <w:rPr>
          <w:rFonts w:ascii="Arial" w:hAnsi="Arial" w:cs="Arial" w:eastAsia="Arial" w:hint="default"/>
        </w:rPr>
      </w:pPr>
      <w:r>
        <w:rPr>
          <w:rFonts w:ascii="Arial"/>
          <w:spacing w:val="-1"/>
        </w:rPr>
        <w:t>(45)</w:t>
      </w:r>
      <w:r>
        <w:rPr>
          <w:rFonts w:ascii="Arial"/>
        </w:rPr>
      </w:r>
    </w:p>
    <w:p>
      <w:pPr>
        <w:pStyle w:val="Heading2"/>
        <w:spacing w:line="427" w:lineRule="auto"/>
        <w:ind w:left="114" w:right="5102"/>
        <w:jc w:val="left"/>
        <w:rPr>
          <w:rFonts w:ascii="Arial" w:hAnsi="Arial" w:cs="Arial" w:eastAsia="Arial" w:hint="default"/>
          <w:b w:val="0"/>
          <w:bCs w:val="0"/>
        </w:rPr>
      </w:pPr>
      <w:r>
        <w:rPr>
          <w:b w:val="0"/>
          <w:bCs w:val="0"/>
          <w:w w:val="95"/>
        </w:rPr>
        <w:br w:type="column"/>
      </w:r>
      <w:r>
        <w:rPr>
          <w:w w:val="95"/>
        </w:rPr>
        <w:t>合并财务报表项目附注</w:t>
      </w:r>
      <w:r>
        <w:rPr>
          <w:rFonts w:ascii="Arial" w:hAnsi="Arial" w:cs="Arial" w:eastAsia="Arial" w:hint="default"/>
          <w:w w:val="95"/>
        </w:rPr>
        <w:t>(</w:t>
      </w:r>
      <w:r>
        <w:rPr>
          <w:w w:val="95"/>
        </w:rPr>
        <w:t>续</w:t>
      </w:r>
      <w:r>
        <w:rPr>
          <w:rFonts w:ascii="Arial" w:hAnsi="Arial" w:cs="Arial" w:eastAsia="Arial" w:hint="default"/>
          <w:w w:val="95"/>
        </w:rPr>
        <w:t>)</w:t>
      </w:r>
      <w:r>
        <w:rPr>
          <w:rFonts w:ascii="Arial" w:hAnsi="Arial" w:cs="Arial" w:eastAsia="Arial" w:hint="default"/>
          <w:spacing w:val="3"/>
          <w:w w:val="95"/>
        </w:rPr>
        <w:t> </w:t>
      </w:r>
      <w:r>
        <w:rPr/>
        <w:t>所得税费用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7"/>
        <w:ind w:left="114" w:right="0"/>
        <w:jc w:val="left"/>
      </w:pPr>
      <w:r>
        <w:rPr/>
        <w:t>将基于合并利润表的利润总额采用适用税率计算的所得税调节为所得税费用：</w:t>
      </w:r>
    </w:p>
    <w:p>
      <w:pPr>
        <w:spacing w:line="240" w:lineRule="auto" w:before="12"/>
        <w:rPr>
          <w:rFonts w:ascii="宋体" w:hAnsi="宋体" w:cs="宋体" w:eastAsia="宋体" w:hint="default"/>
          <w:sz w:val="20"/>
          <w:szCs w:val="20"/>
        </w:rPr>
      </w:pPr>
    </w:p>
    <w:p>
      <w:pPr>
        <w:pStyle w:val="BodyText"/>
        <w:tabs>
          <w:tab w:pos="8173" w:val="left" w:leader="none"/>
        </w:tabs>
        <w:spacing w:line="240" w:lineRule="auto"/>
        <w:ind w:left="5692" w:right="0"/>
        <w:jc w:val="left"/>
      </w:pPr>
      <w:r>
        <w:rPr>
          <w:rFonts w:ascii="Arial" w:hAnsi="Arial" w:cs="Arial" w:eastAsia="Arial" w:hint="default"/>
        </w:rPr>
        <w:t>2010</w:t>
      </w:r>
      <w:r>
        <w:rPr>
          <w:rFonts w:ascii="Arial" w:hAnsi="Arial" w:cs="Arial" w:eastAsia="Arial" w:hint="default"/>
          <w:spacing w:val="-11"/>
        </w:rPr>
        <w:t> </w:t>
      </w:r>
      <w:r>
        <w:rPr/>
        <w:t>年度</w:t>
        <w:tab/>
      </w:r>
      <w:r>
        <w:rPr>
          <w:rFonts w:ascii="Arial" w:hAnsi="Arial" w:cs="Arial" w:eastAsia="Arial" w:hint="default"/>
        </w:rPr>
        <w:t>2009</w:t>
      </w:r>
      <w:r>
        <w:rPr>
          <w:rFonts w:ascii="Arial" w:hAnsi="Arial" w:cs="Arial" w:eastAsia="Arial" w:hint="default"/>
          <w:spacing w:val="-11"/>
        </w:rPr>
        <w:t> </w:t>
      </w:r>
      <w:r>
        <w:rPr/>
        <w:t>年度</w:t>
      </w:r>
    </w:p>
    <w:p>
      <w:pPr>
        <w:spacing w:after="0" w:line="240" w:lineRule="auto"/>
        <w:jc w:val="left"/>
        <w:sectPr>
          <w:type w:val="continuous"/>
          <w:pgSz w:w="11910" w:h="16840"/>
          <w:pgMar w:top="920" w:bottom="900" w:left="960" w:right="760"/>
          <w:cols w:num="2" w:equalWidth="0">
            <w:col w:w="541" w:space="172"/>
            <w:col w:w="9477"/>
          </w:cols>
        </w:sectPr>
      </w:pPr>
    </w:p>
    <w:p>
      <w:pPr>
        <w:spacing w:line="240" w:lineRule="auto" w:before="8"/>
        <w:rPr>
          <w:rFonts w:ascii="宋体" w:hAnsi="宋体" w:cs="宋体" w:eastAsia="宋体" w:hint="default"/>
          <w:sz w:val="17"/>
          <w:szCs w:val="17"/>
        </w:rPr>
      </w:pPr>
    </w:p>
    <w:p>
      <w:pPr>
        <w:pStyle w:val="BodyText"/>
        <w:tabs>
          <w:tab w:pos="5727" w:val="left" w:leader="none"/>
          <w:tab w:pos="6412" w:val="left" w:leader="none"/>
          <w:tab w:pos="8140" w:val="left" w:leader="none"/>
          <w:tab w:pos="8892" w:val="left" w:leader="none"/>
          <w:tab w:pos="10060" w:val="left" w:leader="none"/>
        </w:tabs>
        <w:spacing w:line="336" w:lineRule="exact" w:before="24"/>
        <w:ind w:left="826" w:right="104"/>
        <w:jc w:val="left"/>
        <w:rPr>
          <w:rFonts w:ascii="Arial" w:hAnsi="Arial" w:cs="Arial" w:eastAsia="Arial" w:hint="default"/>
        </w:rPr>
      </w:pPr>
      <w:r>
        <w:rPr>
          <w:position w:val="2"/>
        </w:rPr>
        <w:t>利润总额</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5,402,044</w:t>
      </w:r>
      <w:r>
        <w:rPr>
          <w:rFonts w:ascii="Arial" w:hAnsi="Arial" w:cs="Arial" w:eastAsia="Arial" w:hint="default"/>
          <w:spacing w:val="-1"/>
        </w:rPr>
        <w:tab/>
      </w:r>
      <w:r>
        <w:rPr>
          <w:rFonts w:ascii="Arial" w:hAnsi="Arial" w:cs="Arial" w:eastAsia="Arial" w:hint="default"/>
          <w:spacing w:val="-1"/>
          <w:u w:val="single" w:color="000000"/>
        </w:rPr>
        <w:t> </w:t>
        <w:tab/>
        <w:t>3,926,367</w:t>
        <w:tab/>
      </w:r>
      <w:r>
        <w:rPr>
          <w:rFonts w:ascii="Arial" w:hAnsi="Arial" w:cs="Arial" w:eastAsia="Arial" w:hint="default"/>
          <w:spacing w:val="-1"/>
        </w:rPr>
      </w:r>
    </w:p>
    <w:p>
      <w:pPr>
        <w:pStyle w:val="BodyText"/>
        <w:tabs>
          <w:tab w:pos="6430" w:val="left" w:leader="none"/>
          <w:tab w:pos="9094" w:val="left" w:leader="none"/>
        </w:tabs>
        <w:spacing w:line="317" w:lineRule="exact"/>
        <w:ind w:left="826" w:right="104"/>
        <w:jc w:val="left"/>
        <w:rPr>
          <w:rFonts w:ascii="Arial" w:hAnsi="Arial" w:cs="Arial" w:eastAsia="Arial" w:hint="default"/>
        </w:rPr>
      </w:pPr>
      <w:r>
        <w:rPr>
          <w:position w:val="2"/>
        </w:rPr>
        <w:t>按适用税率计算的所得税</w:t>
        <w:tab/>
      </w:r>
      <w:r>
        <w:rPr>
          <w:rFonts w:ascii="Arial" w:hAnsi="Arial" w:cs="Arial" w:eastAsia="Arial" w:hint="default"/>
          <w:spacing w:val="-3"/>
        </w:rPr>
        <w:t>1,350,511</w:t>
        <w:tab/>
      </w:r>
      <w:r>
        <w:rPr>
          <w:rFonts w:ascii="Arial" w:hAnsi="Arial" w:cs="Arial" w:eastAsia="Arial" w:hint="default"/>
        </w:rPr>
        <w:t>981,592</w:t>
      </w:r>
    </w:p>
    <w:p>
      <w:pPr>
        <w:pStyle w:val="BodyText"/>
        <w:tabs>
          <w:tab w:pos="6667" w:val="left" w:leader="none"/>
          <w:tab w:pos="9146" w:val="left" w:leader="none"/>
        </w:tabs>
        <w:spacing w:line="313" w:lineRule="exact"/>
        <w:ind w:left="826" w:right="104"/>
        <w:jc w:val="left"/>
        <w:rPr>
          <w:rFonts w:ascii="Arial" w:hAnsi="Arial" w:cs="Arial" w:eastAsia="Arial" w:hint="default"/>
        </w:rPr>
      </w:pPr>
      <w:r>
        <w:rPr>
          <w:position w:val="2"/>
        </w:rPr>
        <w:t>部分子公司之优惠税率影响</w:t>
        <w:tab/>
      </w:r>
      <w:r>
        <w:rPr>
          <w:rFonts w:ascii="Arial" w:hAnsi="Arial" w:cs="Arial" w:eastAsia="Arial" w:hint="default"/>
          <w:spacing w:val="-1"/>
        </w:rPr>
        <w:t>(62,287)</w:t>
        <w:tab/>
        <w:t>(47,169)</w:t>
      </w:r>
      <w:r>
        <w:rPr>
          <w:rFonts w:ascii="Arial" w:hAnsi="Arial" w:cs="Arial" w:eastAsia="Arial" w:hint="default"/>
        </w:rPr>
      </w:r>
    </w:p>
    <w:p>
      <w:pPr>
        <w:pStyle w:val="BodyText"/>
        <w:tabs>
          <w:tab w:pos="6880" w:val="left" w:leader="none"/>
          <w:tab w:pos="9360" w:val="left" w:leader="none"/>
        </w:tabs>
        <w:spacing w:line="312" w:lineRule="exact"/>
        <w:ind w:left="826" w:right="104"/>
        <w:jc w:val="left"/>
        <w:rPr>
          <w:rFonts w:ascii="Arial" w:hAnsi="Arial" w:cs="Arial" w:eastAsia="Arial" w:hint="default"/>
        </w:rPr>
      </w:pPr>
      <w:r>
        <w:rPr>
          <w:position w:val="2"/>
        </w:rPr>
        <w:t>不得扣除的成本、费用和损失</w:t>
        <w:tab/>
      </w:r>
      <w:r>
        <w:rPr>
          <w:rFonts w:ascii="Arial" w:hAnsi="Arial" w:cs="Arial" w:eastAsia="Arial" w:hint="default"/>
          <w:spacing w:val="-1"/>
        </w:rPr>
        <w:t>8,677</w:t>
        <w:tab/>
        <w:t>2,002</w:t>
      </w:r>
      <w:r>
        <w:rPr>
          <w:rFonts w:ascii="Arial" w:hAnsi="Arial" w:cs="Arial" w:eastAsia="Arial" w:hint="default"/>
        </w:rPr>
      </w:r>
    </w:p>
    <w:p>
      <w:pPr>
        <w:pStyle w:val="BodyText"/>
        <w:tabs>
          <w:tab w:pos="7000" w:val="left" w:leader="none"/>
          <w:tab w:pos="9480" w:val="left" w:leader="none"/>
        </w:tabs>
        <w:spacing w:line="313" w:lineRule="exact"/>
        <w:ind w:left="826" w:right="104"/>
        <w:jc w:val="left"/>
        <w:rPr>
          <w:rFonts w:ascii="Arial" w:hAnsi="Arial" w:cs="Arial" w:eastAsia="Arial" w:hint="default"/>
        </w:rPr>
      </w:pPr>
      <w:r>
        <w:rPr>
          <w:position w:val="2"/>
        </w:rPr>
        <w:t>所得税汇算清缴差异</w:t>
        <w:tab/>
      </w:r>
      <w:r>
        <w:rPr>
          <w:rFonts w:ascii="Arial" w:hAnsi="Arial" w:cs="Arial" w:eastAsia="Arial" w:hint="default"/>
          <w:spacing w:val="-1"/>
        </w:rPr>
        <w:t>(365)</w:t>
        <w:tab/>
        <w:t>(651)</w:t>
      </w:r>
      <w:r>
        <w:rPr>
          <w:rFonts w:ascii="Arial" w:hAnsi="Arial" w:cs="Arial" w:eastAsia="Arial" w:hint="default"/>
        </w:rPr>
      </w:r>
    </w:p>
    <w:p>
      <w:pPr>
        <w:pStyle w:val="BodyText"/>
        <w:spacing w:line="293" w:lineRule="exact"/>
        <w:ind w:left="826" w:right="104"/>
        <w:jc w:val="left"/>
      </w:pPr>
      <w:r>
        <w:rPr/>
        <w:t>已确认递延所得税资产的可抵扣亏损</w:t>
      </w:r>
    </w:p>
    <w:p>
      <w:pPr>
        <w:pStyle w:val="BodyText"/>
        <w:tabs>
          <w:tab w:pos="5727" w:val="left" w:leader="none"/>
          <w:tab w:pos="7400" w:val="left" w:leader="none"/>
          <w:tab w:pos="8140" w:val="left" w:leader="none"/>
          <w:tab w:pos="9360" w:val="left" w:leader="none"/>
          <w:tab w:pos="10060" w:val="left" w:leader="none"/>
        </w:tabs>
        <w:spacing w:line="334" w:lineRule="exact"/>
        <w:ind w:left="1097" w:right="104"/>
        <w:jc w:val="left"/>
        <w:rPr>
          <w:rFonts w:ascii="Arial" w:hAnsi="Arial" w:cs="Arial" w:eastAsia="Arial" w:hint="default"/>
        </w:rPr>
      </w:pPr>
      <w:r>
        <w:rPr>
          <w:position w:val="2"/>
        </w:rPr>
        <w:t>超过可抵扣年限</w:t>
        <w:tab/>
      </w:r>
      <w:r>
        <w:rPr>
          <w:rFonts w:ascii="Arial" w:hAnsi="Arial" w:cs="Arial" w:eastAsia="Arial" w:hint="default"/>
        </w:rPr>
      </w:r>
      <w:r>
        <w:rPr>
          <w:rFonts w:ascii="Arial" w:hAnsi="Arial" w:cs="Arial" w:eastAsia="Arial" w:hint="default"/>
          <w:u w:val="single" w:color="000000"/>
        </w:rPr>
        <w:t> </w:t>
        <w:tab/>
        <w:t>-</w:t>
      </w:r>
      <w:r>
        <w:rPr>
          <w:rFonts w:ascii="Arial" w:hAnsi="Arial" w:cs="Arial" w:eastAsia="Arial" w:hint="default"/>
        </w:rPr>
        <w:tab/>
      </w:r>
      <w:r>
        <w:rPr>
          <w:rFonts w:ascii="Arial" w:hAnsi="Arial" w:cs="Arial" w:eastAsia="Arial" w:hint="default"/>
          <w:u w:val="single" w:color="000000"/>
        </w:rPr>
        <w:t> </w:t>
        <w:tab/>
        <w:t>2,098</w:t>
        <w:tab/>
      </w:r>
      <w:r>
        <w:rPr>
          <w:rFonts w:ascii="Arial" w:hAnsi="Arial" w:cs="Arial" w:eastAsia="Arial" w:hint="default"/>
        </w:rPr>
      </w:r>
    </w:p>
    <w:p>
      <w:pPr>
        <w:pStyle w:val="BodyText"/>
        <w:tabs>
          <w:tab w:pos="5727" w:val="left" w:leader="none"/>
          <w:tab w:pos="6412" w:val="left" w:leader="none"/>
          <w:tab w:pos="8140" w:val="left" w:leader="none"/>
          <w:tab w:pos="9093" w:val="left" w:leader="none"/>
          <w:tab w:pos="10060" w:val="left" w:leader="none"/>
        </w:tabs>
        <w:spacing w:line="336" w:lineRule="exact"/>
        <w:ind w:left="826" w:right="104"/>
        <w:jc w:val="left"/>
        <w:rPr>
          <w:rFonts w:ascii="Arial" w:hAnsi="Arial" w:cs="Arial" w:eastAsia="Arial" w:hint="default"/>
        </w:rPr>
      </w:pPr>
      <w:r>
        <w:rPr>
          <w:position w:val="2"/>
        </w:rPr>
        <w:t>所得税费用</w:t>
        <w:tab/>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1,296,536</w:t>
      </w:r>
      <w:r>
        <w:rPr>
          <w:rFonts w:ascii="Arial" w:hAnsi="Arial" w:cs="Arial" w:eastAsia="Arial" w:hint="default"/>
          <w:spacing w:val="-1"/>
        </w:rPr>
        <w:tab/>
      </w:r>
      <w:r>
        <w:rPr>
          <w:rFonts w:ascii="Arial" w:hAnsi="Arial" w:cs="Arial" w:eastAsia="Arial" w:hint="default"/>
          <w:spacing w:val="-1"/>
          <w:u w:val="thick" w:color="000000"/>
        </w:rPr>
        <w:t> </w:t>
        <w:tab/>
        <w:t>937,872</w:t>
        <w:tab/>
      </w:r>
      <w:r>
        <w:rPr>
          <w:rFonts w:ascii="Arial" w:hAnsi="Arial" w:cs="Arial" w:eastAsia="Arial" w:hint="default"/>
          <w:spacing w:val="-1"/>
        </w:rPr>
      </w:r>
    </w:p>
    <w:p>
      <w:pPr>
        <w:spacing w:line="240" w:lineRule="auto" w:before="7"/>
        <w:rPr>
          <w:rFonts w:ascii="Arial" w:hAnsi="Arial" w:cs="Arial" w:eastAsia="Arial" w:hint="default"/>
          <w:sz w:val="20"/>
          <w:szCs w:val="20"/>
        </w:rPr>
      </w:pPr>
    </w:p>
    <w:p>
      <w:pPr>
        <w:tabs>
          <w:tab w:pos="826" w:val="left" w:leader="none"/>
        </w:tabs>
        <w:spacing w:before="32"/>
        <w:ind w:left="114"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(46)</w:t>
        <w:tab/>
      </w:r>
      <w:r>
        <w:rPr>
          <w:rFonts w:ascii="宋体" w:hAnsi="宋体" w:cs="宋体" w:eastAsia="宋体" w:hint="default"/>
          <w:b/>
          <w:bCs/>
          <w:sz w:val="24"/>
          <w:szCs w:val="24"/>
        </w:rPr>
        <w:t>每股收益</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tabs>
          <w:tab w:pos="826" w:val="left" w:leader="none"/>
        </w:tabs>
        <w:spacing w:line="240" w:lineRule="auto"/>
        <w:ind w:left="114" w:right="104"/>
        <w:jc w:val="left"/>
      </w:pPr>
      <w:r>
        <w:rPr>
          <w:rFonts w:ascii="Arial" w:hAnsi="Arial" w:cs="Arial" w:eastAsia="Arial" w:hint="default"/>
          <w:w w:val="95"/>
          <w:position w:val="2"/>
        </w:rPr>
        <w:t>(a)</w:t>
        <w:tab/>
      </w:r>
      <w:r>
        <w:rPr/>
        <w:t>基本每股收益</w:t>
      </w:r>
    </w:p>
    <w:p>
      <w:pPr>
        <w:spacing w:line="240" w:lineRule="auto" w:before="4"/>
        <w:rPr>
          <w:rFonts w:ascii="宋体" w:hAnsi="宋体" w:cs="宋体" w:eastAsia="宋体" w:hint="default"/>
          <w:sz w:val="23"/>
          <w:szCs w:val="23"/>
        </w:rPr>
      </w:pPr>
    </w:p>
    <w:p>
      <w:pPr>
        <w:pStyle w:val="BodyText"/>
        <w:spacing w:line="312" w:lineRule="exact"/>
        <w:ind w:left="826" w:right="218"/>
        <w:jc w:val="left"/>
      </w:pPr>
      <w:r>
        <w:rPr/>
        <w:t>基本每股收益以归属于母公司普通股股东的合并净利润除以母公司发行在外普通股的加 权平均数计算：</w:t>
      </w:r>
    </w:p>
    <w:p>
      <w:pPr>
        <w:pStyle w:val="BodyText"/>
        <w:tabs>
          <w:tab w:pos="8885" w:val="left" w:leader="none"/>
        </w:tabs>
        <w:spacing w:line="300" w:lineRule="exact"/>
        <w:ind w:left="6477" w:right="104"/>
        <w:jc w:val="left"/>
      </w:pPr>
      <w:r>
        <w:rPr>
          <w:rFonts w:ascii="Arial" w:hAnsi="Arial" w:cs="Arial" w:eastAsia="Arial" w:hint="default"/>
        </w:rPr>
        <w:t>2010</w:t>
      </w:r>
      <w:r>
        <w:rPr>
          <w:rFonts w:ascii="Arial" w:hAnsi="Arial" w:cs="Arial" w:eastAsia="Arial" w:hint="default"/>
          <w:spacing w:val="-11"/>
        </w:rPr>
        <w:t> </w:t>
      </w:r>
      <w:r>
        <w:rPr/>
        <w:t>年度</w:t>
        <w:tab/>
      </w:r>
      <w:r>
        <w:rPr>
          <w:rFonts w:ascii="Arial" w:hAnsi="Arial" w:cs="Arial" w:eastAsia="Arial" w:hint="default"/>
        </w:rPr>
        <w:t>2009</w:t>
      </w:r>
      <w:r>
        <w:rPr>
          <w:rFonts w:ascii="Arial" w:hAnsi="Arial" w:cs="Arial" w:eastAsia="Arial" w:hint="default"/>
          <w:spacing w:val="-11"/>
        </w:rPr>
        <w:t> </w:t>
      </w:r>
      <w:r>
        <w:rPr/>
        <w:t>年度</w:t>
      </w:r>
    </w:p>
    <w:p>
      <w:pPr>
        <w:spacing w:line="240" w:lineRule="auto" w:before="6"/>
        <w:rPr>
          <w:rFonts w:ascii="宋体" w:hAnsi="宋体" w:cs="宋体" w:eastAsia="宋体" w:hint="default"/>
          <w:sz w:val="19"/>
          <w:szCs w:val="19"/>
        </w:rPr>
      </w:pPr>
    </w:p>
    <w:p>
      <w:pPr>
        <w:pStyle w:val="BodyText"/>
        <w:tabs>
          <w:tab w:pos="6501" w:val="left" w:leader="none"/>
          <w:tab w:pos="8891" w:val="left" w:leader="none"/>
        </w:tabs>
        <w:spacing w:line="332" w:lineRule="exact"/>
        <w:ind w:left="861" w:right="104"/>
        <w:jc w:val="left"/>
        <w:rPr>
          <w:rFonts w:ascii="Arial" w:hAnsi="Arial" w:cs="Arial" w:eastAsia="Arial" w:hint="default"/>
        </w:rPr>
      </w:pPr>
      <w:r>
        <w:rPr>
          <w:position w:val="2"/>
        </w:rPr>
        <w:t>归属于母公司普通股股东的合并净利润</w:t>
        <w:tab/>
      </w:r>
      <w:r>
        <w:rPr>
          <w:rFonts w:ascii="Arial" w:hAnsi="Arial" w:cs="Arial" w:eastAsia="Arial" w:hint="default"/>
          <w:spacing w:val="-3"/>
        </w:rPr>
        <w:t>4,011,820</w:t>
        <w:tab/>
      </w:r>
      <w:r>
        <w:rPr>
          <w:rFonts w:ascii="Arial" w:hAnsi="Arial" w:cs="Arial" w:eastAsia="Arial" w:hint="default"/>
        </w:rPr>
        <w:t>2,889,956</w:t>
      </w:r>
    </w:p>
    <w:p>
      <w:pPr>
        <w:pStyle w:val="BodyText"/>
        <w:tabs>
          <w:tab w:pos="5810" w:val="left" w:leader="none"/>
          <w:tab w:pos="6483" w:val="left" w:leader="none"/>
          <w:tab w:pos="8218" w:val="left" w:leader="none"/>
          <w:tab w:pos="8891" w:val="left" w:leader="none"/>
          <w:tab w:pos="10060" w:val="left" w:leader="none"/>
        </w:tabs>
        <w:spacing w:line="318" w:lineRule="exact"/>
        <w:ind w:left="861" w:right="104"/>
        <w:jc w:val="left"/>
        <w:rPr>
          <w:rFonts w:ascii="Arial" w:hAnsi="Arial" w:cs="Arial" w:eastAsia="Arial" w:hint="default"/>
        </w:rPr>
      </w:pPr>
      <w:r>
        <w:rPr>
          <w:position w:val="2"/>
        </w:rPr>
        <w:t>本公司发行在外普通股的加权平均数</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6,996,212</w:t>
      </w:r>
      <w:r>
        <w:rPr>
          <w:rFonts w:ascii="Arial" w:hAnsi="Arial" w:cs="Arial" w:eastAsia="Arial" w:hint="default"/>
          <w:spacing w:val="-1"/>
        </w:rPr>
        <w:tab/>
      </w:r>
      <w:r>
        <w:rPr>
          <w:rFonts w:ascii="Arial" w:hAnsi="Arial" w:cs="Arial" w:eastAsia="Arial" w:hint="default"/>
          <w:spacing w:val="-1"/>
          <w:u w:val="single" w:color="000000"/>
        </w:rPr>
        <w:t> </w:t>
        <w:tab/>
        <w:t>6,729,768</w:t>
        <w:tab/>
      </w:r>
      <w:r>
        <w:rPr>
          <w:rFonts w:ascii="Arial" w:hAnsi="Arial" w:cs="Arial" w:eastAsia="Arial" w:hint="default"/>
          <w:spacing w:val="-1"/>
        </w:rPr>
      </w:r>
    </w:p>
    <w:p>
      <w:pPr>
        <w:pStyle w:val="BodyText"/>
        <w:tabs>
          <w:tab w:pos="6004" w:val="left" w:leader="none"/>
          <w:tab w:pos="8413" w:val="left" w:leader="none"/>
        </w:tabs>
        <w:spacing w:line="317" w:lineRule="exact"/>
        <w:ind w:left="861" w:right="104"/>
        <w:jc w:val="left"/>
      </w:pPr>
      <w:r>
        <w:rPr/>
        <w:t>基本每股收益</w:t>
        <w:tab/>
        <w:t>人民币</w:t>
      </w:r>
      <w:r>
        <w:rPr>
          <w:spacing w:val="-62"/>
        </w:rPr>
        <w:t> </w:t>
      </w:r>
      <w:r>
        <w:rPr>
          <w:rFonts w:ascii="Arial" w:hAnsi="Arial" w:cs="Arial" w:eastAsia="Arial" w:hint="default"/>
        </w:rPr>
        <w:t>0.57</w:t>
      </w:r>
      <w:r>
        <w:rPr>
          <w:rFonts w:ascii="Arial" w:hAnsi="Arial" w:cs="Arial" w:eastAsia="Arial" w:hint="default"/>
          <w:spacing w:val="-9"/>
        </w:rPr>
        <w:t> </w:t>
      </w:r>
      <w:r>
        <w:rPr/>
        <w:t>元</w:t>
        <w:tab/>
        <w:t>人民币</w:t>
      </w:r>
      <w:r>
        <w:rPr>
          <w:spacing w:val="-62"/>
        </w:rPr>
        <w:t> </w:t>
      </w:r>
      <w:r>
        <w:rPr>
          <w:rFonts w:ascii="Arial" w:hAnsi="Arial" w:cs="Arial" w:eastAsia="Arial" w:hint="default"/>
        </w:rPr>
        <w:t>0.43</w:t>
      </w:r>
      <w:r>
        <w:rPr>
          <w:rFonts w:ascii="Arial" w:hAnsi="Arial" w:cs="Arial" w:eastAsia="Arial" w:hint="default"/>
          <w:spacing w:val="-9"/>
        </w:rPr>
        <w:t> </w:t>
      </w:r>
      <w:r>
        <w:rPr/>
        <w:t>元</w:t>
      </w:r>
    </w:p>
    <w:p>
      <w:pPr>
        <w:tabs>
          <w:tab w:pos="8203" w:val="left" w:leader="none"/>
        </w:tabs>
        <w:spacing w:line="30" w:lineRule="exact"/>
        <w:ind w:left="5795" w:right="0" w:firstLine="0"/>
        <w:rPr>
          <w:rFonts w:ascii="宋体" w:hAnsi="宋体" w:cs="宋体" w:eastAsia="宋体" w:hint="default"/>
          <w:sz w:val="3"/>
          <w:szCs w:val="3"/>
        </w:rPr>
      </w:pPr>
      <w:r>
        <w:rPr>
          <w:rFonts w:ascii="宋体"/>
          <w:position w:val="0"/>
          <w:sz w:val="3"/>
        </w:rPr>
        <w:pict>
          <v:group style="width:93.6pt;height:1.5pt;mso-position-horizontal-relative:char;mso-position-vertical-relative:line" coordorigin="0,0" coordsize="1872,30">
            <v:group style="position:absolute;left:15;top:15;width:1842;height:2" coordorigin="15,15" coordsize="1842,2">
              <v:shape style="position:absolute;left:15;top:15;width:1842;height:2" coordorigin="15,15" coordsize="1842,0" path="m15,15l1857,15e" filled="false" stroked="true" strokeweight="1.5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93.6pt;height:1.5pt;mso-position-horizontal-relative:char;mso-position-vertical-relative:line" coordorigin="0,0" coordsize="1872,30">
            <v:group style="position:absolute;left:15;top:15;width:1842;height:2" coordorigin="15,15" coordsize="1842,2">
              <v:shape style="position:absolute;left:15;top:15;width:1842;height:2" coordorigin="15,15" coordsize="1842,0" path="m15,15l1857,15e" filled="false" stroked="true" strokeweight="1.5pt" strokecolor="#000000">
                <v:path arrowok="t"/>
              </v:shape>
            </v:group>
          </v:group>
        </w:pict>
      </w:r>
      <w:r>
        <w:rPr>
          <w:rFonts w:ascii="宋体"/>
          <w:position w:val="0"/>
          <w:sz w:val="3"/>
        </w:rPr>
      </w:r>
    </w:p>
    <w:p>
      <w:pPr>
        <w:spacing w:line="240" w:lineRule="auto" w:before="2"/>
        <w:rPr>
          <w:rFonts w:ascii="宋体" w:hAnsi="宋体" w:cs="宋体" w:eastAsia="宋体" w:hint="default"/>
          <w:sz w:val="17"/>
          <w:szCs w:val="17"/>
        </w:rPr>
      </w:pPr>
    </w:p>
    <w:p>
      <w:pPr>
        <w:pStyle w:val="BodyText"/>
        <w:tabs>
          <w:tab w:pos="826" w:val="left" w:leader="none"/>
        </w:tabs>
        <w:spacing w:line="240" w:lineRule="auto" w:before="32"/>
        <w:ind w:left="114" w:right="104"/>
        <w:jc w:val="left"/>
      </w:pPr>
      <w:r>
        <w:rPr>
          <w:rFonts w:ascii="Arial" w:hAnsi="Arial" w:cs="Arial" w:eastAsia="Arial" w:hint="default"/>
          <w:w w:val="95"/>
          <w:position w:val="2"/>
        </w:rPr>
        <w:t>(b)</w:t>
        <w:tab/>
      </w:r>
      <w:r>
        <w:rPr/>
        <w:t>稀释每股收益</w:t>
      </w:r>
    </w:p>
    <w:p>
      <w:pPr>
        <w:spacing w:line="240" w:lineRule="auto" w:before="4"/>
        <w:rPr>
          <w:rFonts w:ascii="宋体" w:hAnsi="宋体" w:cs="宋体" w:eastAsia="宋体" w:hint="default"/>
          <w:sz w:val="23"/>
          <w:szCs w:val="23"/>
        </w:rPr>
      </w:pPr>
    </w:p>
    <w:p>
      <w:pPr>
        <w:pStyle w:val="BodyText"/>
        <w:spacing w:line="312" w:lineRule="exact"/>
        <w:ind w:left="826" w:right="223"/>
        <w:jc w:val="both"/>
      </w:pPr>
      <w:r>
        <w:rPr/>
        <w:t>稀释每股收益以根据稀释性潜在普通股调整后的归属于母公司普通股股东的合并净利润 除以调整后的本公司发行在外普通股的加权平均数计算。对于盈利企业，股票期权的行 权价格低于当期普通股平均市场价格时，应当考虑其稀释性，并计算稀释每股收益。于 </w:t>
      </w:r>
      <w:r>
        <w:rPr>
          <w:rFonts w:ascii="Arial" w:hAnsi="Arial" w:cs="Arial" w:eastAsia="Arial" w:hint="default"/>
          <w:spacing w:val="-1"/>
          <w:w w:val="99"/>
        </w:rPr>
        <w:t>2010</w:t>
      </w:r>
      <w:r>
        <w:rPr>
          <w:rFonts w:ascii="Arial" w:hAnsi="Arial" w:cs="Arial" w:eastAsia="Arial" w:hint="default"/>
          <w:spacing w:val="-4"/>
          <w:w w:val="99"/>
        </w:rPr>
        <w:t> </w:t>
      </w:r>
      <w:r>
        <w:rPr>
          <w:spacing w:val="-12"/>
        </w:rPr>
        <w:t>年度，本公司授予的</w:t>
      </w:r>
      <w:r>
        <w:rPr>
          <w:spacing w:val="-57"/>
        </w:rPr>
        <w:t> </w:t>
      </w:r>
      <w:r>
        <w:rPr>
          <w:rFonts w:ascii="Arial" w:hAnsi="Arial" w:cs="Arial" w:eastAsia="Arial" w:hint="default"/>
          <w:spacing w:val="-1"/>
          <w:w w:val="99"/>
        </w:rPr>
        <w:t>8,469</w:t>
      </w:r>
      <w:r>
        <w:rPr>
          <w:rFonts w:ascii="Arial" w:hAnsi="Arial" w:cs="Arial" w:eastAsia="Arial" w:hint="default"/>
          <w:spacing w:val="-4"/>
          <w:w w:val="99"/>
        </w:rPr>
        <w:t> </w:t>
      </w:r>
      <w:r>
        <w:rPr/>
        <w:t>万份股票期权的行权价格高于当期公司普通股平均市场</w:t>
      </w:r>
    </w:p>
    <w:p>
      <w:pPr>
        <w:pStyle w:val="BodyText"/>
        <w:spacing w:line="312" w:lineRule="exact"/>
        <w:ind w:left="826" w:right="223"/>
        <w:jc w:val="both"/>
      </w:pPr>
      <w:r>
        <w:rPr>
          <w:spacing w:val="-11"/>
        </w:rPr>
        <w:t>价格，因此该股票期权在</w:t>
      </w:r>
      <w:r>
        <w:rPr>
          <w:spacing w:val="-82"/>
        </w:rPr>
        <w:t> </w:t>
      </w:r>
      <w:r>
        <w:rPr>
          <w:rFonts w:ascii="Arial" w:hAnsi="Arial" w:cs="Arial" w:eastAsia="Arial" w:hint="default"/>
          <w:spacing w:val="-1"/>
          <w:w w:val="99"/>
        </w:rPr>
        <w:t>2010</w:t>
      </w:r>
      <w:r>
        <w:rPr>
          <w:rFonts w:ascii="Arial" w:hAnsi="Arial" w:cs="Arial" w:eastAsia="Arial" w:hint="default"/>
          <w:spacing w:val="-29"/>
          <w:w w:val="99"/>
        </w:rPr>
        <w:t> </w:t>
      </w:r>
      <w:r>
        <w:rPr>
          <w:spacing w:val="-5"/>
          <w:w w:val="99"/>
        </w:rPr>
        <w:t>年度不具有稀释性，但是在以后期间可能具有稀释性</w:t>
      </w:r>
      <w:r>
        <w:rPr>
          <w:rFonts w:ascii="Arial" w:hAnsi="Arial" w:cs="Arial" w:eastAsia="Arial" w:hint="default"/>
          <w:spacing w:val="-5"/>
          <w:w w:val="99"/>
        </w:rPr>
        <w:t>(2009</w:t>
      </w:r>
      <w:r>
        <w:rPr>
          <w:rFonts w:ascii="Arial" w:hAnsi="Arial" w:cs="Arial" w:eastAsia="Arial" w:hint="default"/>
          <w:spacing w:val="-63"/>
          <w:w w:val="99"/>
        </w:rPr>
        <w:t> </w:t>
      </w:r>
      <w:r>
        <w:rPr/>
        <w:t>年度：无</w:t>
      </w:r>
      <w:r>
        <w:rPr>
          <w:rFonts w:ascii="Arial" w:hAnsi="Arial" w:cs="Arial" w:eastAsia="Arial" w:hint="default"/>
        </w:rPr>
        <w:t>)</w:t>
      </w:r>
      <w:r>
        <w:rPr/>
        <w:t>。因此，本年度稀释每股收益等于基本每股收益。</w:t>
      </w:r>
    </w:p>
    <w:p>
      <w:pPr>
        <w:spacing w:after="0" w:line="312" w:lineRule="exact"/>
        <w:jc w:val="both"/>
        <w:sectPr>
          <w:type w:val="continuous"/>
          <w:pgSz w:w="11910" w:h="16840"/>
          <w:pgMar w:top="920" w:bottom="900" w:left="960" w:right="760"/>
        </w:sectPr>
      </w:pPr>
    </w:p>
    <w:p>
      <w:pPr>
        <w:spacing w:line="240" w:lineRule="auto" w:before="4"/>
        <w:rPr>
          <w:rFonts w:ascii="Times New Roman" w:hAnsi="Times New Roman" w:cs="Times New Roman" w:eastAsia="Times New Roman"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573"/>
        <w:gridCol w:w="3754"/>
        <w:gridCol w:w="2677"/>
        <w:gridCol w:w="3021"/>
      </w:tblGrid>
      <w:tr>
        <w:trPr>
          <w:trHeight w:val="1102" w:hRule="exact"/>
        </w:trPr>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(47)</w:t>
            </w:r>
          </w:p>
        </w:tc>
        <w:tc>
          <w:tcPr>
            <w:tcW w:w="6431" w:type="dxa"/>
            <w:gridSpan w:val="2"/>
            <w:tcBorders>
              <w:top w:val="nil" w:sz="6" w:space="0" w:color="auto"/>
              <w:left w:val="nil" w:sz="6" w:space="0" w:color="auto"/>
              <w:bottom w:val="nil" w:sz="6" w:space="0" w:color="auto"/>
              <w:right w:val="nil" w:sz="6" w:space="0" w:color="auto"/>
            </w:tcBorders>
          </w:tcPr>
          <w:p>
            <w:pPr>
              <w:pStyle w:val="TableParagraph"/>
              <w:spacing w:line="427" w:lineRule="auto" w:before="26"/>
              <w:ind w:left="175" w:right="3450"/>
              <w:jc w:val="left"/>
              <w:rPr>
                <w:rFonts w:ascii="宋体" w:hAnsi="宋体" w:cs="宋体" w:eastAsia="宋体"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3"/>
                <w:w w:val="95"/>
                <w:sz w:val="24"/>
                <w:szCs w:val="24"/>
              </w:rPr>
              <w:t> </w:t>
            </w:r>
            <w:r>
              <w:rPr>
                <w:rFonts w:ascii="宋体" w:hAnsi="宋体" w:cs="宋体" w:eastAsia="宋体" w:hint="default"/>
                <w:b/>
                <w:bCs/>
                <w:sz w:val="24"/>
                <w:szCs w:val="24"/>
              </w:rPr>
              <w:t>其他综合收益</w:t>
            </w:r>
            <w:r>
              <w:rPr>
                <w:rFonts w:ascii="宋体" w:hAnsi="宋体" w:cs="宋体" w:eastAsia="宋体" w:hint="default"/>
                <w:sz w:val="24"/>
                <w:szCs w:val="24"/>
              </w:rPr>
            </w:r>
          </w:p>
        </w:tc>
        <w:tc>
          <w:tcPr>
            <w:tcW w:w="3021" w:type="dxa"/>
            <w:tcBorders>
              <w:top w:val="nil" w:sz="6" w:space="0" w:color="auto"/>
              <w:left w:val="nil" w:sz="6" w:space="0" w:color="auto"/>
              <w:bottom w:val="nil" w:sz="6" w:space="0" w:color="auto"/>
              <w:right w:val="nil" w:sz="6" w:space="0" w:color="auto"/>
            </w:tcBorders>
          </w:tcPr>
          <w:p>
            <w:pPr/>
          </w:p>
        </w:tc>
      </w:tr>
      <w:tr>
        <w:trPr>
          <w:trHeight w:val="594" w:hRule="exact"/>
        </w:trPr>
        <w:tc>
          <w:tcPr>
            <w:tcW w:w="573" w:type="dxa"/>
            <w:tcBorders>
              <w:top w:val="nil" w:sz="6" w:space="0" w:color="auto"/>
              <w:left w:val="nil" w:sz="6" w:space="0" w:color="auto"/>
              <w:bottom w:val="nil" w:sz="6" w:space="0" w:color="auto"/>
              <w:right w:val="nil" w:sz="6" w:space="0" w:color="auto"/>
            </w:tcBorders>
          </w:tcPr>
          <w:p>
            <w:pPr/>
          </w:p>
        </w:tc>
        <w:tc>
          <w:tcPr>
            <w:tcW w:w="64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right="308"/>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70"/>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91" w:hRule="exact"/>
        </w:trPr>
        <w:tc>
          <w:tcPr>
            <w:tcW w:w="573" w:type="dxa"/>
            <w:tcBorders>
              <w:top w:val="nil" w:sz="6" w:space="0" w:color="auto"/>
              <w:left w:val="nil" w:sz="6" w:space="0" w:color="auto"/>
              <w:bottom w:val="nil" w:sz="6" w:space="0" w:color="auto"/>
              <w:right w:val="nil" w:sz="6" w:space="0" w:color="auto"/>
            </w:tcBorders>
          </w:tcPr>
          <w:p>
            <w:pPr/>
          </w:p>
        </w:tc>
        <w:tc>
          <w:tcPr>
            <w:tcW w:w="6431" w:type="dxa"/>
            <w:gridSpan w:val="2"/>
            <w:tcBorders>
              <w:top w:val="nil" w:sz="6" w:space="0" w:color="auto"/>
              <w:left w:val="nil" w:sz="6" w:space="0" w:color="auto"/>
              <w:bottom w:val="nil" w:sz="6" w:space="0" w:color="auto"/>
              <w:right w:val="nil" w:sz="6" w:space="0" w:color="auto"/>
            </w:tcBorders>
          </w:tcPr>
          <w:p>
            <w:pPr>
              <w:pStyle w:val="TableParagraph"/>
              <w:tabs>
                <w:tab w:pos="3739" w:val="left" w:leader="none"/>
                <w:tab w:pos="5521" w:val="left" w:leader="none"/>
              </w:tabs>
              <w:spacing w:line="240" w:lineRule="auto" w:before="92"/>
              <w:ind w:left="111" w:right="0"/>
              <w:jc w:val="left"/>
              <w:rPr>
                <w:rFonts w:ascii="Arial" w:hAnsi="Arial" w:cs="Arial" w:eastAsia="Arial" w:hint="default"/>
                <w:sz w:val="24"/>
                <w:szCs w:val="24"/>
              </w:rPr>
            </w:pPr>
            <w:r>
              <w:rPr>
                <w:rFonts w:ascii="宋体" w:hAnsi="宋体" w:cs="宋体" w:eastAsia="宋体" w:hint="default"/>
                <w:position w:val="2"/>
                <w:sz w:val="24"/>
                <w:szCs w:val="24"/>
              </w:rPr>
              <w:t>外币财务报表折算差额</w:t>
              <w:tab/>
            </w:r>
            <w:r>
              <w:rPr>
                <w:rFonts w:ascii="Arial" w:hAnsi="Arial" w:cs="Arial" w:eastAsia="Arial" w:hint="default"/>
                <w:sz w:val="24"/>
                <w:szCs w:val="24"/>
              </w:rPr>
            </w:r>
            <w:r>
              <w:rPr>
                <w:rFonts w:ascii="Arial" w:hAnsi="Arial" w:cs="Arial" w:eastAsia="Arial" w:hint="default"/>
                <w:sz w:val="24"/>
                <w:szCs w:val="24"/>
                <w:u w:val="thick" w:color="000000"/>
              </w:rPr>
              <w:t> </w:t>
              <w:tab/>
              <w:t>7,523</w:t>
            </w:r>
            <w:r>
              <w:rPr>
                <w:rFonts w:ascii="Arial" w:hAnsi="Arial" w:cs="Arial" w:eastAsia="Arial" w:hint="default"/>
                <w:sz w:val="24"/>
                <w:szCs w:val="24"/>
              </w:rPr>
            </w:r>
          </w:p>
        </w:tc>
        <w:tc>
          <w:tcPr>
            <w:tcW w:w="3021" w:type="dxa"/>
            <w:tcBorders>
              <w:top w:val="nil" w:sz="6" w:space="0" w:color="auto"/>
              <w:left w:val="nil" w:sz="6" w:space="0" w:color="auto"/>
              <w:bottom w:val="nil" w:sz="6" w:space="0" w:color="auto"/>
              <w:right w:val="nil" w:sz="6" w:space="0" w:color="auto"/>
            </w:tcBorders>
          </w:tcPr>
          <w:p>
            <w:pPr>
              <w:pStyle w:val="TableParagraph"/>
              <w:tabs>
                <w:tab w:pos="2103" w:val="left" w:leader="none"/>
              </w:tabs>
              <w:spacing w:line="240" w:lineRule="auto" w:before="167"/>
              <w:ind w:right="7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w w:val="95"/>
                <w:sz w:val="24"/>
                <w:u w:val="thick" w:color="000000"/>
              </w:rPr>
              <w:t>(229)</w:t>
            </w:r>
            <w:r>
              <w:rPr>
                <w:rFonts w:ascii="Arial"/>
                <w:spacing w:val="-1"/>
                <w:w w:val="95"/>
                <w:sz w:val="24"/>
              </w:rPr>
            </w:r>
            <w:r>
              <w:rPr>
                <w:rFonts w:ascii="Arial"/>
                <w:sz w:val="24"/>
              </w:rPr>
            </w:r>
          </w:p>
        </w:tc>
      </w:tr>
      <w:tr>
        <w:trPr>
          <w:trHeight w:val="571" w:hRule="exact"/>
        </w:trPr>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Arial" w:hAnsi="Arial" w:cs="Arial" w:eastAsia="Arial" w:hint="default"/>
                <w:sz w:val="24"/>
                <w:szCs w:val="24"/>
              </w:rPr>
            </w:pPr>
            <w:r>
              <w:rPr>
                <w:rFonts w:ascii="Arial"/>
                <w:sz w:val="24"/>
              </w:rPr>
              <w:t>(48)</w:t>
            </w:r>
          </w:p>
        </w:tc>
        <w:tc>
          <w:tcPr>
            <w:tcW w:w="64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190" w:right="0"/>
              <w:jc w:val="left"/>
              <w:rPr>
                <w:rFonts w:ascii="宋体" w:hAnsi="宋体" w:cs="宋体" w:eastAsia="宋体" w:hint="default"/>
                <w:sz w:val="24"/>
                <w:szCs w:val="24"/>
              </w:rPr>
            </w:pPr>
            <w:r>
              <w:rPr>
                <w:rFonts w:ascii="宋体" w:hAnsi="宋体" w:cs="宋体" w:eastAsia="宋体" w:hint="default"/>
                <w:b/>
                <w:bCs/>
                <w:sz w:val="24"/>
                <w:szCs w:val="24"/>
              </w:rPr>
              <w:t>现金流量表项目注释</w:t>
            </w:r>
            <w:r>
              <w:rPr>
                <w:rFonts w:ascii="宋体" w:hAnsi="宋体" w:cs="宋体" w:eastAsia="宋体" w:hint="default"/>
                <w:sz w:val="24"/>
                <w:szCs w:val="24"/>
              </w:rPr>
            </w:r>
          </w:p>
        </w:tc>
        <w:tc>
          <w:tcPr>
            <w:tcW w:w="3021" w:type="dxa"/>
            <w:tcBorders>
              <w:top w:val="nil" w:sz="6" w:space="0" w:color="auto"/>
              <w:left w:val="nil" w:sz="6" w:space="0" w:color="auto"/>
              <w:bottom w:val="nil" w:sz="6" w:space="0" w:color="auto"/>
              <w:right w:val="nil" w:sz="6" w:space="0" w:color="auto"/>
            </w:tcBorders>
          </w:tcPr>
          <w:p>
            <w:pPr/>
          </w:p>
        </w:tc>
      </w:tr>
      <w:tr>
        <w:trPr>
          <w:trHeight w:val="591" w:hRule="exact"/>
        </w:trPr>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(a)</w:t>
            </w:r>
          </w:p>
        </w:tc>
        <w:tc>
          <w:tcPr>
            <w:tcW w:w="64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90" w:right="0"/>
              <w:jc w:val="left"/>
              <w:rPr>
                <w:rFonts w:ascii="宋体" w:hAnsi="宋体" w:cs="宋体" w:eastAsia="宋体" w:hint="default"/>
                <w:sz w:val="24"/>
                <w:szCs w:val="24"/>
              </w:rPr>
            </w:pPr>
            <w:r>
              <w:rPr>
                <w:rFonts w:ascii="宋体" w:hAnsi="宋体" w:cs="宋体" w:eastAsia="宋体" w:hint="default"/>
                <w:sz w:val="24"/>
                <w:szCs w:val="24"/>
              </w:rPr>
              <w:t>收到的其他与经营活动有关的现金</w:t>
            </w:r>
          </w:p>
        </w:tc>
        <w:tc>
          <w:tcPr>
            <w:tcW w:w="3021" w:type="dxa"/>
            <w:tcBorders>
              <w:top w:val="nil" w:sz="6" w:space="0" w:color="auto"/>
              <w:left w:val="nil" w:sz="6" w:space="0" w:color="auto"/>
              <w:bottom w:val="nil" w:sz="6" w:space="0" w:color="auto"/>
              <w:right w:val="nil" w:sz="6" w:space="0" w:color="auto"/>
            </w:tcBorders>
          </w:tcPr>
          <w:p>
            <w:pPr/>
          </w:p>
        </w:tc>
      </w:tr>
      <w:tr>
        <w:trPr>
          <w:trHeight w:val="594" w:hRule="exact"/>
        </w:trPr>
        <w:tc>
          <w:tcPr>
            <w:tcW w:w="573" w:type="dxa"/>
            <w:tcBorders>
              <w:top w:val="nil" w:sz="6" w:space="0" w:color="auto"/>
              <w:left w:val="nil" w:sz="6" w:space="0" w:color="auto"/>
              <w:bottom w:val="nil" w:sz="6" w:space="0" w:color="auto"/>
              <w:right w:val="nil" w:sz="6" w:space="0" w:color="auto"/>
            </w:tcBorders>
          </w:tcPr>
          <w:p>
            <w:pPr/>
          </w:p>
        </w:tc>
        <w:tc>
          <w:tcPr>
            <w:tcW w:w="64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right="386"/>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6"/>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9" w:hRule="exact"/>
        </w:trPr>
        <w:tc>
          <w:tcPr>
            <w:tcW w:w="573" w:type="dxa"/>
            <w:tcBorders>
              <w:top w:val="nil" w:sz="6" w:space="0" w:color="auto"/>
              <w:left w:val="nil" w:sz="6" w:space="0" w:color="auto"/>
              <w:bottom w:val="nil" w:sz="6" w:space="0" w:color="auto"/>
              <w:right w:val="nil" w:sz="6" w:space="0" w:color="auto"/>
            </w:tcBorders>
          </w:tcPr>
          <w:p>
            <w:pPr/>
          </w:p>
        </w:tc>
        <w:tc>
          <w:tcPr>
            <w:tcW w:w="6431" w:type="dxa"/>
            <w:gridSpan w:val="2"/>
            <w:tcBorders>
              <w:top w:val="nil" w:sz="6" w:space="0" w:color="auto"/>
              <w:left w:val="nil" w:sz="6" w:space="0" w:color="auto"/>
              <w:bottom w:val="nil" w:sz="6" w:space="0" w:color="auto"/>
              <w:right w:val="nil" w:sz="6" w:space="0" w:color="auto"/>
            </w:tcBorders>
          </w:tcPr>
          <w:p>
            <w:pPr>
              <w:pStyle w:val="TableParagraph"/>
              <w:tabs>
                <w:tab w:pos="4976" w:val="left" w:leader="none"/>
              </w:tabs>
              <w:spacing w:line="240" w:lineRule="auto" w:before="92"/>
              <w:ind w:left="190" w:right="0"/>
              <w:jc w:val="left"/>
              <w:rPr>
                <w:rFonts w:ascii="Arial" w:hAnsi="Arial" w:cs="Arial" w:eastAsia="Arial" w:hint="default"/>
                <w:sz w:val="24"/>
                <w:szCs w:val="24"/>
              </w:rPr>
            </w:pPr>
            <w:r>
              <w:rPr>
                <w:rFonts w:ascii="宋体" w:hAnsi="宋体" w:cs="宋体" w:eastAsia="宋体" w:hint="default"/>
                <w:position w:val="2"/>
                <w:sz w:val="24"/>
                <w:szCs w:val="24"/>
              </w:rPr>
              <w:t>收到的各种保证金、押金</w:t>
              <w:tab/>
            </w:r>
            <w:r>
              <w:rPr>
                <w:rFonts w:ascii="Arial" w:hAnsi="Arial" w:cs="Arial" w:eastAsia="Arial" w:hint="default"/>
                <w:sz w:val="24"/>
                <w:szCs w:val="24"/>
              </w:rPr>
              <w:t>1,312,647</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34"/>
              <w:jc w:val="right"/>
              <w:rPr>
                <w:rFonts w:ascii="Arial" w:hAnsi="Arial" w:cs="Arial" w:eastAsia="Arial" w:hint="default"/>
                <w:sz w:val="24"/>
                <w:szCs w:val="24"/>
              </w:rPr>
            </w:pPr>
            <w:r>
              <w:rPr>
                <w:rFonts w:ascii="Arial"/>
                <w:spacing w:val="-1"/>
                <w:w w:val="95"/>
                <w:sz w:val="24"/>
              </w:rPr>
              <w:t>354,032</w:t>
            </w:r>
            <w:r>
              <w:rPr>
                <w:rFonts w:ascii="Arial"/>
                <w:sz w:val="24"/>
              </w:rPr>
            </w:r>
          </w:p>
        </w:tc>
      </w:tr>
      <w:tr>
        <w:trPr>
          <w:trHeight w:val="312" w:hRule="exact"/>
        </w:trPr>
        <w:tc>
          <w:tcPr>
            <w:tcW w:w="573" w:type="dxa"/>
            <w:tcBorders>
              <w:top w:val="nil" w:sz="6" w:space="0" w:color="auto"/>
              <w:left w:val="nil" w:sz="6" w:space="0" w:color="auto"/>
              <w:bottom w:val="nil" w:sz="6" w:space="0" w:color="auto"/>
              <w:right w:val="nil" w:sz="6" w:space="0" w:color="auto"/>
            </w:tcBorders>
          </w:tcPr>
          <w:p>
            <w:pPr/>
          </w:p>
        </w:tc>
        <w:tc>
          <w:tcPr>
            <w:tcW w:w="6431" w:type="dxa"/>
            <w:gridSpan w:val="2"/>
            <w:tcBorders>
              <w:top w:val="nil" w:sz="6" w:space="0" w:color="auto"/>
              <w:left w:val="nil" w:sz="6" w:space="0" w:color="auto"/>
              <w:bottom w:val="nil" w:sz="6" w:space="0" w:color="auto"/>
              <w:right w:val="nil" w:sz="6" w:space="0" w:color="auto"/>
            </w:tcBorders>
          </w:tcPr>
          <w:p>
            <w:pPr>
              <w:pStyle w:val="TableParagraph"/>
              <w:tabs>
                <w:tab w:pos="5178" w:val="left" w:leader="none"/>
              </w:tabs>
              <w:spacing w:line="296" w:lineRule="exact"/>
              <w:ind w:left="190" w:right="0"/>
              <w:jc w:val="left"/>
              <w:rPr>
                <w:rFonts w:ascii="Arial" w:hAnsi="Arial" w:cs="Arial" w:eastAsia="Arial" w:hint="default"/>
                <w:sz w:val="24"/>
                <w:szCs w:val="24"/>
              </w:rPr>
            </w:pPr>
            <w:r>
              <w:rPr>
                <w:rFonts w:ascii="宋体" w:hAnsi="宋体" w:cs="宋体" w:eastAsia="宋体" w:hint="default"/>
                <w:position w:val="2"/>
                <w:sz w:val="24"/>
                <w:szCs w:val="24"/>
              </w:rPr>
              <w:t>利息收入</w:t>
              <w:tab/>
            </w:r>
            <w:r>
              <w:rPr>
                <w:rFonts w:ascii="Arial" w:hAnsi="Arial" w:cs="Arial" w:eastAsia="Arial" w:hint="default"/>
                <w:sz w:val="24"/>
                <w:szCs w:val="24"/>
              </w:rPr>
              <w:t>418,003</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248,734</w:t>
            </w:r>
            <w:r>
              <w:rPr>
                <w:rFonts w:ascii="Arial"/>
                <w:sz w:val="24"/>
              </w:rPr>
            </w:r>
          </w:p>
        </w:tc>
      </w:tr>
      <w:tr>
        <w:trPr>
          <w:trHeight w:val="291" w:hRule="exact"/>
        </w:trPr>
        <w:tc>
          <w:tcPr>
            <w:tcW w:w="573" w:type="dxa"/>
            <w:tcBorders>
              <w:top w:val="nil" w:sz="6" w:space="0" w:color="auto"/>
              <w:left w:val="nil" w:sz="6" w:space="0" w:color="auto"/>
              <w:bottom w:val="nil" w:sz="6" w:space="0" w:color="auto"/>
              <w:right w:val="nil" w:sz="6" w:space="0" w:color="auto"/>
            </w:tcBorders>
          </w:tcPr>
          <w:p>
            <w:pPr/>
          </w:p>
        </w:tc>
        <w:tc>
          <w:tcPr>
            <w:tcW w:w="6431" w:type="dxa"/>
            <w:gridSpan w:val="2"/>
            <w:tcBorders>
              <w:top w:val="nil" w:sz="6" w:space="0" w:color="auto"/>
              <w:left w:val="nil" w:sz="6" w:space="0" w:color="auto"/>
              <w:bottom w:val="nil" w:sz="6" w:space="0" w:color="auto"/>
              <w:right w:val="nil" w:sz="6" w:space="0" w:color="auto"/>
            </w:tcBorders>
          </w:tcPr>
          <w:p>
            <w:pPr>
              <w:pStyle w:val="TableParagraph"/>
              <w:tabs>
                <w:tab w:pos="5311" w:val="left" w:leader="none"/>
              </w:tabs>
              <w:spacing w:line="296" w:lineRule="exact"/>
              <w:ind w:left="190" w:right="0"/>
              <w:jc w:val="left"/>
              <w:rPr>
                <w:rFonts w:ascii="Arial" w:hAnsi="Arial" w:cs="Arial" w:eastAsia="Arial" w:hint="default"/>
                <w:sz w:val="24"/>
                <w:szCs w:val="24"/>
              </w:rPr>
            </w:pPr>
            <w:r>
              <w:rPr>
                <w:rFonts w:ascii="宋体" w:hAnsi="宋体" w:cs="宋体" w:eastAsia="宋体" w:hint="default"/>
                <w:position w:val="2"/>
                <w:sz w:val="24"/>
                <w:szCs w:val="24"/>
              </w:rPr>
              <w:t>补贴收入</w:t>
              <w:tab/>
            </w:r>
            <w:r>
              <w:rPr>
                <w:rFonts w:ascii="Arial" w:hAnsi="Arial" w:cs="Arial" w:eastAsia="Arial" w:hint="default"/>
                <w:sz w:val="24"/>
                <w:szCs w:val="24"/>
              </w:rPr>
              <w:t>87,009</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83,155</w:t>
            </w:r>
            <w:r>
              <w:rPr>
                <w:rFonts w:ascii="Arial"/>
                <w:sz w:val="24"/>
              </w:rPr>
            </w:r>
          </w:p>
        </w:tc>
      </w:tr>
      <w:tr>
        <w:trPr>
          <w:trHeight w:val="769" w:hRule="exact"/>
        </w:trPr>
        <w:tc>
          <w:tcPr>
            <w:tcW w:w="10025" w:type="dxa"/>
            <w:gridSpan w:val="4"/>
            <w:tcBorders>
              <w:top w:val="nil" w:sz="6" w:space="0" w:color="auto"/>
              <w:left w:val="nil" w:sz="6" w:space="0" w:color="auto"/>
              <w:bottom w:val="nil" w:sz="6" w:space="0" w:color="auto"/>
              <w:right w:val="nil" w:sz="6" w:space="0" w:color="auto"/>
            </w:tcBorders>
          </w:tcPr>
          <w:p>
            <w:pPr>
              <w:pStyle w:val="TableParagraph"/>
              <w:tabs>
                <w:tab w:pos="4327" w:val="left" w:leader="none"/>
                <w:tab w:pos="5884" w:val="left" w:leader="none"/>
                <w:tab w:pos="7290" w:val="left" w:leader="none"/>
                <w:tab w:pos="9155" w:val="left" w:leader="none"/>
                <w:tab w:pos="9990" w:val="left" w:leader="none"/>
              </w:tabs>
              <w:spacing w:line="317" w:lineRule="exact"/>
              <w:ind w:left="763" w:right="0"/>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sz w:val="24"/>
                <w:szCs w:val="24"/>
              </w:rPr>
            </w:r>
            <w:r>
              <w:rPr>
                <w:rFonts w:ascii="Arial" w:hAnsi="Arial" w:cs="Arial" w:eastAsia="Arial" w:hint="default"/>
                <w:sz w:val="24"/>
                <w:szCs w:val="24"/>
                <w:u w:val="single" w:color="000000"/>
              </w:rPr>
              <w:t> </w:t>
              <w:tab/>
            </w:r>
            <w:r>
              <w:rPr>
                <w:rFonts w:ascii="Arial" w:hAnsi="Arial" w:cs="Arial" w:eastAsia="Arial" w:hint="default"/>
                <w:spacing w:val="-1"/>
                <w:sz w:val="24"/>
                <w:szCs w:val="24"/>
                <w:u w:val="single" w:color="000000"/>
              </w:rPr>
              <w:t>41,754</w:t>
            </w:r>
            <w:r>
              <w:rPr>
                <w:rFonts w:ascii="Arial" w:hAnsi="Arial" w:cs="Arial" w:eastAsia="Arial" w:hint="default"/>
                <w:spacing w:val="-1"/>
                <w:sz w:val="24"/>
                <w:szCs w:val="24"/>
              </w:rPr>
              <w:tab/>
            </w:r>
            <w:r>
              <w:rPr>
                <w:rFonts w:ascii="Arial" w:hAnsi="Arial" w:cs="Arial" w:eastAsia="Arial" w:hint="default"/>
                <w:spacing w:val="-1"/>
                <w:sz w:val="24"/>
                <w:szCs w:val="24"/>
                <w:u w:val="single" w:color="000000"/>
              </w:rPr>
              <w:t> </w:t>
              <w:tab/>
              <w:t>21,030</w:t>
              <w:tab/>
            </w:r>
            <w:r>
              <w:rPr>
                <w:rFonts w:ascii="Arial" w:hAnsi="Arial" w:cs="Arial" w:eastAsia="Arial" w:hint="default"/>
                <w:spacing w:val="-1"/>
                <w:sz w:val="24"/>
                <w:szCs w:val="24"/>
              </w:rPr>
            </w:r>
          </w:p>
          <w:p>
            <w:pPr>
              <w:pStyle w:val="TableParagraph"/>
              <w:tabs>
                <w:tab w:pos="5550" w:val="left" w:leader="none"/>
                <w:tab w:pos="7290" w:val="left" w:leader="none"/>
                <w:tab w:pos="9022" w:val="left" w:leader="none"/>
                <w:tab w:pos="9990" w:val="left" w:leader="none"/>
              </w:tabs>
              <w:spacing w:line="240" w:lineRule="auto" w:before="9"/>
              <w:ind w:left="4327"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1,859,413</w:t>
            </w:r>
            <w:r>
              <w:rPr>
                <w:rFonts w:ascii="Arial"/>
                <w:spacing w:val="-1"/>
                <w:sz w:val="24"/>
              </w:rPr>
              <w:tab/>
            </w:r>
            <w:r>
              <w:rPr>
                <w:rFonts w:ascii="Arial"/>
                <w:spacing w:val="-1"/>
                <w:sz w:val="24"/>
                <w:u w:val="thick" w:color="000000"/>
              </w:rPr>
              <w:t> </w:t>
              <w:tab/>
              <w:t>706,951</w:t>
              <w:tab/>
            </w:r>
            <w:r>
              <w:rPr>
                <w:rFonts w:ascii="Arial"/>
                <w:spacing w:val="-1"/>
                <w:sz w:val="24"/>
              </w:rPr>
            </w:r>
          </w:p>
        </w:tc>
      </w:tr>
      <w:tr>
        <w:trPr>
          <w:trHeight w:val="592" w:hRule="exact"/>
        </w:trPr>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4"/>
                <w:szCs w:val="24"/>
              </w:rPr>
            </w:pPr>
            <w:r>
              <w:rPr>
                <w:rFonts w:ascii="Arial"/>
                <w:sz w:val="24"/>
              </w:rPr>
              <w:t>(b)</w:t>
            </w:r>
          </w:p>
        </w:tc>
        <w:tc>
          <w:tcPr>
            <w:tcW w:w="64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90" w:right="0"/>
              <w:jc w:val="left"/>
              <w:rPr>
                <w:rFonts w:ascii="宋体" w:hAnsi="宋体" w:cs="宋体" w:eastAsia="宋体" w:hint="default"/>
                <w:sz w:val="24"/>
                <w:szCs w:val="24"/>
              </w:rPr>
            </w:pPr>
            <w:r>
              <w:rPr>
                <w:rFonts w:ascii="宋体" w:hAnsi="宋体" w:cs="宋体" w:eastAsia="宋体" w:hint="default"/>
                <w:sz w:val="24"/>
                <w:szCs w:val="24"/>
              </w:rPr>
              <w:t>支付的其他与经营活动有关的现金</w:t>
            </w:r>
          </w:p>
        </w:tc>
        <w:tc>
          <w:tcPr>
            <w:tcW w:w="3021" w:type="dxa"/>
            <w:tcBorders>
              <w:top w:val="nil" w:sz="6" w:space="0" w:color="auto"/>
              <w:left w:val="nil" w:sz="6" w:space="0" w:color="auto"/>
              <w:bottom w:val="nil" w:sz="6" w:space="0" w:color="auto"/>
              <w:right w:val="nil" w:sz="6" w:space="0" w:color="auto"/>
            </w:tcBorders>
          </w:tcPr>
          <w:p>
            <w:pPr/>
          </w:p>
        </w:tc>
      </w:tr>
      <w:tr>
        <w:trPr>
          <w:trHeight w:val="594" w:hRule="exact"/>
        </w:trPr>
        <w:tc>
          <w:tcPr>
            <w:tcW w:w="573"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
        </w:tc>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6"/>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6"/>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9" w:hRule="exact"/>
        </w:trPr>
        <w:tc>
          <w:tcPr>
            <w:tcW w:w="573"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90"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385"/>
              <w:jc w:val="right"/>
              <w:rPr>
                <w:rFonts w:ascii="Arial" w:hAnsi="Arial" w:cs="Arial" w:eastAsia="Arial" w:hint="default"/>
                <w:sz w:val="24"/>
                <w:szCs w:val="24"/>
              </w:rPr>
            </w:pPr>
            <w:r>
              <w:rPr>
                <w:rFonts w:ascii="Arial"/>
                <w:spacing w:val="-1"/>
                <w:w w:val="95"/>
                <w:sz w:val="24"/>
              </w:rPr>
              <w:t>2,954,226</w:t>
            </w:r>
            <w:r>
              <w:rPr>
                <w:rFonts w:ascii="Arial"/>
                <w:sz w:val="24"/>
              </w:rPr>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35"/>
              <w:jc w:val="right"/>
              <w:rPr>
                <w:rFonts w:ascii="Arial" w:hAnsi="Arial" w:cs="Arial" w:eastAsia="Arial" w:hint="default"/>
                <w:sz w:val="24"/>
                <w:szCs w:val="24"/>
              </w:rPr>
            </w:pPr>
            <w:r>
              <w:rPr>
                <w:rFonts w:ascii="Arial"/>
                <w:spacing w:val="-1"/>
                <w:w w:val="95"/>
                <w:sz w:val="24"/>
              </w:rPr>
              <w:t>2,057,407</w:t>
            </w:r>
            <w:r>
              <w:rPr>
                <w:rFonts w:ascii="Arial"/>
                <w:sz w:val="24"/>
              </w:rPr>
            </w:r>
          </w:p>
        </w:tc>
      </w:tr>
      <w:tr>
        <w:trPr>
          <w:trHeight w:val="312" w:hRule="exact"/>
        </w:trPr>
        <w:tc>
          <w:tcPr>
            <w:tcW w:w="573"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1" w:lineRule="exact"/>
              <w:ind w:left="190" w:right="0"/>
              <w:jc w:val="left"/>
              <w:rPr>
                <w:rFonts w:ascii="宋体" w:hAnsi="宋体" w:cs="宋体" w:eastAsia="宋体" w:hint="default"/>
                <w:sz w:val="24"/>
                <w:szCs w:val="24"/>
              </w:rPr>
            </w:pPr>
            <w:r>
              <w:rPr>
                <w:rFonts w:ascii="宋体" w:hAnsi="宋体" w:cs="宋体" w:eastAsia="宋体" w:hint="default"/>
                <w:sz w:val="24"/>
                <w:szCs w:val="24"/>
              </w:rPr>
              <w:t>广告费</w:t>
            </w:r>
          </w:p>
        </w:tc>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84"/>
              <w:jc w:val="right"/>
              <w:rPr>
                <w:rFonts w:ascii="Arial" w:hAnsi="Arial" w:cs="Arial" w:eastAsia="Arial" w:hint="default"/>
                <w:sz w:val="24"/>
                <w:szCs w:val="24"/>
              </w:rPr>
            </w:pPr>
            <w:r>
              <w:rPr>
                <w:rFonts w:ascii="Arial"/>
                <w:spacing w:val="-1"/>
                <w:w w:val="95"/>
                <w:sz w:val="24"/>
              </w:rPr>
              <w:t>916,392</w:t>
            </w:r>
            <w:r>
              <w:rPr>
                <w:rFonts w:ascii="Arial"/>
                <w:sz w:val="24"/>
              </w:rPr>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546,001</w:t>
            </w:r>
            <w:r>
              <w:rPr>
                <w:rFonts w:ascii="Arial"/>
                <w:sz w:val="24"/>
              </w:rPr>
            </w:r>
          </w:p>
        </w:tc>
      </w:tr>
      <w:tr>
        <w:trPr>
          <w:trHeight w:val="609" w:hRule="exact"/>
        </w:trPr>
        <w:tc>
          <w:tcPr>
            <w:tcW w:w="573"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0" w:lineRule="exact"/>
              <w:ind w:left="190" w:right="0"/>
              <w:jc w:val="left"/>
              <w:rPr>
                <w:rFonts w:ascii="宋体" w:hAnsi="宋体" w:cs="宋体" w:eastAsia="宋体" w:hint="default"/>
                <w:sz w:val="24"/>
                <w:szCs w:val="24"/>
              </w:rPr>
            </w:pPr>
            <w:r>
              <w:rPr>
                <w:rFonts w:ascii="宋体" w:hAnsi="宋体" w:cs="宋体" w:eastAsia="宋体" w:hint="default"/>
                <w:sz w:val="24"/>
                <w:szCs w:val="24"/>
              </w:rPr>
              <w:t>水电费</w:t>
            </w:r>
          </w:p>
          <w:p>
            <w:pPr>
              <w:pStyle w:val="TableParagraph"/>
              <w:spacing w:line="313" w:lineRule="exact"/>
              <w:ind w:left="190" w:right="0"/>
              <w:jc w:val="left"/>
              <w:rPr>
                <w:rFonts w:ascii="宋体" w:hAnsi="宋体" w:cs="宋体" w:eastAsia="宋体" w:hint="default"/>
                <w:sz w:val="24"/>
                <w:szCs w:val="24"/>
              </w:rPr>
            </w:pPr>
            <w:r>
              <w:rPr>
                <w:rFonts w:ascii="宋体" w:hAnsi="宋体" w:cs="宋体" w:eastAsia="宋体" w:hint="default"/>
                <w:sz w:val="24"/>
                <w:szCs w:val="24"/>
              </w:rPr>
              <w:t>支付的各类保证金、订金</w:t>
            </w:r>
          </w:p>
        </w:tc>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84"/>
              <w:jc w:val="right"/>
              <w:rPr>
                <w:rFonts w:ascii="Arial" w:hAnsi="Arial" w:cs="Arial" w:eastAsia="Arial" w:hint="default"/>
                <w:sz w:val="24"/>
                <w:szCs w:val="24"/>
              </w:rPr>
            </w:pPr>
            <w:r>
              <w:rPr>
                <w:rFonts w:ascii="Arial"/>
                <w:spacing w:val="-1"/>
                <w:w w:val="95"/>
                <w:sz w:val="24"/>
              </w:rPr>
              <w:t>372,219</w:t>
            </w:r>
            <w:r>
              <w:rPr>
                <w:rFonts w:ascii="Arial"/>
                <w:sz w:val="24"/>
              </w:rPr>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292,543</w:t>
            </w:r>
            <w:r>
              <w:rPr>
                <w:rFonts w:ascii="Arial"/>
                <w:sz w:val="24"/>
              </w:rPr>
            </w:r>
          </w:p>
        </w:tc>
      </w:tr>
      <w:tr>
        <w:trPr>
          <w:trHeight w:val="327" w:hRule="exact"/>
        </w:trPr>
        <w:tc>
          <w:tcPr>
            <w:tcW w:w="573"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76" w:lineRule="exact"/>
              <w:ind w:left="430" w:right="0"/>
              <w:jc w:val="left"/>
              <w:rPr>
                <w:rFonts w:ascii="宋体" w:hAnsi="宋体" w:cs="宋体" w:eastAsia="宋体" w:hint="default"/>
                <w:sz w:val="24"/>
                <w:szCs w:val="24"/>
              </w:rPr>
            </w:pPr>
            <w:r>
              <w:rPr>
                <w:rFonts w:ascii="宋体" w:hAnsi="宋体" w:cs="宋体" w:eastAsia="宋体" w:hint="default"/>
                <w:sz w:val="24"/>
                <w:szCs w:val="24"/>
              </w:rPr>
              <w:t>及押金等</w:t>
            </w:r>
          </w:p>
        </w:tc>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85"/>
              <w:jc w:val="right"/>
              <w:rPr>
                <w:rFonts w:ascii="Arial" w:hAnsi="Arial" w:cs="Arial" w:eastAsia="Arial" w:hint="default"/>
                <w:sz w:val="24"/>
                <w:szCs w:val="24"/>
              </w:rPr>
            </w:pPr>
            <w:r>
              <w:rPr>
                <w:rFonts w:ascii="Arial"/>
                <w:spacing w:val="-1"/>
                <w:w w:val="95"/>
                <w:sz w:val="24"/>
              </w:rPr>
              <w:t>1,215,429</w:t>
            </w:r>
            <w:r>
              <w:rPr>
                <w:rFonts w:ascii="Arial"/>
                <w:sz w:val="24"/>
              </w:rPr>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4"/>
              <w:jc w:val="right"/>
              <w:rPr>
                <w:rFonts w:ascii="Arial" w:hAnsi="Arial" w:cs="Arial" w:eastAsia="Arial" w:hint="default"/>
                <w:sz w:val="24"/>
                <w:szCs w:val="24"/>
              </w:rPr>
            </w:pPr>
            <w:r>
              <w:rPr>
                <w:rFonts w:ascii="Arial"/>
                <w:spacing w:val="-1"/>
                <w:w w:val="95"/>
                <w:sz w:val="24"/>
              </w:rPr>
              <w:t>252,405</w:t>
            </w:r>
            <w:r>
              <w:rPr>
                <w:rFonts w:ascii="Arial"/>
                <w:sz w:val="24"/>
              </w:rPr>
            </w:r>
          </w:p>
        </w:tc>
      </w:tr>
      <w:tr>
        <w:trPr>
          <w:trHeight w:val="312" w:hRule="exact"/>
        </w:trPr>
        <w:tc>
          <w:tcPr>
            <w:tcW w:w="573"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1" w:lineRule="exact"/>
              <w:ind w:left="190" w:right="0"/>
              <w:jc w:val="left"/>
              <w:rPr>
                <w:rFonts w:ascii="宋体" w:hAnsi="宋体" w:cs="宋体" w:eastAsia="宋体" w:hint="default"/>
                <w:sz w:val="24"/>
                <w:szCs w:val="24"/>
              </w:rPr>
            </w:pPr>
            <w:r>
              <w:rPr>
                <w:rFonts w:ascii="宋体" w:hAnsi="宋体" w:cs="宋体" w:eastAsia="宋体" w:hint="default"/>
                <w:sz w:val="24"/>
                <w:szCs w:val="24"/>
              </w:rPr>
              <w:t>运杂费</w:t>
            </w:r>
          </w:p>
        </w:tc>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84"/>
              <w:jc w:val="right"/>
              <w:rPr>
                <w:rFonts w:ascii="Arial" w:hAnsi="Arial" w:cs="Arial" w:eastAsia="Arial" w:hint="default"/>
                <w:sz w:val="24"/>
                <w:szCs w:val="24"/>
              </w:rPr>
            </w:pPr>
            <w:r>
              <w:rPr>
                <w:rFonts w:ascii="Arial"/>
                <w:spacing w:val="-1"/>
                <w:w w:val="95"/>
                <w:sz w:val="24"/>
              </w:rPr>
              <w:t>357,103</w:t>
            </w:r>
            <w:r>
              <w:rPr>
                <w:rFonts w:ascii="Arial"/>
                <w:sz w:val="24"/>
              </w:rPr>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238,609</w:t>
            </w:r>
            <w:r>
              <w:rPr>
                <w:rFonts w:ascii="Arial"/>
                <w:sz w:val="24"/>
              </w:rPr>
            </w:r>
          </w:p>
        </w:tc>
      </w:tr>
      <w:tr>
        <w:trPr>
          <w:trHeight w:val="312" w:hRule="exact"/>
        </w:trPr>
        <w:tc>
          <w:tcPr>
            <w:tcW w:w="573"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1" w:lineRule="exact"/>
              <w:ind w:left="190"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84"/>
              <w:jc w:val="right"/>
              <w:rPr>
                <w:rFonts w:ascii="Arial" w:hAnsi="Arial" w:cs="Arial" w:eastAsia="Arial" w:hint="default"/>
                <w:sz w:val="24"/>
                <w:szCs w:val="24"/>
              </w:rPr>
            </w:pPr>
            <w:r>
              <w:rPr>
                <w:rFonts w:ascii="Arial"/>
                <w:spacing w:val="-1"/>
                <w:w w:val="95"/>
                <w:sz w:val="24"/>
              </w:rPr>
              <w:t>280,075</w:t>
            </w:r>
            <w:r>
              <w:rPr>
                <w:rFonts w:ascii="Arial"/>
                <w:sz w:val="24"/>
              </w:rPr>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194,655</w:t>
            </w:r>
            <w:r>
              <w:rPr>
                <w:rFonts w:ascii="Arial"/>
                <w:sz w:val="24"/>
              </w:rPr>
            </w:r>
          </w:p>
        </w:tc>
      </w:tr>
      <w:tr>
        <w:trPr>
          <w:trHeight w:val="312" w:hRule="exact"/>
        </w:trPr>
        <w:tc>
          <w:tcPr>
            <w:tcW w:w="573"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1" w:lineRule="exact"/>
              <w:ind w:left="190"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84"/>
              <w:jc w:val="right"/>
              <w:rPr>
                <w:rFonts w:ascii="Arial" w:hAnsi="Arial" w:cs="Arial" w:eastAsia="Arial" w:hint="default"/>
                <w:sz w:val="24"/>
                <w:szCs w:val="24"/>
              </w:rPr>
            </w:pPr>
            <w:r>
              <w:rPr>
                <w:rFonts w:ascii="Arial"/>
                <w:spacing w:val="-1"/>
                <w:w w:val="95"/>
                <w:sz w:val="24"/>
              </w:rPr>
              <w:t>257,678</w:t>
            </w:r>
            <w:r>
              <w:rPr>
                <w:rFonts w:ascii="Arial"/>
                <w:sz w:val="24"/>
              </w:rPr>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174,296</w:t>
            </w:r>
            <w:r>
              <w:rPr>
                <w:rFonts w:ascii="Arial"/>
                <w:sz w:val="24"/>
              </w:rPr>
            </w:r>
          </w:p>
        </w:tc>
      </w:tr>
      <w:tr>
        <w:trPr>
          <w:trHeight w:val="312" w:hRule="exact"/>
        </w:trPr>
        <w:tc>
          <w:tcPr>
            <w:tcW w:w="573"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1" w:lineRule="exact"/>
              <w:ind w:left="190" w:right="0"/>
              <w:jc w:val="left"/>
              <w:rPr>
                <w:rFonts w:ascii="宋体" w:hAnsi="宋体" w:cs="宋体" w:eastAsia="宋体" w:hint="default"/>
                <w:sz w:val="24"/>
                <w:szCs w:val="24"/>
              </w:rPr>
            </w:pPr>
            <w:r>
              <w:rPr>
                <w:rFonts w:ascii="宋体" w:hAnsi="宋体" w:cs="宋体" w:eastAsia="宋体" w:hint="default"/>
                <w:sz w:val="24"/>
                <w:szCs w:val="24"/>
              </w:rPr>
              <w:t>市场推广费</w:t>
            </w:r>
          </w:p>
        </w:tc>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83"/>
              <w:jc w:val="right"/>
              <w:rPr>
                <w:rFonts w:ascii="Arial" w:hAnsi="Arial" w:cs="Arial" w:eastAsia="Arial" w:hint="default"/>
                <w:sz w:val="24"/>
                <w:szCs w:val="24"/>
              </w:rPr>
            </w:pPr>
            <w:r>
              <w:rPr>
                <w:rFonts w:ascii="Arial"/>
                <w:spacing w:val="-1"/>
                <w:w w:val="95"/>
                <w:sz w:val="24"/>
              </w:rPr>
              <w:t>172,590</w:t>
            </w:r>
            <w:r>
              <w:rPr>
                <w:rFonts w:ascii="Arial"/>
                <w:sz w:val="24"/>
              </w:rPr>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99,296</w:t>
            </w:r>
            <w:r>
              <w:rPr>
                <w:rFonts w:ascii="Arial"/>
                <w:sz w:val="24"/>
              </w:rPr>
            </w:r>
          </w:p>
        </w:tc>
      </w:tr>
      <w:tr>
        <w:trPr>
          <w:trHeight w:val="312" w:hRule="exact"/>
        </w:trPr>
        <w:tc>
          <w:tcPr>
            <w:tcW w:w="573"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1" w:lineRule="exact"/>
              <w:ind w:left="190" w:right="0"/>
              <w:jc w:val="left"/>
              <w:rPr>
                <w:rFonts w:ascii="宋体" w:hAnsi="宋体" w:cs="宋体" w:eastAsia="宋体" w:hint="default"/>
                <w:sz w:val="24"/>
                <w:szCs w:val="24"/>
              </w:rPr>
            </w:pPr>
            <w:r>
              <w:rPr>
                <w:rFonts w:ascii="宋体" w:hAnsi="宋体" w:cs="宋体" w:eastAsia="宋体" w:hint="default"/>
                <w:sz w:val="24"/>
                <w:szCs w:val="24"/>
              </w:rPr>
              <w:t>日常维修及装潢</w:t>
            </w:r>
          </w:p>
        </w:tc>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83"/>
              <w:jc w:val="right"/>
              <w:rPr>
                <w:rFonts w:ascii="Arial" w:hAnsi="Arial" w:cs="Arial" w:eastAsia="Arial" w:hint="default"/>
                <w:sz w:val="24"/>
                <w:szCs w:val="24"/>
              </w:rPr>
            </w:pPr>
            <w:r>
              <w:rPr>
                <w:rFonts w:ascii="Arial"/>
                <w:spacing w:val="-1"/>
                <w:w w:val="95"/>
                <w:sz w:val="24"/>
              </w:rPr>
              <w:t>144,995</w:t>
            </w:r>
            <w:r>
              <w:rPr>
                <w:rFonts w:ascii="Arial"/>
                <w:sz w:val="24"/>
              </w:rPr>
            </w: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47,723</w:t>
            </w:r>
            <w:r>
              <w:rPr>
                <w:rFonts w:ascii="Arial"/>
                <w:sz w:val="24"/>
              </w:rPr>
            </w:r>
          </w:p>
        </w:tc>
      </w:tr>
      <w:tr>
        <w:trPr>
          <w:trHeight w:val="314" w:hRule="exact"/>
        </w:trPr>
        <w:tc>
          <w:tcPr>
            <w:tcW w:w="573"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61" w:lineRule="exact"/>
              <w:ind w:left="190"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677" w:type="dxa"/>
            <w:tcBorders>
              <w:top w:val="nil" w:sz="6" w:space="0" w:color="auto"/>
              <w:left w:val="nil" w:sz="6" w:space="0" w:color="auto"/>
              <w:bottom w:val="nil" w:sz="6" w:space="0" w:color="auto"/>
              <w:right w:val="nil" w:sz="6" w:space="0" w:color="auto"/>
            </w:tcBorders>
          </w:tcPr>
          <w:p>
            <w:pPr>
              <w:pStyle w:val="TableParagraph"/>
              <w:tabs>
                <w:tab w:pos="1424" w:val="left" w:leader="none"/>
                <w:tab w:pos="2390" w:val="left" w:leader="none"/>
              </w:tabs>
              <w:spacing w:line="240" w:lineRule="auto" w:before="20"/>
              <w:ind w:right="28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229,148</w:t>
              <w:tab/>
            </w:r>
            <w:r>
              <w:rPr>
                <w:rFonts w:ascii="Arial"/>
                <w:spacing w:val="-1"/>
                <w:sz w:val="24"/>
              </w:rPr>
            </w:r>
          </w:p>
        </w:tc>
        <w:tc>
          <w:tcPr>
            <w:tcW w:w="3021" w:type="dxa"/>
            <w:tcBorders>
              <w:top w:val="nil" w:sz="6" w:space="0" w:color="auto"/>
              <w:left w:val="nil" w:sz="6" w:space="0" w:color="auto"/>
              <w:bottom w:val="nil" w:sz="6" w:space="0" w:color="auto"/>
              <w:right w:val="nil" w:sz="6" w:space="0" w:color="auto"/>
            </w:tcBorders>
          </w:tcPr>
          <w:p>
            <w:pPr>
              <w:pStyle w:val="TableParagraph"/>
              <w:tabs>
                <w:tab w:pos="1865" w:val="left" w:leader="none"/>
                <w:tab w:pos="2699" w:val="left" w:leader="none"/>
              </w:tabs>
              <w:spacing w:line="240" w:lineRule="auto" w:before="2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62,148</w:t>
              <w:tab/>
            </w:r>
            <w:r>
              <w:rPr>
                <w:rFonts w:ascii="Arial"/>
                <w:spacing w:val="-1"/>
                <w:sz w:val="24"/>
              </w:rPr>
            </w:r>
          </w:p>
        </w:tc>
      </w:tr>
      <w:tr>
        <w:trPr>
          <w:trHeight w:val="363" w:hRule="exact"/>
        </w:trPr>
        <w:tc>
          <w:tcPr>
            <w:tcW w:w="573"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
        </w:tc>
        <w:tc>
          <w:tcPr>
            <w:tcW w:w="2677" w:type="dxa"/>
            <w:tcBorders>
              <w:top w:val="nil" w:sz="6" w:space="0" w:color="auto"/>
              <w:left w:val="nil" w:sz="6" w:space="0" w:color="auto"/>
              <w:bottom w:val="nil" w:sz="6" w:space="0" w:color="auto"/>
              <w:right w:val="nil" w:sz="6" w:space="0" w:color="auto"/>
            </w:tcBorders>
          </w:tcPr>
          <w:p>
            <w:pPr>
              <w:pStyle w:val="TableParagraph"/>
              <w:tabs>
                <w:tab w:pos="1222" w:val="left" w:leader="none"/>
                <w:tab w:pos="2390" w:val="left" w:leader="none"/>
              </w:tabs>
              <w:spacing w:line="268" w:lineRule="exact"/>
              <w:ind w:right="28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6,899,855</w:t>
              <w:tab/>
            </w:r>
            <w:r>
              <w:rPr>
                <w:rFonts w:ascii="Arial"/>
                <w:spacing w:val="-1"/>
                <w:sz w:val="24"/>
              </w:rPr>
            </w:r>
          </w:p>
        </w:tc>
        <w:tc>
          <w:tcPr>
            <w:tcW w:w="3021" w:type="dxa"/>
            <w:tcBorders>
              <w:top w:val="nil" w:sz="6" w:space="0" w:color="auto"/>
              <w:left w:val="nil" w:sz="6" w:space="0" w:color="auto"/>
              <w:bottom w:val="nil" w:sz="6" w:space="0" w:color="auto"/>
              <w:right w:val="nil" w:sz="6" w:space="0" w:color="auto"/>
            </w:tcBorders>
          </w:tcPr>
          <w:p>
            <w:pPr>
              <w:pStyle w:val="TableParagraph"/>
              <w:tabs>
                <w:tab w:pos="1530" w:val="left" w:leader="none"/>
                <w:tab w:pos="2699"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3,965,083</w:t>
              <w:tab/>
            </w:r>
            <w:r>
              <w:rPr>
                <w:rFonts w:ascii="Arial"/>
                <w:spacing w:val="-1"/>
                <w:sz w:val="24"/>
              </w:rPr>
            </w:r>
          </w:p>
        </w:tc>
      </w:tr>
    </w:tbl>
    <w:p>
      <w:pPr>
        <w:spacing w:after="0" w:line="268" w:lineRule="exact"/>
        <w:jc w:val="right"/>
        <w:rPr>
          <w:rFonts w:ascii="Arial" w:hAnsi="Arial" w:cs="Arial" w:eastAsia="Arial" w:hint="default"/>
          <w:sz w:val="24"/>
          <w:szCs w:val="24"/>
        </w:rPr>
        <w:sectPr>
          <w:pgSz w:w="11910" w:h="16840"/>
          <w:pgMar w:header="0" w:footer="947" w:top="2300" w:bottom="1140" w:left="920" w:right="740"/>
        </w:sectPr>
      </w:pPr>
    </w:p>
    <w:p>
      <w:pPr>
        <w:spacing w:line="240" w:lineRule="auto" w:before="4"/>
        <w:rPr>
          <w:rFonts w:ascii="Times New Roman" w:hAnsi="Times New Roman" w:cs="Times New Roman" w:eastAsia="Times New Roman"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613"/>
        <w:gridCol w:w="4249"/>
        <w:gridCol w:w="2436"/>
        <w:gridCol w:w="425"/>
        <w:gridCol w:w="2268"/>
      </w:tblGrid>
      <w:tr>
        <w:trPr>
          <w:trHeight w:val="1099" w:hRule="exact"/>
        </w:trPr>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(49)</w:t>
            </w:r>
          </w:p>
        </w:tc>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0"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50" w:right="0"/>
              <w:jc w:val="left"/>
              <w:rPr>
                <w:rFonts w:ascii="宋体" w:hAnsi="宋体" w:cs="宋体" w:eastAsia="宋体" w:hint="default"/>
                <w:sz w:val="24"/>
                <w:szCs w:val="24"/>
              </w:rPr>
            </w:pPr>
            <w:r>
              <w:rPr>
                <w:rFonts w:ascii="宋体" w:hAnsi="宋体" w:cs="宋体" w:eastAsia="宋体" w:hint="default"/>
                <w:b/>
                <w:bCs/>
                <w:sz w:val="24"/>
                <w:szCs w:val="24"/>
              </w:rPr>
              <w:t>现金流量表补充资料</w:t>
            </w:r>
            <w:r>
              <w:rPr>
                <w:rFonts w:ascii="宋体" w:hAnsi="宋体" w:cs="宋体" w:eastAsia="宋体" w:hint="default"/>
                <w:sz w:val="24"/>
                <w:szCs w:val="24"/>
              </w:rPr>
            </w:r>
          </w:p>
        </w:tc>
        <w:tc>
          <w:tcPr>
            <w:tcW w:w="5129" w:type="dxa"/>
            <w:gridSpan w:val="3"/>
            <w:vMerge w:val="restart"/>
            <w:tcBorders>
              <w:top w:val="nil" w:sz="6" w:space="0" w:color="auto"/>
              <w:left w:val="nil" w:sz="6" w:space="0" w:color="auto"/>
              <w:right w:val="nil" w:sz="6" w:space="0" w:color="auto"/>
            </w:tcBorders>
          </w:tcPr>
          <w:p>
            <w:pPr/>
          </w:p>
        </w:tc>
      </w:tr>
      <w:tr>
        <w:trPr>
          <w:trHeight w:val="591" w:hRule="exact"/>
        </w:trPr>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(a)</w:t>
            </w:r>
          </w:p>
        </w:tc>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0" w:right="0"/>
              <w:jc w:val="left"/>
              <w:rPr>
                <w:rFonts w:ascii="宋体" w:hAnsi="宋体" w:cs="宋体" w:eastAsia="宋体" w:hint="default"/>
                <w:sz w:val="24"/>
                <w:szCs w:val="24"/>
              </w:rPr>
            </w:pPr>
            <w:r>
              <w:rPr>
                <w:rFonts w:ascii="宋体" w:hAnsi="宋体" w:cs="宋体" w:eastAsia="宋体" w:hint="default"/>
                <w:sz w:val="24"/>
                <w:szCs w:val="24"/>
              </w:rPr>
              <w:t>现金流量表补充资料</w:t>
            </w:r>
          </w:p>
        </w:tc>
        <w:tc>
          <w:tcPr>
            <w:tcW w:w="5129" w:type="dxa"/>
            <w:gridSpan w:val="3"/>
            <w:vMerge/>
            <w:tcBorders>
              <w:left w:val="nil" w:sz="6" w:space="0" w:color="auto"/>
              <w:right w:val="nil" w:sz="6" w:space="0" w:color="auto"/>
            </w:tcBorders>
          </w:tcPr>
          <w:p>
            <w:pPr/>
          </w:p>
        </w:tc>
      </w:tr>
      <w:tr>
        <w:trPr>
          <w:trHeight w:val="450"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0" w:right="0"/>
              <w:jc w:val="left"/>
              <w:rPr>
                <w:rFonts w:ascii="宋体" w:hAnsi="宋体" w:cs="宋体" w:eastAsia="宋体" w:hint="default"/>
                <w:sz w:val="24"/>
                <w:szCs w:val="24"/>
              </w:rPr>
            </w:pPr>
            <w:r>
              <w:rPr>
                <w:rFonts w:ascii="宋体" w:hAnsi="宋体" w:cs="宋体" w:eastAsia="宋体" w:hint="default"/>
                <w:sz w:val="24"/>
                <w:szCs w:val="24"/>
              </w:rPr>
              <w:t>将净利润调节为经营活动现金流量</w:t>
            </w:r>
          </w:p>
        </w:tc>
        <w:tc>
          <w:tcPr>
            <w:tcW w:w="5129" w:type="dxa"/>
            <w:gridSpan w:val="3"/>
            <w:vMerge/>
            <w:tcBorders>
              <w:left w:val="nil" w:sz="6" w:space="0" w:color="auto"/>
              <w:bottom w:val="nil" w:sz="6" w:space="0" w:color="auto"/>
              <w:right w:val="nil" w:sz="6" w:space="0" w:color="auto"/>
            </w:tcBorders>
          </w:tcPr>
          <w:p>
            <w:pPr/>
          </w:p>
        </w:tc>
      </w:tr>
      <w:tr>
        <w:trPr>
          <w:trHeight w:val="453"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Style w:val="TableParagraph"/>
              <w:spacing w:line="293" w:lineRule="exact"/>
              <w:ind w:right="101"/>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93" w:lineRule="exact"/>
              <w:ind w:right="101"/>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4"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1"/>
              <w:jc w:val="right"/>
              <w:rPr>
                <w:rFonts w:ascii="Arial" w:hAnsi="Arial" w:cs="Arial" w:eastAsia="Arial" w:hint="default"/>
                <w:sz w:val="24"/>
                <w:szCs w:val="24"/>
              </w:rPr>
            </w:pPr>
            <w:r>
              <w:rPr>
                <w:rFonts w:ascii="Arial"/>
                <w:spacing w:val="-1"/>
                <w:w w:val="95"/>
                <w:sz w:val="24"/>
              </w:rPr>
              <w:t>4,105,508</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83"/>
              <w:jc w:val="right"/>
              <w:rPr>
                <w:rFonts w:ascii="Arial" w:hAnsi="Arial" w:cs="Arial" w:eastAsia="Arial" w:hint="default"/>
                <w:sz w:val="24"/>
                <w:szCs w:val="24"/>
              </w:rPr>
            </w:pPr>
            <w:r>
              <w:rPr>
                <w:rFonts w:ascii="Arial"/>
                <w:spacing w:val="-1"/>
                <w:w w:val="95"/>
                <w:sz w:val="24"/>
              </w:rPr>
              <w:t>2,988,495</w:t>
            </w:r>
            <w:r>
              <w:rPr>
                <w:rFonts w:ascii="Arial"/>
                <w:sz w:val="24"/>
              </w:rPr>
            </w:r>
          </w:p>
        </w:tc>
      </w:tr>
      <w:tr>
        <w:trPr>
          <w:trHeight w:val="312"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79" w:lineRule="exact"/>
              <w:ind w:left="150" w:right="0"/>
              <w:jc w:val="left"/>
              <w:rPr>
                <w:rFonts w:ascii="宋体" w:hAnsi="宋体" w:cs="宋体" w:eastAsia="宋体" w:hint="default"/>
                <w:sz w:val="24"/>
                <w:szCs w:val="24"/>
              </w:rPr>
            </w:pPr>
            <w:r>
              <w:rPr>
                <w:rFonts w:ascii="宋体" w:hAnsi="宋体" w:cs="宋体" w:eastAsia="宋体" w:hint="default"/>
                <w:sz w:val="24"/>
                <w:szCs w:val="24"/>
              </w:rPr>
              <w:t>加：资产减值准备</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4"/>
                <w:szCs w:val="24"/>
              </w:rPr>
            </w:pPr>
            <w:r>
              <w:rPr>
                <w:rFonts w:ascii="Arial"/>
                <w:spacing w:val="-1"/>
                <w:w w:val="95"/>
                <w:sz w:val="24"/>
              </w:rPr>
              <w:t>75,924</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2"/>
              <w:jc w:val="right"/>
              <w:rPr>
                <w:rFonts w:ascii="Arial" w:hAnsi="Arial" w:cs="Arial" w:eastAsia="Arial" w:hint="default"/>
                <w:sz w:val="24"/>
                <w:szCs w:val="24"/>
              </w:rPr>
            </w:pPr>
            <w:r>
              <w:rPr>
                <w:rFonts w:ascii="Arial"/>
                <w:spacing w:val="-1"/>
                <w:w w:val="95"/>
                <w:sz w:val="24"/>
              </w:rPr>
              <w:t>32,335</w:t>
            </w:r>
            <w:r>
              <w:rPr>
                <w:rFonts w:ascii="Arial"/>
                <w:sz w:val="24"/>
              </w:rPr>
            </w:r>
          </w:p>
        </w:tc>
      </w:tr>
      <w:tr>
        <w:trPr>
          <w:trHeight w:val="312"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79" w:lineRule="exact"/>
              <w:ind w:left="610" w:right="0"/>
              <w:jc w:val="left"/>
              <w:rPr>
                <w:rFonts w:ascii="宋体" w:hAnsi="宋体" w:cs="宋体" w:eastAsia="宋体" w:hint="default"/>
                <w:sz w:val="24"/>
                <w:szCs w:val="24"/>
              </w:rPr>
            </w:pPr>
            <w:r>
              <w:rPr>
                <w:rFonts w:ascii="宋体" w:hAnsi="宋体" w:cs="宋体" w:eastAsia="宋体" w:hint="default"/>
                <w:sz w:val="24"/>
                <w:szCs w:val="24"/>
              </w:rPr>
              <w:t>固定资产和投资性房地产折旧</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4"/>
                <w:szCs w:val="24"/>
              </w:rPr>
            </w:pPr>
            <w:r>
              <w:rPr>
                <w:rFonts w:ascii="Arial"/>
                <w:spacing w:val="-1"/>
                <w:w w:val="95"/>
                <w:sz w:val="24"/>
              </w:rPr>
              <w:t>209,134</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2"/>
              <w:jc w:val="right"/>
              <w:rPr>
                <w:rFonts w:ascii="Arial" w:hAnsi="Arial" w:cs="Arial" w:eastAsia="Arial" w:hint="default"/>
                <w:sz w:val="24"/>
                <w:szCs w:val="24"/>
              </w:rPr>
            </w:pPr>
            <w:r>
              <w:rPr>
                <w:rFonts w:ascii="Arial"/>
                <w:spacing w:val="-1"/>
                <w:w w:val="95"/>
                <w:sz w:val="24"/>
              </w:rPr>
              <w:t>194,466</w:t>
            </w:r>
            <w:r>
              <w:rPr>
                <w:rFonts w:ascii="Arial"/>
                <w:sz w:val="24"/>
              </w:rPr>
            </w:r>
          </w:p>
        </w:tc>
      </w:tr>
      <w:tr>
        <w:trPr>
          <w:trHeight w:val="312"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79" w:lineRule="exact"/>
              <w:ind w:left="610"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4"/>
                <w:szCs w:val="24"/>
              </w:rPr>
            </w:pPr>
            <w:r>
              <w:rPr>
                <w:rFonts w:ascii="Arial"/>
                <w:spacing w:val="-1"/>
                <w:w w:val="95"/>
                <w:sz w:val="24"/>
              </w:rPr>
              <w:t>107,714</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2"/>
              <w:jc w:val="right"/>
              <w:rPr>
                <w:rFonts w:ascii="Arial" w:hAnsi="Arial" w:cs="Arial" w:eastAsia="Arial" w:hint="default"/>
                <w:sz w:val="24"/>
                <w:szCs w:val="24"/>
              </w:rPr>
            </w:pPr>
            <w:r>
              <w:rPr>
                <w:rFonts w:ascii="Arial"/>
                <w:spacing w:val="-1"/>
                <w:w w:val="95"/>
                <w:sz w:val="24"/>
              </w:rPr>
              <w:t>91,754</w:t>
            </w:r>
            <w:r>
              <w:rPr>
                <w:rFonts w:ascii="Arial"/>
                <w:sz w:val="24"/>
              </w:rPr>
            </w:r>
          </w:p>
        </w:tc>
      </w:tr>
      <w:tr>
        <w:trPr>
          <w:trHeight w:val="312"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79" w:lineRule="exact"/>
              <w:ind w:left="610"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4"/>
                <w:szCs w:val="24"/>
              </w:rPr>
            </w:pPr>
            <w:r>
              <w:rPr>
                <w:rFonts w:ascii="Arial"/>
                <w:spacing w:val="-1"/>
                <w:w w:val="95"/>
                <w:sz w:val="24"/>
              </w:rPr>
              <w:t>205,236</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2"/>
              <w:jc w:val="right"/>
              <w:rPr>
                <w:rFonts w:ascii="Arial" w:hAnsi="Arial" w:cs="Arial" w:eastAsia="Arial" w:hint="default"/>
                <w:sz w:val="24"/>
                <w:szCs w:val="24"/>
              </w:rPr>
            </w:pPr>
            <w:r>
              <w:rPr>
                <w:rFonts w:ascii="Arial"/>
                <w:spacing w:val="-4"/>
                <w:sz w:val="24"/>
              </w:rPr>
              <w:t>174,611</w:t>
            </w:r>
          </w:p>
        </w:tc>
      </w:tr>
      <w:tr>
        <w:trPr>
          <w:trHeight w:val="312"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79" w:lineRule="exact"/>
              <w:ind w:left="610" w:right="0"/>
              <w:jc w:val="left"/>
              <w:rPr>
                <w:rFonts w:ascii="宋体" w:hAnsi="宋体" w:cs="宋体" w:eastAsia="宋体" w:hint="default"/>
                <w:sz w:val="24"/>
                <w:szCs w:val="24"/>
              </w:rPr>
            </w:pPr>
            <w:r>
              <w:rPr>
                <w:rFonts w:ascii="宋体" w:hAnsi="宋体" w:cs="宋体" w:eastAsia="宋体" w:hint="default"/>
                <w:sz w:val="24"/>
                <w:szCs w:val="24"/>
              </w:rPr>
              <w:t>处置固定资产的净损失</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4"/>
                <w:szCs w:val="24"/>
              </w:rPr>
            </w:pPr>
            <w:r>
              <w:rPr>
                <w:rFonts w:ascii="Arial"/>
                <w:spacing w:val="-1"/>
                <w:w w:val="95"/>
                <w:sz w:val="24"/>
              </w:rPr>
              <w:t>3,717</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2"/>
              <w:jc w:val="right"/>
              <w:rPr>
                <w:rFonts w:ascii="Arial" w:hAnsi="Arial" w:cs="Arial" w:eastAsia="Arial" w:hint="default"/>
                <w:sz w:val="24"/>
                <w:szCs w:val="24"/>
              </w:rPr>
            </w:pPr>
            <w:r>
              <w:rPr>
                <w:rFonts w:ascii="Arial"/>
                <w:spacing w:val="-1"/>
                <w:w w:val="95"/>
                <w:sz w:val="24"/>
              </w:rPr>
              <w:t>403</w:t>
            </w:r>
            <w:r>
              <w:rPr>
                <w:rFonts w:ascii="Arial"/>
                <w:sz w:val="24"/>
              </w:rPr>
            </w:r>
          </w:p>
        </w:tc>
      </w:tr>
      <w:tr>
        <w:trPr>
          <w:trHeight w:val="318"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96" w:lineRule="exact"/>
              <w:ind w:left="610" w:right="0"/>
              <w:jc w:val="left"/>
              <w:rPr>
                <w:rFonts w:ascii="Arial" w:hAnsi="Arial" w:cs="Arial" w:eastAsia="Arial" w:hint="default"/>
                <w:sz w:val="24"/>
                <w:szCs w:val="24"/>
              </w:rPr>
            </w:pPr>
            <w:r>
              <w:rPr>
                <w:rFonts w:ascii="宋体" w:hAnsi="宋体" w:cs="宋体" w:eastAsia="宋体" w:hint="default"/>
                <w:sz w:val="24"/>
                <w:szCs w:val="24"/>
              </w:rPr>
              <w:t>财务费用</w:t>
            </w:r>
            <w:r>
              <w:rPr>
                <w:rFonts w:ascii="Arial" w:hAnsi="Arial" w:cs="Arial" w:eastAsia="Arial" w:hint="default"/>
                <w:sz w:val="24"/>
                <w:szCs w:val="24"/>
              </w:rPr>
              <w:t>(</w:t>
            </w:r>
            <w:r>
              <w:rPr>
                <w:rFonts w:ascii="宋体" w:hAnsi="宋体" w:cs="宋体" w:eastAsia="宋体" w:hint="default"/>
                <w:sz w:val="24"/>
                <w:szCs w:val="24"/>
              </w:rPr>
              <w:t>收入</w:t>
            </w:r>
            <w:r>
              <w:rPr>
                <w:rFonts w:ascii="Arial" w:hAnsi="Arial" w:cs="Arial" w:eastAsia="Arial" w:hint="default"/>
                <w:sz w:val="24"/>
                <w:szCs w:val="24"/>
              </w:rPr>
              <w:t>)</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4"/>
                <w:szCs w:val="24"/>
              </w:rPr>
            </w:pPr>
            <w:r>
              <w:rPr>
                <w:rFonts w:ascii="Arial"/>
                <w:spacing w:val="-1"/>
                <w:w w:val="95"/>
                <w:sz w:val="24"/>
              </w:rPr>
              <w:t>1,483</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2"/>
              <w:jc w:val="right"/>
              <w:rPr>
                <w:rFonts w:ascii="Arial" w:hAnsi="Arial" w:cs="Arial" w:eastAsia="Arial" w:hint="default"/>
                <w:sz w:val="24"/>
                <w:szCs w:val="24"/>
              </w:rPr>
            </w:pPr>
            <w:r>
              <w:rPr>
                <w:rFonts w:ascii="Arial"/>
                <w:spacing w:val="-1"/>
                <w:w w:val="95"/>
                <w:sz w:val="24"/>
              </w:rPr>
              <w:t>1,500</w:t>
            </w:r>
            <w:r>
              <w:rPr>
                <w:rFonts w:ascii="Arial"/>
                <w:sz w:val="24"/>
              </w:rPr>
            </w:r>
          </w:p>
        </w:tc>
      </w:tr>
      <w:tr>
        <w:trPr>
          <w:trHeight w:val="315"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90" w:lineRule="exact"/>
              <w:ind w:left="610" w:right="0"/>
              <w:jc w:val="left"/>
              <w:rPr>
                <w:rFonts w:ascii="Arial" w:hAnsi="Arial" w:cs="Arial" w:eastAsia="Arial" w:hint="default"/>
                <w:sz w:val="24"/>
                <w:szCs w:val="24"/>
              </w:rPr>
            </w:pPr>
            <w:r>
              <w:rPr>
                <w:rFonts w:ascii="宋体" w:hAnsi="宋体" w:cs="宋体" w:eastAsia="宋体" w:hint="default"/>
                <w:sz w:val="24"/>
                <w:szCs w:val="24"/>
              </w:rPr>
              <w:t>投资损失</w:t>
            </w:r>
            <w:r>
              <w:rPr>
                <w:rFonts w:ascii="Arial" w:hAnsi="Arial" w:cs="Arial" w:eastAsia="Arial" w:hint="default"/>
                <w:sz w:val="24"/>
                <w:szCs w:val="24"/>
              </w:rPr>
              <w:t>(</w:t>
            </w:r>
            <w:r>
              <w:rPr>
                <w:rFonts w:ascii="宋体" w:hAnsi="宋体" w:cs="宋体" w:eastAsia="宋体" w:hint="default"/>
                <w:sz w:val="24"/>
                <w:szCs w:val="24"/>
              </w:rPr>
              <w:t>收益</w:t>
            </w:r>
            <w:r>
              <w:rPr>
                <w:rFonts w:ascii="Arial" w:hAnsi="Arial" w:cs="Arial" w:eastAsia="Arial" w:hint="default"/>
                <w:sz w:val="24"/>
                <w:szCs w:val="24"/>
              </w:rPr>
              <w:t>)</w:t>
            </w:r>
          </w:p>
        </w:tc>
        <w:tc>
          <w:tcPr>
            <w:tcW w:w="2436" w:type="dxa"/>
            <w:tcBorders>
              <w:top w:val="nil" w:sz="6" w:space="0" w:color="auto"/>
              <w:left w:val="nil" w:sz="6" w:space="0" w:color="auto"/>
              <w:bottom w:val="nil" w:sz="6" w:space="0" w:color="auto"/>
              <w:right w:val="nil" w:sz="6" w:space="0" w:color="auto"/>
            </w:tcBorders>
          </w:tcPr>
          <w:p>
            <w:pPr>
              <w:pStyle w:val="TableParagraph"/>
              <w:spacing w:line="272" w:lineRule="exact"/>
              <w:ind w:right="20"/>
              <w:jc w:val="right"/>
              <w:rPr>
                <w:rFonts w:ascii="Arial" w:hAnsi="Arial" w:cs="Arial" w:eastAsia="Arial" w:hint="default"/>
                <w:sz w:val="24"/>
                <w:szCs w:val="24"/>
              </w:rPr>
            </w:pPr>
            <w:r>
              <w:rPr>
                <w:rFonts w:ascii="Arial"/>
                <w:spacing w:val="-1"/>
                <w:w w:val="95"/>
                <w:sz w:val="24"/>
              </w:rPr>
              <w:t>(10,625)</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72" w:lineRule="exact"/>
              <w:ind w:right="82"/>
              <w:jc w:val="right"/>
              <w:rPr>
                <w:rFonts w:ascii="Arial" w:hAnsi="Arial" w:cs="Arial" w:eastAsia="Arial" w:hint="default"/>
                <w:sz w:val="24"/>
                <w:szCs w:val="24"/>
              </w:rPr>
            </w:pPr>
            <w:r>
              <w:rPr>
                <w:rFonts w:ascii="Arial"/>
                <w:spacing w:val="-1"/>
                <w:w w:val="95"/>
                <w:sz w:val="24"/>
              </w:rPr>
              <w:t>3,952</w:t>
            </w:r>
            <w:r>
              <w:rPr>
                <w:rFonts w:ascii="Arial"/>
                <w:sz w:val="24"/>
              </w:rPr>
            </w:r>
          </w:p>
        </w:tc>
      </w:tr>
      <w:tr>
        <w:trPr>
          <w:trHeight w:val="306"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70" w:lineRule="exact"/>
              <w:ind w:right="83"/>
              <w:jc w:val="right"/>
              <w:rPr>
                <w:rFonts w:ascii="宋体" w:hAnsi="宋体" w:cs="宋体" w:eastAsia="宋体" w:hint="default"/>
                <w:sz w:val="24"/>
                <w:szCs w:val="24"/>
              </w:rPr>
            </w:pPr>
            <w:r>
              <w:rPr>
                <w:rFonts w:ascii="宋体" w:hAnsi="宋体" w:cs="宋体" w:eastAsia="宋体" w:hint="default"/>
                <w:spacing w:val="13"/>
                <w:w w:val="95"/>
                <w:sz w:val="24"/>
                <w:szCs w:val="24"/>
              </w:rPr>
              <w:t>权益法核算的长期股权投资取得</w:t>
            </w:r>
            <w:r>
              <w:rPr>
                <w:rFonts w:ascii="宋体" w:hAnsi="宋体" w:cs="宋体" w:eastAsia="宋体" w:hint="default"/>
                <w:w w:val="95"/>
                <w:sz w:val="24"/>
                <w:szCs w:val="24"/>
              </w:rPr>
            </w:r>
          </w:p>
        </w:tc>
        <w:tc>
          <w:tcPr>
            <w:tcW w:w="243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312"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76" w:lineRule="exact"/>
              <w:ind w:right="87"/>
              <w:jc w:val="right"/>
              <w:rPr>
                <w:rFonts w:ascii="宋体" w:hAnsi="宋体" w:cs="宋体" w:eastAsia="宋体" w:hint="default"/>
                <w:sz w:val="24"/>
                <w:szCs w:val="24"/>
              </w:rPr>
            </w:pPr>
            <w:r>
              <w:rPr>
                <w:rFonts w:ascii="宋体" w:hAnsi="宋体" w:cs="宋体" w:eastAsia="宋体" w:hint="default"/>
                <w:spacing w:val="11"/>
                <w:w w:val="95"/>
                <w:sz w:val="24"/>
                <w:szCs w:val="24"/>
              </w:rPr>
              <w:t>时所享有的被投资单位可辨认</w:t>
            </w:r>
            <w:r>
              <w:rPr>
                <w:rFonts w:ascii="宋体" w:hAnsi="宋体" w:cs="宋体" w:eastAsia="宋体" w:hint="default"/>
                <w:w w:val="95"/>
                <w:sz w:val="24"/>
                <w:szCs w:val="24"/>
              </w:rPr>
            </w:r>
          </w:p>
        </w:tc>
        <w:tc>
          <w:tcPr>
            <w:tcW w:w="243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312"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76" w:lineRule="exact"/>
              <w:ind w:right="87"/>
              <w:jc w:val="right"/>
              <w:rPr>
                <w:rFonts w:ascii="宋体" w:hAnsi="宋体" w:cs="宋体" w:eastAsia="宋体" w:hint="default"/>
                <w:sz w:val="24"/>
                <w:szCs w:val="24"/>
              </w:rPr>
            </w:pPr>
            <w:r>
              <w:rPr>
                <w:rFonts w:ascii="宋体" w:hAnsi="宋体" w:cs="宋体" w:eastAsia="宋体" w:hint="default"/>
                <w:spacing w:val="11"/>
                <w:w w:val="95"/>
                <w:sz w:val="24"/>
                <w:szCs w:val="24"/>
              </w:rPr>
              <w:t>净资产公允价值份额超过初始</w:t>
            </w:r>
            <w:r>
              <w:rPr>
                <w:rFonts w:ascii="宋体" w:hAnsi="宋体" w:cs="宋体" w:eastAsia="宋体" w:hint="default"/>
                <w:w w:val="95"/>
                <w:sz w:val="24"/>
                <w:szCs w:val="24"/>
              </w:rPr>
            </w:r>
          </w:p>
        </w:tc>
        <w:tc>
          <w:tcPr>
            <w:tcW w:w="243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324"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76" w:lineRule="exact"/>
              <w:ind w:left="894" w:right="0"/>
              <w:jc w:val="left"/>
              <w:rPr>
                <w:rFonts w:ascii="宋体" w:hAnsi="宋体" w:cs="宋体" w:eastAsia="宋体" w:hint="default"/>
                <w:sz w:val="24"/>
                <w:szCs w:val="24"/>
              </w:rPr>
            </w:pPr>
            <w:r>
              <w:rPr>
                <w:rFonts w:ascii="宋体" w:hAnsi="宋体" w:cs="宋体" w:eastAsia="宋体" w:hint="default"/>
                <w:sz w:val="24"/>
                <w:szCs w:val="24"/>
              </w:rPr>
              <w:t>投资成本的部分</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0"/>
              <w:jc w:val="right"/>
              <w:rPr>
                <w:rFonts w:ascii="Arial" w:hAnsi="Arial" w:cs="Arial" w:eastAsia="Arial" w:hint="default"/>
                <w:sz w:val="24"/>
                <w:szCs w:val="24"/>
              </w:rPr>
            </w:pPr>
            <w:r>
              <w:rPr>
                <w:rFonts w:ascii="Arial"/>
                <w:w w:val="99"/>
                <w:sz w:val="24"/>
              </w:rPr>
              <w:t>-</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
              <w:jc w:val="right"/>
              <w:rPr>
                <w:rFonts w:ascii="Arial" w:hAnsi="Arial" w:cs="Arial" w:eastAsia="Arial" w:hint="default"/>
                <w:sz w:val="24"/>
                <w:szCs w:val="24"/>
              </w:rPr>
            </w:pPr>
            <w:r>
              <w:rPr>
                <w:rFonts w:ascii="Arial"/>
                <w:spacing w:val="-1"/>
                <w:w w:val="95"/>
                <w:sz w:val="24"/>
              </w:rPr>
              <w:t>(10,049)</w:t>
            </w:r>
            <w:r>
              <w:rPr>
                <w:rFonts w:ascii="Arial"/>
                <w:sz w:val="24"/>
              </w:rPr>
            </w:r>
          </w:p>
        </w:tc>
      </w:tr>
      <w:tr>
        <w:trPr>
          <w:trHeight w:val="303"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81" w:lineRule="exact"/>
              <w:ind w:left="610" w:right="0"/>
              <w:jc w:val="left"/>
              <w:rPr>
                <w:rFonts w:ascii="Arial" w:hAnsi="Arial" w:cs="Arial" w:eastAsia="Arial" w:hint="default"/>
                <w:sz w:val="24"/>
                <w:szCs w:val="24"/>
              </w:rPr>
            </w:pPr>
            <w:r>
              <w:rPr>
                <w:rFonts w:ascii="宋体" w:hAnsi="宋体" w:cs="宋体" w:eastAsia="宋体" w:hint="default"/>
                <w:sz w:val="24"/>
                <w:szCs w:val="24"/>
              </w:rPr>
              <w:t>递延所得税资产减少</w:t>
            </w:r>
            <w:r>
              <w:rPr>
                <w:rFonts w:ascii="Arial" w:hAnsi="Arial" w:cs="Arial" w:eastAsia="Arial" w:hint="default"/>
                <w:sz w:val="24"/>
                <w:szCs w:val="24"/>
              </w:rPr>
              <w:t>(</w:t>
            </w:r>
            <w:r>
              <w:rPr>
                <w:rFonts w:ascii="宋体" w:hAnsi="宋体" w:cs="宋体" w:eastAsia="宋体" w:hint="default"/>
                <w:sz w:val="24"/>
                <w:szCs w:val="24"/>
              </w:rPr>
              <w:t>增加</w:t>
            </w:r>
            <w:r>
              <w:rPr>
                <w:rFonts w:ascii="Arial" w:hAnsi="Arial" w:cs="Arial" w:eastAsia="Arial" w:hint="default"/>
                <w:sz w:val="24"/>
                <w:szCs w:val="24"/>
              </w:rPr>
              <w:t>)</w:t>
            </w:r>
          </w:p>
        </w:tc>
        <w:tc>
          <w:tcPr>
            <w:tcW w:w="2436" w:type="dxa"/>
            <w:tcBorders>
              <w:top w:val="nil" w:sz="6" w:space="0" w:color="auto"/>
              <w:left w:val="nil" w:sz="6" w:space="0" w:color="auto"/>
              <w:bottom w:val="nil" w:sz="6" w:space="0" w:color="auto"/>
              <w:right w:val="nil" w:sz="6" w:space="0" w:color="auto"/>
            </w:tcBorders>
          </w:tcPr>
          <w:p>
            <w:pPr>
              <w:pStyle w:val="TableParagraph"/>
              <w:spacing w:line="263" w:lineRule="exact"/>
              <w:ind w:right="20"/>
              <w:jc w:val="right"/>
              <w:rPr>
                <w:rFonts w:ascii="Arial" w:hAnsi="Arial" w:cs="Arial" w:eastAsia="Arial" w:hint="default"/>
                <w:sz w:val="24"/>
                <w:szCs w:val="24"/>
              </w:rPr>
            </w:pPr>
            <w:r>
              <w:rPr>
                <w:rFonts w:ascii="Arial"/>
                <w:spacing w:val="-1"/>
                <w:w w:val="95"/>
                <w:sz w:val="24"/>
              </w:rPr>
              <w:t>(31,362)</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63" w:lineRule="exact"/>
              <w:ind w:right="4"/>
              <w:jc w:val="right"/>
              <w:rPr>
                <w:rFonts w:ascii="Arial" w:hAnsi="Arial" w:cs="Arial" w:eastAsia="Arial" w:hint="default"/>
                <w:sz w:val="24"/>
                <w:szCs w:val="24"/>
              </w:rPr>
            </w:pPr>
            <w:r>
              <w:rPr>
                <w:rFonts w:ascii="Arial"/>
                <w:spacing w:val="-1"/>
                <w:w w:val="95"/>
                <w:sz w:val="24"/>
              </w:rPr>
              <w:t>(90,903)</w:t>
            </w:r>
            <w:r>
              <w:rPr>
                <w:rFonts w:ascii="Arial"/>
                <w:sz w:val="24"/>
              </w:rPr>
            </w:r>
          </w:p>
        </w:tc>
      </w:tr>
      <w:tr>
        <w:trPr>
          <w:trHeight w:val="312"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90" w:lineRule="exact"/>
              <w:ind w:left="610" w:right="0"/>
              <w:jc w:val="left"/>
              <w:rPr>
                <w:rFonts w:ascii="Arial" w:hAnsi="Arial" w:cs="Arial" w:eastAsia="Arial" w:hint="default"/>
                <w:sz w:val="24"/>
                <w:szCs w:val="24"/>
              </w:rPr>
            </w:pPr>
            <w:r>
              <w:rPr>
                <w:rFonts w:ascii="宋体" w:hAnsi="宋体" w:cs="宋体" w:eastAsia="宋体" w:hint="default"/>
                <w:sz w:val="24"/>
                <w:szCs w:val="24"/>
              </w:rPr>
              <w:t>递延所得税负债增加</w:t>
            </w:r>
            <w:r>
              <w:rPr>
                <w:rFonts w:ascii="Arial" w:hAnsi="Arial" w:cs="Arial" w:eastAsia="Arial" w:hint="default"/>
                <w:sz w:val="24"/>
                <w:szCs w:val="24"/>
              </w:rPr>
              <w:t>(</w:t>
            </w:r>
            <w:r>
              <w:rPr>
                <w:rFonts w:ascii="宋体" w:hAnsi="宋体" w:cs="宋体" w:eastAsia="宋体" w:hint="default"/>
                <w:sz w:val="24"/>
                <w:szCs w:val="24"/>
              </w:rPr>
              <w:t>减少</w:t>
            </w:r>
            <w:r>
              <w:rPr>
                <w:rFonts w:ascii="Arial" w:hAnsi="Arial" w:cs="Arial" w:eastAsia="Arial" w:hint="default"/>
                <w:sz w:val="24"/>
                <w:szCs w:val="24"/>
              </w:rPr>
              <w:t>)</w:t>
            </w:r>
          </w:p>
        </w:tc>
        <w:tc>
          <w:tcPr>
            <w:tcW w:w="2436" w:type="dxa"/>
            <w:tcBorders>
              <w:top w:val="nil" w:sz="6" w:space="0" w:color="auto"/>
              <w:left w:val="nil" w:sz="6" w:space="0" w:color="auto"/>
              <w:bottom w:val="nil" w:sz="6" w:space="0" w:color="auto"/>
              <w:right w:val="nil" w:sz="6" w:space="0" w:color="auto"/>
            </w:tcBorders>
          </w:tcPr>
          <w:p>
            <w:pPr>
              <w:pStyle w:val="TableParagraph"/>
              <w:spacing w:line="272" w:lineRule="exact"/>
              <w:ind w:right="99"/>
              <w:jc w:val="right"/>
              <w:rPr>
                <w:rFonts w:ascii="Arial" w:hAnsi="Arial" w:cs="Arial" w:eastAsia="Arial" w:hint="default"/>
                <w:sz w:val="24"/>
                <w:szCs w:val="24"/>
              </w:rPr>
            </w:pPr>
            <w:r>
              <w:rPr>
                <w:rFonts w:ascii="Arial"/>
                <w:spacing w:val="-1"/>
                <w:w w:val="95"/>
                <w:sz w:val="24"/>
              </w:rPr>
              <w:t>716</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72" w:lineRule="exact"/>
              <w:ind w:right="82"/>
              <w:jc w:val="right"/>
              <w:rPr>
                <w:rFonts w:ascii="Arial" w:hAnsi="Arial" w:cs="Arial" w:eastAsia="Arial" w:hint="default"/>
                <w:sz w:val="24"/>
                <w:szCs w:val="24"/>
              </w:rPr>
            </w:pPr>
            <w:r>
              <w:rPr>
                <w:rFonts w:ascii="Arial"/>
                <w:spacing w:val="-1"/>
                <w:w w:val="95"/>
                <w:sz w:val="24"/>
              </w:rPr>
              <w:t>1,984</w:t>
            </w:r>
            <w:r>
              <w:rPr>
                <w:rFonts w:ascii="Arial"/>
                <w:sz w:val="24"/>
              </w:rPr>
            </w:r>
          </w:p>
        </w:tc>
      </w:tr>
      <w:tr>
        <w:trPr>
          <w:trHeight w:val="312"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90" w:lineRule="exact"/>
              <w:ind w:left="610" w:right="0"/>
              <w:jc w:val="left"/>
              <w:rPr>
                <w:rFonts w:ascii="Arial" w:hAnsi="Arial" w:cs="Arial" w:eastAsia="Arial" w:hint="default"/>
                <w:sz w:val="24"/>
                <w:szCs w:val="24"/>
              </w:rPr>
            </w:pPr>
            <w:r>
              <w:rPr>
                <w:rFonts w:ascii="宋体" w:hAnsi="宋体" w:cs="宋体" w:eastAsia="宋体" w:hint="default"/>
                <w:sz w:val="24"/>
                <w:szCs w:val="24"/>
              </w:rPr>
              <w:t>存货的减少</w:t>
            </w:r>
            <w:r>
              <w:rPr>
                <w:rFonts w:ascii="Arial" w:hAnsi="Arial" w:cs="Arial" w:eastAsia="Arial" w:hint="default"/>
                <w:sz w:val="24"/>
                <w:szCs w:val="24"/>
              </w:rPr>
              <w:t>(</w:t>
            </w:r>
            <w:r>
              <w:rPr>
                <w:rFonts w:ascii="宋体" w:hAnsi="宋体" w:cs="宋体" w:eastAsia="宋体" w:hint="default"/>
                <w:sz w:val="24"/>
                <w:szCs w:val="24"/>
              </w:rPr>
              <w:t>增加</w:t>
            </w:r>
            <w:r>
              <w:rPr>
                <w:rFonts w:ascii="Arial" w:hAnsi="Arial" w:cs="Arial" w:eastAsia="Arial" w:hint="default"/>
                <w:sz w:val="24"/>
                <w:szCs w:val="24"/>
              </w:rPr>
              <w:t>)</w:t>
            </w:r>
          </w:p>
        </w:tc>
        <w:tc>
          <w:tcPr>
            <w:tcW w:w="2436" w:type="dxa"/>
            <w:tcBorders>
              <w:top w:val="nil" w:sz="6" w:space="0" w:color="auto"/>
              <w:left w:val="nil" w:sz="6" w:space="0" w:color="auto"/>
              <w:bottom w:val="nil" w:sz="6" w:space="0" w:color="auto"/>
              <w:right w:val="nil" w:sz="6" w:space="0" w:color="auto"/>
            </w:tcBorders>
          </w:tcPr>
          <w:p>
            <w:pPr>
              <w:pStyle w:val="TableParagraph"/>
              <w:spacing w:line="272" w:lineRule="exact"/>
              <w:ind w:right="20"/>
              <w:jc w:val="right"/>
              <w:rPr>
                <w:rFonts w:ascii="Arial" w:hAnsi="Arial" w:cs="Arial" w:eastAsia="Arial" w:hint="default"/>
                <w:sz w:val="24"/>
                <w:szCs w:val="24"/>
              </w:rPr>
            </w:pPr>
            <w:r>
              <w:rPr>
                <w:rFonts w:ascii="Arial"/>
                <w:spacing w:val="-1"/>
                <w:w w:val="95"/>
                <w:sz w:val="24"/>
              </w:rPr>
              <w:t>(3,125,585)</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72" w:lineRule="exact"/>
              <w:ind w:right="3"/>
              <w:jc w:val="right"/>
              <w:rPr>
                <w:rFonts w:ascii="Arial" w:hAnsi="Arial" w:cs="Arial" w:eastAsia="Arial" w:hint="default"/>
                <w:sz w:val="24"/>
                <w:szCs w:val="24"/>
              </w:rPr>
            </w:pPr>
            <w:r>
              <w:rPr>
                <w:rFonts w:ascii="Arial"/>
                <w:spacing w:val="-1"/>
                <w:w w:val="95"/>
                <w:sz w:val="24"/>
              </w:rPr>
              <w:t>(1,442,509)</w:t>
            </w:r>
            <w:r>
              <w:rPr>
                <w:rFonts w:ascii="Arial"/>
                <w:sz w:val="24"/>
              </w:rPr>
            </w:r>
          </w:p>
        </w:tc>
      </w:tr>
      <w:tr>
        <w:trPr>
          <w:trHeight w:val="312"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90" w:lineRule="exact"/>
              <w:ind w:left="610" w:right="0"/>
              <w:jc w:val="left"/>
              <w:rPr>
                <w:rFonts w:ascii="Arial" w:hAnsi="Arial" w:cs="Arial" w:eastAsia="Arial" w:hint="default"/>
                <w:sz w:val="24"/>
                <w:szCs w:val="24"/>
              </w:rPr>
            </w:pPr>
            <w:r>
              <w:rPr>
                <w:rFonts w:ascii="宋体" w:hAnsi="宋体" w:cs="宋体" w:eastAsia="宋体" w:hint="default"/>
                <w:sz w:val="24"/>
                <w:szCs w:val="24"/>
              </w:rPr>
              <w:t>经营性应收项目的减少</w:t>
            </w:r>
            <w:r>
              <w:rPr>
                <w:rFonts w:ascii="Arial" w:hAnsi="Arial" w:cs="Arial" w:eastAsia="Arial" w:hint="default"/>
                <w:sz w:val="24"/>
                <w:szCs w:val="24"/>
              </w:rPr>
              <w:t>(</w:t>
            </w:r>
            <w:r>
              <w:rPr>
                <w:rFonts w:ascii="宋体" w:hAnsi="宋体" w:cs="宋体" w:eastAsia="宋体" w:hint="default"/>
                <w:sz w:val="24"/>
                <w:szCs w:val="24"/>
              </w:rPr>
              <w:t>增加</w:t>
            </w:r>
            <w:r>
              <w:rPr>
                <w:rFonts w:ascii="Arial" w:hAnsi="Arial" w:cs="Arial" w:eastAsia="Arial" w:hint="default"/>
                <w:sz w:val="24"/>
                <w:szCs w:val="24"/>
              </w:rPr>
              <w:t>)</w:t>
            </w:r>
          </w:p>
        </w:tc>
        <w:tc>
          <w:tcPr>
            <w:tcW w:w="2436" w:type="dxa"/>
            <w:tcBorders>
              <w:top w:val="nil" w:sz="6" w:space="0" w:color="auto"/>
              <w:left w:val="nil" w:sz="6" w:space="0" w:color="auto"/>
              <w:bottom w:val="nil" w:sz="6" w:space="0" w:color="auto"/>
              <w:right w:val="nil" w:sz="6" w:space="0" w:color="auto"/>
            </w:tcBorders>
          </w:tcPr>
          <w:p>
            <w:pPr>
              <w:pStyle w:val="TableParagraph"/>
              <w:spacing w:line="272" w:lineRule="exact"/>
              <w:ind w:right="20"/>
              <w:jc w:val="right"/>
              <w:rPr>
                <w:rFonts w:ascii="Arial" w:hAnsi="Arial" w:cs="Arial" w:eastAsia="Arial" w:hint="default"/>
                <w:sz w:val="24"/>
                <w:szCs w:val="24"/>
              </w:rPr>
            </w:pPr>
            <w:r>
              <w:rPr>
                <w:rFonts w:ascii="Arial"/>
                <w:spacing w:val="-1"/>
                <w:w w:val="95"/>
                <w:sz w:val="24"/>
              </w:rPr>
              <w:t>(1,860,597)</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72" w:lineRule="exact"/>
              <w:ind w:right="2"/>
              <w:jc w:val="right"/>
              <w:rPr>
                <w:rFonts w:ascii="Arial" w:hAnsi="Arial" w:cs="Arial" w:eastAsia="Arial" w:hint="default"/>
                <w:sz w:val="24"/>
                <w:szCs w:val="24"/>
              </w:rPr>
            </w:pPr>
            <w:r>
              <w:rPr>
                <w:rFonts w:ascii="Arial"/>
                <w:spacing w:val="-1"/>
                <w:w w:val="95"/>
                <w:sz w:val="24"/>
              </w:rPr>
              <w:t>(93,959)</w:t>
            </w:r>
            <w:r>
              <w:rPr>
                <w:rFonts w:ascii="Arial"/>
                <w:sz w:val="24"/>
              </w:rPr>
            </w:r>
          </w:p>
        </w:tc>
      </w:tr>
      <w:tr>
        <w:trPr>
          <w:trHeight w:val="315"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90" w:lineRule="exact"/>
              <w:ind w:left="610" w:right="0"/>
              <w:jc w:val="left"/>
              <w:rPr>
                <w:rFonts w:ascii="Arial" w:hAnsi="Arial" w:cs="Arial" w:eastAsia="Arial" w:hint="default"/>
                <w:sz w:val="24"/>
                <w:szCs w:val="24"/>
              </w:rPr>
            </w:pPr>
            <w:r>
              <w:rPr>
                <w:rFonts w:ascii="宋体" w:hAnsi="宋体" w:cs="宋体" w:eastAsia="宋体" w:hint="default"/>
                <w:sz w:val="24"/>
                <w:szCs w:val="24"/>
              </w:rPr>
              <w:t>经营性应付项目的增加</w:t>
            </w:r>
            <w:r>
              <w:rPr>
                <w:rFonts w:ascii="Arial" w:hAnsi="Arial" w:cs="Arial" w:eastAsia="Arial" w:hint="default"/>
                <w:sz w:val="24"/>
                <w:szCs w:val="24"/>
              </w:rPr>
              <w:t>(</w:t>
            </w:r>
            <w:r>
              <w:rPr>
                <w:rFonts w:ascii="宋体" w:hAnsi="宋体" w:cs="宋体" w:eastAsia="宋体" w:hint="default"/>
                <w:sz w:val="24"/>
                <w:szCs w:val="24"/>
              </w:rPr>
              <w:t>减少</w:t>
            </w:r>
            <w:r>
              <w:rPr>
                <w:rFonts w:ascii="Arial" w:hAnsi="Arial" w:cs="Arial" w:eastAsia="Arial" w:hint="default"/>
                <w:sz w:val="24"/>
                <w:szCs w:val="24"/>
              </w:rPr>
              <w:t>)</w:t>
            </w:r>
          </w:p>
        </w:tc>
        <w:tc>
          <w:tcPr>
            <w:tcW w:w="2436" w:type="dxa"/>
            <w:tcBorders>
              <w:top w:val="nil" w:sz="6" w:space="0" w:color="auto"/>
              <w:left w:val="nil" w:sz="6" w:space="0" w:color="auto"/>
              <w:bottom w:val="single" w:sz="4" w:space="0" w:color="000000"/>
              <w:right w:val="nil" w:sz="6" w:space="0" w:color="auto"/>
            </w:tcBorders>
          </w:tcPr>
          <w:p>
            <w:pPr>
              <w:pStyle w:val="TableParagraph"/>
              <w:spacing w:line="272" w:lineRule="exact"/>
              <w:ind w:right="101"/>
              <w:jc w:val="right"/>
              <w:rPr>
                <w:rFonts w:ascii="Arial" w:hAnsi="Arial" w:cs="Arial" w:eastAsia="Arial" w:hint="default"/>
                <w:sz w:val="24"/>
                <w:szCs w:val="24"/>
              </w:rPr>
            </w:pPr>
            <w:r>
              <w:rPr>
                <w:rFonts w:ascii="Arial"/>
                <w:spacing w:val="-1"/>
                <w:w w:val="95"/>
                <w:sz w:val="24"/>
              </w:rPr>
              <w:t>4,200,073</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72" w:lineRule="exact"/>
              <w:ind w:right="82"/>
              <w:jc w:val="right"/>
              <w:rPr>
                <w:rFonts w:ascii="Arial" w:hAnsi="Arial" w:cs="Arial" w:eastAsia="Arial" w:hint="default"/>
                <w:sz w:val="24"/>
                <w:szCs w:val="24"/>
              </w:rPr>
            </w:pPr>
            <w:r>
              <w:rPr>
                <w:rFonts w:ascii="Arial"/>
                <w:spacing w:val="-1"/>
                <w:w w:val="95"/>
                <w:sz w:val="24"/>
              </w:rPr>
              <w:t>3,702,862</w:t>
            </w:r>
            <w:r>
              <w:rPr>
                <w:rFonts w:ascii="Arial"/>
                <w:sz w:val="24"/>
              </w:rPr>
            </w:r>
          </w:p>
        </w:tc>
      </w:tr>
      <w:tr>
        <w:trPr>
          <w:trHeight w:val="333"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80" w:lineRule="exact"/>
              <w:ind w:left="610"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43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1"/>
              <w:jc w:val="right"/>
              <w:rPr>
                <w:rFonts w:ascii="Arial" w:hAnsi="Arial" w:cs="Arial" w:eastAsia="Arial" w:hint="default"/>
                <w:sz w:val="24"/>
                <w:szCs w:val="24"/>
              </w:rPr>
            </w:pPr>
            <w:r>
              <w:rPr>
                <w:rFonts w:ascii="Arial"/>
                <w:spacing w:val="-1"/>
                <w:w w:val="95"/>
                <w:sz w:val="24"/>
              </w:rPr>
              <w:t>3,881,336</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83"/>
              <w:jc w:val="right"/>
              <w:rPr>
                <w:rFonts w:ascii="Arial" w:hAnsi="Arial" w:cs="Arial" w:eastAsia="Arial" w:hint="default"/>
                <w:sz w:val="24"/>
                <w:szCs w:val="24"/>
              </w:rPr>
            </w:pPr>
            <w:r>
              <w:rPr>
                <w:rFonts w:ascii="Arial"/>
                <w:spacing w:val="-1"/>
                <w:w w:val="95"/>
                <w:sz w:val="24"/>
              </w:rPr>
              <w:t>5,554,942</w:t>
            </w:r>
            <w:r>
              <w:rPr>
                <w:rFonts w:ascii="Arial"/>
                <w:sz w:val="24"/>
              </w:rPr>
            </w:r>
          </w:p>
        </w:tc>
      </w:tr>
      <w:tr>
        <w:trPr>
          <w:trHeight w:val="602"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宋体" w:hAnsi="宋体" w:cs="宋体" w:eastAsia="宋体" w:hint="default"/>
                <w:sz w:val="24"/>
                <w:szCs w:val="24"/>
              </w:rPr>
            </w:pPr>
            <w:r>
              <w:rPr>
                <w:rFonts w:ascii="宋体" w:hAnsi="宋体" w:cs="宋体" w:eastAsia="宋体" w:hint="default"/>
                <w:sz w:val="24"/>
                <w:szCs w:val="24"/>
              </w:rPr>
              <w:t>不涉及现金收支的重大投资和筹资活动</w:t>
            </w:r>
          </w:p>
        </w:tc>
        <w:tc>
          <w:tcPr>
            <w:tcW w:w="2436" w:type="dxa"/>
            <w:tcBorders>
              <w:top w:val="single" w:sz="12" w:space="0" w:color="000000"/>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single" w:sz="12" w:space="0" w:color="000000"/>
              <w:left w:val="nil" w:sz="6" w:space="0" w:color="auto"/>
              <w:bottom w:val="nil" w:sz="6" w:space="0" w:color="auto"/>
              <w:right w:val="nil" w:sz="6" w:space="0" w:color="auto"/>
            </w:tcBorders>
          </w:tcPr>
          <w:p>
            <w:pPr/>
          </w:p>
        </w:tc>
      </w:tr>
      <w:tr>
        <w:trPr>
          <w:trHeight w:val="453"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Style w:val="TableParagraph"/>
              <w:spacing w:line="293" w:lineRule="exact"/>
              <w:ind w:right="101"/>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93" w:lineRule="exact"/>
              <w:ind w:right="101"/>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4"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宋体" w:hAnsi="宋体" w:cs="宋体" w:eastAsia="宋体" w:hint="default"/>
                <w:sz w:val="24"/>
                <w:szCs w:val="24"/>
              </w:rPr>
            </w:pPr>
            <w:r>
              <w:rPr>
                <w:rFonts w:ascii="宋体" w:hAnsi="宋体" w:cs="宋体" w:eastAsia="宋体" w:hint="default"/>
                <w:sz w:val="24"/>
                <w:szCs w:val="24"/>
              </w:rPr>
              <w:t>资本公积转增股本</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1"/>
              <w:jc w:val="right"/>
              <w:rPr>
                <w:rFonts w:ascii="Arial" w:hAnsi="Arial" w:cs="Arial" w:eastAsia="Arial" w:hint="default"/>
                <w:sz w:val="24"/>
                <w:szCs w:val="24"/>
              </w:rPr>
            </w:pPr>
            <w:r>
              <w:rPr>
                <w:rFonts w:ascii="Arial"/>
                <w:spacing w:val="-1"/>
                <w:w w:val="95"/>
                <w:sz w:val="24"/>
              </w:rPr>
              <w:t>2,332,071</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9"/>
              <w:jc w:val="right"/>
              <w:rPr>
                <w:rFonts w:ascii="Arial" w:hAnsi="Arial" w:cs="Arial" w:eastAsia="Arial" w:hint="default"/>
                <w:sz w:val="24"/>
                <w:szCs w:val="24"/>
              </w:rPr>
            </w:pPr>
            <w:r>
              <w:rPr>
                <w:rFonts w:ascii="Arial"/>
                <w:spacing w:val="-1"/>
                <w:w w:val="95"/>
                <w:sz w:val="24"/>
              </w:rPr>
              <w:t>897,302</w:t>
            </w:r>
            <w:r>
              <w:rPr>
                <w:rFonts w:ascii="Arial"/>
                <w:sz w:val="24"/>
              </w:rPr>
            </w:r>
          </w:p>
        </w:tc>
      </w:tr>
      <w:tr>
        <w:trPr>
          <w:trHeight w:val="321"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79" w:lineRule="exact"/>
              <w:ind w:left="150" w:right="0"/>
              <w:jc w:val="left"/>
              <w:rPr>
                <w:rFonts w:ascii="宋体" w:hAnsi="宋体" w:cs="宋体" w:eastAsia="宋体" w:hint="default"/>
                <w:sz w:val="24"/>
                <w:szCs w:val="24"/>
              </w:rPr>
            </w:pPr>
            <w:r>
              <w:rPr>
                <w:rFonts w:ascii="宋体" w:hAnsi="宋体" w:cs="宋体" w:eastAsia="宋体" w:hint="default"/>
                <w:sz w:val="24"/>
                <w:szCs w:val="24"/>
              </w:rPr>
              <w:t>分配股票股利</w:t>
            </w:r>
          </w:p>
        </w:tc>
        <w:tc>
          <w:tcPr>
            <w:tcW w:w="243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0"/>
              <w:jc w:val="right"/>
              <w:rPr>
                <w:rFonts w:ascii="Arial" w:hAnsi="Arial" w:cs="Arial" w:eastAsia="Arial" w:hint="default"/>
                <w:sz w:val="24"/>
                <w:szCs w:val="24"/>
              </w:rPr>
            </w:pPr>
            <w:r>
              <w:rPr>
                <w:rFonts w:ascii="Arial"/>
                <w:w w:val="99"/>
                <w:sz w:val="24"/>
              </w:rPr>
              <w:t>-</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8"/>
              <w:jc w:val="right"/>
              <w:rPr>
                <w:rFonts w:ascii="Arial" w:hAnsi="Arial" w:cs="Arial" w:eastAsia="Arial" w:hint="default"/>
                <w:sz w:val="24"/>
                <w:szCs w:val="24"/>
              </w:rPr>
            </w:pPr>
            <w:r>
              <w:rPr>
                <w:rFonts w:ascii="Arial"/>
                <w:spacing w:val="-1"/>
                <w:w w:val="95"/>
                <w:sz w:val="24"/>
              </w:rPr>
              <w:t>598,202</w:t>
            </w:r>
            <w:r>
              <w:rPr>
                <w:rFonts w:ascii="Arial"/>
                <w:sz w:val="24"/>
              </w:rPr>
            </w:r>
          </w:p>
        </w:tc>
      </w:tr>
      <w:tr>
        <w:trPr>
          <w:trHeight w:val="296"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
        </w:tc>
        <w:tc>
          <w:tcPr>
            <w:tcW w:w="243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1"/>
              <w:jc w:val="right"/>
              <w:rPr>
                <w:rFonts w:ascii="Arial" w:hAnsi="Arial" w:cs="Arial" w:eastAsia="Arial" w:hint="default"/>
                <w:sz w:val="24"/>
                <w:szCs w:val="24"/>
              </w:rPr>
            </w:pPr>
            <w:r>
              <w:rPr>
                <w:rFonts w:ascii="Arial"/>
                <w:spacing w:val="-1"/>
                <w:w w:val="95"/>
                <w:sz w:val="24"/>
              </w:rPr>
              <w:t>2,332,071</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0"/>
              <w:jc w:val="right"/>
              <w:rPr>
                <w:rFonts w:ascii="Arial" w:hAnsi="Arial" w:cs="Arial" w:eastAsia="Arial" w:hint="default"/>
                <w:sz w:val="24"/>
                <w:szCs w:val="24"/>
              </w:rPr>
            </w:pPr>
            <w:r>
              <w:rPr>
                <w:rFonts w:ascii="Arial"/>
                <w:spacing w:val="-1"/>
                <w:w w:val="95"/>
                <w:sz w:val="24"/>
              </w:rPr>
              <w:t>1,495,504</w:t>
            </w:r>
            <w:r>
              <w:rPr>
                <w:rFonts w:ascii="Arial"/>
                <w:sz w:val="24"/>
              </w:rPr>
            </w:r>
          </w:p>
        </w:tc>
      </w:tr>
      <w:tr>
        <w:trPr>
          <w:trHeight w:val="602"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宋体" w:hAnsi="宋体" w:cs="宋体" w:eastAsia="宋体" w:hint="default"/>
                <w:sz w:val="24"/>
                <w:szCs w:val="24"/>
              </w:rPr>
            </w:pPr>
            <w:r>
              <w:rPr>
                <w:rFonts w:ascii="宋体" w:hAnsi="宋体" w:cs="宋体" w:eastAsia="宋体" w:hint="default"/>
                <w:sz w:val="24"/>
                <w:szCs w:val="24"/>
              </w:rPr>
              <w:t>现金及现金等价物净变动情况</w:t>
            </w:r>
          </w:p>
        </w:tc>
        <w:tc>
          <w:tcPr>
            <w:tcW w:w="2436" w:type="dxa"/>
            <w:tcBorders>
              <w:top w:val="single" w:sz="12" w:space="0" w:color="000000"/>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single" w:sz="12" w:space="0" w:color="000000"/>
              <w:left w:val="nil" w:sz="6" w:space="0" w:color="auto"/>
              <w:bottom w:val="nil" w:sz="6" w:space="0" w:color="auto"/>
              <w:right w:val="nil" w:sz="6" w:space="0" w:color="auto"/>
            </w:tcBorders>
          </w:tcPr>
          <w:p>
            <w:pPr/>
          </w:p>
        </w:tc>
      </w:tr>
      <w:tr>
        <w:trPr>
          <w:trHeight w:val="453"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Style w:val="TableParagraph"/>
              <w:spacing w:line="293" w:lineRule="exact"/>
              <w:ind w:right="101"/>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93" w:lineRule="exact"/>
              <w:ind w:right="101"/>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4"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宋体" w:hAnsi="宋体" w:cs="宋体" w:eastAsia="宋体" w:hint="default"/>
                <w:sz w:val="24"/>
                <w:szCs w:val="24"/>
              </w:rPr>
            </w:pPr>
            <w:r>
              <w:rPr>
                <w:rFonts w:ascii="宋体" w:hAnsi="宋体" w:cs="宋体" w:eastAsia="宋体" w:hint="default"/>
                <w:sz w:val="24"/>
                <w:szCs w:val="24"/>
              </w:rPr>
              <w:t>现金的年末余额</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1"/>
              <w:jc w:val="right"/>
              <w:rPr>
                <w:rFonts w:ascii="Arial" w:hAnsi="Arial" w:cs="Arial" w:eastAsia="Arial" w:hint="default"/>
                <w:sz w:val="24"/>
                <w:szCs w:val="24"/>
              </w:rPr>
            </w:pPr>
            <w:r>
              <w:rPr>
                <w:rFonts w:ascii="Arial"/>
                <w:spacing w:val="-3"/>
                <w:sz w:val="24"/>
              </w:rPr>
              <w:t>11,676,465</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0"/>
              <w:jc w:val="right"/>
              <w:rPr>
                <w:rFonts w:ascii="Arial" w:hAnsi="Arial" w:cs="Arial" w:eastAsia="Arial" w:hint="default"/>
                <w:sz w:val="24"/>
                <w:szCs w:val="24"/>
              </w:rPr>
            </w:pPr>
            <w:r>
              <w:rPr>
                <w:rFonts w:ascii="Arial"/>
                <w:spacing w:val="-1"/>
                <w:w w:val="95"/>
                <w:sz w:val="24"/>
              </w:rPr>
              <w:t>13,325,028</w:t>
            </w:r>
            <w:r>
              <w:rPr>
                <w:rFonts w:ascii="Arial"/>
                <w:sz w:val="24"/>
              </w:rPr>
            </w:r>
          </w:p>
        </w:tc>
      </w:tr>
      <w:tr>
        <w:trPr>
          <w:trHeight w:val="321"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79" w:lineRule="exact"/>
              <w:ind w:left="150" w:right="0"/>
              <w:jc w:val="left"/>
              <w:rPr>
                <w:rFonts w:ascii="宋体" w:hAnsi="宋体" w:cs="宋体" w:eastAsia="宋体" w:hint="default"/>
                <w:sz w:val="24"/>
                <w:szCs w:val="24"/>
              </w:rPr>
            </w:pPr>
            <w:r>
              <w:rPr>
                <w:rFonts w:ascii="宋体" w:hAnsi="宋体" w:cs="宋体" w:eastAsia="宋体" w:hint="default"/>
                <w:sz w:val="24"/>
                <w:szCs w:val="24"/>
              </w:rPr>
              <w:t>减：现金的年初余额</w:t>
            </w:r>
          </w:p>
        </w:tc>
        <w:tc>
          <w:tcPr>
            <w:tcW w:w="243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0"/>
              <w:jc w:val="right"/>
              <w:rPr>
                <w:rFonts w:ascii="Arial" w:hAnsi="Arial" w:cs="Arial" w:eastAsia="Arial" w:hint="default"/>
                <w:sz w:val="24"/>
                <w:szCs w:val="24"/>
              </w:rPr>
            </w:pPr>
            <w:r>
              <w:rPr>
                <w:rFonts w:ascii="Arial"/>
                <w:spacing w:val="-1"/>
                <w:w w:val="95"/>
                <w:sz w:val="24"/>
              </w:rPr>
              <w:t>(13,325,028)</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
              <w:jc w:val="right"/>
              <w:rPr>
                <w:rFonts w:ascii="Arial" w:hAnsi="Arial" w:cs="Arial" w:eastAsia="Arial" w:hint="default"/>
                <w:sz w:val="24"/>
                <w:szCs w:val="24"/>
              </w:rPr>
            </w:pPr>
            <w:r>
              <w:rPr>
                <w:rFonts w:ascii="Arial"/>
                <w:spacing w:val="-1"/>
                <w:w w:val="95"/>
                <w:sz w:val="24"/>
              </w:rPr>
              <w:t>(6,893,738)</w:t>
            </w:r>
            <w:r>
              <w:rPr>
                <w:rFonts w:ascii="Arial"/>
                <w:sz w:val="24"/>
              </w:rPr>
            </w:r>
          </w:p>
        </w:tc>
      </w:tr>
      <w:tr>
        <w:trPr>
          <w:trHeight w:val="332" w:hRule="exact"/>
        </w:trPr>
        <w:tc>
          <w:tcPr>
            <w:tcW w:w="613"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97" w:lineRule="exact"/>
              <w:ind w:left="150" w:right="0"/>
              <w:jc w:val="left"/>
              <w:rPr>
                <w:rFonts w:ascii="宋体" w:hAnsi="宋体" w:cs="宋体" w:eastAsia="宋体" w:hint="default"/>
                <w:sz w:val="24"/>
                <w:szCs w:val="24"/>
              </w:rPr>
            </w:pPr>
            <w:r>
              <w:rPr>
                <w:rFonts w:ascii="宋体" w:hAnsi="宋体" w:cs="宋体" w:eastAsia="宋体" w:hint="default"/>
                <w:sz w:val="24"/>
                <w:szCs w:val="24"/>
              </w:rPr>
              <w:t>现金及现金等价物净</w:t>
            </w:r>
            <w:r>
              <w:rPr>
                <w:rFonts w:ascii="Arial" w:hAnsi="Arial" w:cs="Arial" w:eastAsia="Arial" w:hint="default"/>
                <w:sz w:val="24"/>
                <w:szCs w:val="24"/>
              </w:rPr>
              <w:t>(</w:t>
            </w:r>
            <w:r>
              <w:rPr>
                <w:rFonts w:ascii="宋体" w:hAnsi="宋体" w:cs="宋体" w:eastAsia="宋体" w:hint="default"/>
                <w:sz w:val="24"/>
                <w:szCs w:val="24"/>
              </w:rPr>
              <w:t>减少</w:t>
            </w:r>
            <w:r>
              <w:rPr>
                <w:rFonts w:ascii="Arial" w:hAnsi="Arial" w:cs="Arial" w:eastAsia="Arial" w:hint="default"/>
                <w:sz w:val="24"/>
                <w:szCs w:val="24"/>
              </w:rPr>
              <w:t>)/</w:t>
            </w:r>
            <w:r>
              <w:rPr>
                <w:rFonts w:ascii="宋体" w:hAnsi="宋体" w:cs="宋体" w:eastAsia="宋体" w:hint="default"/>
                <w:sz w:val="24"/>
                <w:szCs w:val="24"/>
              </w:rPr>
              <w:t>增加额</w:t>
            </w:r>
          </w:p>
        </w:tc>
        <w:tc>
          <w:tcPr>
            <w:tcW w:w="243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20"/>
              <w:jc w:val="right"/>
              <w:rPr>
                <w:rFonts w:ascii="Arial" w:hAnsi="Arial" w:cs="Arial" w:eastAsia="Arial" w:hint="default"/>
                <w:sz w:val="24"/>
                <w:szCs w:val="24"/>
              </w:rPr>
            </w:pPr>
            <w:r>
              <w:rPr>
                <w:rFonts w:ascii="Arial"/>
                <w:spacing w:val="-1"/>
                <w:w w:val="95"/>
                <w:sz w:val="24"/>
              </w:rPr>
              <w:t>(1,648,563)</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84"/>
              <w:jc w:val="right"/>
              <w:rPr>
                <w:rFonts w:ascii="Arial" w:hAnsi="Arial" w:cs="Arial" w:eastAsia="Arial" w:hint="default"/>
                <w:sz w:val="24"/>
                <w:szCs w:val="24"/>
              </w:rPr>
            </w:pPr>
            <w:r>
              <w:rPr>
                <w:rFonts w:ascii="Arial"/>
                <w:spacing w:val="-1"/>
                <w:w w:val="95"/>
                <w:sz w:val="24"/>
              </w:rPr>
              <w:t>6,431,290</w:t>
            </w:r>
            <w:r>
              <w:rPr>
                <w:rFonts w:ascii="Arial"/>
                <w:sz w:val="24"/>
              </w:rPr>
            </w:r>
          </w:p>
        </w:tc>
      </w:tr>
    </w:tbl>
    <w:p>
      <w:pPr>
        <w:spacing w:after="0" w:line="274" w:lineRule="exact"/>
        <w:jc w:val="right"/>
        <w:rPr>
          <w:rFonts w:ascii="Arial" w:hAnsi="Arial" w:cs="Arial" w:eastAsia="Arial" w:hint="default"/>
          <w:sz w:val="24"/>
          <w:szCs w:val="24"/>
        </w:rPr>
        <w:sectPr>
          <w:pgSz w:w="11910" w:h="16840"/>
          <w:pgMar w:header="0" w:footer="947" w:top="2300" w:bottom="1140" w:left="980" w:right="720"/>
        </w:sectPr>
      </w:pPr>
    </w:p>
    <w:p>
      <w:pPr>
        <w:spacing w:line="240" w:lineRule="auto" w:before="4"/>
        <w:rPr>
          <w:rFonts w:ascii="Times New Roman" w:hAnsi="Times New Roman" w:cs="Times New Roman" w:eastAsia="Times New Roman" w:hint="default"/>
          <w:sz w:val="15"/>
          <w:szCs w:val="15"/>
        </w:rPr>
      </w:pPr>
      <w:r>
        <w:rPr/>
        <w:pict>
          <v:group style="position:absolute;margin-left:338.459991pt;margin-top:355.049988pt;width:92.85pt;height:.1pt;mso-position-horizontal-relative:page;mso-position-vertical-relative:page;z-index:-1002424" coordorigin="6769,7101" coordsize="1857,2">
            <v:shape style="position:absolute;left:6769;top:7101;width:1857;height:2" coordorigin="6769,7101" coordsize="1857,0" path="m6769,7101l8626,7101e" filled="false" stroked="true" strokeweight="1.5pt" strokecolor="#000000">
              <v:path arrowok="t"/>
            </v:shape>
            <w10:wrap type="none"/>
          </v:group>
        </w:pict>
      </w:r>
    </w:p>
    <w:tbl>
      <w:tblPr>
        <w:tblW w:w="0" w:type="auto"/>
        <w:jc w:val="left"/>
        <w:tblInd w:w="118" w:type="dxa"/>
        <w:tblLayout w:type="fixed"/>
        <w:tblCellMar>
          <w:top w:w="0" w:type="dxa"/>
          <w:left w:w="0" w:type="dxa"/>
          <w:bottom w:w="0" w:type="dxa"/>
          <w:right w:w="0" w:type="dxa"/>
        </w:tblCellMar>
        <w:tblLook w:val="01E0"/>
      </w:tblPr>
      <w:tblGrid>
        <w:gridCol w:w="654"/>
        <w:gridCol w:w="7873"/>
        <w:gridCol w:w="1470"/>
      </w:tblGrid>
      <w:tr>
        <w:trPr>
          <w:trHeight w:val="1690" w:hRule="exact"/>
        </w:trPr>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(49)</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(b)</w:t>
            </w:r>
          </w:p>
        </w:tc>
        <w:tc>
          <w:tcPr>
            <w:tcW w:w="7873"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08" w:right="4960"/>
              <w:jc w:val="left"/>
              <w:rPr>
                <w:rFonts w:ascii="宋体" w:hAnsi="宋体" w:cs="宋体" w:eastAsia="宋体"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3"/>
                <w:w w:val="95"/>
                <w:sz w:val="24"/>
                <w:szCs w:val="24"/>
              </w:rPr>
              <w:t> </w:t>
            </w:r>
            <w:r>
              <w:rPr>
                <w:rFonts w:ascii="宋体" w:hAnsi="宋体" w:cs="宋体" w:eastAsia="宋体" w:hint="default"/>
                <w:b/>
                <w:bCs/>
                <w:sz w:val="24"/>
                <w:szCs w:val="24"/>
              </w:rPr>
              <w:t>现金流量表补充资料</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宋体" w:hAnsi="宋体" w:cs="宋体" w:eastAsia="宋体" w:hint="default"/>
                <w:sz w:val="24"/>
                <w:szCs w:val="24"/>
              </w:rPr>
              <w:t>现金及现金等价物</w:t>
            </w:r>
          </w:p>
        </w:tc>
        <w:tc>
          <w:tcPr>
            <w:tcW w:w="1470" w:type="dxa"/>
            <w:tcBorders>
              <w:top w:val="nil" w:sz="6" w:space="0" w:color="auto"/>
              <w:left w:val="nil" w:sz="6" w:space="0" w:color="auto"/>
              <w:bottom w:val="nil" w:sz="6" w:space="0" w:color="auto"/>
              <w:right w:val="nil" w:sz="6" w:space="0" w:color="auto"/>
            </w:tcBorders>
          </w:tcPr>
          <w:p>
            <w:pPr/>
          </w:p>
        </w:tc>
      </w:tr>
      <w:tr>
        <w:trPr>
          <w:trHeight w:val="456" w:hRule="exact"/>
        </w:trPr>
        <w:tc>
          <w:tcPr>
            <w:tcW w:w="654" w:type="dxa"/>
            <w:tcBorders>
              <w:top w:val="nil" w:sz="6" w:space="0" w:color="auto"/>
              <w:left w:val="nil" w:sz="6" w:space="0" w:color="auto"/>
              <w:bottom w:val="nil" w:sz="6" w:space="0" w:color="auto"/>
              <w:right w:val="nil" w:sz="6" w:space="0" w:color="auto"/>
            </w:tcBorders>
          </w:tcPr>
          <w:p>
            <w:pPr/>
          </w:p>
        </w:tc>
        <w:tc>
          <w:tcPr>
            <w:tcW w:w="787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2"/>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2"/>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w:t>
            </w:r>
          </w:p>
        </w:tc>
      </w:tr>
      <w:tr>
        <w:trPr>
          <w:trHeight w:val="450" w:hRule="exact"/>
        </w:trPr>
        <w:tc>
          <w:tcPr>
            <w:tcW w:w="654" w:type="dxa"/>
            <w:tcBorders>
              <w:top w:val="nil" w:sz="6" w:space="0" w:color="auto"/>
              <w:left w:val="nil" w:sz="6" w:space="0" w:color="auto"/>
              <w:bottom w:val="nil" w:sz="6" w:space="0" w:color="auto"/>
              <w:right w:val="nil" w:sz="6" w:space="0" w:color="auto"/>
            </w:tcBorders>
          </w:tcPr>
          <w:p>
            <w:pPr/>
          </w:p>
        </w:tc>
        <w:tc>
          <w:tcPr>
            <w:tcW w:w="7873" w:type="dxa"/>
            <w:tcBorders>
              <w:top w:val="nil" w:sz="6" w:space="0" w:color="auto"/>
              <w:left w:val="nil" w:sz="6" w:space="0" w:color="auto"/>
              <w:bottom w:val="nil" w:sz="6" w:space="0" w:color="auto"/>
              <w:right w:val="nil" w:sz="6" w:space="0" w:color="auto"/>
            </w:tcBorders>
          </w:tcPr>
          <w:p>
            <w:pPr>
              <w:pStyle w:val="TableParagraph"/>
              <w:spacing w:line="287" w:lineRule="exact"/>
              <w:ind w:right="1073"/>
              <w:jc w:val="righ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1470" w:type="dxa"/>
            <w:tcBorders>
              <w:top w:val="nil" w:sz="6" w:space="0" w:color="auto"/>
              <w:left w:val="nil" w:sz="6" w:space="0" w:color="auto"/>
              <w:bottom w:val="nil" w:sz="6" w:space="0" w:color="auto"/>
              <w:right w:val="nil" w:sz="6" w:space="0" w:color="auto"/>
            </w:tcBorders>
          </w:tcPr>
          <w:p>
            <w:pPr>
              <w:pStyle w:val="TableParagraph"/>
              <w:spacing w:line="287" w:lineRule="exact"/>
              <w:ind w:right="133"/>
              <w:jc w:val="righ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50" w:hRule="exact"/>
        </w:trPr>
        <w:tc>
          <w:tcPr>
            <w:tcW w:w="654" w:type="dxa"/>
            <w:tcBorders>
              <w:top w:val="nil" w:sz="6" w:space="0" w:color="auto"/>
              <w:left w:val="nil" w:sz="6" w:space="0" w:color="auto"/>
              <w:bottom w:val="nil" w:sz="6" w:space="0" w:color="auto"/>
              <w:right w:val="nil" w:sz="6" w:space="0" w:color="auto"/>
            </w:tcBorders>
          </w:tcPr>
          <w:p>
            <w:pPr/>
          </w:p>
        </w:tc>
        <w:tc>
          <w:tcPr>
            <w:tcW w:w="7873" w:type="dxa"/>
            <w:tcBorders>
              <w:top w:val="nil" w:sz="6" w:space="0" w:color="auto"/>
              <w:left w:val="nil" w:sz="6" w:space="0" w:color="auto"/>
              <w:bottom w:val="single" w:sz="4" w:space="0" w:color="000000"/>
              <w:right w:val="nil" w:sz="6" w:space="0" w:color="auto"/>
            </w:tcBorders>
          </w:tcPr>
          <w:p>
            <w:pPr>
              <w:pStyle w:val="TableParagraph"/>
              <w:tabs>
                <w:tab w:pos="5570" w:val="left" w:leader="none"/>
              </w:tabs>
              <w:spacing w:line="240" w:lineRule="auto" w:before="92"/>
              <w:ind w:left="108" w:right="0"/>
              <w:jc w:val="left"/>
              <w:rPr>
                <w:rFonts w:ascii="Arial" w:hAnsi="Arial" w:cs="Arial" w:eastAsia="Arial" w:hint="default"/>
                <w:sz w:val="24"/>
                <w:szCs w:val="24"/>
              </w:rPr>
            </w:pPr>
            <w:r>
              <w:rPr>
                <w:rFonts w:ascii="宋体" w:hAnsi="宋体" w:cs="宋体" w:eastAsia="宋体" w:hint="default"/>
                <w:position w:val="2"/>
                <w:sz w:val="24"/>
                <w:szCs w:val="24"/>
              </w:rPr>
              <w:t>现金</w:t>
              <w:tab/>
            </w:r>
            <w:r>
              <w:rPr>
                <w:rFonts w:ascii="Arial" w:hAnsi="Arial" w:cs="Arial" w:eastAsia="Arial" w:hint="default"/>
                <w:spacing w:val="-3"/>
                <w:sz w:val="24"/>
                <w:szCs w:val="24"/>
              </w:rPr>
              <w:t>11,676,465</w:t>
            </w:r>
            <w:r>
              <w:rPr>
                <w:rFonts w:ascii="Arial" w:hAnsi="Arial" w:cs="Arial" w:eastAsia="Arial" w:hint="default"/>
                <w:sz w:val="24"/>
                <w:szCs w:val="24"/>
              </w:rPr>
            </w:r>
          </w:p>
        </w:tc>
        <w:tc>
          <w:tcPr>
            <w:tcW w:w="1470" w:type="dxa"/>
            <w:tcBorders>
              <w:top w:val="nil" w:sz="6" w:space="0" w:color="auto"/>
              <w:left w:val="nil" w:sz="6" w:space="0" w:color="auto"/>
              <w:bottom w:val="single" w:sz="4" w:space="0" w:color="000000"/>
              <w:right w:val="nil" w:sz="6" w:space="0" w:color="auto"/>
            </w:tcBorders>
          </w:tcPr>
          <w:p>
            <w:pPr>
              <w:pStyle w:val="TableParagraph"/>
              <w:spacing w:line="240" w:lineRule="auto" w:before="167"/>
              <w:ind w:right="179"/>
              <w:jc w:val="right"/>
              <w:rPr>
                <w:rFonts w:ascii="Arial" w:hAnsi="Arial" w:cs="Arial" w:eastAsia="Arial" w:hint="default"/>
                <w:sz w:val="24"/>
                <w:szCs w:val="24"/>
              </w:rPr>
            </w:pPr>
            <w:r>
              <w:rPr>
                <w:rFonts w:ascii="Arial"/>
                <w:spacing w:val="-1"/>
                <w:w w:val="95"/>
                <w:sz w:val="24"/>
              </w:rPr>
              <w:t>13,325,028</w:t>
            </w:r>
            <w:r>
              <w:rPr>
                <w:rFonts w:ascii="Arial"/>
                <w:sz w:val="24"/>
              </w:rPr>
            </w:r>
          </w:p>
        </w:tc>
      </w:tr>
      <w:tr>
        <w:trPr>
          <w:trHeight w:val="331" w:hRule="exact"/>
        </w:trPr>
        <w:tc>
          <w:tcPr>
            <w:tcW w:w="654" w:type="dxa"/>
            <w:tcBorders>
              <w:top w:val="nil" w:sz="6" w:space="0" w:color="auto"/>
              <w:left w:val="nil" w:sz="6" w:space="0" w:color="auto"/>
              <w:bottom w:val="nil" w:sz="6" w:space="0" w:color="auto"/>
              <w:right w:val="single" w:sz="4" w:space="0" w:color="000000"/>
            </w:tcBorders>
          </w:tcPr>
          <w:p>
            <w:pPr/>
          </w:p>
        </w:tc>
        <w:tc>
          <w:tcPr>
            <w:tcW w:w="7873" w:type="dxa"/>
            <w:tcBorders>
              <w:top w:val="single" w:sz="4" w:space="0" w:color="000000"/>
              <w:left w:val="single" w:sz="4" w:space="0" w:color="000000"/>
              <w:bottom w:val="nil" w:sz="6" w:space="0" w:color="auto"/>
              <w:right w:val="nil" w:sz="6" w:space="0" w:color="auto"/>
            </w:tcBorders>
          </w:tcPr>
          <w:p>
            <w:pPr>
              <w:pStyle w:val="TableParagraph"/>
              <w:tabs>
                <w:tab w:pos="6015" w:val="left" w:leader="none"/>
              </w:tabs>
              <w:spacing w:line="310" w:lineRule="exact"/>
              <w:ind w:left="103" w:right="0"/>
              <w:jc w:val="left"/>
              <w:rPr>
                <w:rFonts w:ascii="Arial" w:hAnsi="Arial" w:cs="Arial" w:eastAsia="Arial" w:hint="default"/>
                <w:sz w:val="24"/>
                <w:szCs w:val="24"/>
              </w:rPr>
            </w:pPr>
            <w:r>
              <w:rPr>
                <w:rFonts w:ascii="宋体" w:hAnsi="宋体" w:cs="宋体" w:eastAsia="宋体" w:hint="default"/>
                <w:position w:val="2"/>
                <w:sz w:val="24"/>
                <w:szCs w:val="24"/>
              </w:rPr>
              <w:t>其中：库存现金</w:t>
              <w:tab/>
            </w:r>
            <w:r>
              <w:rPr>
                <w:rFonts w:ascii="Arial" w:hAnsi="Arial" w:cs="Arial" w:eastAsia="Arial" w:hint="default"/>
                <w:sz w:val="24"/>
                <w:szCs w:val="24"/>
              </w:rPr>
              <w:t>10,334</w:t>
            </w:r>
          </w:p>
        </w:tc>
        <w:tc>
          <w:tcPr>
            <w:tcW w:w="1470" w:type="dxa"/>
            <w:tcBorders>
              <w:top w:val="single" w:sz="4" w:space="0" w:color="000000"/>
              <w:left w:val="nil" w:sz="6" w:space="0" w:color="auto"/>
              <w:bottom w:val="nil" w:sz="6" w:space="0" w:color="auto"/>
              <w:right w:val="single" w:sz="4" w:space="0" w:color="000000"/>
            </w:tcBorders>
          </w:tcPr>
          <w:p>
            <w:pPr>
              <w:pStyle w:val="TableParagraph"/>
              <w:spacing w:line="240" w:lineRule="auto" w:before="34"/>
              <w:ind w:right="173"/>
              <w:jc w:val="right"/>
              <w:rPr>
                <w:rFonts w:ascii="Arial" w:hAnsi="Arial" w:cs="Arial" w:eastAsia="Arial" w:hint="default"/>
                <w:sz w:val="24"/>
                <w:szCs w:val="24"/>
              </w:rPr>
            </w:pPr>
            <w:r>
              <w:rPr>
                <w:rFonts w:ascii="Arial"/>
                <w:spacing w:val="-1"/>
                <w:w w:val="95"/>
                <w:sz w:val="24"/>
              </w:rPr>
              <w:t>8,657</w:t>
            </w:r>
            <w:r>
              <w:rPr>
                <w:rFonts w:ascii="Arial"/>
                <w:sz w:val="24"/>
              </w:rPr>
            </w:r>
          </w:p>
        </w:tc>
      </w:tr>
      <w:tr>
        <w:trPr>
          <w:trHeight w:val="313" w:hRule="exact"/>
        </w:trPr>
        <w:tc>
          <w:tcPr>
            <w:tcW w:w="654" w:type="dxa"/>
            <w:tcBorders>
              <w:top w:val="nil" w:sz="6" w:space="0" w:color="auto"/>
              <w:left w:val="nil" w:sz="6" w:space="0" w:color="auto"/>
              <w:bottom w:val="nil" w:sz="6" w:space="0" w:color="auto"/>
              <w:right w:val="single" w:sz="4" w:space="0" w:color="000000"/>
            </w:tcBorders>
          </w:tcPr>
          <w:p>
            <w:pPr/>
          </w:p>
        </w:tc>
        <w:tc>
          <w:tcPr>
            <w:tcW w:w="7873" w:type="dxa"/>
            <w:tcBorders>
              <w:top w:val="nil" w:sz="6" w:space="0" w:color="auto"/>
              <w:left w:val="single" w:sz="4" w:space="0" w:color="000000"/>
              <w:bottom w:val="nil" w:sz="6" w:space="0" w:color="auto"/>
              <w:right w:val="nil" w:sz="6" w:space="0" w:color="auto"/>
            </w:tcBorders>
          </w:tcPr>
          <w:p>
            <w:pPr>
              <w:pStyle w:val="TableParagraph"/>
              <w:tabs>
                <w:tab w:pos="5565" w:val="left" w:leader="none"/>
              </w:tabs>
              <w:spacing w:line="297" w:lineRule="exact"/>
              <w:ind w:left="821" w:right="0"/>
              <w:jc w:val="left"/>
              <w:rPr>
                <w:rFonts w:ascii="Arial" w:hAnsi="Arial" w:cs="Arial" w:eastAsia="Arial" w:hint="default"/>
                <w:sz w:val="24"/>
                <w:szCs w:val="24"/>
              </w:rPr>
            </w:pPr>
            <w:r>
              <w:rPr>
                <w:rFonts w:ascii="宋体" w:hAnsi="宋体" w:cs="宋体" w:eastAsia="宋体" w:hint="default"/>
                <w:position w:val="2"/>
                <w:sz w:val="24"/>
                <w:szCs w:val="24"/>
              </w:rPr>
              <w:t>可随时用于支付的银行存款</w:t>
              <w:tab/>
            </w:r>
            <w:r>
              <w:rPr>
                <w:rFonts w:ascii="Arial" w:hAnsi="Arial" w:cs="Arial" w:eastAsia="Arial" w:hint="default"/>
                <w:spacing w:val="-3"/>
                <w:sz w:val="24"/>
                <w:szCs w:val="24"/>
              </w:rPr>
              <w:t>11,530,904</w:t>
            </w:r>
            <w:r>
              <w:rPr>
                <w:rFonts w:ascii="Arial" w:hAnsi="Arial" w:cs="Arial" w:eastAsia="Arial" w:hint="default"/>
                <w:sz w:val="24"/>
                <w:szCs w:val="24"/>
              </w:rPr>
            </w:r>
          </w:p>
        </w:tc>
        <w:tc>
          <w:tcPr>
            <w:tcW w:w="1470"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right="174"/>
              <w:jc w:val="right"/>
              <w:rPr>
                <w:rFonts w:ascii="Arial" w:hAnsi="Arial" w:cs="Arial" w:eastAsia="Arial" w:hint="default"/>
                <w:sz w:val="24"/>
                <w:szCs w:val="24"/>
              </w:rPr>
            </w:pPr>
            <w:r>
              <w:rPr>
                <w:rFonts w:ascii="Arial"/>
                <w:spacing w:val="-1"/>
                <w:w w:val="95"/>
                <w:sz w:val="24"/>
              </w:rPr>
              <w:t>13,191,037</w:t>
            </w:r>
            <w:r>
              <w:rPr>
                <w:rFonts w:ascii="Arial"/>
                <w:sz w:val="24"/>
              </w:rPr>
            </w:r>
          </w:p>
        </w:tc>
      </w:tr>
      <w:tr>
        <w:trPr>
          <w:trHeight w:val="303" w:hRule="exact"/>
        </w:trPr>
        <w:tc>
          <w:tcPr>
            <w:tcW w:w="654" w:type="dxa"/>
            <w:tcBorders>
              <w:top w:val="nil" w:sz="6" w:space="0" w:color="auto"/>
              <w:left w:val="nil" w:sz="6" w:space="0" w:color="auto"/>
              <w:bottom w:val="nil" w:sz="6" w:space="0" w:color="auto"/>
              <w:right w:val="single" w:sz="4" w:space="0" w:color="000000"/>
            </w:tcBorders>
          </w:tcPr>
          <w:p>
            <w:pPr/>
          </w:p>
        </w:tc>
        <w:tc>
          <w:tcPr>
            <w:tcW w:w="7873" w:type="dxa"/>
            <w:tcBorders>
              <w:top w:val="nil" w:sz="6" w:space="0" w:color="auto"/>
              <w:left w:val="single" w:sz="4" w:space="0" w:color="000000"/>
              <w:bottom w:val="single" w:sz="4" w:space="0" w:color="000000"/>
              <w:right w:val="nil" w:sz="6" w:space="0" w:color="auto"/>
            </w:tcBorders>
          </w:tcPr>
          <w:p>
            <w:pPr>
              <w:pStyle w:val="TableParagraph"/>
              <w:tabs>
                <w:tab w:pos="5882" w:val="left" w:leader="none"/>
              </w:tabs>
              <w:spacing w:line="296" w:lineRule="exact"/>
              <w:ind w:left="821" w:right="0"/>
              <w:jc w:val="left"/>
              <w:rPr>
                <w:rFonts w:ascii="Arial" w:hAnsi="Arial" w:cs="Arial" w:eastAsia="Arial" w:hint="default"/>
                <w:sz w:val="24"/>
                <w:szCs w:val="24"/>
              </w:rPr>
            </w:pPr>
            <w:r>
              <w:rPr>
                <w:rFonts w:ascii="宋体" w:hAnsi="宋体" w:cs="宋体" w:eastAsia="宋体" w:hint="default"/>
                <w:position w:val="2"/>
                <w:sz w:val="24"/>
                <w:szCs w:val="24"/>
              </w:rPr>
              <w:t>可随时用于支付的其他货币资金</w:t>
              <w:tab/>
            </w:r>
            <w:r>
              <w:rPr>
                <w:rFonts w:ascii="Arial" w:hAnsi="Arial" w:cs="Arial" w:eastAsia="Arial" w:hint="default"/>
                <w:sz w:val="24"/>
                <w:szCs w:val="24"/>
              </w:rPr>
              <w:t>135,227</w:t>
            </w:r>
          </w:p>
        </w:tc>
        <w:tc>
          <w:tcPr>
            <w:tcW w:w="1470" w:type="dxa"/>
            <w:tcBorders>
              <w:top w:val="nil" w:sz="6" w:space="0" w:color="auto"/>
              <w:left w:val="nil" w:sz="6" w:space="0" w:color="auto"/>
              <w:bottom w:val="single" w:sz="4" w:space="0" w:color="000000"/>
              <w:right w:val="single" w:sz="4" w:space="0" w:color="000000"/>
            </w:tcBorders>
          </w:tcPr>
          <w:p>
            <w:pPr>
              <w:pStyle w:val="TableParagraph"/>
              <w:spacing w:line="240" w:lineRule="auto" w:before="20"/>
              <w:ind w:right="173"/>
              <w:jc w:val="right"/>
              <w:rPr>
                <w:rFonts w:ascii="Arial" w:hAnsi="Arial" w:cs="Arial" w:eastAsia="Arial" w:hint="default"/>
                <w:sz w:val="24"/>
                <w:szCs w:val="24"/>
              </w:rPr>
            </w:pPr>
            <w:r>
              <w:rPr>
                <w:rFonts w:ascii="Arial"/>
                <w:spacing w:val="-1"/>
                <w:w w:val="95"/>
                <w:sz w:val="24"/>
              </w:rPr>
              <w:t>125,334</w:t>
            </w:r>
            <w:r>
              <w:rPr>
                <w:rFonts w:ascii="Arial"/>
                <w:sz w:val="24"/>
              </w:rPr>
            </w:r>
          </w:p>
        </w:tc>
      </w:tr>
      <w:tr>
        <w:trPr>
          <w:trHeight w:val="286" w:hRule="exact"/>
        </w:trPr>
        <w:tc>
          <w:tcPr>
            <w:tcW w:w="654" w:type="dxa"/>
            <w:tcBorders>
              <w:top w:val="nil" w:sz="6" w:space="0" w:color="auto"/>
              <w:left w:val="nil" w:sz="6" w:space="0" w:color="auto"/>
              <w:bottom w:val="nil" w:sz="6" w:space="0" w:color="auto"/>
              <w:right w:val="nil" w:sz="6" w:space="0" w:color="auto"/>
            </w:tcBorders>
          </w:tcPr>
          <w:p>
            <w:pPr/>
          </w:p>
        </w:tc>
        <w:tc>
          <w:tcPr>
            <w:tcW w:w="787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0" w:lineRule="exact"/>
              <w:ind w:left="5078"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92.6pt;height:.5pt;mso-position-horizontal-relative:char;mso-position-vertical-relative:line" coordorigin="0,0" coordsize="1852,10">
                  <v:group style="position:absolute;left:5;top:5;width:1842;height:2" coordorigin="5,5" coordsize="1842,2">
                    <v:shape style="position:absolute;left:5;top:5;width:1842;height:2" coordorigin="5,5" coordsize="1842,0" path="m5,5l1847,5e" filled="false" stroked="true" strokeweight=".48001pt" strokecolor="#000000">
                      <v:path arrowok="t"/>
                    </v:shape>
                  </v:group>
                </v:group>
              </w:pict>
            </w:r>
            <w:r>
              <w:rPr>
                <w:rFonts w:ascii="Times New Roman" w:hAnsi="Times New Roman" w:cs="Times New Roman" w:eastAsia="Times New Roman" w:hint="default"/>
                <w:sz w:val="2"/>
                <w:szCs w:val="2"/>
              </w:rPr>
            </w:r>
          </w:p>
        </w:tc>
        <w:tc>
          <w:tcPr>
            <w:tcW w:w="1470" w:type="dxa"/>
            <w:tcBorders>
              <w:top w:val="single" w:sz="4" w:space="0" w:color="000000"/>
              <w:left w:val="nil" w:sz="6" w:space="0" w:color="auto"/>
              <w:bottom w:val="single" w:sz="4" w:space="0" w:color="000000"/>
              <w:right w:val="nil" w:sz="6" w:space="0" w:color="auto"/>
            </w:tcBorders>
          </w:tcPr>
          <w:p>
            <w:pPr/>
          </w:p>
        </w:tc>
      </w:tr>
      <w:tr>
        <w:trPr>
          <w:trHeight w:val="332" w:hRule="exact"/>
        </w:trPr>
        <w:tc>
          <w:tcPr>
            <w:tcW w:w="654" w:type="dxa"/>
            <w:tcBorders>
              <w:top w:val="nil" w:sz="6" w:space="0" w:color="auto"/>
              <w:left w:val="nil" w:sz="6" w:space="0" w:color="auto"/>
              <w:bottom w:val="nil" w:sz="6" w:space="0" w:color="auto"/>
              <w:right w:val="nil" w:sz="6" w:space="0" w:color="auto"/>
            </w:tcBorders>
          </w:tcPr>
          <w:p>
            <w:pPr/>
          </w:p>
        </w:tc>
        <w:tc>
          <w:tcPr>
            <w:tcW w:w="7873" w:type="dxa"/>
            <w:tcBorders>
              <w:top w:val="single" w:sz="4" w:space="0" w:color="000000"/>
              <w:left w:val="nil" w:sz="6" w:space="0" w:color="auto"/>
              <w:bottom w:val="single" w:sz="12" w:space="0" w:color="000000"/>
              <w:right w:val="nil" w:sz="6" w:space="0" w:color="auto"/>
            </w:tcBorders>
          </w:tcPr>
          <w:p>
            <w:pPr>
              <w:pStyle w:val="TableParagraph"/>
              <w:tabs>
                <w:tab w:pos="5570" w:val="left" w:leader="none"/>
              </w:tabs>
              <w:spacing w:line="310" w:lineRule="exact"/>
              <w:ind w:left="108" w:right="0"/>
              <w:jc w:val="left"/>
              <w:rPr>
                <w:rFonts w:ascii="Arial" w:hAnsi="Arial" w:cs="Arial" w:eastAsia="Arial" w:hint="default"/>
                <w:sz w:val="24"/>
                <w:szCs w:val="24"/>
              </w:rPr>
            </w:pPr>
            <w:r>
              <w:rPr>
                <w:rFonts w:ascii="宋体" w:hAnsi="宋体" w:cs="宋体" w:eastAsia="宋体" w:hint="default"/>
                <w:position w:val="2"/>
                <w:sz w:val="24"/>
                <w:szCs w:val="24"/>
              </w:rPr>
              <w:t>年末现金及现金等价物余额</w:t>
              <w:tab/>
            </w:r>
            <w:r>
              <w:rPr>
                <w:rFonts w:ascii="Arial" w:hAnsi="Arial" w:cs="Arial" w:eastAsia="Arial" w:hint="default"/>
                <w:spacing w:val="-3"/>
                <w:sz w:val="24"/>
                <w:szCs w:val="24"/>
              </w:rPr>
              <w:t>11,676,465</w:t>
            </w:r>
            <w:r>
              <w:rPr>
                <w:rFonts w:ascii="Arial" w:hAnsi="Arial" w:cs="Arial" w:eastAsia="Arial" w:hint="default"/>
                <w:sz w:val="24"/>
                <w:szCs w:val="24"/>
              </w:rPr>
            </w:r>
          </w:p>
        </w:tc>
        <w:tc>
          <w:tcPr>
            <w:tcW w:w="1470"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79"/>
              <w:jc w:val="right"/>
              <w:rPr>
                <w:rFonts w:ascii="Arial" w:hAnsi="Arial" w:cs="Arial" w:eastAsia="Arial" w:hint="default"/>
                <w:sz w:val="24"/>
                <w:szCs w:val="24"/>
              </w:rPr>
            </w:pPr>
            <w:r>
              <w:rPr>
                <w:rFonts w:ascii="Arial"/>
                <w:spacing w:val="-1"/>
                <w:w w:val="95"/>
                <w:sz w:val="24"/>
              </w:rPr>
              <w:t>13,325,028</w:t>
            </w:r>
            <w:r>
              <w:rPr>
                <w:rFonts w:ascii="Arial"/>
                <w:sz w:val="24"/>
              </w:rPr>
            </w:r>
          </w:p>
        </w:tc>
      </w:tr>
      <w:tr>
        <w:trPr>
          <w:trHeight w:val="702" w:hRule="exact"/>
        </w:trPr>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b/>
                <w:bCs/>
                <w:w w:val="99"/>
                <w:sz w:val="24"/>
                <w:szCs w:val="24"/>
              </w:rPr>
              <w:t>六</w:t>
            </w:r>
            <w:r>
              <w:rPr>
                <w:rFonts w:ascii="宋体" w:hAnsi="宋体" w:cs="宋体" w:eastAsia="宋体" w:hint="default"/>
                <w:sz w:val="24"/>
                <w:szCs w:val="24"/>
              </w:rPr>
            </w:r>
          </w:p>
        </w:tc>
        <w:tc>
          <w:tcPr>
            <w:tcW w:w="7873" w:type="dxa"/>
            <w:tcBorders>
              <w:top w:val="single" w:sz="12" w:space="0" w:color="000000"/>
              <w:left w:val="nil" w:sz="6" w:space="0" w:color="auto"/>
              <w:bottom w:val="nil" w:sz="6" w:space="0" w:color="auto"/>
              <w:right w:val="nil" w:sz="6" w:space="0" w:color="auto"/>
            </w:tcBorders>
          </w:tcPr>
          <w:p>
            <w:pPr>
              <w:pStyle w:val="TableParagraph"/>
              <w:spacing w:line="240" w:lineRule="auto" w:before="202"/>
              <w:ind w:left="106" w:right="0"/>
              <w:jc w:val="left"/>
              <w:rPr>
                <w:rFonts w:ascii="宋体" w:hAnsi="宋体" w:cs="宋体" w:eastAsia="宋体" w:hint="default"/>
                <w:sz w:val="24"/>
                <w:szCs w:val="24"/>
              </w:rPr>
            </w:pPr>
            <w:r>
              <w:rPr>
                <w:rFonts w:ascii="宋体" w:hAnsi="宋体" w:cs="宋体" w:eastAsia="宋体" w:hint="default"/>
                <w:b/>
                <w:bCs/>
                <w:sz w:val="24"/>
                <w:szCs w:val="24"/>
              </w:rPr>
              <w:t>关联方关系及其交易</w:t>
            </w:r>
            <w:r>
              <w:rPr>
                <w:rFonts w:ascii="宋体" w:hAnsi="宋体" w:cs="宋体" w:eastAsia="宋体" w:hint="default"/>
                <w:sz w:val="24"/>
                <w:szCs w:val="24"/>
              </w:rPr>
            </w:r>
          </w:p>
        </w:tc>
        <w:tc>
          <w:tcPr>
            <w:tcW w:w="1470" w:type="dxa"/>
            <w:tcBorders>
              <w:top w:val="single" w:sz="12" w:space="0" w:color="000000"/>
              <w:left w:val="nil" w:sz="6" w:space="0" w:color="auto"/>
              <w:bottom w:val="nil" w:sz="6" w:space="0" w:color="auto"/>
              <w:right w:val="nil" w:sz="6" w:space="0" w:color="auto"/>
            </w:tcBorders>
          </w:tcPr>
          <w:p>
            <w:pPr/>
          </w:p>
        </w:tc>
      </w:tr>
      <w:tr>
        <w:trPr>
          <w:trHeight w:val="588" w:hRule="exact"/>
        </w:trPr>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(1)</w:t>
            </w:r>
          </w:p>
        </w:tc>
        <w:tc>
          <w:tcPr>
            <w:tcW w:w="787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6" w:right="0"/>
              <w:jc w:val="left"/>
              <w:rPr>
                <w:rFonts w:ascii="宋体" w:hAnsi="宋体" w:cs="宋体" w:eastAsia="宋体" w:hint="default"/>
                <w:sz w:val="24"/>
                <w:szCs w:val="24"/>
              </w:rPr>
            </w:pPr>
            <w:r>
              <w:rPr>
                <w:rFonts w:ascii="宋体" w:hAnsi="宋体" w:cs="宋体" w:eastAsia="宋体" w:hint="default"/>
                <w:b/>
                <w:bCs/>
                <w:sz w:val="24"/>
                <w:szCs w:val="24"/>
              </w:rPr>
              <w:t>母公司情况</w:t>
            </w:r>
            <w:r>
              <w:rPr>
                <w:rFonts w:ascii="宋体" w:hAnsi="宋体" w:cs="宋体" w:eastAsia="宋体" w:hint="default"/>
                <w:sz w:val="24"/>
                <w:szCs w:val="24"/>
              </w:rPr>
            </w:r>
          </w:p>
        </w:tc>
        <w:tc>
          <w:tcPr>
            <w:tcW w:w="1470" w:type="dxa"/>
            <w:tcBorders>
              <w:top w:val="nil" w:sz="6" w:space="0" w:color="auto"/>
              <w:left w:val="nil" w:sz="6" w:space="0" w:color="auto"/>
              <w:bottom w:val="nil" w:sz="6" w:space="0" w:color="auto"/>
              <w:right w:val="nil" w:sz="6" w:space="0" w:color="auto"/>
            </w:tcBorders>
          </w:tcPr>
          <w:p>
            <w:pPr/>
          </w:p>
        </w:tc>
      </w:tr>
      <w:tr>
        <w:trPr>
          <w:trHeight w:val="589" w:hRule="exact"/>
        </w:trPr>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(a)</w:t>
            </w:r>
          </w:p>
        </w:tc>
        <w:tc>
          <w:tcPr>
            <w:tcW w:w="787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6" w:right="0"/>
              <w:jc w:val="left"/>
              <w:rPr>
                <w:rFonts w:ascii="宋体" w:hAnsi="宋体" w:cs="宋体" w:eastAsia="宋体" w:hint="default"/>
                <w:sz w:val="24"/>
                <w:szCs w:val="24"/>
              </w:rPr>
            </w:pPr>
            <w:r>
              <w:rPr>
                <w:rFonts w:ascii="宋体" w:hAnsi="宋体" w:cs="宋体" w:eastAsia="宋体" w:hint="default"/>
                <w:sz w:val="24"/>
                <w:szCs w:val="24"/>
              </w:rPr>
              <w:t>母公司基本情况</w:t>
            </w:r>
          </w:p>
        </w:tc>
        <w:tc>
          <w:tcPr>
            <w:tcW w:w="1470" w:type="dxa"/>
            <w:tcBorders>
              <w:top w:val="nil" w:sz="6" w:space="0" w:color="auto"/>
              <w:left w:val="nil" w:sz="6" w:space="0" w:color="auto"/>
              <w:bottom w:val="nil" w:sz="6" w:space="0" w:color="auto"/>
              <w:right w:val="nil" w:sz="6" w:space="0" w:color="auto"/>
            </w:tcBorders>
          </w:tcPr>
          <w:p>
            <w:pPr/>
          </w:p>
        </w:tc>
      </w:tr>
      <w:tr>
        <w:trPr>
          <w:trHeight w:val="402" w:hRule="exact"/>
        </w:trPr>
        <w:tc>
          <w:tcPr>
            <w:tcW w:w="654" w:type="dxa"/>
            <w:tcBorders>
              <w:top w:val="nil" w:sz="6" w:space="0" w:color="auto"/>
              <w:left w:val="nil" w:sz="6" w:space="0" w:color="auto"/>
              <w:bottom w:val="nil" w:sz="6" w:space="0" w:color="auto"/>
              <w:right w:val="nil" w:sz="6" w:space="0" w:color="auto"/>
            </w:tcBorders>
          </w:tcPr>
          <w:p>
            <w:pPr/>
          </w:p>
        </w:tc>
        <w:tc>
          <w:tcPr>
            <w:tcW w:w="7873"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5"/>
              <w:jc w:val="right"/>
              <w:rPr>
                <w:rFonts w:ascii="宋体" w:hAnsi="宋体" w:cs="宋体" w:eastAsia="宋体" w:hint="default"/>
                <w:sz w:val="20"/>
                <w:szCs w:val="20"/>
              </w:rPr>
            </w:pPr>
            <w:r>
              <w:rPr>
                <w:rFonts w:ascii="宋体" w:hAnsi="宋体" w:cs="宋体" w:eastAsia="宋体" w:hint="default"/>
                <w:sz w:val="20"/>
                <w:szCs w:val="20"/>
              </w:rPr>
              <w:t>组织机构</w:t>
            </w:r>
          </w:p>
        </w:tc>
      </w:tr>
      <w:tr>
        <w:trPr>
          <w:trHeight w:val="375" w:hRule="exact"/>
        </w:trPr>
        <w:tc>
          <w:tcPr>
            <w:tcW w:w="654" w:type="dxa"/>
            <w:tcBorders>
              <w:top w:val="nil" w:sz="6" w:space="0" w:color="auto"/>
              <w:left w:val="nil" w:sz="6" w:space="0" w:color="auto"/>
              <w:bottom w:val="nil" w:sz="6" w:space="0" w:color="auto"/>
              <w:right w:val="nil" w:sz="6" w:space="0" w:color="auto"/>
            </w:tcBorders>
          </w:tcPr>
          <w:p>
            <w:pPr/>
          </w:p>
        </w:tc>
        <w:tc>
          <w:tcPr>
            <w:tcW w:w="7873" w:type="dxa"/>
            <w:tcBorders>
              <w:top w:val="nil" w:sz="6" w:space="0" w:color="auto"/>
              <w:left w:val="nil" w:sz="6" w:space="0" w:color="auto"/>
              <w:bottom w:val="nil" w:sz="6" w:space="0" w:color="auto"/>
              <w:right w:val="nil" w:sz="6" w:space="0" w:color="auto"/>
            </w:tcBorders>
          </w:tcPr>
          <w:p>
            <w:pPr>
              <w:pStyle w:val="TableParagraph"/>
              <w:tabs>
                <w:tab w:pos="1475" w:val="left" w:leader="none"/>
                <w:tab w:pos="2477" w:val="left" w:leader="none"/>
                <w:tab w:pos="4630" w:val="left" w:leader="none"/>
              </w:tabs>
              <w:spacing w:line="230" w:lineRule="exact"/>
              <w:ind w:right="103"/>
              <w:jc w:val="right"/>
              <w:rPr>
                <w:rFonts w:ascii="宋体" w:hAnsi="宋体" w:cs="宋体" w:eastAsia="宋体" w:hint="default"/>
                <w:sz w:val="20"/>
                <w:szCs w:val="20"/>
              </w:rPr>
            </w:pPr>
            <w:r>
              <w:rPr>
                <w:rFonts w:ascii="宋体" w:hAnsi="宋体" w:cs="宋体" w:eastAsia="宋体" w:hint="default"/>
                <w:sz w:val="20"/>
                <w:szCs w:val="20"/>
              </w:rPr>
              <w:t>企业类型</w:t>
              <w:tab/>
              <w:t>注册地</w:t>
              <w:tab/>
              <w:t>法人代表</w:t>
              <w:tab/>
              <w:t>业务性质</w:t>
            </w:r>
          </w:p>
        </w:tc>
        <w:tc>
          <w:tcPr>
            <w:tcW w:w="1470" w:type="dxa"/>
            <w:tcBorders>
              <w:top w:val="nil" w:sz="6" w:space="0" w:color="auto"/>
              <w:left w:val="nil" w:sz="6" w:space="0" w:color="auto"/>
              <w:bottom w:val="nil" w:sz="6" w:space="0" w:color="auto"/>
              <w:right w:val="nil" w:sz="6" w:space="0" w:color="auto"/>
            </w:tcBorders>
          </w:tcPr>
          <w:p>
            <w:pPr>
              <w:pStyle w:val="TableParagraph"/>
              <w:spacing w:line="230" w:lineRule="exact"/>
              <w:ind w:right="105"/>
              <w:jc w:val="right"/>
              <w:rPr>
                <w:rFonts w:ascii="宋体" w:hAnsi="宋体" w:cs="宋体" w:eastAsia="宋体" w:hint="default"/>
                <w:sz w:val="20"/>
                <w:szCs w:val="20"/>
              </w:rPr>
            </w:pPr>
            <w:r>
              <w:rPr>
                <w:rFonts w:ascii="宋体" w:hAnsi="宋体" w:cs="宋体" w:eastAsia="宋体" w:hint="default"/>
                <w:sz w:val="20"/>
                <w:szCs w:val="20"/>
              </w:rPr>
              <w:t>代码</w:t>
            </w:r>
          </w:p>
        </w:tc>
      </w:tr>
      <w:tr>
        <w:trPr>
          <w:trHeight w:val="375" w:hRule="exact"/>
        </w:trPr>
        <w:tc>
          <w:tcPr>
            <w:tcW w:w="654" w:type="dxa"/>
            <w:tcBorders>
              <w:top w:val="nil" w:sz="6" w:space="0" w:color="auto"/>
              <w:left w:val="nil" w:sz="6" w:space="0" w:color="auto"/>
              <w:bottom w:val="nil" w:sz="6" w:space="0" w:color="auto"/>
              <w:right w:val="nil" w:sz="6" w:space="0" w:color="auto"/>
            </w:tcBorders>
          </w:tcPr>
          <w:p>
            <w:pPr/>
          </w:p>
        </w:tc>
        <w:tc>
          <w:tcPr>
            <w:tcW w:w="7873" w:type="dxa"/>
            <w:tcBorders>
              <w:top w:val="nil" w:sz="6" w:space="0" w:color="auto"/>
              <w:left w:val="nil" w:sz="6" w:space="0" w:color="auto"/>
              <w:bottom w:val="nil" w:sz="6" w:space="0" w:color="auto"/>
              <w:right w:val="nil" w:sz="6" w:space="0" w:color="auto"/>
            </w:tcBorders>
          </w:tcPr>
          <w:p>
            <w:pPr>
              <w:pStyle w:val="TableParagraph"/>
              <w:tabs>
                <w:tab w:pos="2535" w:val="left" w:leader="none"/>
                <w:tab w:pos="3811" w:val="left" w:leader="none"/>
                <w:tab w:pos="5013" w:val="left" w:leader="none"/>
                <w:tab w:pos="7166" w:val="left" w:leader="none"/>
              </w:tabs>
              <w:spacing w:line="240" w:lineRule="auto" w:before="83"/>
              <w:ind w:left="106" w:right="0"/>
              <w:jc w:val="left"/>
              <w:rPr>
                <w:rFonts w:ascii="宋体" w:hAnsi="宋体" w:cs="宋体" w:eastAsia="宋体" w:hint="default"/>
                <w:sz w:val="20"/>
                <w:szCs w:val="20"/>
              </w:rPr>
            </w:pPr>
            <w:r>
              <w:rPr>
                <w:rFonts w:ascii="宋体" w:hAnsi="宋体" w:cs="宋体" w:eastAsia="宋体" w:hint="default"/>
                <w:spacing w:val="-1"/>
                <w:sz w:val="20"/>
                <w:szCs w:val="20"/>
              </w:rPr>
              <w:t>张近东先生</w:t>
              <w:tab/>
            </w:r>
            <w:r>
              <w:rPr>
                <w:rFonts w:ascii="宋体" w:hAnsi="宋体" w:cs="宋体" w:eastAsia="宋体" w:hint="default"/>
                <w:sz w:val="20"/>
                <w:szCs w:val="20"/>
              </w:rPr>
              <w:t>不适用</w:t>
              <w:tab/>
              <w:t>不适用</w:t>
              <w:tab/>
              <w:t>不适用</w:t>
              <w:tab/>
              <w:t>不适用</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5"/>
              <w:jc w:val="right"/>
              <w:rPr>
                <w:rFonts w:ascii="宋体" w:hAnsi="宋体" w:cs="宋体" w:eastAsia="宋体" w:hint="default"/>
                <w:sz w:val="20"/>
                <w:szCs w:val="20"/>
              </w:rPr>
            </w:pPr>
            <w:r>
              <w:rPr>
                <w:rFonts w:ascii="宋体" w:hAnsi="宋体" w:cs="宋体" w:eastAsia="宋体" w:hint="default"/>
                <w:sz w:val="20"/>
                <w:szCs w:val="20"/>
              </w:rPr>
              <w:t>不适用</w:t>
            </w:r>
          </w:p>
        </w:tc>
      </w:tr>
      <w:tr>
        <w:trPr>
          <w:trHeight w:val="260" w:hRule="exact"/>
        </w:trPr>
        <w:tc>
          <w:tcPr>
            <w:tcW w:w="654" w:type="dxa"/>
            <w:tcBorders>
              <w:top w:val="nil" w:sz="6" w:space="0" w:color="auto"/>
              <w:left w:val="nil" w:sz="6" w:space="0" w:color="auto"/>
              <w:bottom w:val="nil" w:sz="6" w:space="0" w:color="auto"/>
              <w:right w:val="nil" w:sz="6" w:space="0" w:color="auto"/>
            </w:tcBorders>
          </w:tcPr>
          <w:p>
            <w:pPr/>
          </w:p>
        </w:tc>
        <w:tc>
          <w:tcPr>
            <w:tcW w:w="7873" w:type="dxa"/>
            <w:tcBorders>
              <w:top w:val="nil" w:sz="6" w:space="0" w:color="auto"/>
              <w:left w:val="nil" w:sz="6" w:space="0" w:color="auto"/>
              <w:bottom w:val="nil" w:sz="6" w:space="0" w:color="auto"/>
              <w:right w:val="nil" w:sz="6" w:space="0" w:color="auto"/>
            </w:tcBorders>
          </w:tcPr>
          <w:p>
            <w:pPr>
              <w:pStyle w:val="TableParagraph"/>
              <w:tabs>
                <w:tab w:pos="2335" w:val="left" w:leader="none"/>
                <w:tab w:pos="5765" w:val="left" w:leader="none"/>
              </w:tabs>
              <w:spacing w:line="230" w:lineRule="exact"/>
              <w:ind w:left="106" w:right="0"/>
              <w:jc w:val="left"/>
              <w:rPr>
                <w:rFonts w:ascii="宋体" w:hAnsi="宋体" w:cs="宋体" w:eastAsia="宋体" w:hint="default"/>
                <w:sz w:val="20"/>
                <w:szCs w:val="20"/>
              </w:rPr>
            </w:pPr>
            <w:r>
              <w:rPr>
                <w:rFonts w:ascii="宋体" w:hAnsi="宋体" w:cs="宋体" w:eastAsia="宋体" w:hint="default"/>
                <w:spacing w:val="-1"/>
                <w:sz w:val="20"/>
                <w:szCs w:val="20"/>
              </w:rPr>
              <w:t>苏宁电器集团</w:t>
              <w:tab/>
            </w:r>
            <w:r>
              <w:rPr>
                <w:rFonts w:ascii="宋体" w:hAnsi="宋体" w:cs="宋体" w:eastAsia="宋体" w:hint="default"/>
                <w:sz w:val="20"/>
                <w:szCs w:val="20"/>
              </w:rPr>
              <w:t>有限责任</w:t>
              <w:tab/>
            </w:r>
            <w:r>
              <w:rPr>
                <w:rFonts w:ascii="宋体" w:hAnsi="宋体" w:cs="宋体" w:eastAsia="宋体" w:hint="default"/>
                <w:spacing w:val="-1"/>
                <w:sz w:val="20"/>
                <w:szCs w:val="20"/>
              </w:rPr>
              <w:t>电脑数码、移动通讯、</w:t>
            </w:r>
          </w:p>
        </w:tc>
        <w:tc>
          <w:tcPr>
            <w:tcW w:w="1470" w:type="dxa"/>
            <w:tcBorders>
              <w:top w:val="nil" w:sz="6" w:space="0" w:color="auto"/>
              <w:left w:val="nil" w:sz="6" w:space="0" w:color="auto"/>
              <w:bottom w:val="nil" w:sz="6" w:space="0" w:color="auto"/>
              <w:right w:val="nil" w:sz="6" w:space="0" w:color="auto"/>
            </w:tcBorders>
          </w:tcPr>
          <w:p>
            <w:pPr/>
          </w:p>
        </w:tc>
      </w:tr>
      <w:tr>
        <w:trPr>
          <w:trHeight w:val="400" w:hRule="exact"/>
        </w:trPr>
        <w:tc>
          <w:tcPr>
            <w:tcW w:w="654" w:type="dxa"/>
            <w:tcBorders>
              <w:top w:val="nil" w:sz="6" w:space="0" w:color="auto"/>
              <w:left w:val="nil" w:sz="6" w:space="0" w:color="auto"/>
              <w:bottom w:val="nil" w:sz="6" w:space="0" w:color="auto"/>
              <w:right w:val="nil" w:sz="6" w:space="0" w:color="auto"/>
            </w:tcBorders>
          </w:tcPr>
          <w:p>
            <w:pPr/>
          </w:p>
        </w:tc>
        <w:tc>
          <w:tcPr>
            <w:tcW w:w="7873" w:type="dxa"/>
            <w:tcBorders>
              <w:top w:val="nil" w:sz="6" w:space="0" w:color="auto"/>
              <w:left w:val="nil" w:sz="6" w:space="0" w:color="auto"/>
              <w:bottom w:val="nil" w:sz="6" w:space="0" w:color="auto"/>
              <w:right w:val="nil" w:sz="6" w:space="0" w:color="auto"/>
            </w:tcBorders>
          </w:tcPr>
          <w:p>
            <w:pPr>
              <w:pStyle w:val="TableParagraph"/>
              <w:tabs>
                <w:tab w:pos="2457" w:val="left" w:leader="none"/>
                <w:tab w:pos="3532" w:val="left" w:leader="none"/>
                <w:tab w:pos="4735" w:val="left" w:leader="none"/>
                <w:tab w:pos="6687" w:val="left" w:leader="none"/>
              </w:tabs>
              <w:spacing w:line="231" w:lineRule="exact"/>
              <w:ind w:right="103"/>
              <w:jc w:val="right"/>
              <w:rPr>
                <w:rFonts w:ascii="宋体" w:hAnsi="宋体" w:cs="宋体" w:eastAsia="宋体" w:hint="default"/>
                <w:sz w:val="20"/>
                <w:szCs w:val="20"/>
              </w:rPr>
            </w:pPr>
            <w:r>
              <w:rPr>
                <w:rFonts w:ascii="宋体" w:hAnsi="宋体" w:cs="宋体" w:eastAsia="宋体" w:hint="default"/>
                <w:sz w:val="20"/>
                <w:szCs w:val="20"/>
              </w:rPr>
              <w:t>有限公司</w:t>
              <w:tab/>
              <w:t>公司</w:t>
              <w:tab/>
              <w:t>南京市</w:t>
              <w:tab/>
              <w:t>马晓咏</w:t>
              <w:tab/>
              <w:t>家用电器</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Arial" w:hAnsi="Arial" w:cs="Arial" w:eastAsia="Arial" w:hint="default"/>
                <w:sz w:val="20"/>
                <w:szCs w:val="20"/>
              </w:rPr>
            </w:pPr>
            <w:r>
              <w:rPr>
                <w:rFonts w:ascii="Arial"/>
                <w:spacing w:val="-1"/>
                <w:sz w:val="20"/>
              </w:rPr>
              <w:t>71409210-3</w:t>
            </w:r>
          </w:p>
        </w:tc>
      </w:tr>
      <w:tr>
        <w:trPr>
          <w:trHeight w:val="558" w:hRule="exact"/>
        </w:trPr>
        <w:tc>
          <w:tcPr>
            <w:tcW w:w="654" w:type="dxa"/>
            <w:tcBorders>
              <w:top w:val="nil" w:sz="6" w:space="0" w:color="auto"/>
              <w:left w:val="nil" w:sz="6" w:space="0" w:color="auto"/>
              <w:bottom w:val="nil" w:sz="6" w:space="0" w:color="auto"/>
              <w:right w:val="nil" w:sz="6" w:space="0" w:color="auto"/>
            </w:tcBorders>
          </w:tcPr>
          <w:p>
            <w:pPr/>
          </w:p>
        </w:tc>
        <w:tc>
          <w:tcPr>
            <w:tcW w:w="787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06" w:right="0"/>
              <w:jc w:val="left"/>
              <w:rPr>
                <w:rFonts w:ascii="宋体" w:hAnsi="宋体" w:cs="宋体" w:eastAsia="宋体" w:hint="default"/>
                <w:sz w:val="24"/>
                <w:szCs w:val="24"/>
              </w:rPr>
            </w:pPr>
            <w:r>
              <w:rPr>
                <w:rFonts w:ascii="宋体" w:hAnsi="宋体" w:cs="宋体" w:eastAsia="宋体" w:hint="default"/>
                <w:sz w:val="24"/>
                <w:szCs w:val="24"/>
              </w:rPr>
              <w:t>本公司的最终控制方为张近东先生。</w:t>
            </w:r>
          </w:p>
        </w:tc>
        <w:tc>
          <w:tcPr>
            <w:tcW w:w="1470" w:type="dxa"/>
            <w:tcBorders>
              <w:top w:val="nil" w:sz="6" w:space="0" w:color="auto"/>
              <w:left w:val="nil" w:sz="6" w:space="0" w:color="auto"/>
              <w:bottom w:val="nil" w:sz="6" w:space="0" w:color="auto"/>
              <w:right w:val="nil" w:sz="6" w:space="0" w:color="auto"/>
            </w:tcBorders>
          </w:tcPr>
          <w:p>
            <w:pPr/>
          </w:p>
        </w:tc>
      </w:tr>
      <w:tr>
        <w:trPr>
          <w:trHeight w:val="589" w:hRule="exact"/>
        </w:trPr>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4"/>
                <w:szCs w:val="24"/>
              </w:rPr>
            </w:pPr>
            <w:r>
              <w:rPr>
                <w:rFonts w:ascii="Arial"/>
                <w:sz w:val="24"/>
              </w:rPr>
              <w:t>(b)</w:t>
            </w:r>
          </w:p>
        </w:tc>
        <w:tc>
          <w:tcPr>
            <w:tcW w:w="787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6" w:right="0"/>
              <w:jc w:val="left"/>
              <w:rPr>
                <w:rFonts w:ascii="宋体" w:hAnsi="宋体" w:cs="宋体" w:eastAsia="宋体" w:hint="default"/>
                <w:sz w:val="24"/>
                <w:szCs w:val="24"/>
              </w:rPr>
            </w:pPr>
            <w:r>
              <w:rPr>
                <w:rFonts w:ascii="宋体" w:hAnsi="宋体" w:cs="宋体" w:eastAsia="宋体" w:hint="default"/>
                <w:sz w:val="24"/>
                <w:szCs w:val="24"/>
              </w:rPr>
              <w:t>母公司注册资本及其变化</w:t>
            </w:r>
          </w:p>
        </w:tc>
        <w:tc>
          <w:tcPr>
            <w:tcW w:w="1470" w:type="dxa"/>
            <w:tcBorders>
              <w:top w:val="nil" w:sz="6" w:space="0" w:color="auto"/>
              <w:left w:val="nil" w:sz="6" w:space="0" w:color="auto"/>
              <w:bottom w:val="nil" w:sz="6" w:space="0" w:color="auto"/>
              <w:right w:val="nil" w:sz="6" w:space="0" w:color="auto"/>
            </w:tcBorders>
          </w:tcPr>
          <w:p>
            <w:pPr/>
          </w:p>
        </w:tc>
      </w:tr>
      <w:tr>
        <w:trPr>
          <w:trHeight w:val="406" w:hRule="exact"/>
        </w:trPr>
        <w:tc>
          <w:tcPr>
            <w:tcW w:w="654" w:type="dxa"/>
            <w:tcBorders>
              <w:top w:val="nil" w:sz="6" w:space="0" w:color="auto"/>
              <w:left w:val="nil" w:sz="6" w:space="0" w:color="auto"/>
              <w:bottom w:val="nil" w:sz="6" w:space="0" w:color="auto"/>
              <w:right w:val="nil" w:sz="6" w:space="0" w:color="auto"/>
            </w:tcBorders>
          </w:tcPr>
          <w:p>
            <w:pPr/>
          </w:p>
        </w:tc>
        <w:tc>
          <w:tcPr>
            <w:tcW w:w="787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57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7"/>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p>
        </w:tc>
      </w:tr>
      <w:tr>
        <w:trPr>
          <w:trHeight w:val="375" w:hRule="exact"/>
        </w:trPr>
        <w:tc>
          <w:tcPr>
            <w:tcW w:w="654" w:type="dxa"/>
            <w:tcBorders>
              <w:top w:val="nil" w:sz="6" w:space="0" w:color="auto"/>
              <w:left w:val="nil" w:sz="6" w:space="0" w:color="auto"/>
              <w:bottom w:val="nil" w:sz="6" w:space="0" w:color="auto"/>
              <w:right w:val="nil" w:sz="6" w:space="0" w:color="auto"/>
            </w:tcBorders>
          </w:tcPr>
          <w:p>
            <w:pPr/>
          </w:p>
        </w:tc>
        <w:tc>
          <w:tcPr>
            <w:tcW w:w="7873" w:type="dxa"/>
            <w:tcBorders>
              <w:top w:val="nil" w:sz="6" w:space="0" w:color="auto"/>
              <w:left w:val="nil" w:sz="6" w:space="0" w:color="auto"/>
              <w:bottom w:val="nil" w:sz="6" w:space="0" w:color="auto"/>
              <w:right w:val="nil" w:sz="6" w:space="0" w:color="auto"/>
            </w:tcBorders>
          </w:tcPr>
          <w:p>
            <w:pPr>
              <w:pStyle w:val="TableParagraph"/>
              <w:tabs>
                <w:tab w:pos="1467" w:val="left" w:leader="none"/>
                <w:tab w:pos="2713" w:val="left" w:leader="none"/>
              </w:tabs>
              <w:spacing w:line="240" w:lineRule="exact"/>
              <w:ind w:right="85"/>
              <w:jc w:val="righ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t>本年增加</w:t>
              <w:tab/>
              <w:t>本年减少</w:t>
            </w:r>
          </w:p>
        </w:tc>
        <w:tc>
          <w:tcPr>
            <w:tcW w:w="1470" w:type="dxa"/>
            <w:tcBorders>
              <w:top w:val="nil" w:sz="6" w:space="0" w:color="auto"/>
              <w:left w:val="nil" w:sz="6" w:space="0" w:color="auto"/>
              <w:bottom w:val="nil" w:sz="6" w:space="0" w:color="auto"/>
              <w:right w:val="nil" w:sz="6" w:space="0" w:color="auto"/>
            </w:tcBorders>
          </w:tcPr>
          <w:p>
            <w:pPr>
              <w:pStyle w:val="TableParagraph"/>
              <w:spacing w:line="239" w:lineRule="exact"/>
              <w:ind w:right="107"/>
              <w:jc w:val="righ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r>
      <w:tr>
        <w:trPr>
          <w:trHeight w:val="370" w:hRule="exact"/>
        </w:trPr>
        <w:tc>
          <w:tcPr>
            <w:tcW w:w="654" w:type="dxa"/>
            <w:tcBorders>
              <w:top w:val="nil" w:sz="6" w:space="0" w:color="auto"/>
              <w:left w:val="nil" w:sz="6" w:space="0" w:color="auto"/>
              <w:bottom w:val="nil" w:sz="6" w:space="0" w:color="auto"/>
              <w:right w:val="nil" w:sz="6" w:space="0" w:color="auto"/>
            </w:tcBorders>
          </w:tcPr>
          <w:p>
            <w:pPr/>
          </w:p>
        </w:tc>
        <w:tc>
          <w:tcPr>
            <w:tcW w:w="7873" w:type="dxa"/>
            <w:tcBorders>
              <w:top w:val="nil" w:sz="6" w:space="0" w:color="auto"/>
              <w:left w:val="nil" w:sz="6" w:space="0" w:color="auto"/>
              <w:bottom w:val="nil" w:sz="6" w:space="0" w:color="auto"/>
              <w:right w:val="nil" w:sz="6" w:space="0" w:color="auto"/>
            </w:tcBorders>
          </w:tcPr>
          <w:p>
            <w:pPr>
              <w:pStyle w:val="TableParagraph"/>
              <w:tabs>
                <w:tab w:pos="4665" w:val="left" w:leader="none"/>
                <w:tab w:pos="5938" w:val="left" w:leader="none"/>
                <w:tab w:pos="7184" w:val="left" w:leader="none"/>
              </w:tabs>
              <w:spacing w:line="240" w:lineRule="auto" w:before="79"/>
              <w:ind w:left="106" w:right="0"/>
              <w:jc w:val="left"/>
              <w:rPr>
                <w:rFonts w:ascii="宋体" w:hAnsi="宋体" w:cs="宋体" w:eastAsia="宋体" w:hint="default"/>
                <w:sz w:val="20"/>
                <w:szCs w:val="20"/>
              </w:rPr>
            </w:pPr>
            <w:r>
              <w:rPr>
                <w:rFonts w:ascii="宋体" w:hAnsi="宋体" w:cs="宋体" w:eastAsia="宋体" w:hint="default"/>
                <w:spacing w:val="-1"/>
                <w:sz w:val="20"/>
                <w:szCs w:val="20"/>
              </w:rPr>
              <w:t>张近东先生</w:t>
              <w:tab/>
            </w:r>
            <w:r>
              <w:rPr>
                <w:rFonts w:ascii="宋体" w:hAnsi="宋体" w:cs="宋体" w:eastAsia="宋体" w:hint="default"/>
                <w:sz w:val="20"/>
                <w:szCs w:val="20"/>
              </w:rPr>
              <w:t>不适用</w:t>
              <w:tab/>
              <w:t>不适用</w:t>
              <w:tab/>
              <w:t>不适用</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7"/>
              <w:jc w:val="right"/>
              <w:rPr>
                <w:rFonts w:ascii="宋体" w:hAnsi="宋体" w:cs="宋体" w:eastAsia="宋体" w:hint="default"/>
                <w:sz w:val="20"/>
                <w:szCs w:val="20"/>
              </w:rPr>
            </w:pPr>
            <w:r>
              <w:rPr>
                <w:rFonts w:ascii="宋体" w:hAnsi="宋体" w:cs="宋体" w:eastAsia="宋体" w:hint="default"/>
                <w:sz w:val="20"/>
                <w:szCs w:val="20"/>
              </w:rPr>
              <w:t>不适用</w:t>
            </w:r>
          </w:p>
        </w:tc>
      </w:tr>
      <w:tr>
        <w:trPr>
          <w:trHeight w:val="353" w:hRule="exact"/>
        </w:trPr>
        <w:tc>
          <w:tcPr>
            <w:tcW w:w="654" w:type="dxa"/>
            <w:tcBorders>
              <w:top w:val="nil" w:sz="6" w:space="0" w:color="auto"/>
              <w:left w:val="nil" w:sz="6" w:space="0" w:color="auto"/>
              <w:bottom w:val="nil" w:sz="6" w:space="0" w:color="auto"/>
              <w:right w:val="nil" w:sz="6" w:space="0" w:color="auto"/>
            </w:tcBorders>
          </w:tcPr>
          <w:p>
            <w:pPr/>
          </w:p>
        </w:tc>
        <w:tc>
          <w:tcPr>
            <w:tcW w:w="7873" w:type="dxa"/>
            <w:tcBorders>
              <w:top w:val="nil" w:sz="6" w:space="0" w:color="auto"/>
              <w:left w:val="nil" w:sz="6" w:space="0" w:color="auto"/>
              <w:bottom w:val="nil" w:sz="6" w:space="0" w:color="auto"/>
              <w:right w:val="nil" w:sz="6" w:space="0" w:color="auto"/>
            </w:tcBorders>
          </w:tcPr>
          <w:p>
            <w:pPr>
              <w:pStyle w:val="TableParagraph"/>
              <w:tabs>
                <w:tab w:pos="4543" w:val="left" w:leader="none"/>
                <w:tab w:pos="6472" w:val="left" w:leader="none"/>
                <w:tab w:pos="7718" w:val="left" w:leader="none"/>
              </w:tabs>
              <w:spacing w:line="257" w:lineRule="exact"/>
              <w:ind w:left="106" w:right="0"/>
              <w:jc w:val="left"/>
              <w:rPr>
                <w:rFonts w:ascii="Arial" w:hAnsi="Arial" w:cs="Arial" w:eastAsia="Arial" w:hint="default"/>
                <w:sz w:val="20"/>
                <w:szCs w:val="20"/>
              </w:rPr>
            </w:pPr>
            <w:r>
              <w:rPr>
                <w:rFonts w:ascii="宋体" w:hAnsi="宋体" w:cs="宋体" w:eastAsia="宋体" w:hint="default"/>
                <w:spacing w:val="-1"/>
                <w:position w:val="1"/>
                <w:sz w:val="20"/>
                <w:szCs w:val="20"/>
              </w:rPr>
              <w:t>苏宁电器集团有限公司</w:t>
              <w:tab/>
            </w:r>
            <w:r>
              <w:rPr>
                <w:rFonts w:ascii="Arial" w:hAnsi="Arial" w:cs="Arial" w:eastAsia="Arial" w:hint="default"/>
                <w:spacing w:val="-1"/>
                <w:sz w:val="20"/>
                <w:szCs w:val="20"/>
              </w:rPr>
              <w:t>200,000</w:t>
              <w:tab/>
            </w:r>
            <w:r>
              <w:rPr>
                <w:rFonts w:ascii="Arial" w:hAnsi="Arial" w:cs="Arial" w:eastAsia="Arial" w:hint="default"/>
                <w:sz w:val="20"/>
                <w:szCs w:val="20"/>
              </w:rPr>
              <w:t>-</w:t>
              <w:tab/>
              <w:t>-</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7"/>
              <w:jc w:val="right"/>
              <w:rPr>
                <w:rFonts w:ascii="Arial" w:hAnsi="Arial" w:cs="Arial" w:eastAsia="Arial" w:hint="default"/>
                <w:sz w:val="20"/>
                <w:szCs w:val="20"/>
              </w:rPr>
            </w:pPr>
            <w:r>
              <w:rPr>
                <w:rFonts w:ascii="Arial"/>
                <w:spacing w:val="-1"/>
                <w:sz w:val="20"/>
              </w:rPr>
              <w:t>200,000</w:t>
            </w:r>
          </w:p>
        </w:tc>
      </w:tr>
    </w:tbl>
    <w:p>
      <w:pPr>
        <w:spacing w:after="0" w:line="240" w:lineRule="auto"/>
        <w:jc w:val="right"/>
        <w:rPr>
          <w:rFonts w:ascii="Arial" w:hAnsi="Arial" w:cs="Arial" w:eastAsia="Arial" w:hint="default"/>
          <w:sz w:val="20"/>
          <w:szCs w:val="20"/>
        </w:rPr>
        <w:sectPr>
          <w:pgSz w:w="11910" w:h="16840"/>
          <w:pgMar w:header="0" w:footer="947" w:top="2300" w:bottom="1140" w:left="920" w:right="760"/>
        </w:sectPr>
      </w:pPr>
    </w:p>
    <w:p>
      <w:pPr>
        <w:spacing w:line="240" w:lineRule="auto" w:before="4"/>
        <w:rPr>
          <w:rFonts w:ascii="Times New Roman" w:hAnsi="Times New Roman" w:cs="Times New Roman" w:eastAsia="Times New Roman" w:hint="default"/>
          <w:sz w:val="15"/>
          <w:szCs w:val="15"/>
        </w:rPr>
      </w:pPr>
    </w:p>
    <w:p>
      <w:pPr>
        <w:pStyle w:val="Heading2"/>
        <w:tabs>
          <w:tab w:pos="839" w:val="left" w:leader="none"/>
        </w:tabs>
        <w:spacing w:line="240" w:lineRule="auto"/>
        <w:ind w:left="114" w:right="104"/>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39" w:val="left" w:leader="none"/>
        </w:tabs>
        <w:spacing w:before="0"/>
        <w:ind w:left="114" w:right="104" w:firstLine="0"/>
        <w:jc w:val="left"/>
        <w:rPr>
          <w:rFonts w:ascii="Arial" w:hAnsi="Arial" w:cs="Arial" w:eastAsia="Arial" w:hint="default"/>
          <w:sz w:val="24"/>
          <w:szCs w:val="24"/>
        </w:rPr>
      </w:pPr>
      <w:r>
        <w:rPr>
          <w:rFonts w:ascii="Arial" w:hAnsi="Arial" w:cs="Arial" w:eastAsia="Arial" w:hint="default"/>
          <w:w w:val="95"/>
          <w:position w:val="2"/>
          <w:sz w:val="24"/>
          <w:szCs w:val="24"/>
        </w:rPr>
        <w:t>(1)</w:t>
        <w:tab/>
      </w:r>
      <w:r>
        <w:rPr>
          <w:rFonts w:ascii="宋体" w:hAnsi="宋体" w:cs="宋体" w:eastAsia="宋体" w:hint="default"/>
          <w:b/>
          <w:bCs/>
          <w:sz w:val="24"/>
          <w:szCs w:val="24"/>
        </w:rPr>
        <w:t>母公司情况</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39" w:val="left" w:leader="none"/>
        </w:tabs>
        <w:spacing w:line="240" w:lineRule="auto"/>
        <w:ind w:left="114" w:right="104"/>
        <w:jc w:val="left"/>
      </w:pPr>
      <w:r>
        <w:rPr>
          <w:rFonts w:ascii="Arial" w:hAnsi="Arial" w:cs="Arial" w:eastAsia="Arial" w:hint="default"/>
          <w:position w:val="2"/>
        </w:rPr>
        <w:t>(c)</w:t>
        <w:tab/>
      </w:r>
      <w:r>
        <w:rPr/>
        <w:t>母公司对本公司的持股比例和表决权比例</w:t>
      </w:r>
    </w:p>
    <w:p>
      <w:pPr>
        <w:spacing w:line="240" w:lineRule="auto" w:before="6"/>
        <w:rPr>
          <w:rFonts w:ascii="宋体" w:hAnsi="宋体" w:cs="宋体" w:eastAsia="宋体" w:hint="default"/>
          <w:sz w:val="21"/>
          <w:szCs w:val="21"/>
        </w:rPr>
      </w:pPr>
    </w:p>
    <w:p>
      <w:pPr>
        <w:tabs>
          <w:tab w:pos="7828" w:val="left" w:leader="none"/>
        </w:tabs>
        <w:spacing w:before="0"/>
        <w:ind w:left="4608" w:right="104" w:firstLine="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line="240" w:lineRule="auto" w:before="5"/>
        <w:rPr>
          <w:rFonts w:ascii="宋体" w:hAnsi="宋体" w:cs="宋体" w:eastAsia="宋体" w:hint="default"/>
          <w:sz w:val="2"/>
          <w:szCs w:val="2"/>
        </w:rPr>
      </w:pPr>
    </w:p>
    <w:tbl>
      <w:tblPr>
        <w:tblW w:w="0" w:type="auto"/>
        <w:jc w:val="left"/>
        <w:tblInd w:w="805" w:type="dxa"/>
        <w:tblLayout w:type="fixed"/>
        <w:tblCellMar>
          <w:top w:w="0" w:type="dxa"/>
          <w:left w:w="0" w:type="dxa"/>
          <w:bottom w:w="0" w:type="dxa"/>
          <w:right w:w="0" w:type="dxa"/>
        </w:tblCellMar>
        <w:tblLook w:val="01E0"/>
      </w:tblPr>
      <w:tblGrid>
        <w:gridCol w:w="3247"/>
        <w:gridCol w:w="1498"/>
        <w:gridCol w:w="1340"/>
        <w:gridCol w:w="426"/>
        <w:gridCol w:w="1431"/>
        <w:gridCol w:w="1322"/>
      </w:tblGrid>
      <w:tr>
        <w:trPr>
          <w:trHeight w:val="862"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5" w:right="0"/>
              <w:jc w:val="left"/>
              <w:rPr>
                <w:rFonts w:ascii="Arial" w:hAnsi="Arial" w:cs="Arial" w:eastAsia="Arial" w:hint="default"/>
                <w:sz w:val="20"/>
                <w:szCs w:val="20"/>
              </w:rPr>
            </w:pPr>
            <w:r>
              <w:rPr>
                <w:rFonts w:ascii="宋体" w:hAnsi="宋体" w:cs="宋体" w:eastAsia="宋体" w:hint="default"/>
                <w:sz w:val="20"/>
                <w:szCs w:val="20"/>
              </w:rPr>
              <w:t>张近东先生</w:t>
            </w:r>
            <w:r>
              <w:rPr>
                <w:rFonts w:ascii="Arial" w:hAnsi="Arial" w:cs="Arial" w:eastAsia="Arial" w:hint="default"/>
                <w:sz w:val="20"/>
                <w:szCs w:val="20"/>
              </w:rPr>
              <w:t>(</w:t>
            </w:r>
            <w:r>
              <w:rPr>
                <w:rFonts w:ascii="宋体" w:hAnsi="宋体" w:cs="宋体" w:eastAsia="宋体" w:hint="default"/>
                <w:sz w:val="20"/>
                <w:szCs w:val="20"/>
              </w:rPr>
              <w:t>注</w:t>
            </w:r>
            <w:r>
              <w:rPr>
                <w:rFonts w:ascii="Arial" w:hAnsi="Arial" w:cs="Arial" w:eastAsia="Arial" w:hint="default"/>
                <w:sz w:val="20"/>
                <w:szCs w:val="20"/>
              </w:rPr>
              <w:t>)</w:t>
            </w:r>
          </w:p>
        </w:tc>
        <w:tc>
          <w:tcPr>
            <w:tcW w:w="1498" w:type="dxa"/>
            <w:tcBorders>
              <w:top w:val="single" w:sz="12" w:space="0" w:color="000000"/>
              <w:left w:val="nil" w:sz="6" w:space="0" w:color="auto"/>
              <w:bottom w:val="nil" w:sz="6" w:space="0" w:color="auto"/>
              <w:right w:val="nil" w:sz="6" w:space="0" w:color="auto"/>
            </w:tcBorders>
          </w:tcPr>
          <w:p>
            <w:pPr>
              <w:pStyle w:val="TableParagraph"/>
              <w:spacing w:line="245" w:lineRule="exact"/>
              <w:ind w:left="578" w:right="0" w:hanging="123"/>
              <w:jc w:val="left"/>
              <w:rPr>
                <w:rFonts w:ascii="宋体" w:hAnsi="宋体" w:cs="宋体" w:eastAsia="宋体" w:hint="default"/>
                <w:sz w:val="20"/>
                <w:szCs w:val="20"/>
              </w:rPr>
            </w:pPr>
            <w:r>
              <w:rPr>
                <w:rFonts w:ascii="宋体" w:hAnsi="宋体" w:cs="宋体" w:eastAsia="宋体" w:hint="default"/>
                <w:sz w:val="20"/>
                <w:szCs w:val="20"/>
              </w:rPr>
              <w:t>持股比例</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578" w:right="0"/>
              <w:jc w:val="left"/>
              <w:rPr>
                <w:rFonts w:ascii="Arial" w:hAnsi="Arial" w:cs="Arial" w:eastAsia="Arial" w:hint="default"/>
                <w:sz w:val="20"/>
                <w:szCs w:val="20"/>
              </w:rPr>
            </w:pPr>
            <w:r>
              <w:rPr>
                <w:rFonts w:ascii="Arial"/>
                <w:sz w:val="20"/>
              </w:rPr>
              <w:t>31.67%</w:t>
            </w:r>
          </w:p>
        </w:tc>
        <w:tc>
          <w:tcPr>
            <w:tcW w:w="1340" w:type="dxa"/>
            <w:tcBorders>
              <w:top w:val="single" w:sz="12" w:space="0" w:color="000000"/>
              <w:left w:val="nil" w:sz="6" w:space="0" w:color="auto"/>
              <w:bottom w:val="nil" w:sz="6" w:space="0" w:color="auto"/>
              <w:right w:val="nil" w:sz="6" w:space="0" w:color="auto"/>
            </w:tcBorders>
          </w:tcPr>
          <w:p>
            <w:pPr>
              <w:pStyle w:val="TableParagraph"/>
              <w:spacing w:line="245" w:lineRule="exact"/>
              <w:ind w:left="239" w:right="0"/>
              <w:jc w:val="left"/>
              <w:rPr>
                <w:rFonts w:ascii="宋体" w:hAnsi="宋体" w:cs="宋体" w:eastAsia="宋体" w:hint="default"/>
                <w:sz w:val="20"/>
                <w:szCs w:val="20"/>
              </w:rPr>
            </w:pPr>
            <w:r>
              <w:rPr>
                <w:rFonts w:ascii="宋体" w:hAnsi="宋体" w:cs="宋体" w:eastAsia="宋体" w:hint="default"/>
                <w:sz w:val="20"/>
                <w:szCs w:val="20"/>
              </w:rPr>
              <w:t>表决权比例</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561" w:right="0"/>
              <w:jc w:val="left"/>
              <w:rPr>
                <w:rFonts w:ascii="Arial" w:hAnsi="Arial" w:cs="Arial" w:eastAsia="Arial" w:hint="default"/>
                <w:sz w:val="20"/>
                <w:szCs w:val="20"/>
              </w:rPr>
            </w:pPr>
            <w:r>
              <w:rPr>
                <w:rFonts w:ascii="Arial"/>
                <w:sz w:val="20"/>
              </w:rPr>
              <w:t>27.90%</w:t>
            </w:r>
          </w:p>
        </w:tc>
        <w:tc>
          <w:tcPr>
            <w:tcW w:w="426" w:type="dxa"/>
            <w:tcBorders>
              <w:top w:val="nil" w:sz="6" w:space="0" w:color="auto"/>
              <w:left w:val="nil" w:sz="6" w:space="0" w:color="auto"/>
              <w:bottom w:val="nil" w:sz="6" w:space="0" w:color="auto"/>
              <w:right w:val="nil" w:sz="6" w:space="0" w:color="auto"/>
            </w:tcBorders>
          </w:tcPr>
          <w:p>
            <w:pPr/>
          </w:p>
        </w:tc>
        <w:tc>
          <w:tcPr>
            <w:tcW w:w="1431" w:type="dxa"/>
            <w:tcBorders>
              <w:top w:val="single" w:sz="12" w:space="0" w:color="000000"/>
              <w:left w:val="nil" w:sz="6" w:space="0" w:color="auto"/>
              <w:bottom w:val="nil" w:sz="6" w:space="0" w:color="auto"/>
              <w:right w:val="nil" w:sz="6" w:space="0" w:color="auto"/>
            </w:tcBorders>
          </w:tcPr>
          <w:p>
            <w:pPr>
              <w:pStyle w:val="TableParagraph"/>
              <w:spacing w:line="245" w:lineRule="exact"/>
              <w:ind w:left="531" w:right="0" w:hanging="123"/>
              <w:jc w:val="left"/>
              <w:rPr>
                <w:rFonts w:ascii="宋体" w:hAnsi="宋体" w:cs="宋体" w:eastAsia="宋体" w:hint="default"/>
                <w:sz w:val="20"/>
                <w:szCs w:val="20"/>
              </w:rPr>
            </w:pPr>
            <w:r>
              <w:rPr>
                <w:rFonts w:ascii="宋体" w:hAnsi="宋体" w:cs="宋体" w:eastAsia="宋体" w:hint="default"/>
                <w:sz w:val="20"/>
                <w:szCs w:val="20"/>
              </w:rPr>
              <w:t>持股比例</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531" w:right="0"/>
              <w:jc w:val="left"/>
              <w:rPr>
                <w:rFonts w:ascii="Arial" w:hAnsi="Arial" w:cs="Arial" w:eastAsia="Arial" w:hint="default"/>
                <w:sz w:val="20"/>
                <w:szCs w:val="20"/>
              </w:rPr>
            </w:pPr>
            <w:r>
              <w:rPr>
                <w:rFonts w:ascii="Arial"/>
                <w:sz w:val="20"/>
              </w:rPr>
              <w:t>31.67%</w:t>
            </w:r>
          </w:p>
        </w:tc>
        <w:tc>
          <w:tcPr>
            <w:tcW w:w="1322" w:type="dxa"/>
            <w:tcBorders>
              <w:top w:val="single" w:sz="12" w:space="0" w:color="000000"/>
              <w:left w:val="nil" w:sz="6" w:space="0" w:color="auto"/>
              <w:bottom w:val="nil" w:sz="6" w:space="0" w:color="auto"/>
              <w:right w:val="nil" w:sz="6" w:space="0" w:color="auto"/>
            </w:tcBorders>
          </w:tcPr>
          <w:p>
            <w:pPr>
              <w:pStyle w:val="TableParagraph"/>
              <w:spacing w:line="245" w:lineRule="exact"/>
              <w:ind w:left="220" w:right="0"/>
              <w:jc w:val="left"/>
              <w:rPr>
                <w:rFonts w:ascii="宋体" w:hAnsi="宋体" w:cs="宋体" w:eastAsia="宋体" w:hint="default"/>
                <w:sz w:val="20"/>
                <w:szCs w:val="20"/>
              </w:rPr>
            </w:pPr>
            <w:r>
              <w:rPr>
                <w:rFonts w:ascii="宋体" w:hAnsi="宋体" w:cs="宋体" w:eastAsia="宋体" w:hint="default"/>
                <w:sz w:val="20"/>
                <w:szCs w:val="20"/>
              </w:rPr>
              <w:t>表决权比例</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541" w:right="0"/>
              <w:jc w:val="left"/>
              <w:rPr>
                <w:rFonts w:ascii="Arial" w:hAnsi="Arial" w:cs="Arial" w:eastAsia="Arial" w:hint="default"/>
                <w:sz w:val="20"/>
                <w:szCs w:val="20"/>
              </w:rPr>
            </w:pPr>
            <w:r>
              <w:rPr>
                <w:rFonts w:ascii="Arial"/>
                <w:sz w:val="20"/>
              </w:rPr>
              <w:t>27.90%</w:t>
            </w:r>
          </w:p>
        </w:tc>
      </w:tr>
      <w:tr>
        <w:trPr>
          <w:trHeight w:val="350"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20"/>
                <w:szCs w:val="20"/>
              </w:rPr>
            </w:pPr>
            <w:r>
              <w:rPr>
                <w:rFonts w:ascii="宋体" w:hAnsi="宋体" w:cs="宋体" w:eastAsia="宋体" w:hint="default"/>
                <w:sz w:val="20"/>
                <w:szCs w:val="20"/>
              </w:rPr>
              <w:t>苏宁电器集团有限公司</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78" w:right="0"/>
              <w:jc w:val="left"/>
              <w:rPr>
                <w:rFonts w:ascii="Arial" w:hAnsi="Arial" w:cs="Arial" w:eastAsia="Arial" w:hint="default"/>
                <w:sz w:val="20"/>
                <w:szCs w:val="20"/>
              </w:rPr>
            </w:pPr>
            <w:r>
              <w:rPr>
                <w:rFonts w:ascii="Arial"/>
                <w:sz w:val="20"/>
              </w:rPr>
              <w:t>13.47%</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61" w:right="0"/>
              <w:jc w:val="left"/>
              <w:rPr>
                <w:rFonts w:ascii="Arial" w:hAnsi="Arial" w:cs="Arial" w:eastAsia="Arial" w:hint="default"/>
                <w:sz w:val="20"/>
                <w:szCs w:val="20"/>
              </w:rPr>
            </w:pPr>
            <w:r>
              <w:rPr>
                <w:rFonts w:ascii="Arial"/>
                <w:sz w:val="20"/>
              </w:rPr>
              <w:t>13.47%</w:t>
            </w:r>
          </w:p>
        </w:tc>
        <w:tc>
          <w:tcPr>
            <w:tcW w:w="426"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31" w:right="0"/>
              <w:jc w:val="left"/>
              <w:rPr>
                <w:rFonts w:ascii="Arial" w:hAnsi="Arial" w:cs="Arial" w:eastAsia="Arial" w:hint="default"/>
                <w:sz w:val="20"/>
                <w:szCs w:val="20"/>
              </w:rPr>
            </w:pPr>
            <w:r>
              <w:rPr>
                <w:rFonts w:ascii="Arial"/>
                <w:sz w:val="20"/>
              </w:rPr>
              <w:t>13.47%</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41" w:right="0"/>
              <w:jc w:val="left"/>
              <w:rPr>
                <w:rFonts w:ascii="Arial" w:hAnsi="Arial" w:cs="Arial" w:eastAsia="Arial" w:hint="default"/>
                <w:sz w:val="20"/>
                <w:szCs w:val="20"/>
              </w:rPr>
            </w:pPr>
            <w:r>
              <w:rPr>
                <w:rFonts w:ascii="Arial"/>
                <w:sz w:val="20"/>
              </w:rPr>
              <w:t>13.47%</w:t>
            </w:r>
          </w:p>
        </w:tc>
      </w:tr>
    </w:tbl>
    <w:p>
      <w:pPr>
        <w:spacing w:line="240" w:lineRule="auto" w:before="1"/>
        <w:rPr>
          <w:rFonts w:ascii="宋体" w:hAnsi="宋体" w:cs="宋体" w:eastAsia="宋体" w:hint="default"/>
          <w:sz w:val="9"/>
          <w:szCs w:val="9"/>
        </w:rPr>
      </w:pPr>
    </w:p>
    <w:p>
      <w:pPr>
        <w:pStyle w:val="BodyText"/>
        <w:spacing w:line="312" w:lineRule="exact" w:before="56"/>
        <w:ind w:left="839" w:right="214"/>
        <w:jc w:val="left"/>
      </w:pPr>
      <w:r>
        <w:rPr/>
        <w:t>注：于</w:t>
      </w:r>
      <w:r>
        <w:rPr>
          <w:spacing w:val="-47"/>
        </w:rPr>
        <w:t> </w:t>
      </w:r>
      <w:r>
        <w:rPr>
          <w:rFonts w:ascii="Arial" w:hAnsi="Arial" w:cs="Arial" w:eastAsia="Arial" w:hint="default"/>
        </w:rPr>
        <w:t>2010</w:t>
      </w:r>
      <w:r>
        <w:rPr>
          <w:rFonts w:ascii="Arial" w:hAnsi="Arial" w:cs="Arial" w:eastAsia="Arial" w:hint="default"/>
          <w:spacing w:val="6"/>
        </w:rPr>
        <w:t> </w:t>
      </w:r>
      <w:r>
        <w:rPr/>
        <w:t>年</w:t>
      </w:r>
      <w:r>
        <w:rPr>
          <w:spacing w:val="-47"/>
        </w:rPr>
        <w:t> </w:t>
      </w:r>
      <w:r>
        <w:rPr>
          <w:rFonts w:ascii="Arial" w:hAnsi="Arial" w:cs="Arial" w:eastAsia="Arial" w:hint="default"/>
        </w:rPr>
        <w:t>12</w:t>
      </w:r>
      <w:r>
        <w:rPr>
          <w:rFonts w:ascii="Arial" w:hAnsi="Arial" w:cs="Arial" w:eastAsia="Arial" w:hint="default"/>
          <w:spacing w:val="6"/>
        </w:rPr>
        <w:t> </w:t>
      </w:r>
      <w:r>
        <w:rPr/>
        <w:t>月</w:t>
      </w:r>
      <w:r>
        <w:rPr>
          <w:spacing w:val="-48"/>
        </w:rPr>
        <w:t> </w:t>
      </w:r>
      <w:r>
        <w:rPr>
          <w:rFonts w:ascii="Arial" w:hAnsi="Arial" w:cs="Arial" w:eastAsia="Arial" w:hint="default"/>
        </w:rPr>
        <w:t>31</w:t>
      </w:r>
      <w:r>
        <w:rPr>
          <w:rFonts w:ascii="Arial" w:hAnsi="Arial" w:cs="Arial" w:eastAsia="Arial" w:hint="default"/>
          <w:spacing w:val="6"/>
        </w:rPr>
        <w:t> </w:t>
      </w:r>
      <w:r>
        <w:rPr/>
        <w:t>日，张近东先生直接持有本公司</w:t>
      </w:r>
      <w:r>
        <w:rPr>
          <w:spacing w:val="-47"/>
        </w:rPr>
        <w:t> </w:t>
      </w:r>
      <w:r>
        <w:rPr>
          <w:rFonts w:ascii="Arial" w:hAnsi="Arial" w:cs="Arial" w:eastAsia="Arial" w:hint="default"/>
        </w:rPr>
        <w:t>27.90%</w:t>
      </w:r>
      <w:r>
        <w:rPr/>
        <w:t>的股份，同时持有苏 宁电器集团有限公司</w:t>
      </w:r>
      <w:r>
        <w:rPr>
          <w:spacing w:val="-63"/>
        </w:rPr>
        <w:t> </w:t>
      </w:r>
      <w:r>
        <w:rPr>
          <w:rFonts w:ascii="Arial" w:hAnsi="Arial" w:cs="Arial" w:eastAsia="Arial" w:hint="default"/>
        </w:rPr>
        <w:t>28%</w:t>
      </w:r>
      <w:r>
        <w:rPr/>
        <w:t>的股权。</w:t>
      </w:r>
    </w:p>
    <w:p>
      <w:pPr>
        <w:spacing w:line="240" w:lineRule="auto" w:before="10"/>
        <w:rPr>
          <w:rFonts w:ascii="宋体" w:hAnsi="宋体" w:cs="宋体" w:eastAsia="宋体" w:hint="default"/>
          <w:sz w:val="18"/>
          <w:szCs w:val="18"/>
        </w:rPr>
      </w:pPr>
    </w:p>
    <w:p>
      <w:pPr>
        <w:tabs>
          <w:tab w:pos="839" w:val="left" w:leader="none"/>
        </w:tabs>
        <w:spacing w:line="456" w:lineRule="auto" w:before="0"/>
        <w:ind w:left="839" w:right="5022" w:hanging="726"/>
        <w:jc w:val="left"/>
        <w:rPr>
          <w:rFonts w:ascii="宋体" w:hAnsi="宋体" w:cs="宋体" w:eastAsia="宋体" w:hint="default"/>
          <w:sz w:val="24"/>
          <w:szCs w:val="24"/>
        </w:rPr>
      </w:pPr>
      <w:r>
        <w:rPr>
          <w:rFonts w:ascii="Arial" w:hAnsi="Arial" w:cs="Arial" w:eastAsia="Arial" w:hint="default"/>
          <w:w w:val="95"/>
          <w:position w:val="2"/>
          <w:sz w:val="24"/>
          <w:szCs w:val="24"/>
        </w:rPr>
        <w:t>(2)</w:t>
        <w:tab/>
      </w:r>
      <w:r>
        <w:rPr>
          <w:rFonts w:ascii="宋体" w:hAnsi="宋体" w:cs="宋体" w:eastAsia="宋体" w:hint="default"/>
          <w:b/>
          <w:bCs/>
          <w:sz w:val="24"/>
          <w:szCs w:val="24"/>
        </w:rPr>
        <w:t>子公司情况</w:t>
      </w:r>
      <w:r>
        <w:rPr>
          <w:rFonts w:ascii="宋体" w:hAnsi="宋体" w:cs="宋体" w:eastAsia="宋体" w:hint="default"/>
          <w:b/>
          <w:bCs/>
          <w:w w:val="99"/>
          <w:sz w:val="24"/>
          <w:szCs w:val="24"/>
        </w:rPr>
        <w:t> </w:t>
      </w:r>
      <w:r>
        <w:rPr>
          <w:rFonts w:ascii="宋体" w:hAnsi="宋体" w:cs="宋体" w:eastAsia="宋体" w:hint="default"/>
          <w:sz w:val="24"/>
          <w:szCs w:val="24"/>
        </w:rPr>
        <w:t>子公司的基本情况及相关信息见附注四。</w:t>
      </w:r>
    </w:p>
    <w:p>
      <w:pPr>
        <w:tabs>
          <w:tab w:pos="839" w:val="left" w:leader="none"/>
        </w:tabs>
        <w:spacing w:before="58"/>
        <w:ind w:left="114"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(3)</w:t>
        <w:tab/>
      </w:r>
      <w:r>
        <w:rPr>
          <w:rFonts w:ascii="宋体" w:hAnsi="宋体" w:cs="宋体" w:eastAsia="宋体" w:hint="default"/>
          <w:b/>
          <w:bCs/>
          <w:sz w:val="24"/>
          <w:szCs w:val="24"/>
        </w:rPr>
        <w:t>联营企业情况</w:t>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pStyle w:val="BodyText"/>
        <w:spacing w:line="240" w:lineRule="auto"/>
        <w:ind w:left="840" w:right="104"/>
        <w:jc w:val="left"/>
      </w:pPr>
      <w:r>
        <w:rPr/>
        <w:t>联营企业的基本情况及相关信息见附注五</w:t>
      </w:r>
      <w:r>
        <w:rPr>
          <w:rFonts w:ascii="Arial" w:hAnsi="Arial" w:cs="Arial" w:eastAsia="Arial" w:hint="default"/>
        </w:rPr>
        <w:t>(11)</w:t>
      </w:r>
      <w:r>
        <w:rPr/>
        <w:t>。</w:t>
      </w:r>
    </w:p>
    <w:p>
      <w:pPr>
        <w:spacing w:line="240" w:lineRule="auto" w:before="1"/>
        <w:rPr>
          <w:rFonts w:ascii="宋体" w:hAnsi="宋体" w:cs="宋体" w:eastAsia="宋体" w:hint="default"/>
          <w:sz w:val="17"/>
          <w:szCs w:val="17"/>
        </w:rPr>
      </w:pPr>
    </w:p>
    <w:p>
      <w:pPr>
        <w:tabs>
          <w:tab w:pos="842" w:val="left" w:leader="none"/>
        </w:tabs>
        <w:spacing w:before="0"/>
        <w:ind w:left="114"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(4)</w:t>
        <w:tab/>
      </w:r>
      <w:r>
        <w:rPr>
          <w:rFonts w:ascii="宋体" w:hAnsi="宋体" w:cs="宋体" w:eastAsia="宋体" w:hint="default"/>
          <w:b/>
          <w:bCs/>
          <w:sz w:val="24"/>
          <w:szCs w:val="24"/>
        </w:rPr>
        <w:t>其他关联方情况</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tabs>
          <w:tab w:pos="8768" w:val="left" w:leader="none"/>
        </w:tabs>
        <w:spacing w:before="0"/>
        <w:ind w:left="6299" w:right="104" w:firstLine="0"/>
        <w:jc w:val="left"/>
        <w:rPr>
          <w:rFonts w:ascii="宋体" w:hAnsi="宋体" w:cs="宋体" w:eastAsia="宋体" w:hint="default"/>
          <w:sz w:val="20"/>
          <w:szCs w:val="20"/>
        </w:rPr>
      </w:pPr>
      <w:r>
        <w:rPr>
          <w:rFonts w:ascii="宋体" w:hAnsi="宋体" w:cs="宋体" w:eastAsia="宋体" w:hint="default"/>
          <w:spacing w:val="-1"/>
          <w:sz w:val="20"/>
          <w:szCs w:val="20"/>
        </w:rPr>
        <w:t>与本集团的关系</w:t>
        <w:tab/>
        <w:t>组织机构代码</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947" w:top="2300" w:bottom="1140" w:left="960" w:right="760"/>
        </w:sectPr>
      </w:pPr>
    </w:p>
    <w:p>
      <w:pPr>
        <w:spacing w:line="261" w:lineRule="exact" w:before="38"/>
        <w:ind w:left="842" w:right="0" w:firstLine="0"/>
        <w:jc w:val="left"/>
        <w:rPr>
          <w:rFonts w:ascii="宋体" w:hAnsi="宋体" w:cs="宋体" w:eastAsia="宋体" w:hint="default"/>
          <w:sz w:val="20"/>
          <w:szCs w:val="20"/>
        </w:rPr>
      </w:pPr>
      <w:r>
        <w:rPr>
          <w:rFonts w:ascii="宋体" w:hAnsi="宋体" w:cs="宋体" w:eastAsia="宋体" w:hint="default"/>
          <w:sz w:val="20"/>
          <w:szCs w:val="20"/>
        </w:rPr>
        <w:t>江苏苏宁环球集团有限公司</w:t>
      </w:r>
    </w:p>
    <w:p>
      <w:pPr>
        <w:spacing w:line="267" w:lineRule="exact" w:before="0"/>
        <w:ind w:left="1052" w:right="0" w:firstLine="0"/>
        <w:jc w:val="left"/>
        <w:rPr>
          <w:rFonts w:ascii="Arial" w:hAnsi="Arial" w:cs="Arial" w:eastAsia="Arial" w:hint="default"/>
          <w:sz w:val="20"/>
          <w:szCs w:val="20"/>
        </w:rPr>
      </w:pPr>
      <w:r>
        <w:rPr>
          <w:rFonts w:ascii="Arial" w:hAnsi="Arial" w:cs="Arial" w:eastAsia="Arial" w:hint="default"/>
          <w:sz w:val="20"/>
          <w:szCs w:val="20"/>
        </w:rPr>
        <w:t>(“</w:t>
      </w:r>
      <w:r>
        <w:rPr>
          <w:rFonts w:ascii="宋体" w:hAnsi="宋体" w:cs="宋体" w:eastAsia="宋体" w:hint="default"/>
          <w:sz w:val="20"/>
          <w:szCs w:val="20"/>
        </w:rPr>
        <w:t>环球集团</w:t>
      </w:r>
      <w:r>
        <w:rPr>
          <w:rFonts w:ascii="Arial" w:hAnsi="Arial" w:cs="Arial" w:eastAsia="Arial" w:hint="default"/>
          <w:sz w:val="20"/>
          <w:szCs w:val="20"/>
        </w:rPr>
        <w:t>”)</w:t>
      </w:r>
    </w:p>
    <w:p>
      <w:pPr>
        <w:spacing w:line="253" w:lineRule="exact" w:before="0"/>
        <w:ind w:left="842" w:right="0" w:firstLine="0"/>
        <w:jc w:val="left"/>
        <w:rPr>
          <w:rFonts w:ascii="宋体" w:hAnsi="宋体" w:cs="宋体" w:eastAsia="宋体" w:hint="default"/>
          <w:sz w:val="20"/>
          <w:szCs w:val="20"/>
        </w:rPr>
      </w:pPr>
      <w:r>
        <w:rPr>
          <w:rFonts w:ascii="宋体" w:hAnsi="宋体" w:cs="宋体" w:eastAsia="宋体" w:hint="default"/>
          <w:spacing w:val="6"/>
          <w:sz w:val="20"/>
          <w:szCs w:val="20"/>
        </w:rPr>
        <w:t>南京钟山国际高尔夫置业有限公司索</w:t>
      </w:r>
      <w:r>
        <w:rPr>
          <w:rFonts w:ascii="宋体" w:hAnsi="宋体" w:cs="宋体" w:eastAsia="宋体" w:hint="default"/>
          <w:sz w:val="20"/>
          <w:szCs w:val="20"/>
        </w:rPr>
      </w:r>
    </w:p>
    <w:p>
      <w:pPr>
        <w:spacing w:before="38"/>
        <w:ind w:left="842"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法定代表人系张近东先生</w:t>
      </w:r>
    </w:p>
    <w:p>
      <w:pPr>
        <w:tabs>
          <w:tab w:pos="4244" w:val="left" w:leader="none"/>
        </w:tabs>
        <w:spacing w:before="2"/>
        <w:ind w:left="2241" w:right="0" w:firstLine="0"/>
        <w:jc w:val="left"/>
        <w:rPr>
          <w:rFonts w:ascii="Arial" w:hAnsi="Arial" w:cs="Arial" w:eastAsia="Arial" w:hint="default"/>
          <w:sz w:val="20"/>
          <w:szCs w:val="20"/>
        </w:rPr>
      </w:pPr>
      <w:r>
        <w:rPr>
          <w:rFonts w:ascii="宋体" w:hAnsi="宋体" w:cs="宋体" w:eastAsia="宋体" w:hint="default"/>
          <w:position w:val="1"/>
          <w:sz w:val="20"/>
          <w:szCs w:val="20"/>
        </w:rPr>
        <w:t>家庭成员</w:t>
      </w:r>
      <w:r>
        <w:rPr>
          <w:rFonts w:ascii="Arial" w:hAnsi="Arial" w:cs="Arial" w:eastAsia="Arial" w:hint="default"/>
          <w:sz w:val="20"/>
          <w:szCs w:val="20"/>
        </w:rPr>
        <w:tab/>
        <w:t>12448291-0</w:t>
      </w:r>
    </w:p>
    <w:p>
      <w:pPr>
        <w:spacing w:after="0"/>
        <w:jc w:val="left"/>
        <w:rPr>
          <w:rFonts w:ascii="Arial" w:hAnsi="Arial" w:cs="Arial" w:eastAsia="Arial" w:hint="default"/>
          <w:sz w:val="20"/>
          <w:szCs w:val="20"/>
        </w:rPr>
        <w:sectPr>
          <w:type w:val="continuous"/>
          <w:pgSz w:w="11910" w:h="16840"/>
          <w:pgMar w:top="920" w:bottom="900" w:left="960" w:right="760"/>
          <w:cols w:num="2" w:equalWidth="0">
            <w:col w:w="4164" w:space="493"/>
            <w:col w:w="5533"/>
          </w:cols>
        </w:sectPr>
      </w:pPr>
    </w:p>
    <w:p>
      <w:pPr>
        <w:spacing w:line="240" w:lineRule="auto" w:before="6"/>
        <w:rPr>
          <w:rFonts w:ascii="Arial" w:hAnsi="Arial" w:cs="Arial" w:eastAsia="Arial" w:hint="default"/>
          <w:sz w:val="3"/>
          <w:szCs w:val="3"/>
        </w:rPr>
      </w:pPr>
    </w:p>
    <w:tbl>
      <w:tblPr>
        <w:tblW w:w="0" w:type="auto"/>
        <w:jc w:val="left"/>
        <w:tblInd w:w="807" w:type="dxa"/>
        <w:tblLayout w:type="fixed"/>
        <w:tblCellMar>
          <w:top w:w="0" w:type="dxa"/>
          <w:left w:w="0" w:type="dxa"/>
          <w:bottom w:w="0" w:type="dxa"/>
          <w:right w:w="0" w:type="dxa"/>
        </w:tblCellMar>
        <w:tblLook w:val="01E0"/>
      </w:tblPr>
      <w:tblGrid>
        <w:gridCol w:w="3724"/>
        <w:gridCol w:w="3784"/>
        <w:gridCol w:w="1689"/>
      </w:tblGrid>
      <w:tr>
        <w:trPr>
          <w:trHeight w:val="521" w:hRule="exact"/>
        </w:trPr>
        <w:tc>
          <w:tcPr>
            <w:tcW w:w="3724" w:type="dxa"/>
            <w:tcBorders>
              <w:top w:val="nil" w:sz="6" w:space="0" w:color="auto"/>
              <w:left w:val="nil" w:sz="6" w:space="0" w:color="auto"/>
              <w:bottom w:val="nil" w:sz="6" w:space="0" w:color="auto"/>
              <w:right w:val="nil" w:sz="6" w:space="0" w:color="auto"/>
            </w:tcBorders>
          </w:tcPr>
          <w:p>
            <w:pPr>
              <w:pStyle w:val="TableParagraph"/>
              <w:spacing w:line="220" w:lineRule="exact"/>
              <w:ind w:left="277" w:right="0"/>
              <w:jc w:val="left"/>
              <w:rPr>
                <w:rFonts w:ascii="宋体" w:hAnsi="宋体" w:cs="宋体" w:eastAsia="宋体" w:hint="default"/>
                <w:sz w:val="20"/>
                <w:szCs w:val="20"/>
              </w:rPr>
            </w:pPr>
            <w:r>
              <w:rPr>
                <w:rFonts w:ascii="宋体" w:hAnsi="宋体" w:cs="宋体" w:eastAsia="宋体" w:hint="default"/>
                <w:sz w:val="20"/>
                <w:szCs w:val="20"/>
              </w:rPr>
              <w:t>菲特钟山高尔夫酒店</w:t>
            </w:r>
          </w:p>
          <w:p>
            <w:pPr>
              <w:pStyle w:val="TableParagraph"/>
              <w:spacing w:line="275" w:lineRule="exact"/>
              <w:ind w:left="245" w:right="0"/>
              <w:jc w:val="left"/>
              <w:rPr>
                <w:rFonts w:ascii="Arial" w:hAnsi="Arial" w:cs="Arial" w:eastAsia="Arial" w:hint="default"/>
                <w:sz w:val="20"/>
                <w:szCs w:val="20"/>
              </w:rPr>
            </w:pPr>
            <w:r>
              <w:rPr>
                <w:rFonts w:ascii="Arial" w:hAnsi="Arial" w:cs="Arial" w:eastAsia="Arial" w:hint="default"/>
                <w:sz w:val="20"/>
                <w:szCs w:val="20"/>
              </w:rPr>
              <w:t>(“</w:t>
            </w:r>
            <w:r>
              <w:rPr>
                <w:rFonts w:ascii="宋体" w:hAnsi="宋体" w:cs="宋体" w:eastAsia="宋体" w:hint="default"/>
                <w:sz w:val="20"/>
                <w:szCs w:val="20"/>
              </w:rPr>
              <w:t>钟山高尔夫酒店</w:t>
            </w:r>
            <w:r>
              <w:rPr>
                <w:rFonts w:ascii="Arial" w:hAnsi="Arial" w:cs="Arial" w:eastAsia="Arial" w:hint="default"/>
                <w:sz w:val="20"/>
                <w:szCs w:val="20"/>
              </w:rPr>
              <w:t>”)</w:t>
            </w:r>
          </w:p>
        </w:tc>
        <w:tc>
          <w:tcPr>
            <w:tcW w:w="3784" w:type="dxa"/>
            <w:tcBorders>
              <w:top w:val="nil" w:sz="6" w:space="0" w:color="auto"/>
              <w:left w:val="nil" w:sz="6" w:space="0" w:color="auto"/>
              <w:bottom w:val="nil" w:sz="6" w:space="0" w:color="auto"/>
              <w:right w:val="nil" w:sz="6" w:space="0" w:color="auto"/>
            </w:tcBorders>
          </w:tcPr>
          <w:p>
            <w:pPr>
              <w:pStyle w:val="TableParagraph"/>
              <w:spacing w:line="220" w:lineRule="exact"/>
              <w:ind w:left="967" w:right="0"/>
              <w:jc w:val="left"/>
              <w:rPr>
                <w:rFonts w:ascii="宋体" w:hAnsi="宋体" w:cs="宋体" w:eastAsia="宋体" w:hint="default"/>
                <w:sz w:val="20"/>
                <w:szCs w:val="20"/>
              </w:rPr>
            </w:pPr>
            <w:r>
              <w:rPr>
                <w:rFonts w:ascii="宋体" w:hAnsi="宋体" w:cs="宋体" w:eastAsia="宋体" w:hint="default"/>
                <w:sz w:val="20"/>
                <w:szCs w:val="20"/>
              </w:rPr>
              <w:t>实际控制人系张近东先生</w:t>
            </w:r>
          </w:p>
          <w:p>
            <w:pPr>
              <w:pStyle w:val="TableParagraph"/>
              <w:spacing w:line="261" w:lineRule="exact"/>
              <w:ind w:left="2367" w:right="0"/>
              <w:jc w:val="left"/>
              <w:rPr>
                <w:rFonts w:ascii="宋体" w:hAnsi="宋体" w:cs="宋体" w:eastAsia="宋体" w:hint="default"/>
                <w:sz w:val="20"/>
                <w:szCs w:val="20"/>
              </w:rPr>
            </w:pPr>
            <w:r>
              <w:rPr>
                <w:rFonts w:ascii="宋体" w:hAnsi="宋体" w:cs="宋体" w:eastAsia="宋体" w:hint="default"/>
                <w:sz w:val="20"/>
                <w:szCs w:val="20"/>
              </w:rPr>
              <w:t>家庭成员</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24"/>
                <w:szCs w:val="24"/>
              </w:rPr>
            </w:pPr>
          </w:p>
          <w:p>
            <w:pPr>
              <w:pStyle w:val="TableParagraph"/>
              <w:spacing w:line="240" w:lineRule="auto"/>
              <w:ind w:right="33"/>
              <w:jc w:val="right"/>
              <w:rPr>
                <w:rFonts w:ascii="Arial" w:hAnsi="Arial" w:cs="Arial" w:eastAsia="Arial" w:hint="default"/>
                <w:sz w:val="20"/>
                <w:szCs w:val="20"/>
              </w:rPr>
            </w:pPr>
            <w:r>
              <w:rPr>
                <w:rFonts w:ascii="Arial"/>
                <w:spacing w:val="-1"/>
                <w:sz w:val="20"/>
              </w:rPr>
              <w:t>78380394-1</w:t>
            </w:r>
          </w:p>
        </w:tc>
      </w:tr>
      <w:tr>
        <w:trPr>
          <w:trHeight w:val="254" w:hRule="exact"/>
        </w:trPr>
        <w:tc>
          <w:tcPr>
            <w:tcW w:w="3724"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pacing w:val="6"/>
                <w:sz w:val="20"/>
                <w:szCs w:val="20"/>
              </w:rPr>
              <w:t>江苏苏宁银河国际购物广场有限公司</w:t>
            </w:r>
            <w:r>
              <w:rPr>
                <w:rFonts w:ascii="宋体" w:hAnsi="宋体" w:cs="宋体" w:eastAsia="宋体" w:hint="default"/>
                <w:sz w:val="20"/>
                <w:szCs w:val="20"/>
              </w:rPr>
            </w:r>
          </w:p>
        </w:tc>
        <w:tc>
          <w:tcPr>
            <w:tcW w:w="3784" w:type="dxa"/>
            <w:tcBorders>
              <w:top w:val="nil" w:sz="6" w:space="0" w:color="auto"/>
              <w:left w:val="nil" w:sz="6" w:space="0" w:color="auto"/>
              <w:bottom w:val="nil" w:sz="6" w:space="0" w:color="auto"/>
              <w:right w:val="nil" w:sz="6" w:space="0" w:color="auto"/>
            </w:tcBorders>
          </w:tcPr>
          <w:p>
            <w:pPr>
              <w:pStyle w:val="TableParagraph"/>
              <w:spacing w:line="233" w:lineRule="exact"/>
              <w:ind w:right="584"/>
              <w:jc w:val="right"/>
              <w:rPr>
                <w:rFonts w:ascii="Arial" w:hAnsi="Arial" w:cs="Arial" w:eastAsia="Arial" w:hint="default"/>
                <w:sz w:val="20"/>
                <w:szCs w:val="20"/>
              </w:rPr>
            </w:pPr>
            <w:r>
              <w:rPr>
                <w:rFonts w:ascii="宋体" w:hAnsi="宋体" w:cs="宋体" w:eastAsia="宋体" w:hint="default"/>
                <w:spacing w:val="-1"/>
                <w:sz w:val="20"/>
                <w:szCs w:val="20"/>
              </w:rPr>
              <w:t>本公司控股股东</w:t>
            </w:r>
            <w:r>
              <w:rPr>
                <w:rFonts w:ascii="Arial" w:hAnsi="Arial" w:cs="Arial" w:eastAsia="Arial" w:hint="default"/>
                <w:spacing w:val="-1"/>
                <w:sz w:val="20"/>
                <w:szCs w:val="20"/>
              </w:rPr>
              <w:t>-</w:t>
            </w:r>
          </w:p>
        </w:tc>
        <w:tc>
          <w:tcPr>
            <w:tcW w:w="1689" w:type="dxa"/>
            <w:tcBorders>
              <w:top w:val="nil" w:sz="6" w:space="0" w:color="auto"/>
              <w:left w:val="nil" w:sz="6" w:space="0" w:color="auto"/>
              <w:bottom w:val="nil" w:sz="6" w:space="0" w:color="auto"/>
              <w:right w:val="nil" w:sz="6" w:space="0" w:color="auto"/>
            </w:tcBorders>
          </w:tcPr>
          <w:p>
            <w:pPr/>
          </w:p>
        </w:tc>
      </w:tr>
      <w:tr>
        <w:trPr>
          <w:trHeight w:val="520" w:hRule="exact"/>
        </w:trPr>
        <w:tc>
          <w:tcPr>
            <w:tcW w:w="3724" w:type="dxa"/>
            <w:tcBorders>
              <w:top w:val="nil" w:sz="6" w:space="0" w:color="auto"/>
              <w:left w:val="nil" w:sz="6" w:space="0" w:color="auto"/>
              <w:bottom w:val="nil" w:sz="6" w:space="0" w:color="auto"/>
              <w:right w:val="nil" w:sz="6" w:space="0" w:color="auto"/>
            </w:tcBorders>
          </w:tcPr>
          <w:p>
            <w:pPr>
              <w:pStyle w:val="TableParagraph"/>
              <w:spacing w:line="232" w:lineRule="exact"/>
              <w:ind w:left="235" w:right="0"/>
              <w:jc w:val="left"/>
              <w:rPr>
                <w:rFonts w:ascii="Arial" w:hAnsi="Arial" w:cs="Arial" w:eastAsia="Arial" w:hint="default"/>
                <w:sz w:val="20"/>
                <w:szCs w:val="20"/>
              </w:rPr>
            </w:pPr>
            <w:r>
              <w:rPr>
                <w:rFonts w:ascii="Arial" w:hAnsi="Arial" w:cs="Arial" w:eastAsia="Arial" w:hint="default"/>
                <w:sz w:val="20"/>
                <w:szCs w:val="20"/>
              </w:rPr>
              <w:t>(“</w:t>
            </w:r>
            <w:r>
              <w:rPr>
                <w:rFonts w:ascii="宋体" w:hAnsi="宋体" w:cs="宋体" w:eastAsia="宋体" w:hint="default"/>
                <w:sz w:val="20"/>
                <w:szCs w:val="20"/>
              </w:rPr>
              <w:t>银河国际购物广场</w:t>
            </w:r>
            <w:r>
              <w:rPr>
                <w:rFonts w:ascii="Arial" w:hAnsi="Arial" w:cs="Arial" w:eastAsia="Arial" w:hint="default"/>
                <w:sz w:val="20"/>
                <w:szCs w:val="20"/>
              </w:rPr>
              <w:t>”)</w:t>
            </w:r>
          </w:p>
          <w:p>
            <w:pPr>
              <w:pStyle w:val="TableParagraph"/>
              <w:spacing w:line="254" w:lineRule="exact"/>
              <w:ind w:left="35" w:right="0"/>
              <w:jc w:val="left"/>
              <w:rPr>
                <w:rFonts w:ascii="宋体" w:hAnsi="宋体" w:cs="宋体" w:eastAsia="宋体" w:hint="default"/>
                <w:sz w:val="20"/>
                <w:szCs w:val="20"/>
              </w:rPr>
            </w:pPr>
            <w:r>
              <w:rPr>
                <w:rFonts w:ascii="宋体" w:hAnsi="宋体" w:cs="宋体" w:eastAsia="宋体" w:hint="default"/>
                <w:sz w:val="20"/>
                <w:szCs w:val="20"/>
              </w:rPr>
              <w:t>江苏苏宁银河酒店管理有限公司</w:t>
            </w:r>
          </w:p>
        </w:tc>
        <w:tc>
          <w:tcPr>
            <w:tcW w:w="3784" w:type="dxa"/>
            <w:tcBorders>
              <w:top w:val="nil" w:sz="6" w:space="0" w:color="auto"/>
              <w:left w:val="nil" w:sz="6" w:space="0" w:color="auto"/>
              <w:bottom w:val="nil" w:sz="6" w:space="0" w:color="auto"/>
              <w:right w:val="nil" w:sz="6" w:space="0" w:color="auto"/>
            </w:tcBorders>
          </w:tcPr>
          <w:p>
            <w:pPr>
              <w:pStyle w:val="TableParagraph"/>
              <w:spacing w:line="225" w:lineRule="exact"/>
              <w:ind w:left="367" w:right="0"/>
              <w:jc w:val="left"/>
              <w:rPr>
                <w:rFonts w:ascii="宋体" w:hAnsi="宋体" w:cs="宋体" w:eastAsia="宋体" w:hint="default"/>
                <w:sz w:val="20"/>
                <w:szCs w:val="20"/>
              </w:rPr>
            </w:pPr>
            <w:r>
              <w:rPr>
                <w:rFonts w:ascii="宋体" w:hAnsi="宋体" w:cs="宋体" w:eastAsia="宋体" w:hint="default"/>
                <w:sz w:val="20"/>
                <w:szCs w:val="20"/>
              </w:rPr>
              <w:t>苏宁电器集团有限公司之子公司</w:t>
            </w:r>
          </w:p>
          <w:p>
            <w:pPr>
              <w:pStyle w:val="TableParagraph"/>
              <w:spacing w:line="275" w:lineRule="exact"/>
              <w:ind w:left="1729" w:right="0"/>
              <w:jc w:val="left"/>
              <w:rPr>
                <w:rFonts w:ascii="Arial" w:hAnsi="Arial" w:cs="Arial" w:eastAsia="Arial" w:hint="default"/>
                <w:sz w:val="20"/>
                <w:szCs w:val="20"/>
              </w:rPr>
            </w:pPr>
            <w:r>
              <w:rPr>
                <w:rFonts w:ascii="宋体" w:hAnsi="宋体" w:cs="宋体" w:eastAsia="宋体" w:hint="default"/>
                <w:sz w:val="20"/>
                <w:szCs w:val="20"/>
              </w:rPr>
              <w:t>本公司控股股东</w:t>
            </w:r>
            <w:r>
              <w:rPr>
                <w:rFonts w:ascii="Arial" w:hAnsi="Arial" w:cs="Arial" w:eastAsia="Arial" w:hint="default"/>
                <w:sz w:val="20"/>
                <w:szCs w:val="20"/>
              </w:rPr>
              <w:t>-</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Arial" w:hAnsi="Arial" w:cs="Arial" w:eastAsia="Arial" w:hint="default"/>
                <w:sz w:val="20"/>
                <w:szCs w:val="20"/>
              </w:rPr>
            </w:pPr>
            <w:r>
              <w:rPr>
                <w:rFonts w:ascii="Arial"/>
                <w:spacing w:val="-1"/>
                <w:sz w:val="20"/>
              </w:rPr>
              <w:t>77377182-7</w:t>
            </w:r>
          </w:p>
        </w:tc>
      </w:tr>
      <w:tr>
        <w:trPr>
          <w:trHeight w:val="249" w:hRule="exact"/>
        </w:trPr>
        <w:tc>
          <w:tcPr>
            <w:tcW w:w="3724" w:type="dxa"/>
            <w:tcBorders>
              <w:top w:val="nil" w:sz="6" w:space="0" w:color="auto"/>
              <w:left w:val="nil" w:sz="6" w:space="0" w:color="auto"/>
              <w:bottom w:val="nil" w:sz="6" w:space="0" w:color="auto"/>
              <w:right w:val="nil" w:sz="6" w:space="0" w:color="auto"/>
            </w:tcBorders>
          </w:tcPr>
          <w:p>
            <w:pPr>
              <w:pStyle w:val="TableParagraph"/>
              <w:spacing w:line="239" w:lineRule="exact"/>
              <w:ind w:left="235" w:right="0"/>
              <w:jc w:val="left"/>
              <w:rPr>
                <w:rFonts w:ascii="Arial" w:hAnsi="Arial" w:cs="Arial" w:eastAsia="Arial" w:hint="default"/>
                <w:sz w:val="20"/>
                <w:szCs w:val="20"/>
              </w:rPr>
            </w:pPr>
            <w:r>
              <w:rPr>
                <w:rFonts w:ascii="Arial" w:hAnsi="Arial" w:cs="Arial" w:eastAsia="Arial" w:hint="default"/>
                <w:sz w:val="20"/>
                <w:szCs w:val="20"/>
              </w:rPr>
              <w:t>(“</w:t>
            </w:r>
            <w:r>
              <w:rPr>
                <w:rFonts w:ascii="宋体" w:hAnsi="宋体" w:cs="宋体" w:eastAsia="宋体" w:hint="default"/>
                <w:sz w:val="20"/>
                <w:szCs w:val="20"/>
              </w:rPr>
              <w:t>银河酒店管理公司</w:t>
            </w:r>
            <w:r>
              <w:rPr>
                <w:rFonts w:ascii="Arial" w:hAnsi="Arial" w:cs="Arial" w:eastAsia="Arial" w:hint="default"/>
                <w:sz w:val="20"/>
                <w:szCs w:val="20"/>
              </w:rPr>
              <w:t>”)</w:t>
            </w:r>
          </w:p>
        </w:tc>
        <w:tc>
          <w:tcPr>
            <w:tcW w:w="3784" w:type="dxa"/>
            <w:tcBorders>
              <w:top w:val="nil" w:sz="6" w:space="0" w:color="auto"/>
              <w:left w:val="nil" w:sz="6" w:space="0" w:color="auto"/>
              <w:bottom w:val="nil" w:sz="6" w:space="0" w:color="auto"/>
              <w:right w:val="nil" w:sz="6" w:space="0" w:color="auto"/>
            </w:tcBorders>
          </w:tcPr>
          <w:p>
            <w:pPr>
              <w:pStyle w:val="TableParagraph"/>
              <w:spacing w:line="225" w:lineRule="exact"/>
              <w:ind w:right="612"/>
              <w:jc w:val="right"/>
              <w:rPr>
                <w:rFonts w:ascii="宋体" w:hAnsi="宋体" w:cs="宋体" w:eastAsia="宋体" w:hint="default"/>
                <w:sz w:val="20"/>
                <w:szCs w:val="20"/>
              </w:rPr>
            </w:pPr>
            <w:r>
              <w:rPr>
                <w:rFonts w:ascii="宋体" w:hAnsi="宋体" w:cs="宋体" w:eastAsia="宋体" w:hint="default"/>
                <w:spacing w:val="-1"/>
                <w:sz w:val="20"/>
                <w:szCs w:val="20"/>
              </w:rPr>
              <w:t>苏宁电器集团有限公司之子公司</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Arial" w:hAnsi="Arial" w:cs="Arial" w:eastAsia="Arial" w:hint="default"/>
                <w:sz w:val="20"/>
                <w:szCs w:val="20"/>
              </w:rPr>
            </w:pPr>
            <w:r>
              <w:rPr>
                <w:rFonts w:ascii="Arial"/>
                <w:spacing w:val="-1"/>
                <w:sz w:val="20"/>
              </w:rPr>
              <w:t>77203344-3</w:t>
            </w:r>
          </w:p>
        </w:tc>
      </w:tr>
      <w:tr>
        <w:trPr>
          <w:trHeight w:val="271" w:hRule="exact"/>
        </w:trPr>
        <w:tc>
          <w:tcPr>
            <w:tcW w:w="9197" w:type="dxa"/>
            <w:gridSpan w:val="3"/>
            <w:tcBorders>
              <w:top w:val="nil" w:sz="6" w:space="0" w:color="auto"/>
              <w:left w:val="nil" w:sz="6" w:space="0" w:color="auto"/>
              <w:bottom w:val="nil" w:sz="6" w:space="0" w:color="auto"/>
              <w:right w:val="nil" w:sz="6" w:space="0" w:color="auto"/>
            </w:tcBorders>
          </w:tcPr>
          <w:p>
            <w:pPr>
              <w:pStyle w:val="TableParagraph"/>
              <w:tabs>
                <w:tab w:pos="3655" w:val="left" w:leader="none"/>
              </w:tabs>
              <w:spacing w:line="250" w:lineRule="exact"/>
              <w:ind w:left="34" w:right="0"/>
              <w:jc w:val="left"/>
              <w:rPr>
                <w:rFonts w:ascii="宋体" w:hAnsi="宋体" w:cs="宋体" w:eastAsia="宋体" w:hint="default"/>
                <w:sz w:val="20"/>
                <w:szCs w:val="20"/>
              </w:rPr>
            </w:pPr>
            <w:r>
              <w:rPr>
                <w:rFonts w:ascii="宋体" w:hAnsi="宋体" w:cs="宋体" w:eastAsia="宋体" w:hint="default"/>
                <w:spacing w:val="-1"/>
                <w:sz w:val="20"/>
                <w:szCs w:val="20"/>
              </w:rPr>
              <w:t>南京银河房地产开发有限公司索菲特</w:t>
              <w:tab/>
              <w:t>本公司关联方</w:t>
            </w:r>
            <w:r>
              <w:rPr>
                <w:rFonts w:ascii="Arial" w:hAnsi="Arial" w:cs="Arial" w:eastAsia="Arial" w:hint="default"/>
                <w:spacing w:val="-1"/>
                <w:sz w:val="20"/>
                <w:szCs w:val="20"/>
              </w:rPr>
              <w:t>-</w:t>
            </w:r>
            <w:r>
              <w:rPr>
                <w:rFonts w:ascii="宋体" w:hAnsi="宋体" w:cs="宋体" w:eastAsia="宋体" w:hint="default"/>
                <w:spacing w:val="-1"/>
                <w:sz w:val="20"/>
                <w:szCs w:val="20"/>
              </w:rPr>
              <w:t>苏宁置业集团有限公司</w:t>
            </w:r>
          </w:p>
        </w:tc>
      </w:tr>
      <w:tr>
        <w:trPr>
          <w:trHeight w:val="266" w:hRule="exact"/>
        </w:trPr>
        <w:tc>
          <w:tcPr>
            <w:tcW w:w="3724" w:type="dxa"/>
            <w:tcBorders>
              <w:top w:val="nil" w:sz="6" w:space="0" w:color="auto"/>
              <w:left w:val="nil" w:sz="6" w:space="0" w:color="auto"/>
              <w:bottom w:val="nil" w:sz="6" w:space="0" w:color="auto"/>
              <w:right w:val="nil" w:sz="6" w:space="0" w:color="auto"/>
            </w:tcBorders>
          </w:tcPr>
          <w:p>
            <w:pPr>
              <w:pStyle w:val="TableParagraph"/>
              <w:spacing w:line="240" w:lineRule="exact"/>
              <w:ind w:left="248" w:right="0"/>
              <w:jc w:val="left"/>
              <w:rPr>
                <w:rFonts w:ascii="Arial" w:hAnsi="Arial" w:cs="Arial" w:eastAsia="Arial" w:hint="default"/>
                <w:sz w:val="20"/>
                <w:szCs w:val="20"/>
              </w:rPr>
            </w:pPr>
            <w:r>
              <w:rPr>
                <w:rFonts w:ascii="宋体" w:hAnsi="宋体" w:cs="宋体" w:eastAsia="宋体" w:hint="default"/>
                <w:sz w:val="20"/>
                <w:szCs w:val="20"/>
              </w:rPr>
              <w:t>银河大酒店</w:t>
            </w:r>
            <w:r>
              <w:rPr>
                <w:rFonts w:ascii="Arial" w:hAnsi="Arial" w:cs="Arial" w:eastAsia="Arial" w:hint="default"/>
                <w:sz w:val="20"/>
                <w:szCs w:val="20"/>
              </w:rPr>
              <w:t>(“</w:t>
            </w:r>
            <w:r>
              <w:rPr>
                <w:rFonts w:ascii="宋体" w:hAnsi="宋体" w:cs="宋体" w:eastAsia="宋体" w:hint="default"/>
                <w:sz w:val="20"/>
                <w:szCs w:val="20"/>
              </w:rPr>
              <w:t>索菲特银河大酒店</w:t>
            </w:r>
            <w:r>
              <w:rPr>
                <w:rFonts w:ascii="Arial" w:hAnsi="Arial" w:cs="Arial" w:eastAsia="Arial" w:hint="default"/>
                <w:sz w:val="20"/>
                <w:szCs w:val="20"/>
              </w:rPr>
              <w:t>”)</w:t>
            </w:r>
          </w:p>
        </w:tc>
        <w:tc>
          <w:tcPr>
            <w:tcW w:w="3784" w:type="dxa"/>
            <w:tcBorders>
              <w:top w:val="nil" w:sz="6" w:space="0" w:color="auto"/>
              <w:left w:val="nil" w:sz="6" w:space="0" w:color="auto"/>
              <w:bottom w:val="nil" w:sz="6" w:space="0" w:color="auto"/>
              <w:right w:val="nil" w:sz="6" w:space="0" w:color="auto"/>
            </w:tcBorders>
          </w:tcPr>
          <w:p>
            <w:pPr>
              <w:pStyle w:val="TableParagraph"/>
              <w:spacing w:line="225" w:lineRule="exact"/>
              <w:ind w:right="584"/>
              <w:jc w:val="right"/>
              <w:rPr>
                <w:rFonts w:ascii="宋体" w:hAnsi="宋体" w:cs="宋体" w:eastAsia="宋体" w:hint="default"/>
                <w:sz w:val="20"/>
                <w:szCs w:val="20"/>
              </w:rPr>
            </w:pPr>
            <w:r>
              <w:rPr>
                <w:rFonts w:ascii="宋体" w:hAnsi="宋体" w:cs="宋体" w:eastAsia="宋体" w:hint="default"/>
                <w:sz w:val="20"/>
                <w:szCs w:val="20"/>
              </w:rPr>
              <w:t>之子公司</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Arial" w:hAnsi="Arial" w:cs="Arial" w:eastAsia="Arial" w:hint="default"/>
                <w:sz w:val="20"/>
                <w:szCs w:val="20"/>
              </w:rPr>
            </w:pPr>
            <w:r>
              <w:rPr>
                <w:rFonts w:ascii="Arial"/>
                <w:spacing w:val="-1"/>
                <w:sz w:val="20"/>
              </w:rPr>
              <w:t>67131631-3</w:t>
            </w:r>
          </w:p>
        </w:tc>
      </w:tr>
      <w:tr>
        <w:trPr>
          <w:trHeight w:val="341" w:hRule="exact"/>
        </w:trPr>
        <w:tc>
          <w:tcPr>
            <w:tcW w:w="3724"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Arial" w:hAnsi="Arial" w:cs="Arial" w:eastAsia="Arial" w:hint="default"/>
                <w:sz w:val="20"/>
                <w:szCs w:val="20"/>
              </w:rPr>
            </w:pPr>
            <w:r>
              <w:rPr>
                <w:rFonts w:ascii="宋体" w:hAnsi="宋体" w:cs="宋体" w:eastAsia="宋体" w:hint="default"/>
                <w:sz w:val="20"/>
                <w:szCs w:val="20"/>
              </w:rPr>
              <w:t>苏宁置业集团有限公司</w:t>
            </w:r>
            <w:r>
              <w:rPr>
                <w:rFonts w:ascii="Arial" w:hAnsi="Arial" w:cs="Arial" w:eastAsia="Arial" w:hint="default"/>
                <w:sz w:val="20"/>
                <w:szCs w:val="20"/>
              </w:rPr>
              <w:t>(“</w:t>
            </w:r>
            <w:r>
              <w:rPr>
                <w:rFonts w:ascii="宋体" w:hAnsi="宋体" w:cs="宋体" w:eastAsia="宋体" w:hint="default"/>
                <w:sz w:val="20"/>
                <w:szCs w:val="20"/>
              </w:rPr>
              <w:t>苏宁置业</w:t>
            </w:r>
            <w:r>
              <w:rPr>
                <w:rFonts w:ascii="Arial" w:hAnsi="Arial" w:cs="Arial" w:eastAsia="Arial" w:hint="default"/>
                <w:sz w:val="20"/>
                <w:szCs w:val="20"/>
              </w:rPr>
              <w:t>”)</w:t>
            </w:r>
          </w:p>
        </w:tc>
        <w:tc>
          <w:tcPr>
            <w:tcW w:w="3784" w:type="dxa"/>
            <w:tcBorders>
              <w:top w:val="nil" w:sz="6" w:space="0" w:color="auto"/>
              <w:left w:val="nil" w:sz="6" w:space="0" w:color="auto"/>
              <w:bottom w:val="nil" w:sz="6" w:space="0" w:color="auto"/>
              <w:right w:val="nil" w:sz="6" w:space="0" w:color="auto"/>
            </w:tcBorders>
          </w:tcPr>
          <w:p>
            <w:pPr>
              <w:pStyle w:val="TableParagraph"/>
              <w:spacing w:line="218" w:lineRule="exact"/>
              <w:ind w:right="612"/>
              <w:jc w:val="right"/>
              <w:rPr>
                <w:rFonts w:ascii="宋体" w:hAnsi="宋体" w:cs="宋体" w:eastAsia="宋体" w:hint="default"/>
                <w:sz w:val="20"/>
                <w:szCs w:val="20"/>
              </w:rPr>
            </w:pPr>
            <w:r>
              <w:rPr>
                <w:rFonts w:ascii="宋体" w:hAnsi="宋体" w:cs="宋体" w:eastAsia="宋体" w:hint="default"/>
                <w:spacing w:val="-1"/>
                <w:sz w:val="20"/>
                <w:szCs w:val="20"/>
              </w:rPr>
              <w:t>与本公司受同一实际控制人控制</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0"/>
                <w:szCs w:val="20"/>
              </w:rPr>
            </w:pPr>
            <w:r>
              <w:rPr>
                <w:rFonts w:ascii="Arial"/>
                <w:spacing w:val="-1"/>
                <w:sz w:val="20"/>
              </w:rPr>
              <w:t>77804414-3</w:t>
            </w:r>
          </w:p>
        </w:tc>
      </w:tr>
    </w:tbl>
    <w:p>
      <w:pPr>
        <w:spacing w:after="0" w:line="240" w:lineRule="auto"/>
        <w:jc w:val="right"/>
        <w:rPr>
          <w:rFonts w:ascii="Arial" w:hAnsi="Arial" w:cs="Arial" w:eastAsia="Arial" w:hint="default"/>
          <w:sz w:val="20"/>
          <w:szCs w:val="20"/>
        </w:rPr>
        <w:sectPr>
          <w:type w:val="continuous"/>
          <w:pgSz w:w="11910" w:h="16840"/>
          <w:pgMar w:top="920" w:bottom="900" w:left="960" w:right="760"/>
        </w:sectPr>
      </w:pPr>
    </w:p>
    <w:p>
      <w:pPr>
        <w:spacing w:line="240" w:lineRule="auto" w:before="4"/>
        <w:rPr>
          <w:rFonts w:ascii="Times New Roman" w:hAnsi="Times New Roman" w:cs="Times New Roman" w:eastAsia="Times New Roman"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708"/>
        <w:gridCol w:w="1319"/>
        <w:gridCol w:w="2383"/>
        <w:gridCol w:w="1693"/>
        <w:gridCol w:w="2232"/>
        <w:gridCol w:w="2159"/>
        <w:gridCol w:w="2044"/>
        <w:gridCol w:w="2040"/>
      </w:tblGrid>
      <w:tr>
        <w:trPr>
          <w:trHeight w:val="1064"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六</w:t>
            </w:r>
            <w:r>
              <w:rPr>
                <w:rFonts w:ascii="宋体" w:hAnsi="宋体" w:cs="宋体" w:eastAsia="宋体" w:hint="default"/>
                <w:sz w:val="24"/>
                <w:szCs w:val="24"/>
              </w:rPr>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35" w:right="0"/>
              <w:jc w:val="left"/>
              <w:rPr>
                <w:rFonts w:ascii="Arial" w:hAnsi="Arial" w:cs="Arial" w:eastAsia="Arial" w:hint="default"/>
                <w:sz w:val="24"/>
                <w:szCs w:val="24"/>
              </w:rPr>
            </w:pPr>
            <w:r>
              <w:rPr>
                <w:rFonts w:ascii="Arial"/>
                <w:sz w:val="24"/>
              </w:rPr>
              <w:t>(5)</w:t>
            </w:r>
          </w:p>
        </w:tc>
        <w:tc>
          <w:tcPr>
            <w:tcW w:w="3702" w:type="dxa"/>
            <w:gridSpan w:val="2"/>
            <w:tcBorders>
              <w:top w:val="nil" w:sz="6" w:space="0" w:color="auto"/>
              <w:left w:val="nil" w:sz="6" w:space="0" w:color="auto"/>
              <w:bottom w:val="nil" w:sz="6" w:space="0" w:color="auto"/>
              <w:right w:val="nil" w:sz="6" w:space="0" w:color="auto"/>
            </w:tcBorders>
          </w:tcPr>
          <w:p>
            <w:pPr>
              <w:pStyle w:val="TableParagraph"/>
              <w:spacing w:line="400" w:lineRule="auto" w:before="26"/>
              <w:ind w:left="34" w:right="1082" w:firstLine="20"/>
              <w:jc w:val="left"/>
              <w:rPr>
                <w:rFonts w:ascii="宋体" w:hAnsi="宋体" w:cs="宋体" w:eastAsia="宋体" w:hint="default"/>
                <w:sz w:val="24"/>
                <w:szCs w:val="24"/>
              </w:rPr>
            </w:pPr>
            <w:r>
              <w:rPr>
                <w:rFonts w:ascii="宋体" w:hAnsi="宋体" w:cs="宋体" w:eastAsia="宋体" w:hint="default"/>
                <w:b/>
                <w:bCs/>
                <w:w w:val="95"/>
                <w:sz w:val="24"/>
                <w:szCs w:val="24"/>
              </w:rPr>
              <w:t>关联方关系及其交易</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35"/>
                <w:w w:val="95"/>
                <w:sz w:val="24"/>
                <w:szCs w:val="24"/>
              </w:rPr>
              <w:t> </w:t>
            </w:r>
            <w:r>
              <w:rPr>
                <w:rFonts w:ascii="宋体" w:hAnsi="宋体" w:cs="宋体" w:eastAsia="宋体" w:hint="default"/>
                <w:b/>
                <w:bCs/>
                <w:sz w:val="24"/>
                <w:szCs w:val="24"/>
              </w:rPr>
              <w:t>关联交易</w:t>
            </w:r>
            <w:r>
              <w:rPr>
                <w:rFonts w:ascii="宋体" w:hAnsi="宋体" w:cs="宋体" w:eastAsia="宋体" w:hint="default"/>
                <w:sz w:val="24"/>
                <w:szCs w:val="24"/>
              </w:rPr>
            </w:r>
          </w:p>
        </w:tc>
        <w:tc>
          <w:tcPr>
            <w:tcW w:w="10168" w:type="dxa"/>
            <w:gridSpan w:val="5"/>
            <w:vMerge w:val="restart"/>
            <w:tcBorders>
              <w:top w:val="nil" w:sz="6" w:space="0" w:color="auto"/>
              <w:left w:val="nil" w:sz="6" w:space="0" w:color="auto"/>
              <w:right w:val="nil" w:sz="6" w:space="0" w:color="auto"/>
            </w:tcBorders>
          </w:tcPr>
          <w:p>
            <w:pPr/>
          </w:p>
        </w:tc>
      </w:tr>
      <w:tr>
        <w:trPr>
          <w:trHeight w:val="591"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(a)</w:t>
            </w:r>
          </w:p>
        </w:tc>
        <w:tc>
          <w:tcPr>
            <w:tcW w:w="37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35" w:right="0"/>
              <w:jc w:val="left"/>
              <w:rPr>
                <w:rFonts w:ascii="宋体" w:hAnsi="宋体" w:cs="宋体" w:eastAsia="宋体" w:hint="default"/>
                <w:sz w:val="24"/>
                <w:szCs w:val="24"/>
              </w:rPr>
            </w:pPr>
            <w:r>
              <w:rPr>
                <w:rFonts w:ascii="宋体" w:hAnsi="宋体" w:cs="宋体" w:eastAsia="宋体" w:hint="default"/>
                <w:sz w:val="24"/>
                <w:szCs w:val="24"/>
              </w:rPr>
              <w:t>租赁</w:t>
            </w:r>
          </w:p>
        </w:tc>
        <w:tc>
          <w:tcPr>
            <w:tcW w:w="10168" w:type="dxa"/>
            <w:gridSpan w:val="5"/>
            <w:vMerge/>
            <w:tcBorders>
              <w:left w:val="nil" w:sz="6" w:space="0" w:color="auto"/>
              <w:right w:val="nil" w:sz="6" w:space="0" w:color="auto"/>
            </w:tcBorders>
          </w:tcPr>
          <w:p>
            <w:pPr/>
          </w:p>
        </w:tc>
      </w:tr>
      <w:tr>
        <w:trPr>
          <w:trHeight w:val="583" w:hRule="exact"/>
        </w:trPr>
        <w:tc>
          <w:tcPr>
            <w:tcW w:w="708" w:type="dxa"/>
            <w:tcBorders>
              <w:top w:val="nil" w:sz="6" w:space="0" w:color="auto"/>
              <w:left w:val="nil" w:sz="6" w:space="0" w:color="auto"/>
              <w:bottom w:val="nil" w:sz="6" w:space="0" w:color="auto"/>
              <w:right w:val="nil" w:sz="6" w:space="0" w:color="auto"/>
            </w:tcBorders>
          </w:tcPr>
          <w:p>
            <w:pPr/>
          </w:p>
        </w:tc>
        <w:tc>
          <w:tcPr>
            <w:tcW w:w="37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24"/>
                <w:szCs w:val="24"/>
              </w:rPr>
            </w:pPr>
            <w:r>
              <w:rPr>
                <w:rFonts w:ascii="宋体" w:hAnsi="宋体" w:cs="宋体" w:eastAsia="宋体" w:hint="default"/>
                <w:sz w:val="24"/>
                <w:szCs w:val="24"/>
              </w:rPr>
              <w:t>本集团作为承租方：</w:t>
            </w:r>
          </w:p>
        </w:tc>
        <w:tc>
          <w:tcPr>
            <w:tcW w:w="10168" w:type="dxa"/>
            <w:gridSpan w:val="5"/>
            <w:vMerge/>
            <w:tcBorders>
              <w:left w:val="nil" w:sz="6" w:space="0" w:color="auto"/>
              <w:bottom w:val="nil" w:sz="6" w:space="0" w:color="auto"/>
              <w:right w:val="nil" w:sz="6" w:space="0" w:color="auto"/>
            </w:tcBorders>
          </w:tcPr>
          <w:p>
            <w:pPr/>
          </w:p>
        </w:tc>
      </w:tr>
      <w:tr>
        <w:trPr>
          <w:trHeight w:val="533" w:hRule="exact"/>
        </w:trPr>
        <w:tc>
          <w:tcPr>
            <w:tcW w:w="708" w:type="dxa"/>
            <w:tcBorders>
              <w:top w:val="nil" w:sz="6" w:space="0" w:color="auto"/>
              <w:left w:val="nil" w:sz="6" w:space="0" w:color="auto"/>
              <w:bottom w:val="nil" w:sz="6" w:space="0" w:color="auto"/>
              <w:right w:val="nil" w:sz="6" w:space="0" w:color="auto"/>
            </w:tcBorders>
          </w:tcPr>
          <w:p>
            <w:pPr/>
          </w:p>
        </w:tc>
        <w:tc>
          <w:tcPr>
            <w:tcW w:w="3702" w:type="dxa"/>
            <w:gridSpan w:val="2"/>
            <w:tcBorders>
              <w:top w:val="nil" w:sz="6" w:space="0" w:color="auto"/>
              <w:left w:val="nil" w:sz="6" w:space="0" w:color="auto"/>
              <w:bottom w:val="nil" w:sz="6" w:space="0" w:color="auto"/>
              <w:right w:val="nil" w:sz="6" w:space="0" w:color="auto"/>
            </w:tcBorders>
          </w:tcPr>
          <w:p>
            <w:pPr>
              <w:pStyle w:val="TableParagraph"/>
              <w:tabs>
                <w:tab w:pos="2221" w:val="left" w:leader="none"/>
              </w:tabs>
              <w:spacing w:line="240" w:lineRule="auto" w:before="113"/>
              <w:ind w:left="34" w:right="0"/>
              <w:jc w:val="left"/>
              <w:rPr>
                <w:rFonts w:ascii="宋体" w:hAnsi="宋体" w:cs="宋体" w:eastAsia="宋体" w:hint="default"/>
                <w:sz w:val="18"/>
                <w:szCs w:val="18"/>
              </w:rPr>
            </w:pPr>
            <w:r>
              <w:rPr>
                <w:rFonts w:ascii="宋体" w:hAnsi="宋体" w:cs="宋体" w:eastAsia="宋体" w:hint="default"/>
                <w:sz w:val="18"/>
                <w:szCs w:val="18"/>
              </w:rPr>
              <w:t>出租方名称</w:t>
              <w:tab/>
              <w:t>承租方名称</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99"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18"/>
              <w:jc w:val="right"/>
              <w:rPr>
                <w:rFonts w:ascii="宋体" w:hAnsi="宋体" w:cs="宋体" w:eastAsia="宋体" w:hint="default"/>
                <w:sz w:val="18"/>
                <w:szCs w:val="18"/>
              </w:rPr>
            </w:pPr>
            <w:r>
              <w:rPr>
                <w:rFonts w:ascii="宋体" w:hAnsi="宋体" w:cs="宋体" w:eastAsia="宋体" w:hint="default"/>
                <w:sz w:val="18"/>
                <w:szCs w:val="18"/>
              </w:rPr>
              <w:t>租赁起始日</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5"/>
              <w:jc w:val="right"/>
              <w:rPr>
                <w:rFonts w:ascii="宋体" w:hAnsi="宋体" w:cs="宋体" w:eastAsia="宋体" w:hint="default"/>
                <w:sz w:val="18"/>
                <w:szCs w:val="18"/>
              </w:rPr>
            </w:pPr>
            <w:r>
              <w:rPr>
                <w:rFonts w:ascii="宋体" w:hAnsi="宋体" w:cs="宋体" w:eastAsia="宋体" w:hint="default"/>
                <w:sz w:val="18"/>
                <w:szCs w:val="18"/>
              </w:rPr>
              <w:t>租赁终止日</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82"/>
              <w:jc w:val="right"/>
              <w:rPr>
                <w:rFonts w:ascii="宋体" w:hAnsi="宋体" w:cs="宋体" w:eastAsia="宋体" w:hint="default"/>
                <w:sz w:val="18"/>
                <w:szCs w:val="18"/>
              </w:rPr>
            </w:pPr>
            <w:r>
              <w:rPr>
                <w:rFonts w:ascii="宋体" w:hAnsi="宋体" w:cs="宋体" w:eastAsia="宋体" w:hint="default"/>
                <w:sz w:val="18"/>
                <w:szCs w:val="18"/>
              </w:rPr>
              <w:t>租赁费定价依据</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50" w:right="0"/>
              <w:jc w:val="left"/>
              <w:rPr>
                <w:rFonts w:ascii="宋体" w:hAnsi="宋体" w:cs="宋体" w:eastAsia="宋体" w:hint="default"/>
                <w:sz w:val="18"/>
                <w:szCs w:val="18"/>
              </w:rPr>
            </w:pPr>
            <w:r>
              <w:rPr>
                <w:rFonts w:ascii="宋体" w:hAnsi="宋体" w:cs="宋体" w:eastAsia="宋体" w:hint="default"/>
                <w:sz w:val="18"/>
                <w:szCs w:val="18"/>
              </w:rPr>
              <w:t>年度确认的租赁费</w:t>
            </w:r>
          </w:p>
        </w:tc>
      </w:tr>
      <w:tr>
        <w:trPr>
          <w:trHeight w:val="501" w:hRule="exact"/>
        </w:trPr>
        <w:tc>
          <w:tcPr>
            <w:tcW w:w="708" w:type="dxa"/>
            <w:tcBorders>
              <w:top w:val="nil" w:sz="6" w:space="0" w:color="auto"/>
              <w:left w:val="nil" w:sz="6" w:space="0" w:color="auto"/>
              <w:bottom w:val="nil" w:sz="6" w:space="0" w:color="auto"/>
              <w:right w:val="nil" w:sz="6" w:space="0" w:color="auto"/>
            </w:tcBorders>
          </w:tcPr>
          <w:p>
            <w:pPr/>
          </w:p>
        </w:tc>
        <w:tc>
          <w:tcPr>
            <w:tcW w:w="3702" w:type="dxa"/>
            <w:gridSpan w:val="2"/>
            <w:tcBorders>
              <w:top w:val="nil" w:sz="6" w:space="0" w:color="auto"/>
              <w:left w:val="nil" w:sz="6" w:space="0" w:color="auto"/>
              <w:bottom w:val="nil" w:sz="6" w:space="0" w:color="auto"/>
              <w:right w:val="nil" w:sz="6" w:space="0" w:color="auto"/>
            </w:tcBorders>
          </w:tcPr>
          <w:p>
            <w:pPr>
              <w:pStyle w:val="TableParagraph"/>
              <w:tabs>
                <w:tab w:pos="2221" w:val="left" w:leader="none"/>
              </w:tabs>
              <w:spacing w:line="240" w:lineRule="auto" w:before="132"/>
              <w:ind w:left="34"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tab/>
              <w:t>本公司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99" w:right="0"/>
              <w:jc w:val="left"/>
              <w:rPr>
                <w:rFonts w:ascii="宋体" w:hAnsi="宋体" w:cs="宋体" w:eastAsia="宋体" w:hint="default"/>
                <w:sz w:val="18"/>
                <w:szCs w:val="18"/>
              </w:rPr>
            </w:pPr>
            <w:r>
              <w:rPr>
                <w:rFonts w:ascii="宋体" w:hAnsi="宋体" w:cs="宋体" w:eastAsia="宋体" w:hint="default"/>
                <w:sz w:val="18"/>
                <w:szCs w:val="18"/>
              </w:rPr>
              <w:t>苏宁电器大厦</w:t>
            </w:r>
          </w:p>
        </w:tc>
        <w:tc>
          <w:tcPr>
            <w:tcW w:w="2232"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5"/>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 </w:t>
            </w:r>
            <w:r>
              <w:rPr>
                <w:rFonts w:ascii="Arial" w:hAnsi="Arial" w:cs="Arial" w:eastAsia="Arial" w:hint="default"/>
                <w:sz w:val="18"/>
                <w:szCs w:val="18"/>
              </w:rPr>
              <w:t>12 </w:t>
            </w:r>
            <w:r>
              <w:rPr>
                <w:rFonts w:ascii="宋体" w:hAnsi="宋体" w:cs="宋体" w:eastAsia="宋体" w:hint="default"/>
                <w:sz w:val="18"/>
                <w:szCs w:val="18"/>
              </w:rPr>
              <w:t>月 </w:t>
            </w:r>
            <w:r>
              <w:rPr>
                <w:rFonts w:ascii="Arial" w:hAnsi="Arial" w:cs="Arial" w:eastAsia="Arial" w:hint="default"/>
                <w:sz w:val="18"/>
                <w:szCs w:val="18"/>
              </w:rPr>
              <w:t>31</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46"/>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13,903</w:t>
            </w:r>
          </w:p>
        </w:tc>
      </w:tr>
      <w:tr>
        <w:trPr>
          <w:trHeight w:val="441" w:hRule="exact"/>
        </w:trPr>
        <w:tc>
          <w:tcPr>
            <w:tcW w:w="708" w:type="dxa"/>
            <w:tcBorders>
              <w:top w:val="nil" w:sz="6" w:space="0" w:color="auto"/>
              <w:left w:val="nil" w:sz="6" w:space="0" w:color="auto"/>
              <w:bottom w:val="nil" w:sz="6" w:space="0" w:color="auto"/>
              <w:right w:val="nil" w:sz="6" w:space="0" w:color="auto"/>
            </w:tcBorders>
          </w:tcPr>
          <w:p>
            <w:pPr/>
          </w:p>
        </w:tc>
        <w:tc>
          <w:tcPr>
            <w:tcW w:w="3702" w:type="dxa"/>
            <w:gridSpan w:val="2"/>
            <w:tcBorders>
              <w:top w:val="nil" w:sz="6" w:space="0" w:color="auto"/>
              <w:left w:val="nil" w:sz="6" w:space="0" w:color="auto"/>
              <w:bottom w:val="nil" w:sz="6" w:space="0" w:color="auto"/>
              <w:right w:val="nil" w:sz="6" w:space="0" w:color="auto"/>
            </w:tcBorders>
          </w:tcPr>
          <w:p>
            <w:pPr>
              <w:pStyle w:val="TableParagraph"/>
              <w:tabs>
                <w:tab w:pos="2221" w:val="left" w:leader="none"/>
              </w:tabs>
              <w:spacing w:line="240" w:lineRule="auto" w:before="73"/>
              <w:ind w:left="34"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tab/>
              <w:t>本公司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99" w:right="0"/>
              <w:jc w:val="left"/>
              <w:rPr>
                <w:rFonts w:ascii="宋体" w:hAnsi="宋体" w:cs="宋体" w:eastAsia="宋体" w:hint="default"/>
                <w:sz w:val="18"/>
                <w:szCs w:val="18"/>
              </w:rPr>
            </w:pPr>
            <w:r>
              <w:rPr>
                <w:rFonts w:ascii="宋体" w:hAnsi="宋体" w:cs="宋体" w:eastAsia="宋体" w:hint="default"/>
                <w:sz w:val="18"/>
                <w:szCs w:val="18"/>
              </w:rPr>
              <w:t>苏宁电器大厦</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20"/>
              <w:jc w:val="right"/>
              <w:rPr>
                <w:rFonts w:ascii="宋体" w:hAnsi="宋体" w:cs="宋体" w:eastAsia="宋体" w:hint="default"/>
                <w:sz w:val="18"/>
                <w:szCs w:val="18"/>
              </w:rPr>
            </w:pPr>
            <w:r>
              <w:rPr>
                <w:rFonts w:ascii="Arial" w:hAnsi="Arial" w:cs="Arial" w:eastAsia="Arial" w:hint="default"/>
                <w:sz w:val="18"/>
                <w:szCs w:val="18"/>
              </w:rPr>
              <w:t>2004 </w:t>
            </w:r>
            <w:r>
              <w:rPr>
                <w:rFonts w:ascii="宋体" w:hAnsi="宋体" w:cs="宋体" w:eastAsia="宋体" w:hint="default"/>
                <w:sz w:val="18"/>
                <w:szCs w:val="18"/>
              </w:rPr>
              <w:t>年 </w:t>
            </w:r>
            <w:r>
              <w:rPr>
                <w:rFonts w:ascii="Arial" w:hAnsi="Arial" w:cs="Arial" w:eastAsia="Arial" w:hint="default"/>
                <w:sz w:val="18"/>
                <w:szCs w:val="18"/>
              </w:rPr>
              <w:t>9 </w:t>
            </w:r>
            <w:r>
              <w:rPr>
                <w:rFonts w:ascii="宋体" w:hAnsi="宋体" w:cs="宋体" w:eastAsia="宋体" w:hint="default"/>
                <w:sz w:val="18"/>
                <w:szCs w:val="18"/>
              </w:rPr>
              <w:t>月 </w:t>
            </w:r>
            <w:r>
              <w:rPr>
                <w:rFonts w:ascii="Arial" w:hAnsi="Arial" w:cs="Arial" w:eastAsia="Arial" w:hint="default"/>
                <w:sz w:val="18"/>
                <w:szCs w:val="18"/>
              </w:rPr>
              <w:t>1</w:t>
            </w:r>
            <w:r>
              <w:rPr>
                <w:rFonts w:ascii="Arial" w:hAnsi="Arial" w:cs="Arial" w:eastAsia="Arial" w:hint="default"/>
                <w:spacing w:val="20"/>
                <w:sz w:val="18"/>
                <w:szCs w:val="18"/>
              </w:rPr>
              <w:t> </w:t>
            </w:r>
            <w:r>
              <w:rPr>
                <w:rFonts w:ascii="宋体" w:hAnsi="宋体" w:cs="宋体" w:eastAsia="宋体" w:hint="default"/>
                <w:sz w:val="18"/>
                <w:szCs w:val="18"/>
              </w:rPr>
              <w:t>日</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5"/>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 </w:t>
            </w:r>
            <w:r>
              <w:rPr>
                <w:rFonts w:ascii="Arial" w:hAnsi="Arial" w:cs="Arial" w:eastAsia="Arial" w:hint="default"/>
                <w:sz w:val="18"/>
                <w:szCs w:val="18"/>
              </w:rPr>
              <w:t>12 </w:t>
            </w:r>
            <w:r>
              <w:rPr>
                <w:rFonts w:ascii="宋体" w:hAnsi="宋体" w:cs="宋体" w:eastAsia="宋体" w:hint="default"/>
                <w:sz w:val="18"/>
                <w:szCs w:val="18"/>
              </w:rPr>
              <w:t>月 </w:t>
            </w:r>
            <w:r>
              <w:rPr>
                <w:rFonts w:ascii="Arial" w:hAnsi="Arial" w:cs="Arial" w:eastAsia="Arial" w:hint="default"/>
                <w:sz w:val="18"/>
                <w:szCs w:val="18"/>
              </w:rPr>
              <w:t>31</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44"/>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spacing w:val="-1"/>
                <w:w w:val="95"/>
                <w:sz w:val="18"/>
              </w:rPr>
              <w:t>3,558</w:t>
            </w:r>
            <w:r>
              <w:rPr>
                <w:rFonts w:ascii="Arial"/>
                <w:sz w:val="18"/>
              </w:rPr>
            </w:r>
          </w:p>
        </w:tc>
      </w:tr>
      <w:tr>
        <w:trPr>
          <w:trHeight w:val="441" w:hRule="exact"/>
        </w:trPr>
        <w:tc>
          <w:tcPr>
            <w:tcW w:w="708" w:type="dxa"/>
            <w:tcBorders>
              <w:top w:val="nil" w:sz="6" w:space="0" w:color="auto"/>
              <w:left w:val="nil" w:sz="6" w:space="0" w:color="auto"/>
              <w:bottom w:val="nil" w:sz="6" w:space="0" w:color="auto"/>
              <w:right w:val="nil" w:sz="6" w:space="0" w:color="auto"/>
            </w:tcBorders>
          </w:tcPr>
          <w:p>
            <w:pPr/>
          </w:p>
        </w:tc>
        <w:tc>
          <w:tcPr>
            <w:tcW w:w="3702" w:type="dxa"/>
            <w:gridSpan w:val="2"/>
            <w:tcBorders>
              <w:top w:val="nil" w:sz="6" w:space="0" w:color="auto"/>
              <w:left w:val="nil" w:sz="6" w:space="0" w:color="auto"/>
              <w:bottom w:val="nil" w:sz="6" w:space="0" w:color="auto"/>
              <w:right w:val="nil" w:sz="6" w:space="0" w:color="auto"/>
            </w:tcBorders>
          </w:tcPr>
          <w:p>
            <w:pPr>
              <w:pStyle w:val="TableParagraph"/>
              <w:tabs>
                <w:tab w:pos="2221" w:val="left" w:leader="none"/>
              </w:tabs>
              <w:spacing w:line="240" w:lineRule="auto" w:before="72"/>
              <w:ind w:left="34" w:right="0"/>
              <w:jc w:val="left"/>
              <w:rPr>
                <w:rFonts w:ascii="宋体" w:hAnsi="宋体" w:cs="宋体" w:eastAsia="宋体" w:hint="default"/>
                <w:sz w:val="18"/>
                <w:szCs w:val="18"/>
              </w:rPr>
            </w:pPr>
            <w:r>
              <w:rPr>
                <w:rFonts w:ascii="宋体" w:hAnsi="宋体" w:cs="宋体" w:eastAsia="宋体" w:hint="default"/>
                <w:sz w:val="18"/>
                <w:szCs w:val="18"/>
              </w:rPr>
              <w:t>银河国际购物广场</w:t>
              <w:tab/>
              <w:t>本公司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99" w:right="0"/>
              <w:jc w:val="left"/>
              <w:rPr>
                <w:rFonts w:ascii="宋体" w:hAnsi="宋体" w:cs="宋体" w:eastAsia="宋体" w:hint="default"/>
                <w:sz w:val="18"/>
                <w:szCs w:val="18"/>
              </w:rPr>
            </w:pPr>
            <w:r>
              <w:rPr>
                <w:rFonts w:ascii="宋体" w:hAnsi="宋体" w:cs="宋体" w:eastAsia="宋体" w:hint="default"/>
                <w:sz w:val="18"/>
                <w:szCs w:val="18"/>
              </w:rPr>
              <w:t>商贸世纪大厦</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1"/>
              <w:jc w:val="right"/>
              <w:rPr>
                <w:rFonts w:ascii="宋体" w:hAnsi="宋体" w:cs="宋体" w:eastAsia="宋体" w:hint="default"/>
                <w:sz w:val="18"/>
                <w:szCs w:val="18"/>
              </w:rPr>
            </w:pPr>
            <w:r>
              <w:rPr>
                <w:rFonts w:ascii="Arial" w:hAnsi="Arial" w:cs="Arial" w:eastAsia="Arial" w:hint="default"/>
                <w:sz w:val="18"/>
                <w:szCs w:val="18"/>
              </w:rPr>
              <w:t>2007 </w:t>
            </w:r>
            <w:r>
              <w:rPr>
                <w:rFonts w:ascii="宋体" w:hAnsi="宋体" w:cs="宋体" w:eastAsia="宋体" w:hint="default"/>
                <w:sz w:val="18"/>
                <w:szCs w:val="18"/>
              </w:rPr>
              <w:t>年 </w:t>
            </w:r>
            <w:r>
              <w:rPr>
                <w:rFonts w:ascii="Arial" w:hAnsi="Arial" w:cs="Arial" w:eastAsia="Arial" w:hint="default"/>
                <w:sz w:val="18"/>
                <w:szCs w:val="18"/>
              </w:rPr>
              <w:t>12 </w:t>
            </w:r>
            <w:r>
              <w:rPr>
                <w:rFonts w:ascii="宋体" w:hAnsi="宋体" w:cs="宋体" w:eastAsia="宋体" w:hint="default"/>
                <w:sz w:val="18"/>
                <w:szCs w:val="18"/>
              </w:rPr>
              <w:t>月 </w:t>
            </w:r>
            <w:r>
              <w:rPr>
                <w:rFonts w:ascii="Arial" w:hAnsi="Arial" w:cs="Arial" w:eastAsia="Arial" w:hint="default"/>
                <w:sz w:val="18"/>
                <w:szCs w:val="18"/>
              </w:rPr>
              <w:t>23</w:t>
            </w:r>
            <w:r>
              <w:rPr>
                <w:rFonts w:ascii="Arial" w:hAnsi="Arial" w:cs="Arial" w:eastAsia="Arial" w:hint="default"/>
                <w:spacing w:val="-23"/>
                <w:sz w:val="18"/>
                <w:szCs w:val="18"/>
              </w:rPr>
              <w:t> </w:t>
            </w:r>
            <w:r>
              <w:rPr>
                <w:rFonts w:ascii="宋体" w:hAnsi="宋体" w:cs="宋体" w:eastAsia="宋体" w:hint="default"/>
                <w:sz w:val="18"/>
                <w:szCs w:val="18"/>
              </w:rPr>
              <w:t>日</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5"/>
              <w:jc w:val="right"/>
              <w:rPr>
                <w:rFonts w:ascii="宋体" w:hAnsi="宋体" w:cs="宋体" w:eastAsia="宋体" w:hint="default"/>
                <w:sz w:val="18"/>
                <w:szCs w:val="18"/>
              </w:rPr>
            </w:pPr>
            <w:r>
              <w:rPr>
                <w:rFonts w:ascii="Arial" w:hAnsi="Arial" w:cs="Arial" w:eastAsia="Arial" w:hint="default"/>
                <w:sz w:val="18"/>
                <w:szCs w:val="18"/>
              </w:rPr>
              <w:t>2013 </w:t>
            </w:r>
            <w:r>
              <w:rPr>
                <w:rFonts w:ascii="宋体" w:hAnsi="宋体" w:cs="宋体" w:eastAsia="宋体" w:hint="default"/>
                <w:sz w:val="18"/>
                <w:szCs w:val="18"/>
              </w:rPr>
              <w:t>年 </w:t>
            </w:r>
            <w:r>
              <w:rPr>
                <w:rFonts w:ascii="Arial" w:hAnsi="Arial" w:cs="Arial" w:eastAsia="Arial" w:hint="default"/>
                <w:sz w:val="18"/>
                <w:szCs w:val="18"/>
              </w:rPr>
              <w:t>12 </w:t>
            </w:r>
            <w:r>
              <w:rPr>
                <w:rFonts w:ascii="宋体" w:hAnsi="宋体" w:cs="宋体" w:eastAsia="宋体" w:hint="default"/>
                <w:sz w:val="18"/>
                <w:szCs w:val="18"/>
              </w:rPr>
              <w:t>月 </w:t>
            </w:r>
            <w:r>
              <w:rPr>
                <w:rFonts w:ascii="Arial" w:hAnsi="Arial" w:cs="Arial" w:eastAsia="Arial" w:hint="default"/>
                <w:sz w:val="18"/>
                <w:szCs w:val="18"/>
              </w:rPr>
              <w:t>22</w:t>
            </w:r>
            <w:r>
              <w:rPr>
                <w:rFonts w:ascii="Arial" w:hAnsi="Arial" w:cs="Arial" w:eastAsia="Arial" w:hint="default"/>
                <w:spacing w:val="22"/>
                <w:sz w:val="18"/>
                <w:szCs w:val="18"/>
              </w:rPr>
              <w:t> </w:t>
            </w:r>
            <w:r>
              <w:rPr>
                <w:rFonts w:ascii="宋体" w:hAnsi="宋体" w:cs="宋体" w:eastAsia="宋体" w:hint="default"/>
                <w:sz w:val="18"/>
                <w:szCs w:val="18"/>
              </w:rPr>
              <w:t>日</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44"/>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Arial" w:hAnsi="Arial" w:cs="Arial" w:eastAsia="Arial" w:hint="default"/>
                <w:sz w:val="18"/>
                <w:szCs w:val="18"/>
              </w:rPr>
            </w:pPr>
            <w:r>
              <w:rPr>
                <w:rFonts w:ascii="Arial"/>
                <w:spacing w:val="-1"/>
                <w:sz w:val="18"/>
              </w:rPr>
              <w:t>21,000</w:t>
            </w:r>
          </w:p>
        </w:tc>
      </w:tr>
      <w:tr>
        <w:trPr>
          <w:trHeight w:val="441" w:hRule="exact"/>
        </w:trPr>
        <w:tc>
          <w:tcPr>
            <w:tcW w:w="708" w:type="dxa"/>
            <w:tcBorders>
              <w:top w:val="nil" w:sz="6" w:space="0" w:color="auto"/>
              <w:left w:val="nil" w:sz="6" w:space="0" w:color="auto"/>
              <w:bottom w:val="nil" w:sz="6" w:space="0" w:color="auto"/>
              <w:right w:val="nil" w:sz="6" w:space="0" w:color="auto"/>
            </w:tcBorders>
          </w:tcPr>
          <w:p>
            <w:pPr/>
          </w:p>
        </w:tc>
        <w:tc>
          <w:tcPr>
            <w:tcW w:w="3702" w:type="dxa"/>
            <w:gridSpan w:val="2"/>
            <w:tcBorders>
              <w:top w:val="nil" w:sz="6" w:space="0" w:color="auto"/>
              <w:left w:val="nil" w:sz="6" w:space="0" w:color="auto"/>
              <w:bottom w:val="nil" w:sz="6" w:space="0" w:color="auto"/>
              <w:right w:val="nil" w:sz="6" w:space="0" w:color="auto"/>
            </w:tcBorders>
          </w:tcPr>
          <w:p>
            <w:pPr>
              <w:pStyle w:val="TableParagraph"/>
              <w:tabs>
                <w:tab w:pos="2221" w:val="left" w:leader="none"/>
              </w:tabs>
              <w:spacing w:line="240" w:lineRule="auto" w:before="73"/>
              <w:ind w:left="34"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tab/>
              <w:t>本公司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99" w:right="0"/>
              <w:jc w:val="left"/>
              <w:rPr>
                <w:rFonts w:ascii="宋体" w:hAnsi="宋体" w:cs="宋体" w:eastAsia="宋体" w:hint="default"/>
                <w:sz w:val="18"/>
                <w:szCs w:val="18"/>
              </w:rPr>
            </w:pPr>
            <w:r>
              <w:rPr>
                <w:rFonts w:ascii="宋体" w:hAnsi="宋体" w:cs="宋体" w:eastAsia="宋体" w:hint="default"/>
                <w:sz w:val="18"/>
                <w:szCs w:val="18"/>
              </w:rPr>
              <w:t>苏宁电器大厦</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61"/>
              <w:jc w:val="right"/>
              <w:rPr>
                <w:rFonts w:ascii="宋体" w:hAnsi="宋体" w:cs="宋体" w:eastAsia="宋体" w:hint="default"/>
                <w:sz w:val="18"/>
                <w:szCs w:val="18"/>
              </w:rPr>
            </w:pPr>
            <w:r>
              <w:rPr>
                <w:rFonts w:ascii="Arial" w:hAnsi="Arial" w:cs="Arial" w:eastAsia="Arial" w:hint="default"/>
                <w:sz w:val="18"/>
                <w:szCs w:val="18"/>
              </w:rPr>
              <w:t>2008 </w:t>
            </w:r>
            <w:r>
              <w:rPr>
                <w:rFonts w:ascii="宋体" w:hAnsi="宋体" w:cs="宋体" w:eastAsia="宋体" w:hint="default"/>
                <w:sz w:val="18"/>
                <w:szCs w:val="18"/>
              </w:rPr>
              <w:t>年 </w:t>
            </w:r>
            <w:r>
              <w:rPr>
                <w:rFonts w:ascii="Arial" w:hAnsi="Arial" w:cs="Arial" w:eastAsia="Arial" w:hint="default"/>
                <w:sz w:val="18"/>
                <w:szCs w:val="18"/>
              </w:rPr>
              <w:t>7 </w:t>
            </w:r>
            <w:r>
              <w:rPr>
                <w:rFonts w:ascii="宋体" w:hAnsi="宋体" w:cs="宋体" w:eastAsia="宋体" w:hint="default"/>
                <w:sz w:val="18"/>
                <w:szCs w:val="18"/>
              </w:rPr>
              <w:t>月 </w:t>
            </w:r>
            <w:r>
              <w:rPr>
                <w:rFonts w:ascii="Arial" w:hAnsi="Arial" w:cs="Arial" w:eastAsia="Arial" w:hint="default"/>
                <w:sz w:val="18"/>
                <w:szCs w:val="18"/>
              </w:rPr>
              <w:t>1</w:t>
            </w:r>
            <w:r>
              <w:rPr>
                <w:rFonts w:ascii="Arial" w:hAnsi="Arial" w:cs="Arial" w:eastAsia="Arial" w:hint="default"/>
                <w:spacing w:val="-22"/>
                <w:sz w:val="18"/>
                <w:szCs w:val="18"/>
              </w:rPr>
              <w:t> </w:t>
            </w:r>
            <w:r>
              <w:rPr>
                <w:rFonts w:ascii="宋体" w:hAnsi="宋体" w:cs="宋体" w:eastAsia="宋体" w:hint="default"/>
                <w:sz w:val="18"/>
                <w:szCs w:val="18"/>
              </w:rPr>
              <w:t>日</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5"/>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 </w:t>
            </w:r>
            <w:r>
              <w:rPr>
                <w:rFonts w:ascii="Arial" w:hAnsi="Arial" w:cs="Arial" w:eastAsia="Arial" w:hint="default"/>
                <w:sz w:val="18"/>
                <w:szCs w:val="18"/>
              </w:rPr>
              <w:t>12 </w:t>
            </w:r>
            <w:r>
              <w:rPr>
                <w:rFonts w:ascii="宋体" w:hAnsi="宋体" w:cs="宋体" w:eastAsia="宋体" w:hint="default"/>
                <w:sz w:val="18"/>
                <w:szCs w:val="18"/>
              </w:rPr>
              <w:t>月 </w:t>
            </w:r>
            <w:r>
              <w:rPr>
                <w:rFonts w:ascii="Arial" w:hAnsi="Arial" w:cs="Arial" w:eastAsia="Arial" w:hint="default"/>
                <w:sz w:val="18"/>
                <w:szCs w:val="18"/>
              </w:rPr>
              <w:t>31</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46"/>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spacing w:val="-1"/>
                <w:w w:val="95"/>
                <w:sz w:val="18"/>
              </w:rPr>
              <w:t>1,133</w:t>
            </w:r>
            <w:r>
              <w:rPr>
                <w:rFonts w:ascii="Arial"/>
                <w:sz w:val="18"/>
              </w:rPr>
            </w:r>
          </w:p>
        </w:tc>
      </w:tr>
      <w:tr>
        <w:trPr>
          <w:trHeight w:val="441" w:hRule="exact"/>
        </w:trPr>
        <w:tc>
          <w:tcPr>
            <w:tcW w:w="708" w:type="dxa"/>
            <w:tcBorders>
              <w:top w:val="nil" w:sz="6" w:space="0" w:color="auto"/>
              <w:left w:val="nil" w:sz="6" w:space="0" w:color="auto"/>
              <w:bottom w:val="nil" w:sz="6" w:space="0" w:color="auto"/>
              <w:right w:val="nil" w:sz="6" w:space="0" w:color="auto"/>
            </w:tcBorders>
          </w:tcPr>
          <w:p>
            <w:pPr/>
          </w:p>
        </w:tc>
        <w:tc>
          <w:tcPr>
            <w:tcW w:w="3702" w:type="dxa"/>
            <w:gridSpan w:val="2"/>
            <w:tcBorders>
              <w:top w:val="nil" w:sz="6" w:space="0" w:color="auto"/>
              <w:left w:val="nil" w:sz="6" w:space="0" w:color="auto"/>
              <w:bottom w:val="nil" w:sz="6" w:space="0" w:color="auto"/>
              <w:right w:val="nil" w:sz="6" w:space="0" w:color="auto"/>
            </w:tcBorders>
          </w:tcPr>
          <w:p>
            <w:pPr>
              <w:pStyle w:val="TableParagraph"/>
              <w:tabs>
                <w:tab w:pos="2221" w:val="left" w:leader="none"/>
              </w:tabs>
              <w:spacing w:line="240" w:lineRule="auto" w:before="72"/>
              <w:ind w:left="35" w:right="0"/>
              <w:jc w:val="left"/>
              <w:rPr>
                <w:rFonts w:ascii="宋体" w:hAnsi="宋体" w:cs="宋体" w:eastAsia="宋体" w:hint="default"/>
                <w:sz w:val="18"/>
                <w:szCs w:val="18"/>
              </w:rPr>
            </w:pPr>
            <w:r>
              <w:rPr>
                <w:rFonts w:ascii="宋体" w:hAnsi="宋体" w:cs="宋体" w:eastAsia="宋体" w:hint="default"/>
                <w:sz w:val="18"/>
                <w:szCs w:val="18"/>
              </w:rPr>
              <w:t>银河国际购物广场</w:t>
              <w:tab/>
              <w:t>本公司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99" w:right="0"/>
              <w:jc w:val="left"/>
              <w:rPr>
                <w:rFonts w:ascii="宋体" w:hAnsi="宋体" w:cs="宋体" w:eastAsia="宋体" w:hint="default"/>
                <w:sz w:val="18"/>
                <w:szCs w:val="18"/>
              </w:rPr>
            </w:pPr>
            <w:r>
              <w:rPr>
                <w:rFonts w:ascii="宋体" w:hAnsi="宋体" w:cs="宋体" w:eastAsia="宋体" w:hint="default"/>
                <w:sz w:val="18"/>
                <w:szCs w:val="18"/>
              </w:rPr>
              <w:t>商贸世纪大厦</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1"/>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5"/>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4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Arial" w:hAnsi="Arial" w:cs="Arial" w:eastAsia="Arial" w:hint="default"/>
                <w:sz w:val="18"/>
                <w:szCs w:val="18"/>
              </w:rPr>
            </w:pPr>
            <w:r>
              <w:rPr>
                <w:rFonts w:ascii="Arial"/>
                <w:spacing w:val="-1"/>
                <w:w w:val="95"/>
                <w:sz w:val="18"/>
              </w:rPr>
              <w:t>1,313</w:t>
            </w:r>
            <w:r>
              <w:rPr>
                <w:rFonts w:ascii="Arial"/>
                <w:sz w:val="18"/>
              </w:rPr>
            </w:r>
          </w:p>
        </w:tc>
      </w:tr>
      <w:tr>
        <w:trPr>
          <w:trHeight w:val="317" w:hRule="exact"/>
        </w:trPr>
        <w:tc>
          <w:tcPr>
            <w:tcW w:w="708" w:type="dxa"/>
            <w:tcBorders>
              <w:top w:val="nil" w:sz="6" w:space="0" w:color="auto"/>
              <w:left w:val="nil" w:sz="6" w:space="0" w:color="auto"/>
              <w:bottom w:val="nil" w:sz="6" w:space="0" w:color="auto"/>
              <w:right w:val="nil" w:sz="6" w:space="0" w:color="auto"/>
            </w:tcBorders>
          </w:tcPr>
          <w:p>
            <w:pPr/>
          </w:p>
        </w:tc>
        <w:tc>
          <w:tcPr>
            <w:tcW w:w="3702" w:type="dxa"/>
            <w:gridSpan w:val="2"/>
            <w:tcBorders>
              <w:top w:val="nil" w:sz="6" w:space="0" w:color="auto"/>
              <w:left w:val="nil" w:sz="6" w:space="0" w:color="auto"/>
              <w:bottom w:val="nil" w:sz="6" w:space="0" w:color="auto"/>
              <w:right w:val="nil" w:sz="6" w:space="0" w:color="auto"/>
            </w:tcBorders>
          </w:tcPr>
          <w:p>
            <w:pPr>
              <w:pStyle w:val="TableParagraph"/>
              <w:tabs>
                <w:tab w:pos="2221" w:val="left" w:leader="none"/>
              </w:tabs>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银河国际购物广场</w:t>
              <w:tab/>
              <w:t>本公司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99" w:right="0"/>
              <w:jc w:val="left"/>
              <w:rPr>
                <w:rFonts w:ascii="宋体" w:hAnsi="宋体" w:cs="宋体" w:eastAsia="宋体" w:hint="default"/>
                <w:sz w:val="18"/>
                <w:szCs w:val="18"/>
              </w:rPr>
            </w:pPr>
            <w:r>
              <w:rPr>
                <w:rFonts w:ascii="宋体" w:hAnsi="宋体" w:cs="宋体" w:eastAsia="宋体" w:hint="default"/>
                <w:sz w:val="18"/>
                <w:szCs w:val="18"/>
              </w:rPr>
              <w:t>广告位使用权</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61"/>
              <w:jc w:val="righ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9</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5"/>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8</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44"/>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spacing w:val="-1"/>
                <w:w w:val="95"/>
                <w:sz w:val="18"/>
              </w:rPr>
              <w:t>100</w:t>
            </w:r>
            <w:r>
              <w:rPr>
                <w:rFonts w:ascii="Arial"/>
                <w:sz w:val="18"/>
              </w:rPr>
            </w:r>
          </w:p>
        </w:tc>
      </w:tr>
      <w:tr>
        <w:trPr>
          <w:trHeight w:val="782" w:hRule="exact"/>
        </w:trPr>
        <w:tc>
          <w:tcPr>
            <w:tcW w:w="708" w:type="dxa"/>
            <w:tcBorders>
              <w:top w:val="nil" w:sz="6" w:space="0" w:color="auto"/>
              <w:left w:val="nil" w:sz="6" w:space="0" w:color="auto"/>
              <w:bottom w:val="nil" w:sz="6" w:space="0" w:color="auto"/>
              <w:right w:val="nil" w:sz="6" w:space="0" w:color="auto"/>
            </w:tcBorders>
          </w:tcPr>
          <w:p>
            <w:pPr/>
          </w:p>
        </w:tc>
        <w:tc>
          <w:tcPr>
            <w:tcW w:w="37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10" w:right="0"/>
              <w:jc w:val="left"/>
              <w:rPr>
                <w:rFonts w:ascii="宋体" w:hAnsi="宋体" w:cs="宋体" w:eastAsia="宋体" w:hint="default"/>
                <w:sz w:val="24"/>
                <w:szCs w:val="24"/>
              </w:rPr>
            </w:pPr>
            <w:r>
              <w:rPr>
                <w:rFonts w:ascii="宋体" w:hAnsi="宋体" w:cs="宋体" w:eastAsia="宋体" w:hint="default"/>
                <w:sz w:val="24"/>
                <w:szCs w:val="24"/>
              </w:rPr>
              <w:t>本集团作为出租方：</w:t>
            </w:r>
          </w:p>
        </w:tc>
        <w:tc>
          <w:tcPr>
            <w:tcW w:w="1693"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
        </w:tc>
      </w:tr>
      <w:tr>
        <w:trPr>
          <w:trHeight w:val="533" w:hRule="exact"/>
        </w:trPr>
        <w:tc>
          <w:tcPr>
            <w:tcW w:w="2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743"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84"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99"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61"/>
              <w:jc w:val="right"/>
              <w:rPr>
                <w:rFonts w:ascii="宋体" w:hAnsi="宋体" w:cs="宋体" w:eastAsia="宋体" w:hint="default"/>
                <w:sz w:val="18"/>
                <w:szCs w:val="18"/>
              </w:rPr>
            </w:pPr>
            <w:r>
              <w:rPr>
                <w:rFonts w:ascii="宋体" w:hAnsi="宋体" w:cs="宋体" w:eastAsia="宋体" w:hint="default"/>
                <w:sz w:val="18"/>
                <w:szCs w:val="18"/>
              </w:rPr>
              <w:t>租赁起始日</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59"/>
              <w:jc w:val="right"/>
              <w:rPr>
                <w:rFonts w:ascii="宋体" w:hAnsi="宋体" w:cs="宋体" w:eastAsia="宋体" w:hint="default"/>
                <w:sz w:val="18"/>
                <w:szCs w:val="18"/>
              </w:rPr>
            </w:pPr>
            <w:r>
              <w:rPr>
                <w:rFonts w:ascii="宋体" w:hAnsi="宋体" w:cs="宋体" w:eastAsia="宋体" w:hint="default"/>
                <w:sz w:val="18"/>
                <w:szCs w:val="18"/>
              </w:rPr>
              <w:t>租赁终止日</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445"/>
              <w:jc w:val="right"/>
              <w:rPr>
                <w:rFonts w:ascii="宋体" w:hAnsi="宋体" w:cs="宋体" w:eastAsia="宋体" w:hint="default"/>
                <w:sz w:val="18"/>
                <w:szCs w:val="18"/>
              </w:rPr>
            </w:pPr>
            <w:r>
              <w:rPr>
                <w:rFonts w:ascii="宋体" w:hAnsi="宋体" w:cs="宋体" w:eastAsia="宋体" w:hint="default"/>
                <w:sz w:val="18"/>
                <w:szCs w:val="18"/>
              </w:rPr>
              <w:t>租赁费定价依据</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宋体" w:hAnsi="宋体" w:cs="宋体" w:eastAsia="宋体" w:hint="default"/>
                <w:sz w:val="18"/>
                <w:szCs w:val="18"/>
              </w:rPr>
            </w:pPr>
            <w:r>
              <w:rPr>
                <w:rFonts w:ascii="宋体" w:hAnsi="宋体" w:cs="宋体" w:eastAsia="宋体" w:hint="default"/>
                <w:sz w:val="18"/>
                <w:szCs w:val="18"/>
              </w:rPr>
              <w:t>年度确认的租赁收益</w:t>
            </w:r>
          </w:p>
        </w:tc>
      </w:tr>
      <w:tr>
        <w:trPr>
          <w:trHeight w:val="477" w:hRule="exact"/>
        </w:trPr>
        <w:tc>
          <w:tcPr>
            <w:tcW w:w="2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right="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84" w:right="0"/>
              <w:jc w:val="left"/>
              <w:rPr>
                <w:rFonts w:ascii="宋体" w:hAnsi="宋体" w:cs="宋体" w:eastAsia="宋体" w:hint="default"/>
                <w:sz w:val="18"/>
                <w:szCs w:val="18"/>
              </w:rPr>
            </w:pPr>
            <w:r>
              <w:rPr>
                <w:rFonts w:ascii="宋体" w:hAnsi="宋体" w:cs="宋体" w:eastAsia="宋体" w:hint="default"/>
                <w:sz w:val="18"/>
                <w:szCs w:val="18"/>
              </w:rPr>
              <w:t>苏宁置业集团有限公司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99" w:right="0"/>
              <w:jc w:val="left"/>
              <w:rPr>
                <w:rFonts w:ascii="宋体" w:hAnsi="宋体" w:cs="宋体" w:eastAsia="宋体" w:hint="default"/>
                <w:sz w:val="18"/>
                <w:szCs w:val="18"/>
              </w:rPr>
            </w:pPr>
            <w:r>
              <w:rPr>
                <w:rFonts w:ascii="宋体" w:hAnsi="宋体" w:cs="宋体" w:eastAsia="宋体" w:hint="default"/>
                <w:sz w:val="18"/>
                <w:szCs w:val="18"/>
              </w:rPr>
              <w:t>龙吟广场</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61"/>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91"/>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4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w w:val="95"/>
                <w:sz w:val="18"/>
              </w:rPr>
              <w:t>1,971</w:t>
            </w:r>
            <w:r>
              <w:rPr>
                <w:rFonts w:ascii="Arial"/>
                <w:sz w:val="18"/>
              </w:rPr>
            </w:r>
          </w:p>
        </w:tc>
      </w:tr>
    </w:tbl>
    <w:p>
      <w:pPr>
        <w:spacing w:after="0" w:line="240" w:lineRule="auto"/>
        <w:jc w:val="right"/>
        <w:rPr>
          <w:rFonts w:ascii="Arial" w:hAnsi="Arial" w:cs="Arial" w:eastAsia="Arial" w:hint="default"/>
          <w:sz w:val="18"/>
          <w:szCs w:val="18"/>
        </w:rPr>
        <w:sectPr>
          <w:headerReference w:type="default" r:id="rId76"/>
          <w:footerReference w:type="default" r:id="rId77"/>
          <w:pgSz w:w="16840" w:h="11910" w:orient="landscape"/>
          <w:pgMar w:header="755" w:footer="945" w:top="2300" w:bottom="1140" w:left="580" w:right="1300"/>
          <w:pgNumType w:start="193"/>
        </w:sectPr>
      </w:pPr>
    </w:p>
    <w:p>
      <w:pPr>
        <w:spacing w:line="240" w:lineRule="auto" w:before="4"/>
        <w:rPr>
          <w:rFonts w:ascii="Times New Roman" w:hAnsi="Times New Roman" w:cs="Times New Roman" w:eastAsia="Times New Roman" w:hint="default"/>
          <w:sz w:val="15"/>
          <w:szCs w:val="15"/>
        </w:rPr>
      </w:pPr>
    </w:p>
    <w:tbl>
      <w:tblPr>
        <w:tblW w:w="0" w:type="auto"/>
        <w:jc w:val="left"/>
        <w:tblInd w:w="212" w:type="dxa"/>
        <w:tblLayout w:type="fixed"/>
        <w:tblCellMar>
          <w:top w:w="0" w:type="dxa"/>
          <w:left w:w="0" w:type="dxa"/>
          <w:bottom w:w="0" w:type="dxa"/>
          <w:right w:w="0" w:type="dxa"/>
        </w:tblCellMar>
        <w:tblLook w:val="01E0"/>
      </w:tblPr>
      <w:tblGrid>
        <w:gridCol w:w="536"/>
        <w:gridCol w:w="13889"/>
      </w:tblGrid>
      <w:tr>
        <w:trPr>
          <w:trHeight w:val="517" w:hRule="exact"/>
        </w:trPr>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六</w:t>
            </w:r>
            <w:r>
              <w:rPr>
                <w:rFonts w:ascii="宋体" w:hAnsi="宋体" w:cs="宋体" w:eastAsia="宋体" w:hint="default"/>
                <w:sz w:val="24"/>
                <w:szCs w:val="24"/>
              </w:rPr>
            </w:r>
          </w:p>
        </w:tc>
        <w:tc>
          <w:tcPr>
            <w:tcW w:w="1388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06" w:right="0"/>
              <w:jc w:val="left"/>
              <w:rPr>
                <w:rFonts w:ascii="Arial" w:hAnsi="Arial" w:cs="Arial" w:eastAsia="Arial" w:hint="default"/>
                <w:sz w:val="24"/>
                <w:szCs w:val="24"/>
              </w:rPr>
            </w:pPr>
            <w:r>
              <w:rPr>
                <w:rFonts w:ascii="宋体" w:hAnsi="宋体" w:cs="宋体" w:eastAsia="宋体" w:hint="default"/>
                <w:b/>
                <w:bCs/>
                <w:sz w:val="24"/>
                <w:szCs w:val="24"/>
              </w:rPr>
              <w:t>关联方关系及其交易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8" w:hRule="exact"/>
        </w:trPr>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5" w:right="0"/>
              <w:jc w:val="left"/>
              <w:rPr>
                <w:rFonts w:ascii="Arial" w:hAnsi="Arial" w:cs="Arial" w:eastAsia="Arial" w:hint="default"/>
                <w:sz w:val="24"/>
                <w:szCs w:val="24"/>
              </w:rPr>
            </w:pPr>
            <w:r>
              <w:rPr>
                <w:rFonts w:ascii="Arial"/>
                <w:sz w:val="24"/>
              </w:rPr>
              <w:t>(5)</w:t>
            </w:r>
          </w:p>
        </w:tc>
        <w:tc>
          <w:tcPr>
            <w:tcW w:w="1388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6" w:right="0"/>
              <w:jc w:val="left"/>
              <w:rPr>
                <w:rFonts w:ascii="Arial" w:hAnsi="Arial" w:cs="Arial" w:eastAsia="Arial" w:hint="default"/>
                <w:sz w:val="24"/>
                <w:szCs w:val="24"/>
              </w:rPr>
            </w:pPr>
            <w:r>
              <w:rPr>
                <w:rFonts w:ascii="宋体" w:hAnsi="宋体" w:cs="宋体" w:eastAsia="宋体" w:hint="default"/>
                <w:b/>
                <w:bCs/>
                <w:sz w:val="24"/>
                <w:szCs w:val="24"/>
              </w:rPr>
              <w:t>关联交易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411" w:hRule="exact"/>
        </w:trPr>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5" w:right="0"/>
              <w:jc w:val="left"/>
              <w:rPr>
                <w:rFonts w:ascii="Arial" w:hAnsi="Arial" w:cs="Arial" w:eastAsia="Arial" w:hint="default"/>
                <w:sz w:val="24"/>
                <w:szCs w:val="24"/>
              </w:rPr>
            </w:pPr>
            <w:r>
              <w:rPr>
                <w:rFonts w:ascii="Arial"/>
                <w:sz w:val="24"/>
              </w:rPr>
              <w:t>(b)</w:t>
            </w:r>
          </w:p>
        </w:tc>
        <w:tc>
          <w:tcPr>
            <w:tcW w:w="1388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6" w:right="0"/>
              <w:jc w:val="left"/>
              <w:rPr>
                <w:rFonts w:ascii="宋体" w:hAnsi="宋体" w:cs="宋体" w:eastAsia="宋体" w:hint="default"/>
                <w:sz w:val="24"/>
                <w:szCs w:val="24"/>
              </w:rPr>
            </w:pPr>
            <w:r>
              <w:rPr>
                <w:rFonts w:ascii="宋体" w:hAnsi="宋体" w:cs="宋体" w:eastAsia="宋体" w:hint="default"/>
                <w:sz w:val="24"/>
                <w:szCs w:val="24"/>
              </w:rPr>
              <w:t>担保</w:t>
            </w:r>
          </w:p>
        </w:tc>
      </w:tr>
      <w:tr>
        <w:trPr>
          <w:trHeight w:val="618" w:hRule="exact"/>
        </w:trPr>
        <w:tc>
          <w:tcPr>
            <w:tcW w:w="536" w:type="dxa"/>
            <w:tcBorders>
              <w:top w:val="nil" w:sz="6" w:space="0" w:color="auto"/>
              <w:left w:val="nil" w:sz="6" w:space="0" w:color="auto"/>
              <w:bottom w:val="nil" w:sz="6" w:space="0" w:color="auto"/>
              <w:right w:val="nil" w:sz="6" w:space="0" w:color="auto"/>
            </w:tcBorders>
          </w:tcPr>
          <w:p>
            <w:pPr/>
          </w:p>
        </w:tc>
        <w:tc>
          <w:tcPr>
            <w:tcW w:w="138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tabs>
                <w:tab w:pos="4066" w:val="left" w:leader="none"/>
                <w:tab w:pos="5798" w:val="left" w:leader="none"/>
                <w:tab w:pos="8027" w:val="left" w:leader="none"/>
                <w:tab w:pos="10362" w:val="left" w:leader="none"/>
                <w:tab w:pos="12089" w:val="left" w:leader="none"/>
              </w:tabs>
              <w:spacing w:line="240" w:lineRule="auto"/>
              <w:ind w:left="1601" w:right="0"/>
              <w:jc w:val="left"/>
              <w:rPr>
                <w:rFonts w:ascii="宋体" w:hAnsi="宋体" w:cs="宋体" w:eastAsia="宋体" w:hint="default"/>
                <w:sz w:val="18"/>
                <w:szCs w:val="18"/>
              </w:rPr>
            </w:pPr>
            <w:r>
              <w:rPr>
                <w:rFonts w:ascii="宋体" w:hAnsi="宋体" w:cs="宋体" w:eastAsia="宋体" w:hint="default"/>
                <w:sz w:val="18"/>
                <w:szCs w:val="18"/>
              </w:rPr>
              <w:t>担保方</w:t>
              <w:tab/>
              <w:t>被担保方</w:t>
              <w:tab/>
              <w:t>担保金额</w:t>
              <w:tab/>
              <w:t>担保起始日</w:t>
              <w:tab/>
              <w:t>担保到期日</w:t>
              <w:tab/>
              <w:t>担保是否已经履行完毕</w:t>
            </w:r>
          </w:p>
        </w:tc>
      </w:tr>
    </w:tbl>
    <w:p>
      <w:pPr>
        <w:spacing w:line="240" w:lineRule="auto" w:before="4"/>
        <w:rPr>
          <w:rFonts w:ascii="Times New Roman" w:hAnsi="Times New Roman" w:cs="Times New Roman" w:eastAsia="Times New Roman" w:hint="default"/>
          <w:sz w:val="5"/>
          <w:szCs w:val="5"/>
        </w:rPr>
      </w:pPr>
    </w:p>
    <w:tbl>
      <w:tblPr>
        <w:tblW w:w="0" w:type="auto"/>
        <w:jc w:val="left"/>
        <w:tblInd w:w="920" w:type="dxa"/>
        <w:tblLayout w:type="fixed"/>
        <w:tblCellMar>
          <w:top w:w="0" w:type="dxa"/>
          <w:left w:w="0" w:type="dxa"/>
          <w:bottom w:w="0" w:type="dxa"/>
          <w:right w:w="0" w:type="dxa"/>
        </w:tblCellMar>
        <w:tblLook w:val="01E0"/>
      </w:tblPr>
      <w:tblGrid>
        <w:gridCol w:w="2910"/>
        <w:gridCol w:w="2201"/>
        <w:gridCol w:w="1659"/>
        <w:gridCol w:w="2421"/>
        <w:gridCol w:w="3123"/>
        <w:gridCol w:w="1438"/>
      </w:tblGrid>
      <w:tr>
        <w:trPr>
          <w:trHeight w:val="319"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420"/>
              <w:jc w:val="right"/>
              <w:rPr>
                <w:rFonts w:ascii="Arial" w:hAnsi="Arial" w:cs="Arial" w:eastAsia="Arial" w:hint="default"/>
                <w:sz w:val="18"/>
                <w:szCs w:val="18"/>
              </w:rPr>
            </w:pPr>
            <w:r>
              <w:rPr>
                <w:rFonts w:ascii="Arial"/>
                <w:spacing w:val="-1"/>
                <w:sz w:val="18"/>
              </w:rPr>
              <w:t>102,200</w:t>
            </w:r>
            <w:r>
              <w:rPr>
                <w:rFonts w:ascii="Arial"/>
                <w:sz w:val="18"/>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3"/>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35"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34"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2201" w:type="dxa"/>
            <w:tcBorders>
              <w:top w:val="nil" w:sz="6" w:space="0" w:color="auto"/>
              <w:left w:val="nil" w:sz="6" w:space="0" w:color="auto"/>
              <w:bottom w:val="nil" w:sz="6" w:space="0" w:color="auto"/>
              <w:right w:val="nil" w:sz="6" w:space="0" w:color="auto"/>
            </w:tcBorders>
          </w:tcPr>
          <w:p>
            <w:pPr>
              <w:pStyle w:val="TableParagraph"/>
              <w:spacing w:line="195" w:lineRule="exact"/>
              <w:ind w:right="5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0"/>
              <w:jc w:val="right"/>
              <w:rPr>
                <w:rFonts w:ascii="Arial" w:hAnsi="Arial" w:cs="Arial" w:eastAsia="Arial" w:hint="default"/>
                <w:sz w:val="18"/>
                <w:szCs w:val="18"/>
              </w:rPr>
            </w:pPr>
            <w:r>
              <w:rPr>
                <w:rFonts w:ascii="Arial"/>
                <w:spacing w:val="-1"/>
                <w:sz w:val="18"/>
              </w:rPr>
              <w:t>85,217</w:t>
            </w:r>
          </w:p>
        </w:tc>
        <w:tc>
          <w:tcPr>
            <w:tcW w:w="2421" w:type="dxa"/>
            <w:tcBorders>
              <w:top w:val="nil" w:sz="6" w:space="0" w:color="auto"/>
              <w:left w:val="nil" w:sz="6" w:space="0" w:color="auto"/>
              <w:bottom w:val="nil" w:sz="6" w:space="0" w:color="auto"/>
              <w:right w:val="nil" w:sz="6" w:space="0" w:color="auto"/>
            </w:tcBorders>
          </w:tcPr>
          <w:p>
            <w:pPr>
              <w:pStyle w:val="TableParagraph"/>
              <w:spacing w:line="208" w:lineRule="exact"/>
              <w:ind w:right="433"/>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123" w:type="dxa"/>
            <w:tcBorders>
              <w:top w:val="nil" w:sz="6" w:space="0" w:color="auto"/>
              <w:left w:val="nil" w:sz="6" w:space="0" w:color="auto"/>
              <w:bottom w:val="nil" w:sz="6" w:space="0" w:color="auto"/>
              <w:right w:val="nil" w:sz="6" w:space="0" w:color="auto"/>
            </w:tcBorders>
          </w:tcPr>
          <w:p>
            <w:pPr>
              <w:pStyle w:val="TableParagraph"/>
              <w:spacing w:line="208" w:lineRule="exact"/>
              <w:ind w:left="435"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34"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2201" w:type="dxa"/>
            <w:tcBorders>
              <w:top w:val="nil" w:sz="6" w:space="0" w:color="auto"/>
              <w:left w:val="nil" w:sz="6" w:space="0" w:color="auto"/>
              <w:bottom w:val="nil" w:sz="6" w:space="0" w:color="auto"/>
              <w:right w:val="nil" w:sz="6" w:space="0" w:color="auto"/>
            </w:tcBorders>
          </w:tcPr>
          <w:p>
            <w:pPr>
              <w:pStyle w:val="TableParagraph"/>
              <w:spacing w:line="195" w:lineRule="exact"/>
              <w:ind w:right="5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0"/>
              <w:jc w:val="right"/>
              <w:rPr>
                <w:rFonts w:ascii="Arial" w:hAnsi="Arial" w:cs="Arial" w:eastAsia="Arial" w:hint="default"/>
                <w:sz w:val="18"/>
                <w:szCs w:val="18"/>
              </w:rPr>
            </w:pPr>
            <w:r>
              <w:rPr>
                <w:rFonts w:ascii="Arial"/>
                <w:spacing w:val="-1"/>
                <w:sz w:val="18"/>
              </w:rPr>
              <w:t>58,100</w:t>
            </w:r>
          </w:p>
        </w:tc>
        <w:tc>
          <w:tcPr>
            <w:tcW w:w="2421" w:type="dxa"/>
            <w:tcBorders>
              <w:top w:val="nil" w:sz="6" w:space="0" w:color="auto"/>
              <w:left w:val="nil" w:sz="6" w:space="0" w:color="auto"/>
              <w:bottom w:val="nil" w:sz="6" w:space="0" w:color="auto"/>
              <w:right w:val="nil" w:sz="6" w:space="0" w:color="auto"/>
            </w:tcBorders>
          </w:tcPr>
          <w:p>
            <w:pPr>
              <w:pStyle w:val="TableParagraph"/>
              <w:spacing w:line="208" w:lineRule="exact"/>
              <w:ind w:right="433"/>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123" w:type="dxa"/>
            <w:tcBorders>
              <w:top w:val="nil" w:sz="6" w:space="0" w:color="auto"/>
              <w:left w:val="nil" w:sz="6" w:space="0" w:color="auto"/>
              <w:bottom w:val="nil" w:sz="6" w:space="0" w:color="auto"/>
              <w:right w:val="nil" w:sz="6" w:space="0" w:color="auto"/>
            </w:tcBorders>
          </w:tcPr>
          <w:p>
            <w:pPr>
              <w:pStyle w:val="TableParagraph"/>
              <w:spacing w:line="208" w:lineRule="exact"/>
              <w:ind w:left="435"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3</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34"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2201" w:type="dxa"/>
            <w:tcBorders>
              <w:top w:val="nil" w:sz="6" w:space="0" w:color="auto"/>
              <w:left w:val="nil" w:sz="6" w:space="0" w:color="auto"/>
              <w:bottom w:val="nil" w:sz="6" w:space="0" w:color="auto"/>
              <w:right w:val="nil" w:sz="6" w:space="0" w:color="auto"/>
            </w:tcBorders>
          </w:tcPr>
          <w:p>
            <w:pPr>
              <w:pStyle w:val="TableParagraph"/>
              <w:spacing w:line="195" w:lineRule="exact"/>
              <w:ind w:right="5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0"/>
              <w:jc w:val="right"/>
              <w:rPr>
                <w:rFonts w:ascii="Arial" w:hAnsi="Arial" w:cs="Arial" w:eastAsia="Arial" w:hint="default"/>
                <w:sz w:val="18"/>
                <w:szCs w:val="18"/>
              </w:rPr>
            </w:pPr>
            <w:r>
              <w:rPr>
                <w:rFonts w:ascii="Arial"/>
                <w:spacing w:val="-1"/>
                <w:sz w:val="18"/>
              </w:rPr>
              <w:t>55,245</w:t>
            </w:r>
          </w:p>
        </w:tc>
        <w:tc>
          <w:tcPr>
            <w:tcW w:w="2421" w:type="dxa"/>
            <w:tcBorders>
              <w:top w:val="nil" w:sz="6" w:space="0" w:color="auto"/>
              <w:left w:val="nil" w:sz="6" w:space="0" w:color="auto"/>
              <w:bottom w:val="nil" w:sz="6" w:space="0" w:color="auto"/>
              <w:right w:val="nil" w:sz="6" w:space="0" w:color="auto"/>
            </w:tcBorders>
          </w:tcPr>
          <w:p>
            <w:pPr>
              <w:pStyle w:val="TableParagraph"/>
              <w:spacing w:line="208" w:lineRule="exact"/>
              <w:ind w:right="433"/>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7</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123" w:type="dxa"/>
            <w:tcBorders>
              <w:top w:val="nil" w:sz="6" w:space="0" w:color="auto"/>
              <w:left w:val="nil" w:sz="6" w:space="0" w:color="auto"/>
              <w:bottom w:val="nil" w:sz="6" w:space="0" w:color="auto"/>
              <w:right w:val="nil" w:sz="6" w:space="0" w:color="auto"/>
            </w:tcBorders>
          </w:tcPr>
          <w:p>
            <w:pPr>
              <w:pStyle w:val="TableParagraph"/>
              <w:spacing w:line="208" w:lineRule="exact"/>
              <w:ind w:left="435"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34"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2201" w:type="dxa"/>
            <w:tcBorders>
              <w:top w:val="nil" w:sz="6" w:space="0" w:color="auto"/>
              <w:left w:val="nil" w:sz="6" w:space="0" w:color="auto"/>
              <w:bottom w:val="nil" w:sz="6" w:space="0" w:color="auto"/>
              <w:right w:val="nil" w:sz="6" w:space="0" w:color="auto"/>
            </w:tcBorders>
          </w:tcPr>
          <w:p>
            <w:pPr>
              <w:pStyle w:val="TableParagraph"/>
              <w:spacing w:line="195" w:lineRule="exact"/>
              <w:ind w:right="5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0"/>
              <w:jc w:val="right"/>
              <w:rPr>
                <w:rFonts w:ascii="Arial" w:hAnsi="Arial" w:cs="Arial" w:eastAsia="Arial" w:hint="default"/>
                <w:sz w:val="18"/>
                <w:szCs w:val="18"/>
              </w:rPr>
            </w:pPr>
            <w:r>
              <w:rPr>
                <w:rFonts w:ascii="Arial"/>
                <w:spacing w:val="-1"/>
                <w:sz w:val="18"/>
              </w:rPr>
              <w:t>50,085</w:t>
            </w:r>
          </w:p>
        </w:tc>
        <w:tc>
          <w:tcPr>
            <w:tcW w:w="2421" w:type="dxa"/>
            <w:tcBorders>
              <w:top w:val="nil" w:sz="6" w:space="0" w:color="auto"/>
              <w:left w:val="nil" w:sz="6" w:space="0" w:color="auto"/>
              <w:bottom w:val="nil" w:sz="6" w:space="0" w:color="auto"/>
              <w:right w:val="nil" w:sz="6" w:space="0" w:color="auto"/>
            </w:tcBorders>
          </w:tcPr>
          <w:p>
            <w:pPr>
              <w:pStyle w:val="TableParagraph"/>
              <w:spacing w:line="208" w:lineRule="exact"/>
              <w:ind w:right="433"/>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8</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123" w:type="dxa"/>
            <w:tcBorders>
              <w:top w:val="nil" w:sz="6" w:space="0" w:color="auto"/>
              <w:left w:val="nil" w:sz="6" w:space="0" w:color="auto"/>
              <w:bottom w:val="nil" w:sz="6" w:space="0" w:color="auto"/>
              <w:right w:val="nil" w:sz="6" w:space="0" w:color="auto"/>
            </w:tcBorders>
          </w:tcPr>
          <w:p>
            <w:pPr>
              <w:pStyle w:val="TableParagraph"/>
              <w:spacing w:line="208" w:lineRule="exact"/>
              <w:ind w:left="435"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34"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2201" w:type="dxa"/>
            <w:tcBorders>
              <w:top w:val="nil" w:sz="6" w:space="0" w:color="auto"/>
              <w:left w:val="nil" w:sz="6" w:space="0" w:color="auto"/>
              <w:bottom w:val="nil" w:sz="6" w:space="0" w:color="auto"/>
              <w:right w:val="nil" w:sz="6" w:space="0" w:color="auto"/>
            </w:tcBorders>
          </w:tcPr>
          <w:p>
            <w:pPr>
              <w:pStyle w:val="TableParagraph"/>
              <w:spacing w:line="195" w:lineRule="exact"/>
              <w:ind w:right="5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0"/>
              <w:jc w:val="right"/>
              <w:rPr>
                <w:rFonts w:ascii="Arial" w:hAnsi="Arial" w:cs="Arial" w:eastAsia="Arial" w:hint="default"/>
                <w:sz w:val="18"/>
                <w:szCs w:val="18"/>
              </w:rPr>
            </w:pPr>
            <w:r>
              <w:rPr>
                <w:rFonts w:ascii="Arial"/>
                <w:spacing w:val="-1"/>
                <w:sz w:val="18"/>
              </w:rPr>
              <w:t>46,724</w:t>
            </w:r>
          </w:p>
        </w:tc>
        <w:tc>
          <w:tcPr>
            <w:tcW w:w="2421" w:type="dxa"/>
            <w:tcBorders>
              <w:top w:val="nil" w:sz="6" w:space="0" w:color="auto"/>
              <w:left w:val="nil" w:sz="6" w:space="0" w:color="auto"/>
              <w:bottom w:val="nil" w:sz="6" w:space="0" w:color="auto"/>
              <w:right w:val="nil" w:sz="6" w:space="0" w:color="auto"/>
            </w:tcBorders>
          </w:tcPr>
          <w:p>
            <w:pPr>
              <w:pStyle w:val="TableParagraph"/>
              <w:spacing w:line="208" w:lineRule="exact"/>
              <w:ind w:right="433"/>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pacing w:val="-7"/>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123" w:type="dxa"/>
            <w:tcBorders>
              <w:top w:val="nil" w:sz="6" w:space="0" w:color="auto"/>
              <w:left w:val="nil" w:sz="6" w:space="0" w:color="auto"/>
              <w:bottom w:val="nil" w:sz="6" w:space="0" w:color="auto"/>
              <w:right w:val="nil" w:sz="6" w:space="0" w:color="auto"/>
            </w:tcBorders>
          </w:tcPr>
          <w:p>
            <w:pPr>
              <w:pStyle w:val="TableParagraph"/>
              <w:spacing w:line="208" w:lineRule="exact"/>
              <w:ind w:left="435"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5</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34"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2201" w:type="dxa"/>
            <w:tcBorders>
              <w:top w:val="nil" w:sz="6" w:space="0" w:color="auto"/>
              <w:left w:val="nil" w:sz="6" w:space="0" w:color="auto"/>
              <w:bottom w:val="nil" w:sz="6" w:space="0" w:color="auto"/>
              <w:right w:val="nil" w:sz="6" w:space="0" w:color="auto"/>
            </w:tcBorders>
          </w:tcPr>
          <w:p>
            <w:pPr>
              <w:pStyle w:val="TableParagraph"/>
              <w:spacing w:line="195" w:lineRule="exact"/>
              <w:ind w:right="5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0"/>
              <w:jc w:val="right"/>
              <w:rPr>
                <w:rFonts w:ascii="Arial" w:hAnsi="Arial" w:cs="Arial" w:eastAsia="Arial" w:hint="default"/>
                <w:sz w:val="18"/>
                <w:szCs w:val="18"/>
              </w:rPr>
            </w:pPr>
            <w:r>
              <w:rPr>
                <w:rFonts w:ascii="Arial"/>
                <w:spacing w:val="-1"/>
                <w:sz w:val="18"/>
              </w:rPr>
              <w:t>36,547</w:t>
            </w:r>
          </w:p>
        </w:tc>
        <w:tc>
          <w:tcPr>
            <w:tcW w:w="2421" w:type="dxa"/>
            <w:tcBorders>
              <w:top w:val="nil" w:sz="6" w:space="0" w:color="auto"/>
              <w:left w:val="nil" w:sz="6" w:space="0" w:color="auto"/>
              <w:bottom w:val="nil" w:sz="6" w:space="0" w:color="auto"/>
              <w:right w:val="nil" w:sz="6" w:space="0" w:color="auto"/>
            </w:tcBorders>
          </w:tcPr>
          <w:p>
            <w:pPr>
              <w:pStyle w:val="TableParagraph"/>
              <w:spacing w:line="208" w:lineRule="exact"/>
              <w:ind w:right="433"/>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pacing w:val="-7"/>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123" w:type="dxa"/>
            <w:tcBorders>
              <w:top w:val="nil" w:sz="6" w:space="0" w:color="auto"/>
              <w:left w:val="nil" w:sz="6" w:space="0" w:color="auto"/>
              <w:bottom w:val="nil" w:sz="6" w:space="0" w:color="auto"/>
              <w:right w:val="nil" w:sz="6" w:space="0" w:color="auto"/>
            </w:tcBorders>
          </w:tcPr>
          <w:p>
            <w:pPr>
              <w:pStyle w:val="TableParagraph"/>
              <w:spacing w:line="208" w:lineRule="exact"/>
              <w:ind w:left="435"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34"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2201" w:type="dxa"/>
            <w:tcBorders>
              <w:top w:val="nil" w:sz="6" w:space="0" w:color="auto"/>
              <w:left w:val="nil" w:sz="6" w:space="0" w:color="auto"/>
              <w:bottom w:val="nil" w:sz="6" w:space="0" w:color="auto"/>
              <w:right w:val="nil" w:sz="6" w:space="0" w:color="auto"/>
            </w:tcBorders>
          </w:tcPr>
          <w:p>
            <w:pPr>
              <w:pStyle w:val="TableParagraph"/>
              <w:spacing w:line="195" w:lineRule="exact"/>
              <w:ind w:right="5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0"/>
              <w:jc w:val="right"/>
              <w:rPr>
                <w:rFonts w:ascii="Arial" w:hAnsi="Arial" w:cs="Arial" w:eastAsia="Arial" w:hint="default"/>
                <w:sz w:val="18"/>
                <w:szCs w:val="18"/>
              </w:rPr>
            </w:pPr>
            <w:r>
              <w:rPr>
                <w:rFonts w:ascii="Arial"/>
                <w:spacing w:val="-1"/>
                <w:sz w:val="18"/>
              </w:rPr>
              <w:t>36,493</w:t>
            </w:r>
          </w:p>
        </w:tc>
        <w:tc>
          <w:tcPr>
            <w:tcW w:w="2421" w:type="dxa"/>
            <w:tcBorders>
              <w:top w:val="nil" w:sz="6" w:space="0" w:color="auto"/>
              <w:left w:val="nil" w:sz="6" w:space="0" w:color="auto"/>
              <w:bottom w:val="nil" w:sz="6" w:space="0" w:color="auto"/>
              <w:right w:val="nil" w:sz="6" w:space="0" w:color="auto"/>
            </w:tcBorders>
          </w:tcPr>
          <w:p>
            <w:pPr>
              <w:pStyle w:val="TableParagraph"/>
              <w:spacing w:line="208" w:lineRule="exact"/>
              <w:ind w:right="433"/>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7</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3123" w:type="dxa"/>
            <w:tcBorders>
              <w:top w:val="nil" w:sz="6" w:space="0" w:color="auto"/>
              <w:left w:val="nil" w:sz="6" w:space="0" w:color="auto"/>
              <w:bottom w:val="nil" w:sz="6" w:space="0" w:color="auto"/>
              <w:right w:val="nil" w:sz="6" w:space="0" w:color="auto"/>
            </w:tcBorders>
          </w:tcPr>
          <w:p>
            <w:pPr>
              <w:pStyle w:val="TableParagraph"/>
              <w:spacing w:line="208" w:lineRule="exact"/>
              <w:ind w:left="534"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34"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2201" w:type="dxa"/>
            <w:tcBorders>
              <w:top w:val="nil" w:sz="6" w:space="0" w:color="auto"/>
              <w:left w:val="nil" w:sz="6" w:space="0" w:color="auto"/>
              <w:bottom w:val="nil" w:sz="6" w:space="0" w:color="auto"/>
              <w:right w:val="nil" w:sz="6" w:space="0" w:color="auto"/>
            </w:tcBorders>
          </w:tcPr>
          <w:p>
            <w:pPr>
              <w:pStyle w:val="TableParagraph"/>
              <w:spacing w:line="195" w:lineRule="exact"/>
              <w:ind w:right="5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0"/>
              <w:jc w:val="right"/>
              <w:rPr>
                <w:rFonts w:ascii="Arial" w:hAnsi="Arial" w:cs="Arial" w:eastAsia="Arial" w:hint="default"/>
                <w:sz w:val="18"/>
                <w:szCs w:val="18"/>
              </w:rPr>
            </w:pPr>
            <w:r>
              <w:rPr>
                <w:rFonts w:ascii="Arial"/>
                <w:spacing w:val="-1"/>
                <w:sz w:val="18"/>
              </w:rPr>
              <w:t>33,047</w:t>
            </w:r>
          </w:p>
        </w:tc>
        <w:tc>
          <w:tcPr>
            <w:tcW w:w="2421" w:type="dxa"/>
            <w:tcBorders>
              <w:top w:val="nil" w:sz="6" w:space="0" w:color="auto"/>
              <w:left w:val="nil" w:sz="6" w:space="0" w:color="auto"/>
              <w:bottom w:val="nil" w:sz="6" w:space="0" w:color="auto"/>
              <w:right w:val="nil" w:sz="6" w:space="0" w:color="auto"/>
            </w:tcBorders>
          </w:tcPr>
          <w:p>
            <w:pPr>
              <w:pStyle w:val="TableParagraph"/>
              <w:spacing w:line="208" w:lineRule="exact"/>
              <w:ind w:right="433"/>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123" w:type="dxa"/>
            <w:tcBorders>
              <w:top w:val="nil" w:sz="6" w:space="0" w:color="auto"/>
              <w:left w:val="nil" w:sz="6" w:space="0" w:color="auto"/>
              <w:bottom w:val="nil" w:sz="6" w:space="0" w:color="auto"/>
              <w:right w:val="nil" w:sz="6" w:space="0" w:color="auto"/>
            </w:tcBorders>
          </w:tcPr>
          <w:p>
            <w:pPr>
              <w:pStyle w:val="TableParagraph"/>
              <w:spacing w:line="208" w:lineRule="exact"/>
              <w:ind w:left="534"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34"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2201" w:type="dxa"/>
            <w:tcBorders>
              <w:top w:val="nil" w:sz="6" w:space="0" w:color="auto"/>
              <w:left w:val="nil" w:sz="6" w:space="0" w:color="auto"/>
              <w:bottom w:val="nil" w:sz="6" w:space="0" w:color="auto"/>
              <w:right w:val="nil" w:sz="6" w:space="0" w:color="auto"/>
            </w:tcBorders>
          </w:tcPr>
          <w:p>
            <w:pPr>
              <w:pStyle w:val="TableParagraph"/>
              <w:spacing w:line="195" w:lineRule="exact"/>
              <w:ind w:right="5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0"/>
              <w:jc w:val="right"/>
              <w:rPr>
                <w:rFonts w:ascii="Arial" w:hAnsi="Arial" w:cs="Arial" w:eastAsia="Arial" w:hint="default"/>
                <w:sz w:val="18"/>
                <w:szCs w:val="18"/>
              </w:rPr>
            </w:pPr>
            <w:r>
              <w:rPr>
                <w:rFonts w:ascii="Arial"/>
                <w:spacing w:val="-1"/>
                <w:sz w:val="18"/>
              </w:rPr>
              <w:t>29,009</w:t>
            </w:r>
          </w:p>
        </w:tc>
        <w:tc>
          <w:tcPr>
            <w:tcW w:w="2421" w:type="dxa"/>
            <w:tcBorders>
              <w:top w:val="nil" w:sz="6" w:space="0" w:color="auto"/>
              <w:left w:val="nil" w:sz="6" w:space="0" w:color="auto"/>
              <w:bottom w:val="nil" w:sz="6" w:space="0" w:color="auto"/>
              <w:right w:val="nil" w:sz="6" w:space="0" w:color="auto"/>
            </w:tcBorders>
          </w:tcPr>
          <w:p>
            <w:pPr>
              <w:pStyle w:val="TableParagraph"/>
              <w:spacing w:line="208" w:lineRule="exact"/>
              <w:ind w:right="433"/>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7</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3123" w:type="dxa"/>
            <w:tcBorders>
              <w:top w:val="nil" w:sz="6" w:space="0" w:color="auto"/>
              <w:left w:val="nil" w:sz="6" w:space="0" w:color="auto"/>
              <w:bottom w:val="nil" w:sz="6" w:space="0" w:color="auto"/>
              <w:right w:val="nil" w:sz="6" w:space="0" w:color="auto"/>
            </w:tcBorders>
          </w:tcPr>
          <w:p>
            <w:pPr>
              <w:pStyle w:val="TableParagraph"/>
              <w:spacing w:line="208" w:lineRule="exact"/>
              <w:ind w:left="534"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34"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2201" w:type="dxa"/>
            <w:tcBorders>
              <w:top w:val="nil" w:sz="6" w:space="0" w:color="auto"/>
              <w:left w:val="nil" w:sz="6" w:space="0" w:color="auto"/>
              <w:bottom w:val="nil" w:sz="6" w:space="0" w:color="auto"/>
              <w:right w:val="nil" w:sz="6" w:space="0" w:color="auto"/>
            </w:tcBorders>
          </w:tcPr>
          <w:p>
            <w:pPr>
              <w:pStyle w:val="TableParagraph"/>
              <w:spacing w:line="195" w:lineRule="exact"/>
              <w:ind w:right="5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0"/>
              <w:jc w:val="right"/>
              <w:rPr>
                <w:rFonts w:ascii="Arial" w:hAnsi="Arial" w:cs="Arial" w:eastAsia="Arial" w:hint="default"/>
                <w:sz w:val="18"/>
                <w:szCs w:val="18"/>
              </w:rPr>
            </w:pPr>
            <w:r>
              <w:rPr>
                <w:rFonts w:ascii="Arial"/>
                <w:spacing w:val="-1"/>
                <w:sz w:val="18"/>
              </w:rPr>
              <w:t>24,569</w:t>
            </w:r>
          </w:p>
        </w:tc>
        <w:tc>
          <w:tcPr>
            <w:tcW w:w="2421" w:type="dxa"/>
            <w:tcBorders>
              <w:top w:val="nil" w:sz="6" w:space="0" w:color="auto"/>
              <w:left w:val="nil" w:sz="6" w:space="0" w:color="auto"/>
              <w:bottom w:val="nil" w:sz="6" w:space="0" w:color="auto"/>
              <w:right w:val="nil" w:sz="6" w:space="0" w:color="auto"/>
            </w:tcBorders>
          </w:tcPr>
          <w:p>
            <w:pPr>
              <w:pStyle w:val="TableParagraph"/>
              <w:spacing w:line="208" w:lineRule="exact"/>
              <w:ind w:right="433"/>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123" w:type="dxa"/>
            <w:tcBorders>
              <w:top w:val="nil" w:sz="6" w:space="0" w:color="auto"/>
              <w:left w:val="nil" w:sz="6" w:space="0" w:color="auto"/>
              <w:bottom w:val="nil" w:sz="6" w:space="0" w:color="auto"/>
              <w:right w:val="nil" w:sz="6" w:space="0" w:color="auto"/>
            </w:tcBorders>
          </w:tcPr>
          <w:p>
            <w:pPr>
              <w:pStyle w:val="TableParagraph"/>
              <w:spacing w:line="208" w:lineRule="exact"/>
              <w:ind w:left="435"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6</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34"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2201" w:type="dxa"/>
            <w:tcBorders>
              <w:top w:val="nil" w:sz="6" w:space="0" w:color="auto"/>
              <w:left w:val="nil" w:sz="6" w:space="0" w:color="auto"/>
              <w:bottom w:val="nil" w:sz="6" w:space="0" w:color="auto"/>
              <w:right w:val="nil" w:sz="6" w:space="0" w:color="auto"/>
            </w:tcBorders>
          </w:tcPr>
          <w:p>
            <w:pPr>
              <w:pStyle w:val="TableParagraph"/>
              <w:spacing w:line="195" w:lineRule="exact"/>
              <w:ind w:right="5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0"/>
              <w:jc w:val="right"/>
              <w:rPr>
                <w:rFonts w:ascii="Arial" w:hAnsi="Arial" w:cs="Arial" w:eastAsia="Arial" w:hint="default"/>
                <w:sz w:val="18"/>
                <w:szCs w:val="18"/>
              </w:rPr>
            </w:pPr>
            <w:r>
              <w:rPr>
                <w:rFonts w:ascii="Arial"/>
                <w:spacing w:val="-1"/>
                <w:sz w:val="18"/>
              </w:rPr>
              <w:t>22,603</w:t>
            </w:r>
          </w:p>
        </w:tc>
        <w:tc>
          <w:tcPr>
            <w:tcW w:w="2421" w:type="dxa"/>
            <w:tcBorders>
              <w:top w:val="nil" w:sz="6" w:space="0" w:color="auto"/>
              <w:left w:val="nil" w:sz="6" w:space="0" w:color="auto"/>
              <w:bottom w:val="nil" w:sz="6" w:space="0" w:color="auto"/>
              <w:right w:val="nil" w:sz="6" w:space="0" w:color="auto"/>
            </w:tcBorders>
          </w:tcPr>
          <w:p>
            <w:pPr>
              <w:pStyle w:val="TableParagraph"/>
              <w:spacing w:line="208" w:lineRule="exact"/>
              <w:ind w:right="433"/>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9</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123" w:type="dxa"/>
            <w:tcBorders>
              <w:top w:val="nil" w:sz="6" w:space="0" w:color="auto"/>
              <w:left w:val="nil" w:sz="6" w:space="0" w:color="auto"/>
              <w:bottom w:val="nil" w:sz="6" w:space="0" w:color="auto"/>
              <w:right w:val="nil" w:sz="6" w:space="0" w:color="auto"/>
            </w:tcBorders>
          </w:tcPr>
          <w:p>
            <w:pPr>
              <w:pStyle w:val="TableParagraph"/>
              <w:spacing w:line="208" w:lineRule="exact"/>
              <w:ind w:left="435"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3</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34"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2201" w:type="dxa"/>
            <w:tcBorders>
              <w:top w:val="nil" w:sz="6" w:space="0" w:color="auto"/>
              <w:left w:val="nil" w:sz="6" w:space="0" w:color="auto"/>
              <w:bottom w:val="nil" w:sz="6" w:space="0" w:color="auto"/>
              <w:right w:val="nil" w:sz="6" w:space="0" w:color="auto"/>
            </w:tcBorders>
          </w:tcPr>
          <w:p>
            <w:pPr>
              <w:pStyle w:val="TableParagraph"/>
              <w:spacing w:line="195" w:lineRule="exact"/>
              <w:ind w:right="5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0"/>
              <w:jc w:val="right"/>
              <w:rPr>
                <w:rFonts w:ascii="Arial" w:hAnsi="Arial" w:cs="Arial" w:eastAsia="Arial" w:hint="default"/>
                <w:sz w:val="18"/>
                <w:szCs w:val="18"/>
              </w:rPr>
            </w:pPr>
            <w:r>
              <w:rPr>
                <w:rFonts w:ascii="Arial"/>
                <w:spacing w:val="-1"/>
                <w:sz w:val="18"/>
              </w:rPr>
              <w:t>19,467</w:t>
            </w:r>
          </w:p>
        </w:tc>
        <w:tc>
          <w:tcPr>
            <w:tcW w:w="2421" w:type="dxa"/>
            <w:tcBorders>
              <w:top w:val="nil" w:sz="6" w:space="0" w:color="auto"/>
              <w:left w:val="nil" w:sz="6" w:space="0" w:color="auto"/>
              <w:bottom w:val="nil" w:sz="6" w:space="0" w:color="auto"/>
              <w:right w:val="nil" w:sz="6" w:space="0" w:color="auto"/>
            </w:tcBorders>
          </w:tcPr>
          <w:p>
            <w:pPr>
              <w:pStyle w:val="TableParagraph"/>
              <w:spacing w:line="208" w:lineRule="exact"/>
              <w:ind w:right="433"/>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7</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123" w:type="dxa"/>
            <w:tcBorders>
              <w:top w:val="nil" w:sz="6" w:space="0" w:color="auto"/>
              <w:left w:val="nil" w:sz="6" w:space="0" w:color="auto"/>
              <w:bottom w:val="nil" w:sz="6" w:space="0" w:color="auto"/>
              <w:right w:val="nil" w:sz="6" w:space="0" w:color="auto"/>
            </w:tcBorders>
          </w:tcPr>
          <w:p>
            <w:pPr>
              <w:pStyle w:val="TableParagraph"/>
              <w:spacing w:line="208" w:lineRule="exact"/>
              <w:ind w:left="435"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19"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2201" w:type="dxa"/>
            <w:tcBorders>
              <w:top w:val="nil" w:sz="6" w:space="0" w:color="auto"/>
              <w:left w:val="nil" w:sz="6" w:space="0" w:color="auto"/>
              <w:bottom w:val="nil" w:sz="6" w:space="0" w:color="auto"/>
              <w:right w:val="nil" w:sz="6" w:space="0" w:color="auto"/>
            </w:tcBorders>
          </w:tcPr>
          <w:p>
            <w:pPr>
              <w:pStyle w:val="TableParagraph"/>
              <w:spacing w:line="195" w:lineRule="exact"/>
              <w:ind w:right="5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0"/>
              <w:jc w:val="right"/>
              <w:rPr>
                <w:rFonts w:ascii="Arial" w:hAnsi="Arial" w:cs="Arial" w:eastAsia="Arial" w:hint="default"/>
                <w:sz w:val="18"/>
                <w:szCs w:val="18"/>
              </w:rPr>
            </w:pPr>
            <w:r>
              <w:rPr>
                <w:rFonts w:ascii="Arial"/>
                <w:spacing w:val="-1"/>
                <w:w w:val="95"/>
                <w:sz w:val="18"/>
              </w:rPr>
              <w:t>406</w:t>
            </w:r>
            <w:r>
              <w:rPr>
                <w:rFonts w:ascii="Arial"/>
                <w:sz w:val="18"/>
              </w:rPr>
            </w:r>
          </w:p>
        </w:tc>
        <w:tc>
          <w:tcPr>
            <w:tcW w:w="2421" w:type="dxa"/>
            <w:tcBorders>
              <w:top w:val="nil" w:sz="6" w:space="0" w:color="auto"/>
              <w:left w:val="nil" w:sz="6" w:space="0" w:color="auto"/>
              <w:bottom w:val="nil" w:sz="6" w:space="0" w:color="auto"/>
              <w:right w:val="nil" w:sz="6" w:space="0" w:color="auto"/>
            </w:tcBorders>
          </w:tcPr>
          <w:p>
            <w:pPr>
              <w:pStyle w:val="TableParagraph"/>
              <w:spacing w:line="208" w:lineRule="exact"/>
              <w:ind w:right="433"/>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pacing w:val="-7"/>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123" w:type="dxa"/>
            <w:tcBorders>
              <w:top w:val="nil" w:sz="6" w:space="0" w:color="auto"/>
              <w:left w:val="nil" w:sz="6" w:space="0" w:color="auto"/>
              <w:bottom w:val="nil" w:sz="6" w:space="0" w:color="auto"/>
              <w:right w:val="nil" w:sz="6" w:space="0" w:color="auto"/>
            </w:tcBorders>
          </w:tcPr>
          <w:p>
            <w:pPr>
              <w:pStyle w:val="TableParagraph"/>
              <w:spacing w:line="208" w:lineRule="exact"/>
              <w:ind w:left="534"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5</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195" w:lineRule="exact"/>
        <w:jc w:val="right"/>
        <w:rPr>
          <w:rFonts w:ascii="宋体" w:hAnsi="宋体" w:cs="宋体" w:eastAsia="宋体" w:hint="default"/>
          <w:sz w:val="18"/>
          <w:szCs w:val="18"/>
        </w:rPr>
        <w:sectPr>
          <w:pgSz w:w="16840" w:h="11910" w:orient="landscape"/>
          <w:pgMar w:header="755" w:footer="945" w:top="2300" w:bottom="1140" w:left="580" w:right="1300"/>
        </w:sectPr>
      </w:pPr>
    </w:p>
    <w:p>
      <w:pPr>
        <w:spacing w:line="240" w:lineRule="auto" w:before="4"/>
        <w:rPr>
          <w:rFonts w:ascii="Times New Roman" w:hAnsi="Times New Roman" w:cs="Times New Roman" w:eastAsia="Times New Roman"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538"/>
        <w:gridCol w:w="3384"/>
        <w:gridCol w:w="3349"/>
        <w:gridCol w:w="2749"/>
      </w:tblGrid>
      <w:tr>
        <w:trPr>
          <w:trHeight w:val="1690" w:hRule="exact"/>
        </w:trPr>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六</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(5)</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(c)</w:t>
            </w:r>
          </w:p>
        </w:tc>
        <w:tc>
          <w:tcPr>
            <w:tcW w:w="3384" w:type="dxa"/>
            <w:tcBorders>
              <w:top w:val="nil" w:sz="6" w:space="0" w:color="auto"/>
              <w:left w:val="nil" w:sz="6" w:space="0" w:color="auto"/>
              <w:bottom w:val="nil" w:sz="6" w:space="0" w:color="auto"/>
              <w:right w:val="nil" w:sz="6" w:space="0" w:color="auto"/>
            </w:tcBorders>
          </w:tcPr>
          <w:p>
            <w:pPr>
              <w:pStyle w:val="TableParagraph"/>
              <w:spacing w:line="427" w:lineRule="auto" w:before="26"/>
              <w:ind w:left="208" w:right="610"/>
              <w:jc w:val="left"/>
              <w:rPr>
                <w:rFonts w:ascii="宋体" w:hAnsi="宋体" w:cs="宋体" w:eastAsia="宋体" w:hint="default"/>
                <w:sz w:val="24"/>
                <w:szCs w:val="24"/>
              </w:rPr>
            </w:pPr>
            <w:r>
              <w:rPr>
                <w:rFonts w:ascii="宋体" w:hAnsi="宋体" w:cs="宋体" w:eastAsia="宋体" w:hint="default"/>
                <w:b/>
                <w:bCs/>
                <w:w w:val="95"/>
                <w:sz w:val="24"/>
                <w:szCs w:val="24"/>
              </w:rPr>
              <w:t>关联方关系及其交易</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55"/>
                <w:w w:val="95"/>
                <w:sz w:val="24"/>
                <w:szCs w:val="24"/>
              </w:rPr>
              <w:t> </w:t>
            </w:r>
            <w:r>
              <w:rPr>
                <w:rFonts w:ascii="宋体" w:hAnsi="宋体" w:cs="宋体" w:eastAsia="宋体" w:hint="default"/>
                <w:b/>
                <w:bCs/>
                <w:sz w:val="24"/>
                <w:szCs w:val="24"/>
              </w:rPr>
              <w:t>关联交易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宋体" w:hAnsi="宋体" w:cs="宋体" w:eastAsia="宋体" w:hint="default"/>
                <w:sz w:val="24"/>
                <w:szCs w:val="24"/>
              </w:rPr>
              <w:t>接受劳务和购买商品</w:t>
            </w:r>
          </w:p>
        </w:tc>
        <w:tc>
          <w:tcPr>
            <w:tcW w:w="6098" w:type="dxa"/>
            <w:gridSpan w:val="2"/>
            <w:tcBorders>
              <w:top w:val="nil" w:sz="6" w:space="0" w:color="auto"/>
              <w:left w:val="nil" w:sz="6" w:space="0" w:color="auto"/>
              <w:bottom w:val="nil" w:sz="6" w:space="0" w:color="auto"/>
              <w:right w:val="nil" w:sz="6" w:space="0" w:color="auto"/>
            </w:tcBorders>
          </w:tcPr>
          <w:p>
            <w:pPr/>
          </w:p>
        </w:tc>
      </w:tr>
      <w:tr>
        <w:trPr>
          <w:trHeight w:val="594" w:hRule="exact"/>
        </w:trPr>
        <w:tc>
          <w:tcPr>
            <w:tcW w:w="538" w:type="dxa"/>
            <w:tcBorders>
              <w:top w:val="nil" w:sz="6" w:space="0" w:color="auto"/>
              <w:left w:val="nil" w:sz="6" w:space="0" w:color="auto"/>
              <w:bottom w:val="nil" w:sz="6" w:space="0" w:color="auto"/>
              <w:right w:val="nil" w:sz="6" w:space="0" w:color="auto"/>
            </w:tcBorders>
          </w:tcPr>
          <w:p>
            <w:pPr/>
          </w:p>
        </w:tc>
        <w:tc>
          <w:tcPr>
            <w:tcW w:w="3384"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68"/>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6"/>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9" w:hRule="exact"/>
        </w:trPr>
        <w:tc>
          <w:tcPr>
            <w:tcW w:w="538" w:type="dxa"/>
            <w:tcBorders>
              <w:top w:val="nil" w:sz="6" w:space="0" w:color="auto"/>
              <w:left w:val="nil" w:sz="6" w:space="0" w:color="auto"/>
              <w:bottom w:val="nil" w:sz="6" w:space="0" w:color="auto"/>
              <w:right w:val="nil" w:sz="6" w:space="0" w:color="auto"/>
            </w:tcBorders>
          </w:tcPr>
          <w:p>
            <w:pPr/>
          </w:p>
        </w:tc>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8" w:right="0"/>
              <w:jc w:val="left"/>
              <w:rPr>
                <w:rFonts w:ascii="宋体" w:hAnsi="宋体" w:cs="宋体" w:eastAsia="宋体" w:hint="default"/>
                <w:sz w:val="24"/>
                <w:szCs w:val="24"/>
              </w:rPr>
            </w:pPr>
            <w:r>
              <w:rPr>
                <w:rFonts w:ascii="宋体" w:hAnsi="宋体" w:cs="宋体" w:eastAsia="宋体" w:hint="default"/>
                <w:sz w:val="24"/>
                <w:szCs w:val="24"/>
              </w:rPr>
              <w:t>苏宁电器集团有限公司</w:t>
            </w:r>
          </w:p>
        </w:tc>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365"/>
              <w:jc w:val="right"/>
              <w:rPr>
                <w:rFonts w:ascii="Arial" w:hAnsi="Arial" w:cs="Arial" w:eastAsia="Arial" w:hint="default"/>
                <w:sz w:val="24"/>
                <w:szCs w:val="24"/>
              </w:rPr>
            </w:pPr>
            <w:r>
              <w:rPr>
                <w:rFonts w:ascii="Arial"/>
                <w:spacing w:val="-1"/>
                <w:w w:val="95"/>
                <w:sz w:val="24"/>
              </w:rPr>
              <w:t>3,907</w:t>
            </w:r>
            <w:r>
              <w:rPr>
                <w:rFonts w:ascii="Arial"/>
                <w:sz w:val="24"/>
              </w:rPr>
            </w:r>
          </w:p>
        </w:tc>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35"/>
              <w:jc w:val="right"/>
              <w:rPr>
                <w:rFonts w:ascii="Arial" w:hAnsi="Arial" w:cs="Arial" w:eastAsia="Arial" w:hint="default"/>
                <w:sz w:val="24"/>
                <w:szCs w:val="24"/>
              </w:rPr>
            </w:pPr>
            <w:r>
              <w:rPr>
                <w:rFonts w:ascii="Arial"/>
                <w:spacing w:val="-1"/>
                <w:w w:val="95"/>
                <w:sz w:val="24"/>
              </w:rPr>
              <w:t>3,499</w:t>
            </w:r>
            <w:r>
              <w:rPr>
                <w:rFonts w:ascii="Arial"/>
                <w:sz w:val="24"/>
              </w:rPr>
            </w:r>
          </w:p>
        </w:tc>
      </w:tr>
      <w:tr>
        <w:trPr>
          <w:trHeight w:val="312" w:hRule="exact"/>
        </w:trPr>
        <w:tc>
          <w:tcPr>
            <w:tcW w:w="538" w:type="dxa"/>
            <w:tcBorders>
              <w:top w:val="nil" w:sz="6" w:space="0" w:color="auto"/>
              <w:left w:val="nil" w:sz="6" w:space="0" w:color="auto"/>
              <w:bottom w:val="nil" w:sz="6" w:space="0" w:color="auto"/>
              <w:right w:val="nil" w:sz="6" w:space="0" w:color="auto"/>
            </w:tcBorders>
          </w:tcPr>
          <w:p>
            <w:pPr/>
          </w:p>
        </w:tc>
        <w:tc>
          <w:tcPr>
            <w:tcW w:w="3384" w:type="dxa"/>
            <w:tcBorders>
              <w:top w:val="nil" w:sz="6" w:space="0" w:color="auto"/>
              <w:left w:val="nil" w:sz="6" w:space="0" w:color="auto"/>
              <w:bottom w:val="nil" w:sz="6" w:space="0" w:color="auto"/>
              <w:right w:val="nil" w:sz="6" w:space="0" w:color="auto"/>
            </w:tcBorders>
          </w:tcPr>
          <w:p>
            <w:pPr>
              <w:pStyle w:val="TableParagraph"/>
              <w:spacing w:line="261" w:lineRule="exact"/>
              <w:ind w:left="208" w:right="0"/>
              <w:jc w:val="left"/>
              <w:rPr>
                <w:rFonts w:ascii="宋体" w:hAnsi="宋体" w:cs="宋体" w:eastAsia="宋体" w:hint="default"/>
                <w:sz w:val="24"/>
                <w:szCs w:val="24"/>
              </w:rPr>
            </w:pPr>
            <w:r>
              <w:rPr>
                <w:rFonts w:ascii="宋体" w:hAnsi="宋体" w:cs="宋体" w:eastAsia="宋体" w:hint="default"/>
                <w:sz w:val="24"/>
                <w:szCs w:val="24"/>
              </w:rPr>
              <w:t>索菲特银河大酒店</w:t>
            </w:r>
          </w:p>
        </w:tc>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65"/>
              <w:jc w:val="right"/>
              <w:rPr>
                <w:rFonts w:ascii="Arial" w:hAnsi="Arial" w:cs="Arial" w:eastAsia="Arial" w:hint="default"/>
                <w:sz w:val="24"/>
                <w:szCs w:val="24"/>
              </w:rPr>
            </w:pPr>
            <w:r>
              <w:rPr>
                <w:rFonts w:ascii="Arial"/>
                <w:spacing w:val="-1"/>
                <w:w w:val="95"/>
                <w:sz w:val="24"/>
              </w:rPr>
              <w:t>7,388</w:t>
            </w:r>
            <w:r>
              <w:rPr>
                <w:rFonts w:ascii="Arial"/>
                <w:sz w:val="24"/>
              </w:rPr>
            </w:r>
          </w:p>
        </w:tc>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5"/>
              <w:jc w:val="right"/>
              <w:rPr>
                <w:rFonts w:ascii="Arial" w:hAnsi="Arial" w:cs="Arial" w:eastAsia="Arial" w:hint="default"/>
                <w:sz w:val="24"/>
                <w:szCs w:val="24"/>
              </w:rPr>
            </w:pPr>
            <w:r>
              <w:rPr>
                <w:rFonts w:ascii="Arial"/>
                <w:spacing w:val="-1"/>
                <w:w w:val="95"/>
                <w:sz w:val="24"/>
              </w:rPr>
              <w:t>1,239</w:t>
            </w:r>
            <w:r>
              <w:rPr>
                <w:rFonts w:ascii="Arial"/>
                <w:sz w:val="24"/>
              </w:rPr>
            </w:r>
          </w:p>
        </w:tc>
      </w:tr>
      <w:tr>
        <w:trPr>
          <w:trHeight w:val="312" w:hRule="exact"/>
        </w:trPr>
        <w:tc>
          <w:tcPr>
            <w:tcW w:w="538" w:type="dxa"/>
            <w:tcBorders>
              <w:top w:val="nil" w:sz="6" w:space="0" w:color="auto"/>
              <w:left w:val="nil" w:sz="6" w:space="0" w:color="auto"/>
              <w:bottom w:val="nil" w:sz="6" w:space="0" w:color="auto"/>
              <w:right w:val="nil" w:sz="6" w:space="0" w:color="auto"/>
            </w:tcBorders>
          </w:tcPr>
          <w:p>
            <w:pPr/>
          </w:p>
        </w:tc>
        <w:tc>
          <w:tcPr>
            <w:tcW w:w="3384" w:type="dxa"/>
            <w:tcBorders>
              <w:top w:val="nil" w:sz="6" w:space="0" w:color="auto"/>
              <w:left w:val="nil" w:sz="6" w:space="0" w:color="auto"/>
              <w:bottom w:val="nil" w:sz="6" w:space="0" w:color="auto"/>
              <w:right w:val="nil" w:sz="6" w:space="0" w:color="auto"/>
            </w:tcBorders>
          </w:tcPr>
          <w:p>
            <w:pPr>
              <w:pStyle w:val="TableParagraph"/>
              <w:spacing w:line="261" w:lineRule="exact"/>
              <w:ind w:left="208" w:right="0"/>
              <w:jc w:val="left"/>
              <w:rPr>
                <w:rFonts w:ascii="宋体" w:hAnsi="宋体" w:cs="宋体" w:eastAsia="宋体" w:hint="default"/>
                <w:sz w:val="24"/>
                <w:szCs w:val="24"/>
              </w:rPr>
            </w:pPr>
            <w:r>
              <w:rPr>
                <w:rFonts w:ascii="宋体" w:hAnsi="宋体" w:cs="宋体" w:eastAsia="宋体" w:hint="default"/>
                <w:sz w:val="24"/>
                <w:szCs w:val="24"/>
              </w:rPr>
              <w:t>银河国际购物广场</w:t>
            </w:r>
          </w:p>
        </w:tc>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66"/>
              <w:jc w:val="right"/>
              <w:rPr>
                <w:rFonts w:ascii="Arial" w:hAnsi="Arial" w:cs="Arial" w:eastAsia="Arial" w:hint="default"/>
                <w:sz w:val="24"/>
                <w:szCs w:val="24"/>
              </w:rPr>
            </w:pPr>
            <w:r>
              <w:rPr>
                <w:rFonts w:ascii="Arial"/>
                <w:spacing w:val="-1"/>
                <w:w w:val="95"/>
                <w:sz w:val="24"/>
              </w:rPr>
              <w:t>1,099</w:t>
            </w:r>
            <w:r>
              <w:rPr>
                <w:rFonts w:ascii="Arial"/>
                <w:sz w:val="24"/>
              </w:rPr>
            </w:r>
          </w:p>
        </w:tc>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5"/>
              <w:jc w:val="right"/>
              <w:rPr>
                <w:rFonts w:ascii="Arial" w:hAnsi="Arial" w:cs="Arial" w:eastAsia="Arial" w:hint="default"/>
                <w:sz w:val="24"/>
                <w:szCs w:val="24"/>
              </w:rPr>
            </w:pPr>
            <w:r>
              <w:rPr>
                <w:rFonts w:ascii="Arial"/>
                <w:spacing w:val="-1"/>
                <w:w w:val="95"/>
                <w:sz w:val="24"/>
              </w:rPr>
              <w:t>896</w:t>
            </w:r>
            <w:r>
              <w:rPr>
                <w:rFonts w:ascii="Arial"/>
                <w:sz w:val="24"/>
              </w:rPr>
            </w:r>
          </w:p>
        </w:tc>
      </w:tr>
      <w:tr>
        <w:trPr>
          <w:trHeight w:val="312" w:hRule="exact"/>
        </w:trPr>
        <w:tc>
          <w:tcPr>
            <w:tcW w:w="538" w:type="dxa"/>
            <w:tcBorders>
              <w:top w:val="nil" w:sz="6" w:space="0" w:color="auto"/>
              <w:left w:val="nil" w:sz="6" w:space="0" w:color="auto"/>
              <w:bottom w:val="nil" w:sz="6" w:space="0" w:color="auto"/>
              <w:right w:val="nil" w:sz="6" w:space="0" w:color="auto"/>
            </w:tcBorders>
          </w:tcPr>
          <w:p>
            <w:pPr/>
          </w:p>
        </w:tc>
        <w:tc>
          <w:tcPr>
            <w:tcW w:w="3384" w:type="dxa"/>
            <w:tcBorders>
              <w:top w:val="nil" w:sz="6" w:space="0" w:color="auto"/>
              <w:left w:val="nil" w:sz="6" w:space="0" w:color="auto"/>
              <w:bottom w:val="nil" w:sz="6" w:space="0" w:color="auto"/>
              <w:right w:val="nil" w:sz="6" w:space="0" w:color="auto"/>
            </w:tcBorders>
          </w:tcPr>
          <w:p>
            <w:pPr>
              <w:pStyle w:val="TableParagraph"/>
              <w:spacing w:line="261" w:lineRule="exact"/>
              <w:ind w:left="208" w:right="0"/>
              <w:jc w:val="left"/>
              <w:rPr>
                <w:rFonts w:ascii="宋体" w:hAnsi="宋体" w:cs="宋体" w:eastAsia="宋体" w:hint="default"/>
                <w:sz w:val="24"/>
                <w:szCs w:val="24"/>
              </w:rPr>
            </w:pPr>
            <w:r>
              <w:rPr>
                <w:rFonts w:ascii="宋体" w:hAnsi="宋体" w:cs="宋体" w:eastAsia="宋体" w:hint="default"/>
                <w:sz w:val="24"/>
                <w:szCs w:val="24"/>
              </w:rPr>
              <w:t>钟山高尔夫酒店</w:t>
            </w:r>
          </w:p>
        </w:tc>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65"/>
              <w:jc w:val="right"/>
              <w:rPr>
                <w:rFonts w:ascii="Arial" w:hAnsi="Arial" w:cs="Arial" w:eastAsia="Arial" w:hint="default"/>
                <w:sz w:val="24"/>
                <w:szCs w:val="24"/>
              </w:rPr>
            </w:pPr>
            <w:r>
              <w:rPr>
                <w:rFonts w:ascii="Arial"/>
                <w:spacing w:val="-1"/>
                <w:w w:val="95"/>
                <w:sz w:val="24"/>
              </w:rPr>
              <w:t>363</w:t>
            </w:r>
            <w:r>
              <w:rPr>
                <w:rFonts w:ascii="Arial"/>
                <w:sz w:val="24"/>
              </w:rPr>
            </w:r>
          </w:p>
        </w:tc>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7"/>
                <w:sz w:val="24"/>
              </w:rPr>
              <w:t>311</w:t>
            </w:r>
          </w:p>
        </w:tc>
      </w:tr>
      <w:tr>
        <w:trPr>
          <w:trHeight w:val="314" w:hRule="exact"/>
        </w:trPr>
        <w:tc>
          <w:tcPr>
            <w:tcW w:w="538" w:type="dxa"/>
            <w:tcBorders>
              <w:top w:val="nil" w:sz="6" w:space="0" w:color="auto"/>
              <w:left w:val="nil" w:sz="6" w:space="0" w:color="auto"/>
              <w:bottom w:val="nil" w:sz="6" w:space="0" w:color="auto"/>
              <w:right w:val="nil" w:sz="6" w:space="0" w:color="auto"/>
            </w:tcBorders>
          </w:tcPr>
          <w:p>
            <w:pPr/>
          </w:p>
        </w:tc>
        <w:tc>
          <w:tcPr>
            <w:tcW w:w="3384" w:type="dxa"/>
            <w:tcBorders>
              <w:top w:val="nil" w:sz="6" w:space="0" w:color="auto"/>
              <w:left w:val="nil" w:sz="6" w:space="0" w:color="auto"/>
              <w:bottom w:val="nil" w:sz="6" w:space="0" w:color="auto"/>
              <w:right w:val="nil" w:sz="6" w:space="0" w:color="auto"/>
            </w:tcBorders>
          </w:tcPr>
          <w:p>
            <w:pPr>
              <w:pStyle w:val="TableParagraph"/>
              <w:spacing w:line="261" w:lineRule="exact"/>
              <w:ind w:left="208"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3349" w:type="dxa"/>
            <w:tcBorders>
              <w:top w:val="nil" w:sz="6" w:space="0" w:color="auto"/>
              <w:left w:val="nil" w:sz="6" w:space="0" w:color="auto"/>
              <w:bottom w:val="nil" w:sz="6" w:space="0" w:color="auto"/>
              <w:right w:val="nil" w:sz="6" w:space="0" w:color="auto"/>
            </w:tcBorders>
          </w:tcPr>
          <w:p>
            <w:pPr>
              <w:pStyle w:val="TableParagraph"/>
              <w:tabs>
                <w:tab w:pos="2288" w:val="left" w:leader="none"/>
                <w:tab w:pos="2463" w:val="left" w:leader="none"/>
              </w:tabs>
              <w:spacing w:line="240" w:lineRule="auto" w:before="20"/>
              <w:ind w:right="27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c>
          <w:tcPr>
            <w:tcW w:w="2749" w:type="dxa"/>
            <w:tcBorders>
              <w:top w:val="nil" w:sz="6" w:space="0" w:color="auto"/>
              <w:left w:val="nil" w:sz="6" w:space="0" w:color="auto"/>
              <w:bottom w:val="nil" w:sz="6" w:space="0" w:color="auto"/>
              <w:right w:val="nil" w:sz="6" w:space="0" w:color="auto"/>
            </w:tcBorders>
          </w:tcPr>
          <w:p>
            <w:pPr>
              <w:pStyle w:val="TableParagraph"/>
              <w:tabs>
                <w:tab w:pos="1939" w:val="left" w:leader="none"/>
                <w:tab w:pos="2440" w:val="left" w:leader="none"/>
              </w:tabs>
              <w:spacing w:line="240" w:lineRule="auto" w:before="2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224</w:t>
              <w:tab/>
            </w:r>
            <w:r>
              <w:rPr>
                <w:rFonts w:ascii="Arial"/>
                <w:spacing w:val="-1"/>
                <w:sz w:val="24"/>
              </w:rPr>
            </w:r>
          </w:p>
        </w:tc>
      </w:tr>
      <w:tr>
        <w:trPr>
          <w:trHeight w:val="363" w:hRule="exact"/>
        </w:trPr>
        <w:tc>
          <w:tcPr>
            <w:tcW w:w="538" w:type="dxa"/>
            <w:tcBorders>
              <w:top w:val="nil" w:sz="6" w:space="0" w:color="auto"/>
              <w:left w:val="nil" w:sz="6" w:space="0" w:color="auto"/>
              <w:bottom w:val="nil" w:sz="6" w:space="0" w:color="auto"/>
              <w:right w:val="nil" w:sz="6" w:space="0" w:color="auto"/>
            </w:tcBorders>
          </w:tcPr>
          <w:p>
            <w:pPr/>
          </w:p>
        </w:tc>
        <w:tc>
          <w:tcPr>
            <w:tcW w:w="3384"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tabs>
                <w:tab w:pos="1629" w:val="left" w:leader="none"/>
                <w:tab w:pos="2463" w:val="left" w:leader="none"/>
              </w:tabs>
              <w:spacing w:line="268" w:lineRule="exact"/>
              <w:ind w:right="27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12,757</w:t>
              <w:tab/>
            </w:r>
            <w:r>
              <w:rPr>
                <w:rFonts w:ascii="Arial"/>
                <w:spacing w:val="-1"/>
                <w:sz w:val="24"/>
              </w:rPr>
            </w:r>
          </w:p>
        </w:tc>
        <w:tc>
          <w:tcPr>
            <w:tcW w:w="2749" w:type="dxa"/>
            <w:tcBorders>
              <w:top w:val="nil" w:sz="6" w:space="0" w:color="auto"/>
              <w:left w:val="nil" w:sz="6" w:space="0" w:color="auto"/>
              <w:bottom w:val="nil" w:sz="6" w:space="0" w:color="auto"/>
              <w:right w:val="nil" w:sz="6" w:space="0" w:color="auto"/>
            </w:tcBorders>
          </w:tcPr>
          <w:p>
            <w:pPr>
              <w:pStyle w:val="TableParagraph"/>
              <w:tabs>
                <w:tab w:pos="1738" w:val="left" w:leader="none"/>
                <w:tab w:pos="2440"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6,169</w:t>
              <w:tab/>
            </w:r>
            <w:r>
              <w:rPr>
                <w:rFonts w:ascii="Arial"/>
                <w:spacing w:val="-1"/>
                <w:sz w:val="24"/>
              </w:rPr>
            </w:r>
          </w:p>
        </w:tc>
      </w:tr>
    </w:tbl>
    <w:p>
      <w:pPr>
        <w:spacing w:line="240" w:lineRule="auto" w:before="11"/>
        <w:rPr>
          <w:rFonts w:ascii="Times New Roman" w:hAnsi="Times New Roman" w:cs="Times New Roman" w:eastAsia="Times New Roman" w:hint="default"/>
          <w:sz w:val="12"/>
          <w:szCs w:val="12"/>
        </w:rPr>
      </w:pPr>
    </w:p>
    <w:p>
      <w:pPr>
        <w:pStyle w:val="BodyText"/>
        <w:spacing w:line="312" w:lineRule="exact" w:before="56"/>
        <w:ind w:left="859" w:right="246"/>
        <w:jc w:val="both"/>
      </w:pPr>
      <w:r>
        <w:rPr/>
        <w:t>苏宁电器集团有限公司、索菲特银河大酒店及钟山高尔夫酒店主要为本集团提供餐饮会 务服务。</w:t>
      </w:r>
    </w:p>
    <w:p>
      <w:pPr>
        <w:spacing w:line="240" w:lineRule="auto" w:before="10"/>
        <w:rPr>
          <w:rFonts w:ascii="宋体" w:hAnsi="宋体" w:cs="宋体" w:eastAsia="宋体" w:hint="default"/>
          <w:sz w:val="18"/>
          <w:szCs w:val="18"/>
        </w:rPr>
      </w:pPr>
    </w:p>
    <w:p>
      <w:pPr>
        <w:pStyle w:val="BodyText"/>
        <w:tabs>
          <w:tab w:pos="859" w:val="left" w:leader="none"/>
        </w:tabs>
        <w:spacing w:line="240" w:lineRule="auto"/>
        <w:ind w:left="148" w:right="0"/>
        <w:jc w:val="left"/>
      </w:pPr>
      <w:r>
        <w:rPr>
          <w:rFonts w:ascii="Arial" w:hAnsi="Arial" w:cs="Arial" w:eastAsia="Arial" w:hint="default"/>
          <w:w w:val="95"/>
          <w:position w:val="2"/>
        </w:rPr>
        <w:t>(d)</w:t>
        <w:tab/>
      </w:r>
      <w:r>
        <w:rPr/>
        <w:t>业务合作</w:t>
      </w:r>
    </w:p>
    <w:p>
      <w:pPr>
        <w:spacing w:line="240" w:lineRule="auto" w:before="4"/>
        <w:rPr>
          <w:rFonts w:ascii="宋体" w:hAnsi="宋体" w:cs="宋体" w:eastAsia="宋体" w:hint="default"/>
          <w:sz w:val="23"/>
          <w:szCs w:val="23"/>
        </w:rPr>
      </w:pPr>
    </w:p>
    <w:p>
      <w:pPr>
        <w:pStyle w:val="BodyText"/>
        <w:spacing w:line="312" w:lineRule="exact"/>
        <w:ind w:left="859" w:right="234"/>
        <w:jc w:val="both"/>
      </w:pPr>
      <w:r>
        <w:rPr>
          <w:spacing w:val="9"/>
        </w:rPr>
        <w:t>本公司组织南京地区连锁店联合银河国际购物广场共同举办</w:t>
      </w:r>
      <w:r>
        <w:rPr>
          <w:rFonts w:ascii="Arial" w:hAnsi="Arial" w:cs="Arial" w:eastAsia="Arial" w:hint="default"/>
          <w:spacing w:val="9"/>
        </w:rPr>
        <w:t>“</w:t>
      </w:r>
      <w:r>
        <w:rPr>
          <w:spacing w:val="9"/>
        </w:rPr>
        <w:t>满就送购物券</w:t>
      </w:r>
      <w:r>
        <w:rPr>
          <w:rFonts w:ascii="Arial" w:hAnsi="Arial" w:cs="Arial" w:eastAsia="Arial" w:hint="default"/>
          <w:spacing w:val="9"/>
        </w:rPr>
        <w:t>”</w:t>
      </w:r>
      <w:r>
        <w:rPr>
          <w:spacing w:val="9"/>
        </w:rPr>
        <w:t>的促销活</w:t>
      </w:r>
      <w:r>
        <w:rPr>
          <w:spacing w:val="-118"/>
        </w:rPr>
        <w:t> </w:t>
      </w:r>
      <w:r>
        <w:rPr/>
        <w:t>动，顾客在双方购物所获赠的购物券均可充当同等金额的现金，可在本公司南京地区各</w:t>
      </w:r>
      <w:r>
        <w:rPr/>
        <w:t> 连锁店及银河国际购物广场消费时通用，双方于每月 </w:t>
      </w:r>
      <w:r>
        <w:rPr>
          <w:rFonts w:ascii="Arial" w:hAnsi="Arial" w:cs="Arial" w:eastAsia="Arial" w:hint="default"/>
        </w:rPr>
        <w:t>25</w:t>
      </w:r>
      <w:r>
        <w:rPr>
          <w:rFonts w:ascii="Arial" w:hAnsi="Arial" w:cs="Arial" w:eastAsia="Arial" w:hint="default"/>
          <w:spacing w:val="42"/>
        </w:rPr>
        <w:t> </w:t>
      </w:r>
      <w:r>
        <w:rPr/>
        <w:t>日定期进行购物券的核对结算 并开具相应票据。</w:t>
      </w:r>
    </w:p>
    <w:p>
      <w:pPr>
        <w:spacing w:line="240" w:lineRule="auto" w:before="10"/>
        <w:rPr>
          <w:rFonts w:ascii="宋体" w:hAnsi="宋体" w:cs="宋体" w:eastAsia="宋体" w:hint="default"/>
          <w:sz w:val="18"/>
          <w:szCs w:val="18"/>
        </w:rPr>
      </w:pPr>
    </w:p>
    <w:p>
      <w:pPr>
        <w:pStyle w:val="BodyText"/>
        <w:spacing w:line="322" w:lineRule="exact"/>
        <w:ind w:left="859" w:right="0"/>
        <w:jc w:val="both"/>
      </w:pPr>
      <w:r>
        <w:rPr/>
        <w:t>于</w:t>
      </w:r>
      <w:r>
        <w:rPr>
          <w:spacing w:val="-43"/>
        </w:rPr>
        <w:t> </w:t>
      </w:r>
      <w:r>
        <w:rPr>
          <w:rFonts w:ascii="Arial" w:hAnsi="Arial" w:cs="Arial" w:eastAsia="Arial" w:hint="default"/>
        </w:rPr>
        <w:t>2010</w:t>
      </w:r>
      <w:r>
        <w:rPr>
          <w:rFonts w:ascii="Arial" w:hAnsi="Arial" w:cs="Arial" w:eastAsia="Arial" w:hint="default"/>
          <w:spacing w:val="10"/>
        </w:rPr>
        <w:t> </w:t>
      </w:r>
      <w:r>
        <w:rPr/>
        <w:t>年度，顾客所持本公司购物券在银河国际购物广场使用的金额约为人民币</w:t>
      </w:r>
      <w:r>
        <w:rPr>
          <w:spacing w:val="-43"/>
        </w:rPr>
        <w:t> </w:t>
      </w:r>
      <w:r>
        <w:rPr>
          <w:rFonts w:ascii="Arial" w:hAnsi="Arial" w:cs="Arial" w:eastAsia="Arial" w:hint="default"/>
        </w:rPr>
        <w:t>8</w:t>
      </w:r>
      <w:r>
        <w:rPr>
          <w:rFonts w:ascii="Arial" w:hAnsi="Arial" w:cs="Arial" w:eastAsia="Arial" w:hint="default"/>
          <w:spacing w:val="10"/>
        </w:rPr>
        <w:t> </w:t>
      </w:r>
      <w:r>
        <w:rPr/>
        <w:t>万</w:t>
      </w:r>
    </w:p>
    <w:p>
      <w:pPr>
        <w:pStyle w:val="BodyText"/>
        <w:spacing w:line="322" w:lineRule="exact"/>
        <w:ind w:left="859" w:right="0"/>
        <w:jc w:val="both"/>
      </w:pPr>
      <w:r>
        <w:rPr/>
        <w:t>元</w:t>
      </w:r>
      <w:r>
        <w:rPr>
          <w:spacing w:val="-3"/>
        </w:rPr>
        <w:t> </w:t>
      </w:r>
      <w:r>
        <w:rPr>
          <w:rFonts w:ascii="Arial" w:hAnsi="Arial" w:cs="Arial" w:eastAsia="Arial" w:hint="default"/>
        </w:rPr>
        <w:t>(2009</w:t>
      </w:r>
      <w:r>
        <w:rPr>
          <w:rFonts w:ascii="Arial" w:hAnsi="Arial" w:cs="Arial" w:eastAsia="Arial" w:hint="default"/>
          <w:spacing w:val="-9"/>
        </w:rPr>
        <w:t> </w:t>
      </w:r>
      <w:r>
        <w:rPr/>
        <w:t>年度：约人民币</w:t>
      </w:r>
      <w:r>
        <w:rPr>
          <w:spacing w:val="-62"/>
        </w:rPr>
        <w:t> </w:t>
      </w:r>
      <w:r>
        <w:rPr>
          <w:rFonts w:ascii="Arial" w:hAnsi="Arial" w:cs="Arial" w:eastAsia="Arial" w:hint="default"/>
        </w:rPr>
        <w:t>33</w:t>
      </w:r>
      <w:r>
        <w:rPr>
          <w:rFonts w:ascii="Arial" w:hAnsi="Arial" w:cs="Arial" w:eastAsia="Arial" w:hint="default"/>
          <w:spacing w:val="-9"/>
        </w:rPr>
        <w:t> </w:t>
      </w:r>
      <w:r>
        <w:rPr/>
        <w:t>万元</w:t>
      </w:r>
      <w:r>
        <w:rPr>
          <w:rFonts w:ascii="Arial" w:hAnsi="Arial" w:cs="Arial" w:eastAsia="Arial" w:hint="default"/>
        </w:rPr>
        <w:t>)</w:t>
      </w:r>
      <w:r>
        <w:rPr/>
        <w:t>。</w:t>
      </w:r>
    </w:p>
    <w:p>
      <w:pPr>
        <w:spacing w:line="240" w:lineRule="auto" w:before="8"/>
        <w:rPr>
          <w:rFonts w:ascii="宋体" w:hAnsi="宋体" w:cs="宋体" w:eastAsia="宋体" w:hint="default"/>
          <w:sz w:val="19"/>
          <w:szCs w:val="19"/>
        </w:rPr>
      </w:pPr>
    </w:p>
    <w:p>
      <w:pPr>
        <w:pStyle w:val="BodyText"/>
        <w:tabs>
          <w:tab w:pos="859" w:val="left" w:leader="none"/>
        </w:tabs>
        <w:spacing w:line="240" w:lineRule="auto"/>
        <w:ind w:left="147" w:right="0"/>
        <w:jc w:val="left"/>
      </w:pPr>
      <w:r>
        <w:rPr>
          <w:rFonts w:ascii="Arial" w:hAnsi="Arial" w:cs="Arial" w:eastAsia="Arial" w:hint="default"/>
          <w:w w:val="95"/>
          <w:position w:val="2"/>
        </w:rPr>
        <w:t>(e)</w:t>
        <w:tab/>
      </w:r>
      <w:r>
        <w:rPr/>
        <w:t>商标使用许可协议</w:t>
      </w:r>
    </w:p>
    <w:p>
      <w:pPr>
        <w:spacing w:line="240" w:lineRule="auto" w:before="4"/>
        <w:rPr>
          <w:rFonts w:ascii="宋体" w:hAnsi="宋体" w:cs="宋体" w:eastAsia="宋体" w:hint="default"/>
          <w:sz w:val="23"/>
          <w:szCs w:val="23"/>
        </w:rPr>
      </w:pPr>
    </w:p>
    <w:p>
      <w:pPr>
        <w:pStyle w:val="BodyText"/>
        <w:spacing w:line="312" w:lineRule="exact"/>
        <w:ind w:left="859" w:right="244"/>
        <w:jc w:val="both"/>
      </w:pPr>
      <w:r>
        <w:rPr>
          <w:rFonts w:ascii="Arial" w:hAnsi="Arial" w:cs="Arial" w:eastAsia="Arial" w:hint="default"/>
        </w:rPr>
        <w:t>(1)</w:t>
      </w:r>
      <w:r>
        <w:rPr>
          <w:rFonts w:ascii="Arial" w:hAnsi="Arial" w:cs="Arial" w:eastAsia="Arial" w:hint="default"/>
          <w:spacing w:val="51"/>
        </w:rPr>
        <w:t> </w:t>
      </w:r>
      <w:r>
        <w:rPr/>
        <w:t>于</w:t>
      </w:r>
      <w:r>
        <w:rPr>
          <w:spacing w:val="-54"/>
        </w:rPr>
        <w:t> </w:t>
      </w:r>
      <w:r>
        <w:rPr>
          <w:rFonts w:ascii="Arial" w:hAnsi="Arial" w:cs="Arial" w:eastAsia="Arial" w:hint="default"/>
        </w:rPr>
        <w:t>2002</w:t>
      </w:r>
      <w:r>
        <w:rPr>
          <w:rFonts w:ascii="Arial" w:hAnsi="Arial" w:cs="Arial" w:eastAsia="Arial" w:hint="default"/>
          <w:spacing w:val="-1"/>
        </w:rPr>
        <w:t> </w:t>
      </w:r>
      <w:r>
        <w:rPr/>
        <w:t>年</w:t>
      </w:r>
      <w:r>
        <w:rPr>
          <w:spacing w:val="-54"/>
        </w:rPr>
        <w:t> </w:t>
      </w:r>
      <w:r>
        <w:rPr>
          <w:rFonts w:ascii="Arial" w:hAnsi="Arial" w:cs="Arial" w:eastAsia="Arial" w:hint="default"/>
        </w:rPr>
        <w:t>4</w:t>
      </w:r>
      <w:r>
        <w:rPr>
          <w:rFonts w:ascii="Arial" w:hAnsi="Arial" w:cs="Arial" w:eastAsia="Arial" w:hint="default"/>
          <w:spacing w:val="-1"/>
        </w:rPr>
        <w:t> </w:t>
      </w:r>
      <w:r>
        <w:rPr/>
        <w:t>月</w:t>
      </w:r>
      <w:r>
        <w:rPr>
          <w:spacing w:val="-54"/>
        </w:rPr>
        <w:t> </w:t>
      </w:r>
      <w:r>
        <w:rPr>
          <w:rFonts w:ascii="Arial" w:hAnsi="Arial" w:cs="Arial" w:eastAsia="Arial" w:hint="default"/>
        </w:rPr>
        <w:t>20</w:t>
      </w:r>
      <w:r>
        <w:rPr>
          <w:rFonts w:ascii="Arial" w:hAnsi="Arial" w:cs="Arial" w:eastAsia="Arial" w:hint="default"/>
          <w:spacing w:val="-1"/>
        </w:rPr>
        <w:t> </w:t>
      </w:r>
      <w:r>
        <w:rPr/>
        <w:t>日，经本公司</w:t>
      </w:r>
      <w:r>
        <w:rPr>
          <w:spacing w:val="-54"/>
        </w:rPr>
        <w:t> </w:t>
      </w:r>
      <w:r>
        <w:rPr>
          <w:rFonts w:ascii="Arial" w:hAnsi="Arial" w:cs="Arial" w:eastAsia="Arial" w:hint="default"/>
        </w:rPr>
        <w:t>2001 </w:t>
      </w:r>
      <w:r>
        <w:rPr/>
        <w:t>年年度股东大会批准，同意环球集团及其全 资、控股公司和具有实际控制权的公司在规定的投资行业中，无偿使用</w:t>
      </w:r>
      <w:r>
        <w:rPr>
          <w:rFonts w:ascii="Arial" w:hAnsi="Arial" w:cs="Arial" w:eastAsia="Arial" w:hint="default"/>
        </w:rPr>
        <w:t>“</w:t>
      </w:r>
      <w:r>
        <w:rPr/>
        <w:t>蘇寧</w:t>
      </w:r>
      <w:r>
        <w:rPr>
          <w:rFonts w:ascii="Arial" w:hAnsi="Arial" w:cs="Arial" w:eastAsia="Arial" w:hint="default"/>
        </w:rPr>
        <w:t>”</w:t>
      </w:r>
      <w:r>
        <w:rPr/>
        <w:t>、</w:t>
      </w:r>
      <w:r>
        <w:rPr>
          <w:spacing w:val="35"/>
        </w:rPr>
        <w:t> </w:t>
      </w:r>
      <w:r>
        <w:rPr>
          <w:rFonts w:ascii="Arial" w:hAnsi="Arial" w:cs="Arial" w:eastAsia="Arial" w:hint="default"/>
        </w:rPr>
        <w:t>“</w:t>
      </w:r>
      <w:r>
        <w:rPr/>
        <w:t>苏宁</w:t>
      </w:r>
      <w:r>
        <w:rPr>
          <w:rFonts w:ascii="Arial" w:hAnsi="Arial" w:cs="Arial" w:eastAsia="Arial" w:hint="default"/>
        </w:rPr>
        <w:t>”</w:t>
      </w:r>
      <w:r>
        <w:rPr>
          <w:rFonts w:ascii="Arial" w:hAnsi="Arial" w:cs="Arial" w:eastAsia="Arial" w:hint="default"/>
          <w:spacing w:val="-60"/>
        </w:rPr>
        <w:t> </w:t>
      </w:r>
      <w:r>
        <w:rPr/>
        <w:t>及</w:t>
      </w:r>
      <w:r>
        <w:rPr>
          <w:spacing w:val="-3"/>
        </w:rPr>
        <w:t> </w:t>
      </w:r>
      <w:r>
        <w:rPr>
          <w:rFonts w:ascii="Arial" w:hAnsi="Arial" w:cs="Arial" w:eastAsia="Arial" w:hint="default"/>
        </w:rPr>
        <w:t>“NS”</w:t>
      </w:r>
      <w:r>
        <w:rPr/>
        <w:t>组合的系列注册商标。</w:t>
      </w:r>
    </w:p>
    <w:p>
      <w:pPr>
        <w:spacing w:line="240" w:lineRule="auto" w:before="1"/>
        <w:rPr>
          <w:rFonts w:ascii="宋体" w:hAnsi="宋体" w:cs="宋体" w:eastAsia="宋体" w:hint="default"/>
          <w:sz w:val="21"/>
          <w:szCs w:val="21"/>
        </w:rPr>
      </w:pPr>
    </w:p>
    <w:p>
      <w:pPr>
        <w:pStyle w:val="BodyText"/>
        <w:spacing w:line="312" w:lineRule="exact"/>
        <w:ind w:left="859" w:right="244"/>
        <w:jc w:val="both"/>
      </w:pPr>
      <w:r>
        <w:rPr>
          <w:rFonts w:ascii="Arial" w:hAnsi="Arial" w:cs="Arial" w:eastAsia="Arial" w:hint="default"/>
        </w:rPr>
        <w:t>(2)</w:t>
      </w:r>
      <w:r>
        <w:rPr>
          <w:rFonts w:ascii="Arial" w:hAnsi="Arial" w:cs="Arial" w:eastAsia="Arial" w:hint="default"/>
          <w:spacing w:val="51"/>
        </w:rPr>
        <w:t> </w:t>
      </w:r>
      <w:r>
        <w:rPr/>
        <w:t>于</w:t>
      </w:r>
      <w:r>
        <w:rPr>
          <w:spacing w:val="-54"/>
        </w:rPr>
        <w:t> </w:t>
      </w:r>
      <w:r>
        <w:rPr>
          <w:rFonts w:ascii="Arial" w:hAnsi="Arial" w:cs="Arial" w:eastAsia="Arial" w:hint="default"/>
        </w:rPr>
        <w:t>2008</w:t>
      </w:r>
      <w:r>
        <w:rPr>
          <w:rFonts w:ascii="Arial" w:hAnsi="Arial" w:cs="Arial" w:eastAsia="Arial" w:hint="default"/>
          <w:spacing w:val="-1"/>
        </w:rPr>
        <w:t> </w:t>
      </w:r>
      <w:r>
        <w:rPr/>
        <w:t>年</w:t>
      </w:r>
      <w:r>
        <w:rPr>
          <w:spacing w:val="-54"/>
        </w:rPr>
        <w:t> </w:t>
      </w:r>
      <w:r>
        <w:rPr>
          <w:rFonts w:ascii="Arial" w:hAnsi="Arial" w:cs="Arial" w:eastAsia="Arial" w:hint="default"/>
        </w:rPr>
        <w:t>3</w:t>
      </w:r>
      <w:r>
        <w:rPr>
          <w:rFonts w:ascii="Arial" w:hAnsi="Arial" w:cs="Arial" w:eastAsia="Arial" w:hint="default"/>
          <w:spacing w:val="-1"/>
        </w:rPr>
        <w:t> </w:t>
      </w:r>
      <w:r>
        <w:rPr/>
        <w:t>月</w:t>
      </w:r>
      <w:r>
        <w:rPr>
          <w:spacing w:val="-54"/>
        </w:rPr>
        <w:t> </w:t>
      </w:r>
      <w:r>
        <w:rPr>
          <w:rFonts w:ascii="Arial" w:hAnsi="Arial" w:cs="Arial" w:eastAsia="Arial" w:hint="default"/>
        </w:rPr>
        <w:t>20</w:t>
      </w:r>
      <w:r>
        <w:rPr>
          <w:rFonts w:ascii="Arial" w:hAnsi="Arial" w:cs="Arial" w:eastAsia="Arial" w:hint="default"/>
          <w:spacing w:val="-1"/>
        </w:rPr>
        <w:t> </w:t>
      </w:r>
      <w:r>
        <w:rPr/>
        <w:t>日，经本公司</w:t>
      </w:r>
      <w:r>
        <w:rPr>
          <w:spacing w:val="-54"/>
        </w:rPr>
        <w:t> </w:t>
      </w:r>
      <w:r>
        <w:rPr>
          <w:rFonts w:ascii="Arial" w:hAnsi="Arial" w:cs="Arial" w:eastAsia="Arial" w:hint="default"/>
        </w:rPr>
        <w:t>2007 </w:t>
      </w:r>
      <w:r>
        <w:rPr/>
        <w:t>年年度股东大会批准，同意许可苏宁电器集 </w:t>
      </w:r>
      <w:r>
        <w:rPr>
          <w:spacing w:val="-2"/>
        </w:rPr>
        <w:t>团有限公司及其全资、控股子公司和具有实际控制权的公司使用本公司已注册的部分</w:t>
      </w:r>
      <w:r>
        <w:rPr>
          <w:rFonts w:ascii="Arial" w:hAnsi="Arial" w:cs="Arial" w:eastAsia="Arial" w:hint="default"/>
          <w:spacing w:val="-2"/>
        </w:rPr>
        <w:t>“</w:t>
      </w:r>
      <w:r>
        <w:rPr>
          <w:spacing w:val="-2"/>
        </w:rPr>
        <w:t>蘇</w:t>
      </w:r>
      <w:r>
        <w:rPr>
          <w:spacing w:val="-105"/>
        </w:rPr>
        <w:t> </w:t>
      </w:r>
      <w:r>
        <w:rPr/>
        <w:t>寧</w:t>
      </w:r>
      <w:r>
        <w:rPr>
          <w:rFonts w:ascii="Arial" w:hAnsi="Arial" w:cs="Arial" w:eastAsia="Arial" w:hint="default"/>
        </w:rPr>
        <w:t>”</w:t>
      </w:r>
      <w:r>
        <w:rPr/>
        <w:t>系列注册商标以及部分</w:t>
      </w:r>
      <w:r>
        <w:rPr>
          <w:rFonts w:ascii="Arial" w:hAnsi="Arial" w:cs="Arial" w:eastAsia="Arial" w:hint="default"/>
        </w:rPr>
        <w:t>“</w:t>
      </w:r>
      <w:r>
        <w:rPr/>
        <w:t>苏宁</w:t>
      </w:r>
      <w:r>
        <w:rPr>
          <w:rFonts w:ascii="Arial" w:hAnsi="Arial" w:cs="Arial" w:eastAsia="Arial" w:hint="default"/>
        </w:rPr>
        <w:t>”</w:t>
      </w:r>
      <w:r>
        <w:rPr/>
        <w:t>及</w:t>
      </w:r>
      <w:r>
        <w:rPr>
          <w:spacing w:val="-4"/>
        </w:rPr>
        <w:t> </w:t>
      </w:r>
      <w:r>
        <w:rPr>
          <w:rFonts w:ascii="Arial" w:hAnsi="Arial" w:cs="Arial" w:eastAsia="Arial" w:hint="default"/>
        </w:rPr>
        <w:t>“NS”</w:t>
      </w:r>
      <w:r>
        <w:rPr/>
        <w:t>组合的系列注册商标。</w:t>
      </w:r>
    </w:p>
    <w:p>
      <w:pPr>
        <w:spacing w:line="240" w:lineRule="auto" w:before="10"/>
        <w:rPr>
          <w:rFonts w:ascii="宋体" w:hAnsi="宋体" w:cs="宋体" w:eastAsia="宋体" w:hint="default"/>
          <w:sz w:val="18"/>
          <w:szCs w:val="18"/>
        </w:rPr>
      </w:pPr>
    </w:p>
    <w:p>
      <w:pPr>
        <w:pStyle w:val="BodyText"/>
        <w:spacing w:line="322" w:lineRule="exact"/>
        <w:ind w:left="859" w:right="0"/>
        <w:jc w:val="both"/>
      </w:pPr>
      <w:r>
        <w:rPr/>
        <w:t>于</w:t>
      </w:r>
      <w:r>
        <w:rPr>
          <w:spacing w:val="-53"/>
        </w:rPr>
        <w:t> </w:t>
      </w:r>
      <w:r>
        <w:rPr>
          <w:rFonts w:ascii="Arial" w:hAnsi="Arial" w:cs="Arial" w:eastAsia="Arial" w:hint="default"/>
          <w:spacing w:val="-1"/>
          <w:w w:val="99"/>
        </w:rPr>
        <w:t>200</w:t>
      </w:r>
      <w:r>
        <w:rPr>
          <w:rFonts w:ascii="Arial" w:hAnsi="Arial" w:cs="Arial" w:eastAsia="Arial" w:hint="default"/>
          <w:w w:val="99"/>
        </w:rPr>
        <w:t>8</w:t>
      </w:r>
      <w:r>
        <w:rPr>
          <w:rFonts w:ascii="Arial" w:hAnsi="Arial" w:cs="Arial" w:eastAsia="Arial" w:hint="default"/>
        </w:rPr>
        <w:t> </w:t>
      </w:r>
      <w:r>
        <w:rPr/>
        <w:t>年</w:t>
      </w:r>
      <w:r>
        <w:rPr>
          <w:spacing w:val="-52"/>
        </w:rPr>
        <w:t> </w:t>
      </w:r>
      <w:r>
        <w:rPr>
          <w:rFonts w:ascii="Arial" w:hAnsi="Arial" w:cs="Arial" w:eastAsia="Arial" w:hint="default"/>
          <w:w w:val="99"/>
        </w:rPr>
        <w:t>5</w:t>
      </w:r>
      <w:r>
        <w:rPr>
          <w:rFonts w:ascii="Arial" w:hAnsi="Arial" w:cs="Arial" w:eastAsia="Arial" w:hint="default"/>
        </w:rPr>
        <w:t> </w:t>
      </w:r>
      <w:r>
        <w:rPr/>
        <w:t>月</w:t>
      </w:r>
      <w:r>
        <w:rPr>
          <w:spacing w:val="-53"/>
        </w:rPr>
        <w:t> </w:t>
      </w:r>
      <w:r>
        <w:rPr>
          <w:rFonts w:ascii="Arial" w:hAnsi="Arial" w:cs="Arial" w:eastAsia="Arial" w:hint="default"/>
          <w:spacing w:val="-1"/>
          <w:w w:val="99"/>
        </w:rPr>
        <w:t>1</w:t>
      </w:r>
      <w:r>
        <w:rPr>
          <w:rFonts w:ascii="Arial" w:hAnsi="Arial" w:cs="Arial" w:eastAsia="Arial" w:hint="default"/>
          <w:w w:val="99"/>
        </w:rPr>
        <w:t>5</w:t>
      </w:r>
      <w:r>
        <w:rPr>
          <w:rFonts w:ascii="Arial" w:hAnsi="Arial" w:cs="Arial" w:eastAsia="Arial" w:hint="default"/>
        </w:rPr>
        <w:t> </w:t>
      </w:r>
      <w:r>
        <w:rPr/>
        <w:t>日，本公司与苏宁电器集团有限公司签订《商标使用许可协议</w:t>
      </w:r>
      <w:r>
        <w:rPr>
          <w:spacing w:val="-121"/>
        </w:rPr>
        <w:t>》</w:t>
      </w:r>
      <w:r>
        <w:rPr/>
        <w:t>，约</w:t>
      </w:r>
    </w:p>
    <w:p>
      <w:pPr>
        <w:pStyle w:val="BodyText"/>
        <w:spacing w:line="312" w:lineRule="exact" w:before="21"/>
        <w:ind w:left="859" w:right="242"/>
        <w:jc w:val="both"/>
      </w:pPr>
      <w:r>
        <w:rPr/>
        <w:t>定自</w:t>
      </w:r>
      <w:r>
        <w:rPr>
          <w:spacing w:val="-58"/>
        </w:rPr>
        <w:t> </w:t>
      </w:r>
      <w:r>
        <w:rPr>
          <w:rFonts w:ascii="Arial" w:hAnsi="Arial" w:cs="Arial" w:eastAsia="Arial" w:hint="default"/>
          <w:spacing w:val="-1"/>
          <w:w w:val="99"/>
        </w:rPr>
        <w:t>2008</w:t>
      </w:r>
      <w:r>
        <w:rPr>
          <w:rFonts w:ascii="Arial" w:hAnsi="Arial" w:cs="Arial" w:eastAsia="Arial" w:hint="default"/>
          <w:spacing w:val="-4"/>
          <w:w w:val="99"/>
        </w:rPr>
        <w:t> </w:t>
      </w:r>
      <w:r>
        <w:rPr/>
        <w:t>年</w:t>
      </w:r>
      <w:r>
        <w:rPr>
          <w:spacing w:val="-58"/>
        </w:rPr>
        <w:t> </w:t>
      </w:r>
      <w:r>
        <w:rPr>
          <w:rFonts w:ascii="Arial" w:hAnsi="Arial" w:cs="Arial" w:eastAsia="Arial" w:hint="default"/>
          <w:w w:val="99"/>
        </w:rPr>
        <w:t>6</w:t>
      </w:r>
      <w:r>
        <w:rPr>
          <w:rFonts w:ascii="Arial" w:hAnsi="Arial" w:cs="Arial" w:eastAsia="Arial" w:hint="default"/>
          <w:spacing w:val="-5"/>
          <w:w w:val="99"/>
        </w:rPr>
        <w:t> </w:t>
      </w:r>
      <w:r>
        <w:rPr/>
        <w:t>月</w:t>
      </w:r>
      <w:r>
        <w:rPr>
          <w:spacing w:val="-58"/>
        </w:rPr>
        <w:t> </w:t>
      </w:r>
      <w:r>
        <w:rPr>
          <w:rFonts w:ascii="Arial" w:hAnsi="Arial" w:cs="Arial" w:eastAsia="Arial" w:hint="default"/>
          <w:w w:val="99"/>
        </w:rPr>
        <w:t>1</w:t>
      </w:r>
      <w:r>
        <w:rPr>
          <w:rFonts w:ascii="Arial" w:hAnsi="Arial" w:cs="Arial" w:eastAsia="Arial" w:hint="default"/>
          <w:spacing w:val="-5"/>
          <w:w w:val="99"/>
        </w:rPr>
        <w:t> </w:t>
      </w:r>
      <w:r>
        <w:rPr>
          <w:spacing w:val="-4"/>
        </w:rPr>
        <w:t>日起，苏宁电器股份有限公司在其拥有</w:t>
      </w:r>
      <w:r>
        <w:rPr>
          <w:rFonts w:ascii="Arial" w:hAnsi="Arial" w:cs="Arial" w:eastAsia="Arial" w:hint="default"/>
          <w:spacing w:val="-4"/>
        </w:rPr>
        <w:t>“</w:t>
      </w:r>
      <w:r>
        <w:rPr>
          <w:spacing w:val="-4"/>
        </w:rPr>
        <w:t>蘇寧</w:t>
      </w:r>
      <w:r>
        <w:rPr>
          <w:rFonts w:ascii="Arial" w:hAnsi="Arial" w:cs="Arial" w:eastAsia="Arial" w:hint="default"/>
          <w:spacing w:val="-4"/>
        </w:rPr>
        <w:t>”</w:t>
      </w:r>
      <w:r>
        <w:rPr>
          <w:spacing w:val="-4"/>
        </w:rPr>
        <w:t>系列注册商标以及部分</w:t>
      </w:r>
      <w:r>
        <w:rPr>
          <w:spacing w:val="-1"/>
        </w:rPr>
        <w:t> </w:t>
      </w:r>
      <w:r>
        <w:rPr>
          <w:rFonts w:ascii="Arial" w:hAnsi="Arial" w:cs="Arial" w:eastAsia="Arial" w:hint="default"/>
        </w:rPr>
        <w:t>“</w:t>
      </w:r>
      <w:r>
        <w:rPr/>
        <w:t>苏宁</w:t>
      </w:r>
      <w:r>
        <w:rPr>
          <w:rFonts w:ascii="Arial" w:hAnsi="Arial" w:cs="Arial" w:eastAsia="Arial" w:hint="default"/>
        </w:rPr>
        <w:t>”</w:t>
      </w:r>
      <w:r>
        <w:rPr/>
        <w:t>及</w:t>
      </w:r>
      <w:r>
        <w:rPr>
          <w:rFonts w:ascii="Arial" w:hAnsi="Arial" w:cs="Arial" w:eastAsia="Arial" w:hint="default"/>
        </w:rPr>
        <w:t>“NS”</w:t>
      </w:r>
      <w:r>
        <w:rPr/>
        <w:t>组合的系列注册商标的专用权期限内，许可苏宁电器集团有限公司无限期</w:t>
      </w:r>
      <w:r>
        <w:rPr>
          <w:spacing w:val="-48"/>
        </w:rPr>
        <w:t> </w:t>
      </w:r>
      <w:r>
        <w:rPr/>
        <w:t>有偿使用部分注册商标，苏宁电器集团有限公司每年支付本公司商标使用费人民币</w:t>
      </w:r>
      <w:r>
        <w:rPr>
          <w:spacing w:val="-26"/>
        </w:rPr>
        <w:t> </w:t>
      </w:r>
      <w:r>
        <w:rPr>
          <w:rFonts w:ascii="Arial" w:hAnsi="Arial" w:cs="Arial" w:eastAsia="Arial" w:hint="default"/>
        </w:rPr>
        <w:t>100</w:t>
      </w:r>
      <w:r>
        <w:rPr>
          <w:rFonts w:ascii="Arial" w:hAnsi="Arial" w:cs="Arial" w:eastAsia="Arial" w:hint="default"/>
          <w:spacing w:val="-1"/>
          <w:w w:val="99"/>
        </w:rPr>
        <w:t> </w:t>
      </w:r>
      <w:r>
        <w:rPr/>
        <w:t>万元。</w:t>
      </w:r>
    </w:p>
    <w:p>
      <w:pPr>
        <w:spacing w:after="0" w:line="312" w:lineRule="exact"/>
        <w:jc w:val="both"/>
        <w:sectPr>
          <w:headerReference w:type="default" r:id="rId78"/>
          <w:footerReference w:type="default" r:id="rId79"/>
          <w:pgSz w:w="11910" w:h="16840"/>
          <w:pgMar w:header="755" w:footer="947" w:top="2300" w:bottom="1140" w:left="980" w:right="680"/>
          <w:pgNumType w:start="195"/>
        </w:sectPr>
      </w:pPr>
    </w:p>
    <w:p>
      <w:pPr>
        <w:spacing w:line="240" w:lineRule="auto" w:before="6"/>
        <w:rPr>
          <w:rFonts w:ascii="宋体" w:hAnsi="宋体" w:cs="宋体" w:eastAsia="宋体" w:hint="default"/>
          <w:sz w:val="13"/>
          <w:szCs w:val="13"/>
        </w:rPr>
      </w:pPr>
    </w:p>
    <w:p>
      <w:pPr>
        <w:pStyle w:val="Heading2"/>
        <w:tabs>
          <w:tab w:pos="820" w:val="left" w:leader="none"/>
        </w:tabs>
        <w:spacing w:line="240" w:lineRule="auto"/>
        <w:ind w:right="0"/>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20" w:val="left" w:leader="none"/>
        </w:tabs>
        <w:spacing w:before="0"/>
        <w:ind w:left="108" w:right="0" w:firstLine="0"/>
        <w:jc w:val="left"/>
        <w:rPr>
          <w:rFonts w:ascii="Arial" w:hAnsi="Arial" w:cs="Arial" w:eastAsia="Arial" w:hint="default"/>
          <w:sz w:val="24"/>
          <w:szCs w:val="24"/>
        </w:rPr>
      </w:pPr>
      <w:r>
        <w:rPr>
          <w:rFonts w:ascii="Arial" w:hAnsi="Arial" w:cs="Arial" w:eastAsia="Arial" w:hint="default"/>
          <w:w w:val="95"/>
          <w:position w:val="2"/>
          <w:sz w:val="24"/>
          <w:szCs w:val="24"/>
        </w:rPr>
        <w:t>(5)</w:t>
        <w:tab/>
      </w:r>
      <w:r>
        <w:rPr>
          <w:rFonts w:ascii="宋体" w:hAnsi="宋体" w:cs="宋体" w:eastAsia="宋体" w:hint="default"/>
          <w:b/>
          <w:bCs/>
          <w:sz w:val="24"/>
          <w:szCs w:val="24"/>
        </w:rPr>
        <w:t>关联交易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20" w:val="left" w:leader="none"/>
        </w:tabs>
        <w:spacing w:line="240" w:lineRule="auto"/>
        <w:ind w:left="108" w:right="0"/>
        <w:jc w:val="left"/>
        <w:rPr>
          <w:rFonts w:ascii="Arial" w:hAnsi="Arial" w:cs="Arial" w:eastAsia="Arial" w:hint="default"/>
        </w:rPr>
      </w:pPr>
      <w:r>
        <w:rPr>
          <w:rFonts w:ascii="Arial" w:hAnsi="Arial" w:cs="Arial" w:eastAsia="Arial" w:hint="default"/>
          <w:w w:val="95"/>
          <w:position w:val="2"/>
        </w:rPr>
        <w:t>(e)</w:t>
        <w:tab/>
      </w:r>
      <w:r>
        <w:rPr/>
        <w:t>商标使用许可协议</w:t>
      </w:r>
      <w:r>
        <w:rPr>
          <w:rFonts w:ascii="Arial" w:hAnsi="Arial" w:cs="Arial" w:eastAsia="Arial" w:hint="default"/>
        </w:rPr>
        <w:t>(</w:t>
      </w:r>
      <w:r>
        <w:rPr/>
        <w:t>续</w:t>
      </w:r>
      <w:r>
        <w:rPr>
          <w:rFonts w:ascii="Arial" w:hAnsi="Arial" w:cs="Arial" w:eastAsia="Arial" w:hint="default"/>
        </w:rPr>
        <w:t>)</w:t>
      </w:r>
    </w:p>
    <w:p>
      <w:pPr>
        <w:spacing w:line="240" w:lineRule="auto" w:before="0"/>
        <w:rPr>
          <w:rFonts w:ascii="Arial" w:hAnsi="Arial" w:cs="Arial" w:eastAsia="Arial" w:hint="default"/>
          <w:sz w:val="25"/>
          <w:szCs w:val="25"/>
        </w:rPr>
      </w:pPr>
    </w:p>
    <w:p>
      <w:pPr>
        <w:pStyle w:val="BodyText"/>
        <w:spacing w:line="312" w:lineRule="exact"/>
        <w:ind w:left="820" w:right="237"/>
        <w:jc w:val="both"/>
      </w:pPr>
      <w:r>
        <w:rPr>
          <w:rFonts w:ascii="Arial" w:hAnsi="Arial" w:cs="Arial" w:eastAsia="Arial" w:hint="default"/>
        </w:rPr>
        <w:t>(3)</w:t>
      </w:r>
      <w:r>
        <w:rPr>
          <w:rFonts w:ascii="Arial" w:hAnsi="Arial" w:cs="Arial" w:eastAsia="Arial" w:hint="default"/>
          <w:spacing w:val="51"/>
        </w:rPr>
        <w:t> </w:t>
      </w:r>
      <w:r>
        <w:rPr/>
        <w:t>于</w:t>
      </w:r>
      <w:r>
        <w:rPr>
          <w:spacing w:val="-52"/>
        </w:rPr>
        <w:t> </w:t>
      </w:r>
      <w:r>
        <w:rPr>
          <w:rFonts w:ascii="Arial" w:hAnsi="Arial" w:cs="Arial" w:eastAsia="Arial" w:hint="default"/>
        </w:rPr>
        <w:t>2009</w:t>
      </w:r>
      <w:r>
        <w:rPr>
          <w:rFonts w:ascii="Arial" w:hAnsi="Arial" w:cs="Arial" w:eastAsia="Arial" w:hint="default"/>
          <w:spacing w:val="1"/>
        </w:rPr>
        <w:t> </w:t>
      </w:r>
      <w:r>
        <w:rPr/>
        <w:t>年</w:t>
      </w:r>
      <w:r>
        <w:rPr>
          <w:spacing w:val="-52"/>
        </w:rPr>
        <w:t> </w:t>
      </w:r>
      <w:r>
        <w:rPr>
          <w:rFonts w:ascii="Arial" w:hAnsi="Arial" w:cs="Arial" w:eastAsia="Arial" w:hint="default"/>
        </w:rPr>
        <w:t>3</w:t>
      </w:r>
      <w:r>
        <w:rPr>
          <w:rFonts w:ascii="Arial" w:hAnsi="Arial" w:cs="Arial" w:eastAsia="Arial" w:hint="default"/>
          <w:spacing w:val="1"/>
        </w:rPr>
        <w:t> </w:t>
      </w:r>
      <w:r>
        <w:rPr/>
        <w:t>月</w:t>
      </w:r>
      <w:r>
        <w:rPr>
          <w:spacing w:val="-52"/>
        </w:rPr>
        <w:t> </w:t>
      </w:r>
      <w:r>
        <w:rPr>
          <w:rFonts w:ascii="Arial" w:hAnsi="Arial" w:cs="Arial" w:eastAsia="Arial" w:hint="default"/>
        </w:rPr>
        <w:t>31</w:t>
      </w:r>
      <w:r>
        <w:rPr>
          <w:rFonts w:ascii="Arial" w:hAnsi="Arial" w:cs="Arial" w:eastAsia="Arial" w:hint="default"/>
          <w:spacing w:val="1"/>
        </w:rPr>
        <w:t> </w:t>
      </w:r>
      <w:r>
        <w:rPr/>
        <w:t>日，经本公司</w:t>
      </w:r>
      <w:r>
        <w:rPr>
          <w:spacing w:val="-52"/>
        </w:rPr>
        <w:t> </w:t>
      </w:r>
      <w:r>
        <w:rPr>
          <w:rFonts w:ascii="Arial" w:hAnsi="Arial" w:cs="Arial" w:eastAsia="Arial" w:hint="default"/>
        </w:rPr>
        <w:t>2008</w:t>
      </w:r>
      <w:r>
        <w:rPr>
          <w:rFonts w:ascii="Arial" w:hAnsi="Arial" w:cs="Arial" w:eastAsia="Arial" w:hint="default"/>
          <w:spacing w:val="3"/>
        </w:rPr>
        <w:t> </w:t>
      </w:r>
      <w:r>
        <w:rPr/>
        <w:t>年年度股东大会批准，同意许可苏宁电器集 </w:t>
      </w:r>
      <w:r>
        <w:rPr>
          <w:spacing w:val="2"/>
        </w:rPr>
        <w:t>团有限公司及其直接或间接持有</w:t>
      </w:r>
      <w:r>
        <w:rPr>
          <w:spacing w:val="15"/>
        </w:rPr>
        <w:t> </w:t>
      </w:r>
      <w:r>
        <w:rPr>
          <w:rFonts w:ascii="Arial" w:hAnsi="Arial" w:cs="Arial" w:eastAsia="Arial" w:hint="default"/>
        </w:rPr>
        <w:t>20%</w:t>
      </w:r>
      <w:r>
        <w:rPr/>
        <w:t>以上</w:t>
      </w:r>
      <w:r>
        <w:rPr>
          <w:rFonts w:ascii="Arial" w:hAnsi="Arial" w:cs="Arial" w:eastAsia="Arial" w:hint="default"/>
        </w:rPr>
        <w:t>(</w:t>
      </w:r>
      <w:r>
        <w:rPr/>
        <w:t>含</w:t>
      </w:r>
      <w:r>
        <w:rPr>
          <w:spacing w:val="15"/>
        </w:rPr>
        <w:t> </w:t>
      </w:r>
      <w:r>
        <w:rPr>
          <w:rFonts w:ascii="Arial" w:hAnsi="Arial" w:cs="Arial" w:eastAsia="Arial" w:hint="default"/>
          <w:spacing w:val="2"/>
        </w:rPr>
        <w:t>20%)</w:t>
      </w:r>
      <w:r>
        <w:rPr>
          <w:spacing w:val="2"/>
        </w:rPr>
        <w:t>股份的公司使用公司已注册的部分</w:t>
      </w:r>
      <w:r>
        <w:rPr>
          <w:spacing w:val="-117"/>
        </w:rPr>
        <w:t> </w:t>
      </w:r>
      <w:r>
        <w:rPr>
          <w:rFonts w:ascii="Arial" w:hAnsi="Arial" w:cs="Arial" w:eastAsia="Arial" w:hint="default"/>
        </w:rPr>
        <w:t>“</w:t>
      </w:r>
      <w:r>
        <w:rPr/>
        <w:t>苏宁</w:t>
      </w:r>
      <w:r>
        <w:rPr>
          <w:rFonts w:ascii="Arial" w:hAnsi="Arial" w:cs="Arial" w:eastAsia="Arial" w:hint="default"/>
        </w:rPr>
        <w:t>”</w:t>
      </w:r>
      <w:r>
        <w:rPr/>
        <w:t>以及</w:t>
      </w:r>
      <w:r>
        <w:rPr>
          <w:rFonts w:ascii="Arial" w:hAnsi="Arial" w:cs="Arial" w:eastAsia="Arial" w:hint="default"/>
        </w:rPr>
        <w:t>“</w:t>
      </w:r>
      <w:r>
        <w:rPr/>
        <w:t>苏宁</w:t>
      </w:r>
      <w:r>
        <w:rPr>
          <w:rFonts w:ascii="Arial" w:hAnsi="Arial" w:cs="Arial" w:eastAsia="Arial" w:hint="default"/>
        </w:rPr>
        <w:t>”</w:t>
      </w:r>
      <w:r>
        <w:rPr/>
        <w:t>的汉语拼音</w:t>
      </w:r>
      <w:r>
        <w:rPr>
          <w:rFonts w:ascii="Arial" w:hAnsi="Arial" w:cs="Arial" w:eastAsia="Arial" w:hint="default"/>
        </w:rPr>
        <w:t>“SUNING”</w:t>
      </w:r>
      <w:r>
        <w:rPr/>
        <w:t>系列商标。</w:t>
      </w:r>
    </w:p>
    <w:p>
      <w:pPr>
        <w:spacing w:line="240" w:lineRule="auto" w:before="1"/>
        <w:rPr>
          <w:rFonts w:ascii="宋体" w:hAnsi="宋体" w:cs="宋体" w:eastAsia="宋体" w:hint="default"/>
          <w:sz w:val="21"/>
          <w:szCs w:val="21"/>
        </w:rPr>
      </w:pPr>
    </w:p>
    <w:p>
      <w:pPr>
        <w:pStyle w:val="BodyText"/>
        <w:spacing w:line="312" w:lineRule="exact"/>
        <w:ind w:left="820" w:right="228"/>
        <w:jc w:val="both"/>
      </w:pPr>
      <w:r>
        <w:rPr/>
        <w:t>于</w:t>
      </w:r>
      <w:r>
        <w:rPr>
          <w:spacing w:val="-46"/>
        </w:rPr>
        <w:t> </w:t>
      </w:r>
      <w:r>
        <w:rPr>
          <w:rFonts w:ascii="Arial" w:hAnsi="Arial" w:cs="Arial" w:eastAsia="Arial" w:hint="default"/>
          <w:spacing w:val="-1"/>
          <w:w w:val="99"/>
        </w:rPr>
        <w:t>2009</w:t>
      </w:r>
      <w:r>
        <w:rPr>
          <w:rFonts w:ascii="Arial" w:hAnsi="Arial" w:cs="Arial" w:eastAsia="Arial" w:hint="default"/>
          <w:spacing w:val="8"/>
          <w:w w:val="99"/>
        </w:rPr>
        <w:t> </w:t>
      </w:r>
      <w:r>
        <w:rPr/>
        <w:t>年</w:t>
      </w:r>
      <w:r>
        <w:rPr>
          <w:spacing w:val="-44"/>
        </w:rPr>
        <w:t> </w:t>
      </w:r>
      <w:r>
        <w:rPr>
          <w:rFonts w:ascii="Arial" w:hAnsi="Arial" w:cs="Arial" w:eastAsia="Arial" w:hint="default"/>
          <w:w w:val="99"/>
        </w:rPr>
        <w:t>6</w:t>
      </w:r>
      <w:r>
        <w:rPr>
          <w:rFonts w:ascii="Arial" w:hAnsi="Arial" w:cs="Arial" w:eastAsia="Arial" w:hint="default"/>
          <w:spacing w:val="7"/>
          <w:w w:val="99"/>
        </w:rPr>
        <w:t> </w:t>
      </w:r>
      <w:r>
        <w:rPr/>
        <w:t>月</w:t>
      </w:r>
      <w:r>
        <w:rPr>
          <w:spacing w:val="-46"/>
        </w:rPr>
        <w:t> </w:t>
      </w:r>
      <w:r>
        <w:rPr>
          <w:rFonts w:ascii="Arial" w:hAnsi="Arial" w:cs="Arial" w:eastAsia="Arial" w:hint="default"/>
          <w:spacing w:val="-1"/>
          <w:w w:val="99"/>
        </w:rPr>
        <w:t>26</w:t>
      </w:r>
      <w:r>
        <w:rPr>
          <w:rFonts w:ascii="Arial" w:hAnsi="Arial" w:cs="Arial" w:eastAsia="Arial" w:hint="default"/>
          <w:spacing w:val="7"/>
          <w:w w:val="99"/>
        </w:rPr>
        <w:t> </w:t>
      </w:r>
      <w:r>
        <w:rPr>
          <w:spacing w:val="-5"/>
        </w:rPr>
        <w:t>日，本公司与苏宁电器集团有限公司签订《商标使用许可协议》，约</w:t>
      </w:r>
      <w:r>
        <w:rPr>
          <w:spacing w:val="-118"/>
        </w:rPr>
        <w:t> </w:t>
      </w:r>
      <w:r>
        <w:rPr>
          <w:spacing w:val="-118"/>
        </w:rPr>
      </w:r>
      <w:r>
        <w:rPr>
          <w:spacing w:val="11"/>
        </w:rPr>
        <w:t>定自签订协议之日起，苏宁电器股份有限公司在其拥有</w:t>
      </w:r>
      <w:r>
        <w:rPr>
          <w:rFonts w:ascii="Arial" w:hAnsi="Arial" w:cs="Arial" w:eastAsia="Arial" w:hint="default"/>
          <w:spacing w:val="11"/>
        </w:rPr>
        <w:t>“</w:t>
      </w:r>
      <w:r>
        <w:rPr>
          <w:spacing w:val="11"/>
        </w:rPr>
        <w:t>苏宁</w:t>
      </w:r>
      <w:r>
        <w:rPr>
          <w:rFonts w:ascii="Arial" w:hAnsi="Arial" w:cs="Arial" w:eastAsia="Arial" w:hint="default"/>
          <w:spacing w:val="11"/>
        </w:rPr>
        <w:t>”</w:t>
      </w:r>
      <w:r>
        <w:rPr>
          <w:spacing w:val="11"/>
        </w:rPr>
        <w:t>以及</w:t>
      </w:r>
      <w:r>
        <w:rPr>
          <w:rFonts w:ascii="Arial" w:hAnsi="Arial" w:cs="Arial" w:eastAsia="Arial" w:hint="default"/>
          <w:spacing w:val="11"/>
        </w:rPr>
        <w:t>“</w:t>
      </w:r>
      <w:r>
        <w:rPr>
          <w:spacing w:val="11"/>
        </w:rPr>
        <w:t>苏宁</w:t>
      </w:r>
      <w:r>
        <w:rPr>
          <w:rFonts w:ascii="Arial" w:hAnsi="Arial" w:cs="Arial" w:eastAsia="Arial" w:hint="default"/>
          <w:spacing w:val="11"/>
        </w:rPr>
        <w:t>”</w:t>
      </w:r>
      <w:r>
        <w:rPr>
          <w:spacing w:val="11"/>
        </w:rPr>
        <w:t>的汉语拼音</w:t>
      </w:r>
      <w:r>
        <w:rPr>
          <w:spacing w:val="-118"/>
        </w:rPr>
        <w:t> </w:t>
      </w:r>
      <w:r>
        <w:rPr>
          <w:rFonts w:ascii="Arial" w:hAnsi="Arial" w:cs="Arial" w:eastAsia="Arial" w:hint="default"/>
          <w:spacing w:val="-3"/>
        </w:rPr>
        <w:t>“SUNING”</w:t>
      </w:r>
      <w:r>
        <w:rPr>
          <w:spacing w:val="-3"/>
        </w:rPr>
        <w:t>系列注册商标的专用权期限内，许可苏宁电器集团有限公司无限期有偿使用部</w:t>
      </w:r>
      <w:r>
        <w:rPr>
          <w:spacing w:val="-95"/>
        </w:rPr>
        <w:t> </w:t>
      </w:r>
      <w:r>
        <w:rPr>
          <w:spacing w:val="-95"/>
        </w:rPr>
      </w:r>
      <w:r>
        <w:rPr/>
        <w:t>分注册商标，苏宁电器集团有限公司每年支付本公司商标使用费人民币</w:t>
      </w:r>
      <w:r>
        <w:rPr>
          <w:spacing w:val="-62"/>
        </w:rPr>
        <w:t> </w:t>
      </w:r>
      <w:r>
        <w:rPr>
          <w:rFonts w:ascii="Arial" w:hAnsi="Arial" w:cs="Arial" w:eastAsia="Arial" w:hint="default"/>
        </w:rPr>
        <w:t>100</w:t>
      </w:r>
      <w:r>
        <w:rPr>
          <w:rFonts w:ascii="Arial" w:hAnsi="Arial" w:cs="Arial" w:eastAsia="Arial" w:hint="default"/>
          <w:spacing w:val="-9"/>
        </w:rPr>
        <w:t> </w:t>
      </w:r>
      <w:r>
        <w:rPr/>
        <w:t>万元。</w:t>
      </w:r>
    </w:p>
    <w:p>
      <w:pPr>
        <w:spacing w:line="240" w:lineRule="auto" w:before="10"/>
        <w:rPr>
          <w:rFonts w:ascii="宋体" w:hAnsi="宋体" w:cs="宋体" w:eastAsia="宋体" w:hint="default"/>
          <w:sz w:val="18"/>
          <w:szCs w:val="18"/>
        </w:rPr>
      </w:pPr>
    </w:p>
    <w:p>
      <w:pPr>
        <w:pStyle w:val="BodyText"/>
        <w:tabs>
          <w:tab w:pos="820" w:val="left" w:leader="none"/>
        </w:tabs>
        <w:spacing w:line="240" w:lineRule="auto"/>
        <w:ind w:left="108" w:right="0"/>
        <w:jc w:val="left"/>
      </w:pPr>
      <w:r>
        <w:rPr>
          <w:rFonts w:ascii="Arial" w:hAnsi="Arial" w:cs="Arial" w:eastAsia="Arial" w:hint="default"/>
          <w:position w:val="2"/>
        </w:rPr>
        <w:t>(f)</w:t>
        <w:tab/>
      </w:r>
      <w:r>
        <w:rPr/>
        <w:t>关键管理人员薪酬</w:t>
      </w:r>
    </w:p>
    <w:p>
      <w:pPr>
        <w:spacing w:line="240" w:lineRule="auto" w:before="12"/>
        <w:rPr>
          <w:rFonts w:ascii="宋体" w:hAnsi="宋体" w:cs="宋体" w:eastAsia="宋体" w:hint="default"/>
          <w:sz w:val="20"/>
          <w:szCs w:val="20"/>
        </w:rPr>
      </w:pPr>
    </w:p>
    <w:p>
      <w:pPr>
        <w:pStyle w:val="BodyText"/>
        <w:tabs>
          <w:tab w:pos="8906" w:val="left" w:leader="none"/>
        </w:tabs>
        <w:spacing w:line="240" w:lineRule="auto"/>
        <w:ind w:left="6176" w:right="0"/>
        <w:jc w:val="left"/>
      </w:pPr>
      <w:r>
        <w:rPr>
          <w:rFonts w:ascii="Arial" w:hAnsi="Arial" w:cs="Arial" w:eastAsia="Arial" w:hint="default"/>
        </w:rPr>
        <w:t>2010</w:t>
      </w:r>
      <w:r>
        <w:rPr>
          <w:rFonts w:ascii="Arial" w:hAnsi="Arial" w:cs="Arial" w:eastAsia="Arial" w:hint="default"/>
          <w:spacing w:val="-11"/>
        </w:rPr>
        <w:t> </w:t>
      </w:r>
      <w:r>
        <w:rPr/>
        <w:t>年度</w:t>
        <w:tab/>
      </w:r>
      <w:r>
        <w:rPr>
          <w:rFonts w:ascii="Arial" w:hAnsi="Arial" w:cs="Arial" w:eastAsia="Arial" w:hint="default"/>
        </w:rPr>
        <w:t>2009</w:t>
      </w:r>
      <w:r>
        <w:rPr>
          <w:rFonts w:ascii="Arial" w:hAnsi="Arial" w:cs="Arial" w:eastAsia="Arial" w:hint="default"/>
          <w:spacing w:val="-11"/>
        </w:rPr>
        <w:t> </w:t>
      </w:r>
      <w:r>
        <w:rPr/>
        <w:t>年度</w:t>
      </w:r>
    </w:p>
    <w:p>
      <w:pPr>
        <w:spacing w:line="240" w:lineRule="auto" w:before="6"/>
        <w:rPr>
          <w:rFonts w:ascii="宋体" w:hAnsi="宋体" w:cs="宋体" w:eastAsia="宋体" w:hint="default"/>
          <w:sz w:val="19"/>
          <w:szCs w:val="19"/>
        </w:rPr>
      </w:pPr>
    </w:p>
    <w:p>
      <w:pPr>
        <w:pStyle w:val="BodyText"/>
        <w:tabs>
          <w:tab w:pos="4942" w:val="left" w:leader="none"/>
          <w:tab w:pos="6650" w:val="left" w:leader="none"/>
          <w:tab w:pos="9380" w:val="left" w:leader="none"/>
        </w:tabs>
        <w:spacing w:line="240" w:lineRule="auto"/>
        <w:ind w:left="820" w:right="0"/>
        <w:jc w:val="both"/>
        <w:rPr>
          <w:rFonts w:ascii="Arial" w:hAnsi="Arial" w:cs="Arial" w:eastAsia="Arial" w:hint="default"/>
        </w:rPr>
      </w:pPr>
      <w:r>
        <w:rPr>
          <w:position w:val="2"/>
        </w:rPr>
        <w:t>关键管理人员薪酬</w:t>
        <w:tab/>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6,220</w:t>
      </w:r>
      <w:r>
        <w:rPr>
          <w:rFonts w:ascii="Arial" w:hAnsi="Arial" w:cs="Arial" w:eastAsia="Arial" w:hint="default"/>
          <w:spacing w:val="-1"/>
        </w:rPr>
      </w:r>
      <w:r>
        <w:rPr>
          <w:rFonts w:ascii="Arial" w:hAnsi="Arial" w:cs="Arial" w:eastAsia="Arial" w:hint="default"/>
          <w:spacing w:val="-1"/>
          <w:u w:val="thick" w:color="000000"/>
        </w:rPr>
        <w:t> </w:t>
        <w:tab/>
        <w:t>4,520 </w:t>
      </w:r>
      <w:r>
        <w:rPr>
          <w:rFonts w:ascii="Arial" w:hAnsi="Arial" w:cs="Arial" w:eastAsia="Arial" w:hint="default"/>
          <w:spacing w:val="-33"/>
          <w:u w:val="thick" w:color="000000"/>
        </w:rPr>
        <w:t> </w:t>
      </w:r>
      <w:r>
        <w:rPr>
          <w:rFonts w:ascii="Arial" w:hAnsi="Arial" w:cs="Arial" w:eastAsia="Arial" w:hint="default"/>
          <w:spacing w:val="-33"/>
        </w:rPr>
      </w:r>
      <w:r>
        <w:rPr>
          <w:rFonts w:ascii="Arial" w:hAnsi="Arial" w:cs="Arial" w:eastAsia="Arial" w:hint="default"/>
        </w:rPr>
      </w:r>
    </w:p>
    <w:p>
      <w:pPr>
        <w:spacing w:line="240" w:lineRule="auto" w:before="7"/>
        <w:rPr>
          <w:rFonts w:ascii="Arial" w:hAnsi="Arial" w:cs="Arial" w:eastAsia="Arial" w:hint="default"/>
          <w:sz w:val="20"/>
          <w:szCs w:val="20"/>
        </w:rPr>
      </w:pPr>
    </w:p>
    <w:p>
      <w:pPr>
        <w:tabs>
          <w:tab w:pos="820" w:val="left" w:leader="none"/>
        </w:tabs>
        <w:spacing w:before="32"/>
        <w:ind w:left="107"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(6)</w:t>
        <w:tab/>
      </w:r>
      <w:r>
        <w:rPr>
          <w:rFonts w:ascii="宋体" w:hAnsi="宋体" w:cs="宋体" w:eastAsia="宋体" w:hint="default"/>
          <w:b/>
          <w:bCs/>
          <w:sz w:val="24"/>
          <w:szCs w:val="24"/>
        </w:rPr>
        <w:t>关联方应收、应付款项余额</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3"/>
          <w:szCs w:val="23"/>
        </w:rPr>
      </w:pPr>
    </w:p>
    <w:tbl>
      <w:tblPr>
        <w:tblW w:w="0" w:type="auto"/>
        <w:jc w:val="left"/>
        <w:tblInd w:w="673" w:type="dxa"/>
        <w:tblLayout w:type="fixed"/>
        <w:tblCellMar>
          <w:top w:w="0" w:type="dxa"/>
          <w:left w:w="0" w:type="dxa"/>
          <w:bottom w:w="0" w:type="dxa"/>
          <w:right w:w="0" w:type="dxa"/>
        </w:tblCellMar>
        <w:tblLook w:val="01E0"/>
      </w:tblPr>
      <w:tblGrid>
        <w:gridCol w:w="1579"/>
        <w:gridCol w:w="2594"/>
        <w:gridCol w:w="2774"/>
        <w:gridCol w:w="2503"/>
      </w:tblGrid>
      <w:tr>
        <w:trPr>
          <w:trHeight w:val="391" w:hRule="exact"/>
        </w:trPr>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4" w:right="0"/>
              <w:jc w:val="left"/>
              <w:rPr>
                <w:rFonts w:ascii="宋体" w:hAnsi="宋体" w:cs="宋体" w:eastAsia="宋体" w:hint="default"/>
                <w:sz w:val="24"/>
                <w:szCs w:val="24"/>
              </w:rPr>
            </w:pPr>
            <w:r>
              <w:rPr>
                <w:rFonts w:ascii="宋体" w:hAnsi="宋体" w:cs="宋体" w:eastAsia="宋体" w:hint="default"/>
                <w:sz w:val="24"/>
                <w:szCs w:val="24"/>
              </w:rPr>
              <w:t>苏宁电器集团有限公司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804" w:right="0"/>
              <w:jc w:val="left"/>
              <w:rPr>
                <w:rFonts w:ascii="Arial" w:hAnsi="Arial" w:cs="Arial" w:eastAsia="Arial" w:hint="default"/>
                <w:sz w:val="24"/>
                <w:szCs w:val="24"/>
              </w:rPr>
            </w:pPr>
            <w:r>
              <w:rPr>
                <w:rFonts w:ascii="Arial"/>
                <w:sz w:val="24"/>
              </w:rPr>
              <w:t>2,454</w:t>
            </w:r>
          </w:p>
        </w:tc>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89"/>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579" w:type="dxa"/>
            <w:tcBorders>
              <w:top w:val="nil" w:sz="6" w:space="0" w:color="auto"/>
              <w:left w:val="nil" w:sz="6" w:space="0" w:color="auto"/>
              <w:bottom w:val="nil" w:sz="6" w:space="0" w:color="auto"/>
              <w:right w:val="nil" w:sz="6" w:space="0" w:color="auto"/>
            </w:tcBorders>
          </w:tcPr>
          <w:p>
            <w:pPr/>
          </w:p>
        </w:tc>
        <w:tc>
          <w:tcPr>
            <w:tcW w:w="2594"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4"/>
                <w:szCs w:val="24"/>
              </w:rPr>
            </w:pPr>
            <w:r>
              <w:rPr>
                <w:rFonts w:ascii="宋体" w:hAnsi="宋体" w:cs="宋体" w:eastAsia="宋体" w:hint="default"/>
                <w:sz w:val="24"/>
                <w:szCs w:val="24"/>
              </w:rPr>
              <w:t>银河国际购物广场</w:t>
            </w:r>
          </w:p>
        </w:tc>
        <w:tc>
          <w:tcPr>
            <w:tcW w:w="2774" w:type="dxa"/>
            <w:tcBorders>
              <w:top w:val="nil" w:sz="6" w:space="0" w:color="auto"/>
              <w:left w:val="nil" w:sz="6" w:space="0" w:color="auto"/>
              <w:bottom w:val="nil" w:sz="6" w:space="0" w:color="auto"/>
              <w:right w:val="nil" w:sz="6" w:space="0" w:color="auto"/>
            </w:tcBorders>
          </w:tcPr>
          <w:p>
            <w:pPr>
              <w:pStyle w:val="TableParagraph"/>
              <w:tabs>
                <w:tab w:pos="2137" w:val="left" w:leader="none"/>
                <w:tab w:pos="2506" w:val="left" w:leader="none"/>
              </w:tabs>
              <w:spacing w:line="240" w:lineRule="auto" w:before="20"/>
              <w:ind w:left="96"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50</w:t>
              <w:tab/>
            </w:r>
            <w:r>
              <w:rPr>
                <w:rFonts w:ascii="Arial"/>
                <w:sz w:val="24"/>
              </w:rPr>
            </w:r>
          </w:p>
        </w:tc>
        <w:tc>
          <w:tcPr>
            <w:tcW w:w="2503" w:type="dxa"/>
            <w:tcBorders>
              <w:top w:val="nil" w:sz="6" w:space="0" w:color="auto"/>
              <w:left w:val="nil" w:sz="6" w:space="0" w:color="auto"/>
              <w:bottom w:val="nil" w:sz="6" w:space="0" w:color="auto"/>
              <w:right w:val="nil" w:sz="6" w:space="0" w:color="auto"/>
            </w:tcBorders>
          </w:tcPr>
          <w:p>
            <w:pPr>
              <w:pStyle w:val="TableParagraph"/>
              <w:tabs>
                <w:tab w:pos="1933" w:val="left" w:leader="none"/>
                <w:tab w:pos="2115" w:val="left" w:leader="none"/>
              </w:tabs>
              <w:spacing w:line="240" w:lineRule="auto" w:before="20"/>
              <w:ind w:right="8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1018" w:hRule="exact"/>
        </w:trPr>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85"/>
              <w:ind w:left="147"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85"/>
              <w:ind w:left="104"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774" w:type="dxa"/>
            <w:tcBorders>
              <w:top w:val="nil" w:sz="6" w:space="0" w:color="auto"/>
              <w:left w:val="nil" w:sz="6" w:space="0" w:color="auto"/>
              <w:bottom w:val="nil" w:sz="6" w:space="0" w:color="auto"/>
              <w:right w:val="nil" w:sz="6" w:space="0" w:color="auto"/>
            </w:tcBorders>
          </w:tcPr>
          <w:p>
            <w:pPr>
              <w:pStyle w:val="TableParagraph"/>
              <w:tabs>
                <w:tab w:pos="1804" w:val="left" w:leader="none"/>
                <w:tab w:pos="2513" w:val="left" w:leader="none"/>
              </w:tabs>
              <w:spacing w:line="266" w:lineRule="exact"/>
              <w:ind w:left="89"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2,504</w:t>
              <w:tab/>
            </w:r>
            <w:r>
              <w:rPr>
                <w:rFonts w:ascii="Arial"/>
                <w:sz w:val="24"/>
              </w:rPr>
            </w:r>
          </w:p>
          <w:p>
            <w:pPr>
              <w:pStyle w:val="TableParagraph"/>
              <w:spacing w:line="240" w:lineRule="auto" w:before="6"/>
              <w:ind w:right="0"/>
              <w:jc w:val="left"/>
              <w:rPr>
                <w:rFonts w:ascii="宋体" w:hAnsi="宋体" w:cs="宋体" w:eastAsia="宋体" w:hint="default"/>
                <w:b/>
                <w:bCs/>
                <w:sz w:val="23"/>
                <w:szCs w:val="23"/>
              </w:rPr>
            </w:pPr>
          </w:p>
          <w:p>
            <w:pPr>
              <w:pStyle w:val="TableParagraph"/>
              <w:tabs>
                <w:tab w:pos="2323" w:val="left" w:leader="none"/>
                <w:tab w:pos="2504" w:val="left" w:leader="none"/>
              </w:tabs>
              <w:spacing w:line="240" w:lineRule="auto"/>
              <w:ind w:left="97"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w:t>
              <w:tab/>
            </w:r>
            <w:r>
              <w:rPr>
                <w:rFonts w:ascii="Arial"/>
                <w:sz w:val="24"/>
              </w:rPr>
            </w:r>
          </w:p>
        </w:tc>
        <w:tc>
          <w:tcPr>
            <w:tcW w:w="2503" w:type="dxa"/>
            <w:tcBorders>
              <w:top w:val="nil" w:sz="6" w:space="0" w:color="auto"/>
              <w:left w:val="nil" w:sz="6" w:space="0" w:color="auto"/>
              <w:bottom w:val="nil" w:sz="6" w:space="0" w:color="auto"/>
              <w:right w:val="nil" w:sz="6" w:space="0" w:color="auto"/>
            </w:tcBorders>
          </w:tcPr>
          <w:p>
            <w:pPr>
              <w:pStyle w:val="TableParagraph"/>
              <w:tabs>
                <w:tab w:pos="2231" w:val="left" w:leader="none"/>
                <w:tab w:pos="2421" w:val="left" w:leader="none"/>
              </w:tabs>
              <w:spacing w:line="266" w:lineRule="exact"/>
              <w:ind w:left="29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w:t>
              <w:tab/>
            </w:r>
            <w:r>
              <w:rPr>
                <w:rFonts w:ascii="Arial"/>
                <w:sz w:val="24"/>
              </w:rPr>
            </w:r>
          </w:p>
          <w:p>
            <w:pPr>
              <w:pStyle w:val="TableParagraph"/>
              <w:spacing w:line="240" w:lineRule="auto" w:before="6"/>
              <w:ind w:right="0"/>
              <w:jc w:val="left"/>
              <w:rPr>
                <w:rFonts w:ascii="宋体" w:hAnsi="宋体" w:cs="宋体" w:eastAsia="宋体" w:hint="default"/>
                <w:b/>
                <w:bCs/>
                <w:sz w:val="23"/>
                <w:szCs w:val="23"/>
              </w:rPr>
            </w:pPr>
          </w:p>
          <w:p>
            <w:pPr>
              <w:pStyle w:val="TableParagraph"/>
              <w:tabs>
                <w:tab w:pos="1960" w:val="left" w:leader="none"/>
                <w:tab w:pos="2461" w:val="left" w:leader="none"/>
              </w:tabs>
              <w:spacing w:line="240" w:lineRule="auto"/>
              <w:ind w:left="267"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730</w:t>
              <w:tab/>
            </w:r>
            <w:r>
              <w:rPr>
                <w:rFonts w:ascii="Arial"/>
                <w:sz w:val="24"/>
              </w:rPr>
            </w:r>
          </w:p>
        </w:tc>
      </w:tr>
      <w:tr>
        <w:trPr>
          <w:trHeight w:val="544" w:hRule="exact"/>
        </w:trPr>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7"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4" w:right="0"/>
              <w:jc w:val="left"/>
              <w:rPr>
                <w:rFonts w:ascii="宋体" w:hAnsi="宋体" w:cs="宋体" w:eastAsia="宋体" w:hint="default"/>
                <w:sz w:val="24"/>
                <w:szCs w:val="24"/>
              </w:rPr>
            </w:pPr>
            <w:r>
              <w:rPr>
                <w:rFonts w:ascii="宋体" w:hAnsi="宋体" w:cs="宋体" w:eastAsia="宋体" w:hint="default"/>
                <w:sz w:val="24"/>
                <w:szCs w:val="24"/>
              </w:rPr>
              <w:t>索菲特银河大酒店</w:t>
            </w:r>
          </w:p>
        </w:tc>
        <w:tc>
          <w:tcPr>
            <w:tcW w:w="2774" w:type="dxa"/>
            <w:tcBorders>
              <w:top w:val="nil" w:sz="6" w:space="0" w:color="auto"/>
              <w:left w:val="nil" w:sz="6" w:space="0" w:color="auto"/>
              <w:bottom w:val="nil" w:sz="6" w:space="0" w:color="auto"/>
              <w:right w:val="nil" w:sz="6" w:space="0" w:color="auto"/>
            </w:tcBorders>
          </w:tcPr>
          <w:p>
            <w:pPr>
              <w:pStyle w:val="TableParagraph"/>
              <w:tabs>
                <w:tab w:pos="1804" w:val="left" w:leader="none"/>
                <w:tab w:pos="2512" w:val="left" w:leader="none"/>
              </w:tabs>
              <w:spacing w:line="240" w:lineRule="auto" w:before="173"/>
              <w:ind w:left="90"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1,503</w:t>
              <w:tab/>
            </w:r>
            <w:r>
              <w:rPr>
                <w:rFonts w:ascii="Arial"/>
                <w:sz w:val="24"/>
              </w:rPr>
            </w:r>
          </w:p>
        </w:tc>
        <w:tc>
          <w:tcPr>
            <w:tcW w:w="2503" w:type="dxa"/>
            <w:tcBorders>
              <w:top w:val="nil" w:sz="6" w:space="0" w:color="auto"/>
              <w:left w:val="nil" w:sz="6" w:space="0" w:color="auto"/>
              <w:bottom w:val="nil" w:sz="6" w:space="0" w:color="auto"/>
              <w:right w:val="nil" w:sz="6" w:space="0" w:color="auto"/>
            </w:tcBorders>
          </w:tcPr>
          <w:p>
            <w:pPr>
              <w:pStyle w:val="TableParagraph"/>
              <w:tabs>
                <w:tab w:pos="2019" w:val="left" w:leader="none"/>
                <w:tab w:pos="2207" w:val="left" w:leader="none"/>
              </w:tabs>
              <w:spacing w:line="240" w:lineRule="auto" w:before="173"/>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w:t>
              <w:tab/>
            </w:r>
            <w:r>
              <w:rPr>
                <w:rFonts w:ascii="Arial"/>
                <w:sz w:val="24"/>
              </w:rPr>
            </w:r>
          </w:p>
        </w:tc>
      </w:tr>
    </w:tbl>
    <w:p>
      <w:pPr>
        <w:spacing w:after="0" w:line="240" w:lineRule="auto"/>
        <w:jc w:val="right"/>
        <w:rPr>
          <w:rFonts w:ascii="Arial" w:hAnsi="Arial" w:cs="Arial" w:eastAsia="Arial" w:hint="default"/>
          <w:sz w:val="24"/>
          <w:szCs w:val="24"/>
        </w:rPr>
        <w:sectPr>
          <w:pgSz w:w="11910" w:h="16840"/>
          <w:pgMar w:header="755" w:footer="947" w:top="2300" w:bottom="1140" w:left="1020" w:right="660"/>
        </w:sectPr>
      </w:pPr>
    </w:p>
    <w:p>
      <w:pPr>
        <w:spacing w:line="240" w:lineRule="auto" w:before="6"/>
        <w:rPr>
          <w:rFonts w:ascii="宋体" w:hAnsi="宋体" w:cs="宋体" w:eastAsia="宋体" w:hint="default"/>
          <w:b/>
          <w:bCs/>
          <w:sz w:val="13"/>
          <w:szCs w:val="13"/>
        </w:rPr>
      </w:pPr>
    </w:p>
    <w:p>
      <w:pPr>
        <w:pStyle w:val="Heading2"/>
        <w:tabs>
          <w:tab w:pos="820" w:val="left" w:leader="none"/>
        </w:tabs>
        <w:spacing w:line="240" w:lineRule="auto"/>
        <w:ind w:right="104"/>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19"/>
          <w:szCs w:val="19"/>
        </w:rPr>
      </w:pPr>
    </w:p>
    <w:p>
      <w:pPr>
        <w:tabs>
          <w:tab w:pos="820" w:val="left" w:leader="none"/>
        </w:tabs>
        <w:spacing w:before="0"/>
        <w:ind w:left="107" w:right="104" w:firstLine="0"/>
        <w:jc w:val="left"/>
        <w:rPr>
          <w:rFonts w:ascii="宋体" w:hAnsi="宋体" w:cs="宋体" w:eastAsia="宋体" w:hint="default"/>
          <w:sz w:val="24"/>
          <w:szCs w:val="24"/>
        </w:rPr>
      </w:pPr>
      <w:r>
        <w:rPr>
          <w:rFonts w:ascii="Arial" w:hAnsi="Arial" w:cs="Arial" w:eastAsia="Arial" w:hint="default"/>
          <w:w w:val="95"/>
          <w:position w:val="2"/>
          <w:sz w:val="24"/>
          <w:szCs w:val="24"/>
        </w:rPr>
        <w:t>(7)</w:t>
        <w:tab/>
      </w:r>
      <w:r>
        <w:rPr>
          <w:rFonts w:ascii="宋体" w:hAnsi="宋体" w:cs="宋体" w:eastAsia="宋体" w:hint="default"/>
          <w:b/>
          <w:bCs/>
          <w:sz w:val="24"/>
          <w:szCs w:val="24"/>
        </w:rPr>
        <w:t>关联方承诺</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pStyle w:val="BodyText"/>
        <w:spacing w:line="312" w:lineRule="exact"/>
        <w:ind w:left="820" w:right="104"/>
        <w:jc w:val="left"/>
      </w:pPr>
      <w:r>
        <w:rPr/>
        <w:t>以下为本集团于资产负债表日，已签约而尚不必在资产负债表上列示的与关联方有关的 承诺事项：</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55" w:footer="947" w:top="2300" w:bottom="1140" w:left="1020" w:right="700"/>
        </w:sectPr>
      </w:pPr>
    </w:p>
    <w:p>
      <w:pPr>
        <w:pStyle w:val="BodyText"/>
        <w:spacing w:line="240" w:lineRule="auto" w:before="26"/>
        <w:ind w:left="820" w:right="-19"/>
        <w:jc w:val="left"/>
      </w:pPr>
      <w:r>
        <w:rPr/>
        <w:t>租赁</w:t>
      </w:r>
    </w:p>
    <w:p>
      <w:pPr>
        <w:spacing w:line="240" w:lineRule="auto" w:before="9"/>
        <w:rPr>
          <w:rFonts w:ascii="宋体" w:hAnsi="宋体" w:cs="宋体" w:eastAsia="宋体" w:hint="default"/>
          <w:sz w:val="23"/>
          <w:szCs w:val="23"/>
        </w:rPr>
      </w:pPr>
    </w:p>
    <w:p>
      <w:pPr>
        <w:pStyle w:val="BodyText"/>
        <w:spacing w:line="240" w:lineRule="auto"/>
        <w:ind w:left="820" w:right="-19"/>
        <w:jc w:val="left"/>
      </w:pPr>
      <w:r>
        <w:rPr>
          <w:rFonts w:ascii="Arial" w:hAnsi="Arial" w:cs="Arial" w:eastAsia="Arial" w:hint="default"/>
        </w:rPr>
        <w:t>-</w:t>
      </w:r>
      <w:r>
        <w:rPr>
          <w:rFonts w:ascii="Arial" w:hAnsi="Arial" w:cs="Arial" w:eastAsia="Arial" w:hint="default"/>
          <w:spacing w:val="53"/>
        </w:rPr>
        <w:t> </w:t>
      </w:r>
      <w:r>
        <w:rPr/>
        <w:t>租入</w:t>
      </w:r>
    </w:p>
    <w:p>
      <w:pPr>
        <w:spacing w:line="240" w:lineRule="auto" w:before="11"/>
        <w:rPr>
          <w:rFonts w:ascii="宋体" w:hAnsi="宋体" w:cs="宋体" w:eastAsia="宋体" w:hint="default"/>
          <w:sz w:val="25"/>
          <w:szCs w:val="25"/>
        </w:rPr>
      </w:pPr>
      <w:r>
        <w:rPr/>
        <w:br w:type="column"/>
      </w:r>
      <w:r>
        <w:rPr>
          <w:rFonts w:ascii="宋体"/>
          <w:sz w:val="25"/>
        </w:rPr>
      </w:r>
    </w:p>
    <w:p>
      <w:pPr>
        <w:pStyle w:val="BodyText"/>
        <w:tabs>
          <w:tab w:pos="6085" w:val="left" w:leader="none"/>
        </w:tabs>
        <w:spacing w:line="240" w:lineRule="auto"/>
        <w:ind w:left="3390" w:right="0"/>
        <w:jc w:val="center"/>
      </w:pP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spacing w:line="240" w:lineRule="auto" w:before="3"/>
        <w:rPr>
          <w:rFonts w:ascii="宋体" w:hAnsi="宋体" w:cs="宋体" w:eastAsia="宋体" w:hint="default"/>
          <w:sz w:val="22"/>
          <w:szCs w:val="22"/>
        </w:rPr>
      </w:pPr>
    </w:p>
    <w:p>
      <w:pPr>
        <w:pStyle w:val="BodyText"/>
        <w:tabs>
          <w:tab w:pos="4971" w:val="left" w:leader="none"/>
          <w:tab w:pos="7666" w:val="left" w:leader="none"/>
        </w:tabs>
        <w:spacing w:line="332" w:lineRule="exact"/>
        <w:ind w:left="820" w:right="0"/>
        <w:jc w:val="left"/>
        <w:rPr>
          <w:rFonts w:ascii="Arial" w:hAnsi="Arial" w:cs="Arial" w:eastAsia="Arial" w:hint="default"/>
        </w:rPr>
      </w:pPr>
      <w:r>
        <w:rPr>
          <w:position w:val="2"/>
        </w:rPr>
        <w:t>苏宁电器集团有限公司</w:t>
        <w:tab/>
      </w:r>
      <w:r>
        <w:rPr>
          <w:rFonts w:ascii="Arial" w:hAnsi="Arial" w:cs="Arial" w:eastAsia="Arial" w:hint="default"/>
          <w:spacing w:val="-1"/>
        </w:rPr>
        <w:t>19,275</w:t>
        <w:tab/>
        <w:t>37,869</w:t>
      </w:r>
      <w:r>
        <w:rPr>
          <w:rFonts w:ascii="Arial" w:hAnsi="Arial" w:cs="Arial" w:eastAsia="Arial" w:hint="default"/>
        </w:rPr>
      </w:r>
    </w:p>
    <w:p>
      <w:pPr>
        <w:pStyle w:val="BodyText"/>
        <w:tabs>
          <w:tab w:pos="3397" w:val="left" w:leader="none"/>
          <w:tab w:pos="4971" w:val="left" w:leader="none"/>
          <w:tab w:pos="6091" w:val="left" w:leader="none"/>
          <w:tab w:pos="7666" w:val="left" w:leader="none"/>
          <w:tab w:pos="8501" w:val="left" w:leader="none"/>
        </w:tabs>
        <w:spacing w:line="332" w:lineRule="exact"/>
        <w:ind w:left="820" w:right="0"/>
        <w:jc w:val="left"/>
        <w:rPr>
          <w:rFonts w:ascii="Arial" w:hAnsi="Arial" w:cs="Arial" w:eastAsia="Arial" w:hint="default"/>
        </w:rPr>
      </w:pPr>
      <w:r>
        <w:rPr>
          <w:position w:val="2"/>
        </w:rPr>
        <w:t>银河国际购物广场</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71,509</w:t>
      </w:r>
      <w:r>
        <w:rPr>
          <w:rFonts w:ascii="Arial" w:hAnsi="Arial" w:cs="Arial" w:eastAsia="Arial" w:hint="default"/>
          <w:spacing w:val="-1"/>
        </w:rPr>
        <w:tab/>
      </w:r>
      <w:r>
        <w:rPr>
          <w:rFonts w:ascii="Arial" w:hAnsi="Arial" w:cs="Arial" w:eastAsia="Arial" w:hint="default"/>
          <w:spacing w:val="-1"/>
          <w:u w:val="single" w:color="000000"/>
        </w:rPr>
        <w:t> </w:t>
        <w:tab/>
        <w:t>93,822</w:t>
        <w:tab/>
      </w:r>
      <w:r>
        <w:rPr>
          <w:rFonts w:ascii="Arial" w:hAnsi="Arial" w:cs="Arial" w:eastAsia="Arial" w:hint="default"/>
          <w:spacing w:val="-1"/>
        </w:rPr>
      </w:r>
    </w:p>
    <w:p>
      <w:pPr>
        <w:pStyle w:val="BodyText"/>
        <w:tabs>
          <w:tab w:pos="4845" w:val="left" w:leader="none"/>
          <w:tab w:pos="5965" w:val="left" w:leader="none"/>
          <w:tab w:pos="7407" w:val="left" w:leader="none"/>
          <w:tab w:pos="8375" w:val="left" w:leader="none"/>
        </w:tabs>
        <w:spacing w:line="240" w:lineRule="auto" w:before="5"/>
        <w:ind w:left="3271" w:right="0"/>
        <w:jc w:val="center"/>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90,784</w:t>
      </w:r>
      <w:r>
        <w:rPr>
          <w:rFonts w:ascii="Arial"/>
          <w:spacing w:val="-1"/>
        </w:rPr>
        <w:tab/>
      </w:r>
      <w:r>
        <w:rPr>
          <w:rFonts w:ascii="Arial"/>
          <w:spacing w:val="-1"/>
          <w:u w:val="thick" w:color="000000"/>
        </w:rPr>
        <w:t> </w:t>
        <w:tab/>
        <w:t>131,691</w:t>
        <w:tab/>
      </w:r>
      <w:r>
        <w:rPr>
          <w:rFonts w:ascii="Arial"/>
          <w:spacing w:val="-1"/>
        </w:rPr>
      </w:r>
    </w:p>
    <w:p>
      <w:pPr>
        <w:spacing w:after="0" w:line="240" w:lineRule="auto"/>
        <w:jc w:val="center"/>
        <w:rPr>
          <w:rFonts w:ascii="Arial" w:hAnsi="Arial" w:cs="Arial" w:eastAsia="Arial" w:hint="default"/>
        </w:rPr>
        <w:sectPr>
          <w:type w:val="continuous"/>
          <w:pgSz w:w="11910" w:h="16840"/>
          <w:pgMar w:top="920" w:bottom="900" w:left="1020" w:right="700"/>
          <w:cols w:num="2" w:equalWidth="0">
            <w:col w:w="1502" w:space="55"/>
            <w:col w:w="8633"/>
          </w:cols>
        </w:sectPr>
      </w:pPr>
    </w:p>
    <w:p>
      <w:pPr>
        <w:spacing w:line="240" w:lineRule="auto" w:before="1"/>
        <w:rPr>
          <w:rFonts w:ascii="Arial" w:hAnsi="Arial" w:cs="Arial" w:eastAsia="Arial" w:hint="default"/>
          <w:sz w:val="21"/>
          <w:szCs w:val="21"/>
        </w:rPr>
      </w:pPr>
    </w:p>
    <w:p>
      <w:pPr>
        <w:spacing w:after="0" w:line="240" w:lineRule="auto"/>
        <w:rPr>
          <w:rFonts w:ascii="Arial" w:hAnsi="Arial" w:cs="Arial" w:eastAsia="Arial" w:hint="default"/>
          <w:sz w:val="21"/>
          <w:szCs w:val="21"/>
        </w:rPr>
        <w:sectPr>
          <w:type w:val="continuous"/>
          <w:pgSz w:w="11910" w:h="16840"/>
          <w:pgMar w:top="920" w:bottom="900" w:left="1020" w:right="700"/>
        </w:sectPr>
      </w:pPr>
    </w:p>
    <w:p>
      <w:pPr>
        <w:spacing w:line="240" w:lineRule="auto" w:before="4"/>
        <w:rPr>
          <w:rFonts w:ascii="Arial" w:hAnsi="Arial" w:cs="Arial" w:eastAsia="Arial" w:hint="default"/>
          <w:sz w:val="29"/>
          <w:szCs w:val="29"/>
        </w:rPr>
      </w:pPr>
    </w:p>
    <w:p>
      <w:pPr>
        <w:pStyle w:val="BodyText"/>
        <w:spacing w:line="240" w:lineRule="auto"/>
        <w:ind w:left="820" w:right="-19"/>
        <w:jc w:val="left"/>
      </w:pPr>
      <w:r>
        <w:rPr>
          <w:rFonts w:ascii="Arial" w:hAnsi="Arial" w:cs="Arial" w:eastAsia="Arial" w:hint="default"/>
        </w:rPr>
        <w:t>-</w:t>
      </w:r>
      <w:r>
        <w:rPr>
          <w:rFonts w:ascii="Arial" w:hAnsi="Arial" w:cs="Arial" w:eastAsia="Arial" w:hint="default"/>
          <w:spacing w:val="53"/>
        </w:rPr>
        <w:t> </w:t>
      </w:r>
      <w:r>
        <w:rPr/>
        <w:t>租出</w:t>
      </w:r>
    </w:p>
    <w:p>
      <w:pPr>
        <w:pStyle w:val="BodyText"/>
        <w:tabs>
          <w:tab w:pos="6313" w:val="left" w:leader="none"/>
        </w:tabs>
        <w:spacing w:line="240" w:lineRule="auto" w:before="26"/>
        <w:ind w:left="3617" w:right="0"/>
        <w:jc w:val="left"/>
      </w:pPr>
      <w:r>
        <w:rPr/>
        <w:br w:type="column"/>
      </w: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spacing w:line="240" w:lineRule="auto" w:before="3"/>
        <w:rPr>
          <w:rFonts w:ascii="宋体" w:hAnsi="宋体" w:cs="宋体" w:eastAsia="宋体" w:hint="default"/>
          <w:sz w:val="22"/>
          <w:szCs w:val="22"/>
        </w:rPr>
      </w:pPr>
    </w:p>
    <w:p>
      <w:pPr>
        <w:pStyle w:val="BodyText"/>
        <w:tabs>
          <w:tab w:pos="5104" w:val="left" w:leader="none"/>
          <w:tab w:pos="6091" w:val="left" w:leader="none"/>
          <w:tab w:pos="7799" w:val="left" w:leader="none"/>
          <w:tab w:pos="8501" w:val="left" w:leader="none"/>
        </w:tabs>
        <w:spacing w:line="240" w:lineRule="auto"/>
        <w:ind w:left="820" w:right="0"/>
        <w:jc w:val="left"/>
        <w:rPr>
          <w:rFonts w:ascii="Arial" w:hAnsi="Arial" w:cs="Arial" w:eastAsia="Arial" w:hint="default"/>
        </w:rPr>
      </w:pPr>
      <w:r>
        <w:rPr>
          <w:position w:val="2"/>
        </w:rPr>
        <w:t>苏宁置业集团有限公司</w:t>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4,295</w:t>
      </w:r>
      <w:r>
        <w:rPr>
          <w:rFonts w:ascii="Arial" w:hAnsi="Arial" w:cs="Arial" w:eastAsia="Arial" w:hint="default"/>
          <w:spacing w:val="-1"/>
        </w:rPr>
        <w:tab/>
      </w:r>
      <w:r>
        <w:rPr>
          <w:rFonts w:ascii="Arial" w:hAnsi="Arial" w:cs="Arial" w:eastAsia="Arial" w:hint="default"/>
          <w:spacing w:val="-1"/>
          <w:u w:val="thick" w:color="000000"/>
        </w:rPr>
        <w:t> </w:t>
        <w:tab/>
        <w:t>6,266</w:t>
        <w:tab/>
      </w:r>
      <w:r>
        <w:rPr>
          <w:rFonts w:ascii="Arial" w:hAnsi="Arial" w:cs="Arial" w:eastAsia="Arial" w:hint="default"/>
          <w:spacing w:val="-1"/>
        </w:rPr>
      </w:r>
    </w:p>
    <w:p>
      <w:pPr>
        <w:spacing w:after="0" w:line="240" w:lineRule="auto"/>
        <w:jc w:val="left"/>
        <w:rPr>
          <w:rFonts w:ascii="Arial" w:hAnsi="Arial" w:cs="Arial" w:eastAsia="Arial" w:hint="default"/>
        </w:rPr>
        <w:sectPr>
          <w:type w:val="continuous"/>
          <w:pgSz w:w="11910" w:h="16840"/>
          <w:pgMar w:top="920" w:bottom="900" w:left="1020" w:right="700"/>
          <w:cols w:num="2" w:equalWidth="0">
            <w:col w:w="1502" w:space="55"/>
            <w:col w:w="8633"/>
          </w:cols>
        </w:sectPr>
      </w:pPr>
    </w:p>
    <w:p>
      <w:pPr>
        <w:spacing w:line="240" w:lineRule="auto" w:before="1"/>
        <w:rPr>
          <w:rFonts w:ascii="Arial" w:hAnsi="Arial" w:cs="Arial" w:eastAsia="Arial" w:hint="default"/>
          <w:sz w:val="21"/>
          <w:szCs w:val="21"/>
        </w:rPr>
      </w:pPr>
    </w:p>
    <w:p>
      <w:pPr>
        <w:spacing w:after="0" w:line="240" w:lineRule="auto"/>
        <w:rPr>
          <w:rFonts w:ascii="Arial" w:hAnsi="Arial" w:cs="Arial" w:eastAsia="Arial" w:hint="default"/>
          <w:sz w:val="21"/>
          <w:szCs w:val="21"/>
        </w:rPr>
        <w:sectPr>
          <w:type w:val="continuous"/>
          <w:pgSz w:w="11910" w:h="16840"/>
          <w:pgMar w:top="920" w:bottom="900" w:left="1020" w:right="700"/>
        </w:sectPr>
      </w:pPr>
    </w:p>
    <w:p>
      <w:pPr>
        <w:pStyle w:val="BodyText"/>
        <w:spacing w:line="240" w:lineRule="auto" w:before="26"/>
        <w:ind w:left="800" w:right="660"/>
        <w:jc w:val="center"/>
      </w:pPr>
      <w:r>
        <w:rPr/>
        <w:t>担保</w:t>
      </w:r>
    </w:p>
    <w:p>
      <w:pPr>
        <w:spacing w:line="240" w:lineRule="auto" w:before="9"/>
        <w:rPr>
          <w:rFonts w:ascii="宋体" w:hAnsi="宋体" w:cs="宋体" w:eastAsia="宋体" w:hint="default"/>
          <w:sz w:val="23"/>
          <w:szCs w:val="23"/>
        </w:rPr>
      </w:pPr>
    </w:p>
    <w:p>
      <w:pPr>
        <w:pStyle w:val="BodyText"/>
        <w:spacing w:line="240" w:lineRule="auto"/>
        <w:ind w:left="820" w:right="-19"/>
        <w:jc w:val="left"/>
      </w:pPr>
      <w:r>
        <w:rPr>
          <w:rFonts w:ascii="Arial" w:hAnsi="Arial" w:cs="Arial" w:eastAsia="Arial" w:hint="default"/>
        </w:rPr>
        <w:t>-</w:t>
      </w:r>
      <w:r>
        <w:rPr>
          <w:rFonts w:ascii="Arial" w:hAnsi="Arial" w:cs="Arial" w:eastAsia="Arial" w:hint="default"/>
          <w:spacing w:val="53"/>
        </w:rPr>
        <w:t> </w:t>
      </w:r>
      <w:r>
        <w:rPr/>
        <w:t>接受担保</w:t>
      </w:r>
    </w:p>
    <w:p>
      <w:pPr>
        <w:spacing w:line="240" w:lineRule="auto" w:before="11"/>
        <w:rPr>
          <w:rFonts w:ascii="宋体" w:hAnsi="宋体" w:cs="宋体" w:eastAsia="宋体" w:hint="default"/>
          <w:sz w:val="25"/>
          <w:szCs w:val="25"/>
        </w:rPr>
      </w:pPr>
      <w:r>
        <w:rPr/>
        <w:br w:type="column"/>
      </w:r>
      <w:r>
        <w:rPr>
          <w:rFonts w:ascii="宋体"/>
          <w:sz w:val="25"/>
        </w:rPr>
      </w:r>
    </w:p>
    <w:p>
      <w:pPr>
        <w:pStyle w:val="BodyText"/>
        <w:tabs>
          <w:tab w:pos="5848" w:val="left" w:leader="none"/>
        </w:tabs>
        <w:spacing w:line="240" w:lineRule="auto"/>
        <w:ind w:left="3153" w:right="0"/>
        <w:jc w:val="left"/>
      </w:pP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spacing w:line="240" w:lineRule="auto" w:before="3"/>
        <w:rPr>
          <w:rFonts w:ascii="宋体" w:hAnsi="宋体" w:cs="宋体" w:eastAsia="宋体" w:hint="default"/>
          <w:sz w:val="22"/>
          <w:szCs w:val="22"/>
        </w:rPr>
      </w:pPr>
    </w:p>
    <w:p>
      <w:pPr>
        <w:pStyle w:val="BodyText"/>
        <w:tabs>
          <w:tab w:pos="5159" w:val="left" w:leader="none"/>
          <w:tab w:pos="5626" w:val="left" w:leader="none"/>
          <w:tab w:pos="7068" w:val="left" w:leader="none"/>
          <w:tab w:pos="8037" w:val="left" w:leader="none"/>
        </w:tabs>
        <w:spacing w:line="240" w:lineRule="auto"/>
        <w:ind w:left="355" w:right="0"/>
        <w:jc w:val="left"/>
        <w:rPr>
          <w:rFonts w:ascii="Arial" w:hAnsi="Arial" w:cs="Arial" w:eastAsia="Arial" w:hint="default"/>
        </w:rPr>
      </w:pPr>
      <w:r>
        <w:rPr>
          <w:position w:val="2"/>
        </w:rPr>
        <w:t>苏宁电器集团有限公司</w:t>
      </w:r>
      <w:r>
        <w:rPr>
          <w:rFonts w:ascii="Arial" w:hAnsi="Arial" w:cs="Arial" w:eastAsia="Arial" w:hint="default"/>
        </w:rPr>
      </w:r>
      <w:r>
        <w:rPr>
          <w:rFonts w:ascii="Arial" w:hAnsi="Arial" w:cs="Arial" w:eastAsia="Arial" w:hint="default"/>
          <w:u w:val="thick" w:color="000000"/>
        </w:rPr>
        <w:t> </w:t>
        <w:tab/>
        <w:t>-</w:t>
      </w:r>
      <w:r>
        <w:rPr>
          <w:rFonts w:ascii="Arial" w:hAnsi="Arial" w:cs="Arial" w:eastAsia="Arial" w:hint="default"/>
        </w:rPr>
        <w:tab/>
      </w:r>
      <w:r>
        <w:rPr>
          <w:rFonts w:ascii="Arial" w:hAnsi="Arial" w:cs="Arial" w:eastAsia="Arial" w:hint="default"/>
          <w:u w:val="thick" w:color="000000"/>
        </w:rPr>
        <w:t> </w:t>
        <w:tab/>
        <w:t>706,733</w:t>
        <w:tab/>
      </w:r>
      <w:r>
        <w:rPr>
          <w:rFonts w:ascii="Arial" w:hAnsi="Arial" w:cs="Arial" w:eastAsia="Arial" w:hint="default"/>
        </w:rPr>
      </w:r>
    </w:p>
    <w:p>
      <w:pPr>
        <w:spacing w:after="0" w:line="240" w:lineRule="auto"/>
        <w:jc w:val="left"/>
        <w:rPr>
          <w:rFonts w:ascii="Arial" w:hAnsi="Arial" w:cs="Arial" w:eastAsia="Arial" w:hint="default"/>
        </w:rPr>
        <w:sectPr>
          <w:type w:val="continuous"/>
          <w:pgSz w:w="11910" w:h="16840"/>
          <w:pgMar w:top="920" w:bottom="900" w:left="1020" w:right="700"/>
          <w:cols w:num="2" w:equalWidth="0">
            <w:col w:w="1982" w:space="40"/>
            <w:col w:w="8168"/>
          </w:cols>
        </w:sectPr>
      </w:pPr>
    </w:p>
    <w:p>
      <w:pPr>
        <w:spacing w:line="240" w:lineRule="auto" w:before="1"/>
        <w:rPr>
          <w:rFonts w:ascii="Arial" w:hAnsi="Arial" w:cs="Arial" w:eastAsia="Arial" w:hint="default"/>
          <w:sz w:val="21"/>
          <w:szCs w:val="21"/>
        </w:rPr>
      </w:pPr>
    </w:p>
    <w:p>
      <w:pPr>
        <w:pStyle w:val="Heading2"/>
        <w:tabs>
          <w:tab w:pos="820" w:val="left" w:leader="none"/>
        </w:tabs>
        <w:spacing w:line="240" w:lineRule="auto"/>
        <w:ind w:right="104"/>
        <w:jc w:val="left"/>
        <w:rPr>
          <w:b w:val="0"/>
          <w:bCs w:val="0"/>
        </w:rPr>
      </w:pPr>
      <w:r>
        <w:rPr>
          <w:w w:val="95"/>
        </w:rPr>
        <w:t>七</w:t>
        <w:tab/>
      </w:r>
      <w:r>
        <w:rPr/>
        <w:t>或有事项</w:t>
      </w:r>
      <w:r>
        <w:rPr>
          <w:b w:val="0"/>
          <w:bCs w:val="0"/>
        </w:rPr>
      </w:r>
    </w:p>
    <w:p>
      <w:pPr>
        <w:spacing w:line="240" w:lineRule="auto" w:before="12"/>
        <w:rPr>
          <w:rFonts w:ascii="宋体" w:hAnsi="宋体" w:cs="宋体" w:eastAsia="宋体" w:hint="default"/>
          <w:b/>
          <w:bCs/>
          <w:sz w:val="20"/>
          <w:szCs w:val="20"/>
        </w:rPr>
      </w:pPr>
    </w:p>
    <w:p>
      <w:pPr>
        <w:pStyle w:val="BodyText"/>
        <w:tabs>
          <w:tab w:pos="820" w:val="left" w:leader="none"/>
        </w:tabs>
        <w:spacing w:line="427" w:lineRule="auto"/>
        <w:ind w:left="107" w:right="3913" w:firstLine="712"/>
        <w:jc w:val="left"/>
        <w:rPr>
          <w:rFonts w:ascii="宋体" w:hAnsi="宋体" w:cs="宋体" w:eastAsia="宋体" w:hint="default"/>
        </w:rPr>
      </w:pPr>
      <w:r>
        <w:rPr/>
        <w:t>于 </w:t>
      </w:r>
      <w:r>
        <w:rPr>
          <w:rFonts w:ascii="Arial" w:hAnsi="Arial" w:cs="Arial" w:eastAsia="Arial" w:hint="default"/>
        </w:rPr>
        <w:t>2010 </w:t>
      </w:r>
      <w:r>
        <w:rPr/>
        <w:t>年 </w:t>
      </w:r>
      <w:r>
        <w:rPr>
          <w:rFonts w:ascii="Arial" w:hAnsi="Arial" w:cs="Arial" w:eastAsia="Arial" w:hint="default"/>
        </w:rPr>
        <w:t>12 </w:t>
      </w:r>
      <w:r>
        <w:rPr/>
        <w:t>月 </w:t>
      </w:r>
      <w:r>
        <w:rPr>
          <w:rFonts w:ascii="Arial" w:hAnsi="Arial" w:cs="Arial" w:eastAsia="Arial" w:hint="default"/>
        </w:rPr>
        <w:t>31</w:t>
      </w:r>
      <w:r>
        <w:rPr>
          <w:rFonts w:ascii="Arial" w:hAnsi="Arial" w:cs="Arial" w:eastAsia="Arial" w:hint="default"/>
          <w:spacing w:val="-24"/>
        </w:rPr>
        <w:t> </w:t>
      </w:r>
      <w:r>
        <w:rPr/>
        <w:t>日，本集团无重大或有事项。 </w:t>
      </w:r>
      <w:r>
        <w:rPr>
          <w:rFonts w:ascii="宋体" w:hAnsi="宋体" w:cs="宋体" w:eastAsia="宋体" w:hint="default"/>
          <w:b/>
          <w:bCs/>
          <w:w w:val="95"/>
        </w:rPr>
        <w:t>八</w:t>
        <w:tab/>
      </w:r>
      <w:r>
        <w:rPr>
          <w:rFonts w:ascii="宋体" w:hAnsi="宋体" w:cs="宋体" w:eastAsia="宋体" w:hint="default"/>
          <w:b/>
          <w:bCs/>
        </w:rPr>
        <w:t>承诺事项</w:t>
      </w:r>
      <w:r>
        <w:rPr>
          <w:rFonts w:ascii="宋体" w:hAnsi="宋体" w:cs="宋体" w:eastAsia="宋体" w:hint="default"/>
        </w:rPr>
      </w:r>
    </w:p>
    <w:p>
      <w:pPr>
        <w:pStyle w:val="BodyText"/>
        <w:tabs>
          <w:tab w:pos="820" w:val="left" w:leader="none"/>
        </w:tabs>
        <w:spacing w:line="448" w:lineRule="auto" w:before="86"/>
        <w:ind w:left="820" w:right="104" w:hanging="713"/>
        <w:jc w:val="left"/>
      </w:pPr>
      <w:r>
        <w:rPr>
          <w:rFonts w:ascii="Arial" w:hAnsi="Arial" w:cs="Arial" w:eastAsia="Arial" w:hint="default"/>
          <w:w w:val="95"/>
          <w:position w:val="2"/>
        </w:rPr>
        <w:t>(1)</w:t>
        <w:tab/>
      </w:r>
      <w:r>
        <w:rPr>
          <w:rFonts w:ascii="宋体" w:hAnsi="宋体" w:cs="宋体" w:eastAsia="宋体" w:hint="default"/>
          <w:b/>
          <w:bCs/>
        </w:rPr>
        <w:t>资本性支出承诺事项</w:t>
      </w:r>
      <w:r>
        <w:rPr>
          <w:rFonts w:ascii="宋体" w:hAnsi="宋体" w:cs="宋体" w:eastAsia="宋体" w:hint="default"/>
          <w:b/>
          <w:bCs/>
          <w:w w:val="99"/>
        </w:rPr>
        <w:t> </w:t>
      </w:r>
      <w:r>
        <w:rPr>
          <w:spacing w:val="-3"/>
        </w:rPr>
        <w:t>以下为本集团于资产负债表日，已签约而尚不必在资产负债表上列示的资本性支出承诺：</w:t>
      </w:r>
    </w:p>
    <w:p>
      <w:pPr>
        <w:pStyle w:val="BodyText"/>
        <w:tabs>
          <w:tab w:pos="7869" w:val="left" w:leader="none"/>
        </w:tabs>
        <w:spacing w:line="240" w:lineRule="auto" w:before="65"/>
        <w:ind w:left="5222" w:right="104"/>
        <w:jc w:val="left"/>
      </w:pP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spacing w:line="240" w:lineRule="auto" w:before="6"/>
        <w:rPr>
          <w:rFonts w:ascii="宋体" w:hAnsi="宋体" w:cs="宋体" w:eastAsia="宋体" w:hint="default"/>
          <w:sz w:val="19"/>
          <w:szCs w:val="19"/>
        </w:rPr>
      </w:pPr>
    </w:p>
    <w:p>
      <w:pPr>
        <w:pStyle w:val="BodyText"/>
        <w:tabs>
          <w:tab w:pos="4852" w:val="left" w:leader="none"/>
          <w:tab w:pos="6415" w:val="left" w:leader="none"/>
          <w:tab w:pos="7640" w:val="left" w:leader="none"/>
          <w:tab w:pos="9038" w:val="left" w:leader="none"/>
          <w:tab w:pos="10065" w:val="left" w:leader="none"/>
        </w:tabs>
        <w:spacing w:line="240" w:lineRule="auto"/>
        <w:ind w:left="820" w:right="104"/>
        <w:jc w:val="left"/>
        <w:rPr>
          <w:rFonts w:ascii="Arial" w:hAnsi="Arial" w:cs="Arial" w:eastAsia="Arial" w:hint="default"/>
        </w:rPr>
      </w:pPr>
      <w:r>
        <w:rPr>
          <w:position w:val="2"/>
        </w:rPr>
        <w:t>房屋、建筑物及机器设备</w:t>
        <w:tab/>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271,914</w:t>
      </w:r>
      <w:r>
        <w:rPr>
          <w:rFonts w:ascii="Arial" w:hAnsi="Arial" w:cs="Arial" w:eastAsia="Arial" w:hint="default"/>
          <w:spacing w:val="-1"/>
        </w:rPr>
        <w:tab/>
      </w:r>
      <w:r>
        <w:rPr>
          <w:rFonts w:ascii="Arial" w:hAnsi="Arial" w:cs="Arial" w:eastAsia="Arial" w:hint="default"/>
          <w:spacing w:val="-1"/>
          <w:u w:val="thick" w:color="000000"/>
        </w:rPr>
        <w:t> </w:t>
        <w:tab/>
        <w:t>265,415</w:t>
        <w:tab/>
      </w:r>
      <w:r>
        <w:rPr>
          <w:rFonts w:ascii="Arial" w:hAnsi="Arial" w:cs="Arial" w:eastAsia="Arial" w:hint="default"/>
          <w:spacing w:val="-1"/>
        </w:rPr>
      </w:r>
    </w:p>
    <w:p>
      <w:pPr>
        <w:spacing w:after="0" w:line="240" w:lineRule="auto"/>
        <w:jc w:val="left"/>
        <w:rPr>
          <w:rFonts w:ascii="Arial" w:hAnsi="Arial" w:cs="Arial" w:eastAsia="Arial" w:hint="default"/>
        </w:rPr>
        <w:sectPr>
          <w:type w:val="continuous"/>
          <w:pgSz w:w="11910" w:h="16840"/>
          <w:pgMar w:top="920" w:bottom="900" w:left="1020" w:right="700"/>
        </w:sectPr>
      </w:pPr>
    </w:p>
    <w:p>
      <w:pPr>
        <w:spacing w:line="240" w:lineRule="auto" w:before="4"/>
        <w:rPr>
          <w:rFonts w:ascii="Arial" w:hAnsi="Arial" w:cs="Arial" w:eastAsia="Arial" w:hint="default"/>
          <w:sz w:val="15"/>
          <w:szCs w:val="15"/>
        </w:rPr>
      </w:pPr>
    </w:p>
    <w:p>
      <w:pPr>
        <w:pStyle w:val="Heading2"/>
        <w:tabs>
          <w:tab w:pos="860" w:val="left" w:leader="none"/>
        </w:tabs>
        <w:spacing w:line="240" w:lineRule="auto"/>
        <w:ind w:left="147" w:right="0"/>
        <w:jc w:val="left"/>
        <w:rPr>
          <w:rFonts w:ascii="Arial" w:hAnsi="Arial" w:cs="Arial" w:eastAsia="Arial" w:hint="default"/>
          <w:b w:val="0"/>
          <w:bCs w:val="0"/>
        </w:rPr>
      </w:pPr>
      <w:r>
        <w:rPr>
          <w:w w:val="95"/>
        </w:rPr>
        <w:t>八</w:t>
        <w:tab/>
      </w:r>
      <w:r>
        <w:rPr/>
        <w:t>承诺事项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60" w:val="left" w:leader="none"/>
        </w:tabs>
        <w:spacing w:line="448" w:lineRule="auto" w:before="0"/>
        <w:ind w:left="860" w:right="1941" w:hanging="713"/>
        <w:jc w:val="left"/>
        <w:rPr>
          <w:rFonts w:ascii="宋体" w:hAnsi="宋体" w:cs="宋体" w:eastAsia="宋体" w:hint="default"/>
          <w:sz w:val="24"/>
          <w:szCs w:val="24"/>
        </w:rPr>
      </w:pPr>
      <w:r>
        <w:rPr>
          <w:rFonts w:ascii="Arial" w:hAnsi="Arial" w:cs="Arial" w:eastAsia="Arial" w:hint="default"/>
          <w:w w:val="95"/>
          <w:position w:val="2"/>
          <w:sz w:val="24"/>
          <w:szCs w:val="24"/>
        </w:rPr>
        <w:t>(2)</w:t>
        <w:tab/>
      </w:r>
      <w:r>
        <w:rPr>
          <w:rFonts w:ascii="宋体" w:hAnsi="宋体" w:cs="宋体" w:eastAsia="宋体" w:hint="default"/>
          <w:b/>
          <w:bCs/>
          <w:sz w:val="24"/>
          <w:szCs w:val="24"/>
        </w:rPr>
        <w:t>经营租赁承诺事项</w:t>
      </w:r>
      <w:r>
        <w:rPr>
          <w:rFonts w:ascii="宋体" w:hAnsi="宋体" w:cs="宋体" w:eastAsia="宋体" w:hint="default"/>
          <w:b/>
          <w:bCs/>
          <w:w w:val="99"/>
          <w:sz w:val="24"/>
          <w:szCs w:val="24"/>
        </w:rPr>
        <w:t> </w:t>
      </w:r>
      <w:r>
        <w:rPr>
          <w:rFonts w:ascii="宋体" w:hAnsi="宋体" w:cs="宋体" w:eastAsia="宋体" w:hint="default"/>
          <w:sz w:val="24"/>
          <w:szCs w:val="24"/>
        </w:rPr>
        <w:t>根据已签订的经营性租赁合同，本集团未来最低应支付租金汇总如下：</w:t>
      </w:r>
    </w:p>
    <w:p>
      <w:pPr>
        <w:spacing w:line="240" w:lineRule="auto" w:before="13"/>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39"/>
        <w:gridCol w:w="2953"/>
        <w:gridCol w:w="3734"/>
        <w:gridCol w:w="2806"/>
      </w:tblGrid>
      <w:tr>
        <w:trPr>
          <w:trHeight w:val="979" w:hRule="exact"/>
        </w:trPr>
        <w:tc>
          <w:tcPr>
            <w:tcW w:w="539" w:type="dxa"/>
            <w:vMerge w:val="restart"/>
            <w:tcBorders>
              <w:top w:val="nil" w:sz="6" w:space="0" w:color="auto"/>
              <w:left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3"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373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91"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210" w:right="0"/>
              <w:jc w:val="left"/>
              <w:rPr>
                <w:rFonts w:ascii="Arial" w:hAnsi="Arial" w:cs="Arial" w:eastAsia="Arial" w:hint="default"/>
                <w:sz w:val="24"/>
                <w:szCs w:val="24"/>
              </w:rPr>
            </w:pPr>
            <w:r>
              <w:rPr>
                <w:rFonts w:ascii="Arial"/>
                <w:sz w:val="24"/>
              </w:rPr>
              <w:t>4,759,695</w:t>
            </w:r>
          </w:p>
        </w:tc>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76" w:right="0"/>
              <w:jc w:val="lef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594" w:right="0"/>
              <w:jc w:val="left"/>
              <w:rPr>
                <w:rFonts w:ascii="Arial" w:hAnsi="Arial" w:cs="Arial" w:eastAsia="Arial" w:hint="default"/>
                <w:sz w:val="24"/>
                <w:szCs w:val="24"/>
              </w:rPr>
            </w:pPr>
            <w:r>
              <w:rPr>
                <w:rFonts w:ascii="Arial"/>
                <w:sz w:val="24"/>
              </w:rPr>
              <w:t>1,994,600</w:t>
            </w:r>
          </w:p>
        </w:tc>
      </w:tr>
      <w:tr>
        <w:trPr>
          <w:trHeight w:val="312" w:hRule="exact"/>
        </w:trPr>
        <w:tc>
          <w:tcPr>
            <w:tcW w:w="539" w:type="dxa"/>
            <w:vMerge/>
            <w:tcBorders>
              <w:left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Style w:val="TableParagraph"/>
              <w:spacing w:line="261" w:lineRule="exact"/>
              <w:ind w:left="213"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373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55"/>
              <w:jc w:val="right"/>
              <w:rPr>
                <w:rFonts w:ascii="Arial" w:hAnsi="Arial" w:cs="Arial" w:eastAsia="Arial" w:hint="default"/>
                <w:sz w:val="24"/>
                <w:szCs w:val="24"/>
              </w:rPr>
            </w:pPr>
            <w:r>
              <w:rPr>
                <w:rFonts w:ascii="Arial"/>
                <w:spacing w:val="-1"/>
                <w:w w:val="95"/>
                <w:sz w:val="24"/>
              </w:rPr>
              <w:t>5,805,139</w:t>
            </w:r>
            <w:r>
              <w:rPr>
                <w:rFonts w:ascii="Arial"/>
                <w:sz w:val="24"/>
              </w:rPr>
            </w:r>
          </w:p>
        </w:tc>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2"/>
              <w:jc w:val="right"/>
              <w:rPr>
                <w:rFonts w:ascii="Arial" w:hAnsi="Arial" w:cs="Arial" w:eastAsia="Arial" w:hint="default"/>
                <w:sz w:val="24"/>
                <w:szCs w:val="24"/>
              </w:rPr>
            </w:pPr>
            <w:r>
              <w:rPr>
                <w:rFonts w:ascii="Arial"/>
                <w:spacing w:val="-1"/>
                <w:w w:val="95"/>
                <w:sz w:val="24"/>
              </w:rPr>
              <w:t>2,058,318</w:t>
            </w:r>
            <w:r>
              <w:rPr>
                <w:rFonts w:ascii="Arial"/>
                <w:sz w:val="24"/>
              </w:rPr>
            </w:r>
          </w:p>
        </w:tc>
      </w:tr>
      <w:tr>
        <w:trPr>
          <w:trHeight w:val="312" w:hRule="exact"/>
        </w:trPr>
        <w:tc>
          <w:tcPr>
            <w:tcW w:w="539" w:type="dxa"/>
            <w:vMerge/>
            <w:tcBorders>
              <w:left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Style w:val="TableParagraph"/>
              <w:spacing w:line="261" w:lineRule="exact"/>
              <w:ind w:left="213"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373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55"/>
              <w:jc w:val="right"/>
              <w:rPr>
                <w:rFonts w:ascii="Arial" w:hAnsi="Arial" w:cs="Arial" w:eastAsia="Arial" w:hint="default"/>
                <w:sz w:val="24"/>
                <w:szCs w:val="24"/>
              </w:rPr>
            </w:pPr>
            <w:r>
              <w:rPr>
                <w:rFonts w:ascii="Arial"/>
                <w:spacing w:val="-1"/>
                <w:w w:val="95"/>
                <w:sz w:val="24"/>
              </w:rPr>
              <w:t>2,622,029</w:t>
            </w:r>
            <w:r>
              <w:rPr>
                <w:rFonts w:ascii="Arial"/>
                <w:sz w:val="24"/>
              </w:rPr>
            </w:r>
          </w:p>
        </w:tc>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2"/>
              <w:jc w:val="right"/>
              <w:rPr>
                <w:rFonts w:ascii="Arial" w:hAnsi="Arial" w:cs="Arial" w:eastAsia="Arial" w:hint="default"/>
                <w:sz w:val="24"/>
                <w:szCs w:val="24"/>
              </w:rPr>
            </w:pPr>
            <w:r>
              <w:rPr>
                <w:rFonts w:ascii="Arial"/>
                <w:spacing w:val="-1"/>
                <w:w w:val="95"/>
                <w:sz w:val="24"/>
              </w:rPr>
              <w:t>2,015,406</w:t>
            </w:r>
            <w:r>
              <w:rPr>
                <w:rFonts w:ascii="Arial"/>
                <w:sz w:val="24"/>
              </w:rPr>
            </w:r>
          </w:p>
        </w:tc>
      </w:tr>
      <w:tr>
        <w:trPr>
          <w:trHeight w:val="314" w:hRule="exact"/>
        </w:trPr>
        <w:tc>
          <w:tcPr>
            <w:tcW w:w="539" w:type="dxa"/>
            <w:vMerge/>
            <w:tcBorders>
              <w:left w:val="nil" w:sz="6" w:space="0" w:color="auto"/>
              <w:bottom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Style w:val="TableParagraph"/>
              <w:spacing w:line="261" w:lineRule="exact"/>
              <w:ind w:left="213" w:right="0"/>
              <w:jc w:val="left"/>
              <w:rPr>
                <w:rFonts w:ascii="宋体" w:hAnsi="宋体" w:cs="宋体" w:eastAsia="宋体" w:hint="default"/>
                <w:sz w:val="24"/>
                <w:szCs w:val="24"/>
              </w:rPr>
            </w:pPr>
            <w:r>
              <w:rPr>
                <w:rFonts w:ascii="宋体" w:hAnsi="宋体" w:cs="宋体" w:eastAsia="宋体" w:hint="default"/>
                <w:sz w:val="24"/>
                <w:szCs w:val="24"/>
              </w:rPr>
              <w:t>三年以上</w:t>
            </w:r>
          </w:p>
        </w:tc>
        <w:tc>
          <w:tcPr>
            <w:tcW w:w="3734" w:type="dxa"/>
            <w:tcBorders>
              <w:top w:val="nil" w:sz="6" w:space="0" w:color="auto"/>
              <w:left w:val="nil" w:sz="6" w:space="0" w:color="auto"/>
              <w:bottom w:val="nil" w:sz="6" w:space="0" w:color="auto"/>
              <w:right w:val="nil" w:sz="6" w:space="0" w:color="auto"/>
            </w:tcBorders>
          </w:tcPr>
          <w:p>
            <w:pPr>
              <w:pStyle w:val="TableParagraph"/>
              <w:tabs>
                <w:tab w:pos="1249" w:val="left" w:leader="none"/>
                <w:tab w:pos="2551" w:val="left" w:leader="none"/>
              </w:tabs>
              <w:spacing w:line="240" w:lineRule="auto" w:before="20"/>
              <w:ind w:right="35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15,125,166</w:t>
              <w:tab/>
            </w:r>
            <w:r>
              <w:rPr>
                <w:rFonts w:ascii="Arial"/>
                <w:spacing w:val="-1"/>
                <w:sz w:val="24"/>
              </w:rPr>
            </w:r>
          </w:p>
        </w:tc>
        <w:tc>
          <w:tcPr>
            <w:tcW w:w="2806" w:type="dxa"/>
            <w:tcBorders>
              <w:top w:val="nil" w:sz="6" w:space="0" w:color="auto"/>
              <w:left w:val="nil" w:sz="6" w:space="0" w:color="auto"/>
              <w:bottom w:val="nil" w:sz="6" w:space="0" w:color="auto"/>
              <w:right w:val="nil" w:sz="6" w:space="0" w:color="auto"/>
            </w:tcBorders>
          </w:tcPr>
          <w:p>
            <w:pPr>
              <w:pStyle w:val="TableParagraph"/>
              <w:tabs>
                <w:tab w:pos="1239" w:val="left" w:leader="none"/>
                <w:tab w:pos="2408" w:val="left" w:leader="none"/>
              </w:tabs>
              <w:spacing w:line="240" w:lineRule="auto" w:before="20"/>
              <w:ind w:right="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9,310,409</w:t>
              <w:tab/>
            </w:r>
            <w:r>
              <w:rPr>
                <w:rFonts w:ascii="Arial"/>
                <w:spacing w:val="-1"/>
                <w:sz w:val="24"/>
              </w:rPr>
            </w:r>
          </w:p>
        </w:tc>
      </w:tr>
      <w:tr>
        <w:trPr>
          <w:trHeight w:val="417" w:hRule="exact"/>
        </w:trPr>
        <w:tc>
          <w:tcPr>
            <w:tcW w:w="539" w:type="dxa"/>
            <w:tcBorders>
              <w:top w:val="nil" w:sz="6" w:space="0" w:color="auto"/>
              <w:left w:val="nil" w:sz="6" w:space="0" w:color="auto"/>
              <w:bottom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
        </w:tc>
        <w:tc>
          <w:tcPr>
            <w:tcW w:w="3734" w:type="dxa"/>
            <w:tcBorders>
              <w:top w:val="nil" w:sz="6" w:space="0" w:color="auto"/>
              <w:left w:val="nil" w:sz="6" w:space="0" w:color="auto"/>
              <w:bottom w:val="nil" w:sz="6" w:space="0" w:color="auto"/>
              <w:right w:val="nil" w:sz="6" w:space="0" w:color="auto"/>
            </w:tcBorders>
          </w:tcPr>
          <w:p>
            <w:pPr>
              <w:pStyle w:val="TableParagraph"/>
              <w:tabs>
                <w:tab w:pos="1256" w:val="left" w:leader="none"/>
                <w:tab w:pos="2565" w:val="left" w:leader="none"/>
              </w:tabs>
              <w:spacing w:line="268" w:lineRule="exact"/>
              <w:ind w:right="346"/>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28,312,029</w:t>
              <w:tab/>
            </w:r>
            <w:r>
              <w:rPr>
                <w:rFonts w:ascii="Arial"/>
                <w:spacing w:val="-1"/>
                <w:sz w:val="24"/>
              </w:rPr>
            </w:r>
          </w:p>
        </w:tc>
        <w:tc>
          <w:tcPr>
            <w:tcW w:w="2806" w:type="dxa"/>
            <w:tcBorders>
              <w:top w:val="nil" w:sz="6" w:space="0" w:color="auto"/>
              <w:left w:val="nil" w:sz="6" w:space="0" w:color="auto"/>
              <w:bottom w:val="nil" w:sz="6" w:space="0" w:color="auto"/>
              <w:right w:val="nil" w:sz="6" w:space="0" w:color="auto"/>
            </w:tcBorders>
          </w:tcPr>
          <w:p>
            <w:pPr>
              <w:pStyle w:val="TableParagraph"/>
              <w:tabs>
                <w:tab w:pos="1113" w:val="left" w:leader="none"/>
                <w:tab w:pos="2422"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15,378,733</w:t>
              <w:tab/>
            </w:r>
            <w:r>
              <w:rPr>
                <w:rFonts w:ascii="Arial"/>
                <w:spacing w:val="-1"/>
                <w:sz w:val="24"/>
              </w:rPr>
            </w:r>
          </w:p>
        </w:tc>
      </w:tr>
      <w:tr>
        <w:trPr>
          <w:trHeight w:val="500" w:hRule="exact"/>
        </w:trPr>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Arial" w:hAnsi="Arial" w:cs="Arial" w:eastAsia="Arial" w:hint="default"/>
                <w:sz w:val="24"/>
                <w:szCs w:val="24"/>
              </w:rPr>
            </w:pPr>
            <w:r>
              <w:rPr>
                <w:rFonts w:ascii="Arial"/>
                <w:sz w:val="24"/>
              </w:rPr>
              <w:t>(3)</w:t>
            </w:r>
          </w:p>
        </w:tc>
        <w:tc>
          <w:tcPr>
            <w:tcW w:w="295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9" w:right="0"/>
              <w:jc w:val="left"/>
              <w:rPr>
                <w:rFonts w:ascii="宋体" w:hAnsi="宋体" w:cs="宋体" w:eastAsia="宋体" w:hint="default"/>
                <w:sz w:val="24"/>
                <w:szCs w:val="24"/>
              </w:rPr>
            </w:pPr>
            <w:r>
              <w:rPr>
                <w:rFonts w:ascii="宋体" w:hAnsi="宋体" w:cs="宋体" w:eastAsia="宋体" w:hint="default"/>
                <w:b/>
                <w:bCs/>
                <w:sz w:val="24"/>
                <w:szCs w:val="24"/>
              </w:rPr>
              <w:t>前期承诺履行情况</w:t>
            </w:r>
            <w:r>
              <w:rPr>
                <w:rFonts w:ascii="宋体" w:hAnsi="宋体" w:cs="宋体" w:eastAsia="宋体" w:hint="default"/>
                <w:sz w:val="24"/>
                <w:szCs w:val="24"/>
              </w:rPr>
            </w:r>
          </w:p>
        </w:tc>
        <w:tc>
          <w:tcPr>
            <w:tcW w:w="3734"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11"/>
          <w:szCs w:val="11"/>
        </w:rPr>
      </w:pPr>
    </w:p>
    <w:p>
      <w:pPr>
        <w:pStyle w:val="BodyText"/>
        <w:tabs>
          <w:tab w:pos="855" w:val="left" w:leader="none"/>
        </w:tabs>
        <w:spacing w:line="400" w:lineRule="auto" w:before="26"/>
        <w:ind w:left="143" w:right="517" w:firstLine="714"/>
        <w:jc w:val="left"/>
        <w:rPr>
          <w:rFonts w:ascii="宋体" w:hAnsi="宋体" w:cs="宋体" w:eastAsia="宋体" w:hint="default"/>
        </w:rPr>
      </w:pPr>
      <w:r>
        <w:rPr/>
        <w:t>本集团</w:t>
      </w:r>
      <w:r>
        <w:rPr>
          <w:spacing w:val="-61"/>
        </w:rPr>
        <w:t> </w:t>
      </w:r>
      <w:r>
        <w:rPr>
          <w:rFonts w:ascii="Arial" w:hAnsi="Arial" w:cs="Arial" w:eastAsia="Arial" w:hint="default"/>
        </w:rPr>
        <w:t>2009</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0"/>
        </w:rPr>
        <w:t> </w:t>
      </w:r>
      <w:r>
        <w:rPr>
          <w:rFonts w:ascii="Arial" w:hAnsi="Arial" w:cs="Arial" w:eastAsia="Arial" w:hint="default"/>
        </w:rPr>
        <w:t>31</w:t>
      </w:r>
      <w:r>
        <w:rPr>
          <w:rFonts w:ascii="Arial" w:hAnsi="Arial" w:cs="Arial" w:eastAsia="Arial" w:hint="default"/>
          <w:spacing w:val="-8"/>
        </w:rPr>
        <w:t> </w:t>
      </w:r>
      <w:r>
        <w:rPr/>
        <w:t>日之资本性支出承诺及经营租赁承诺已按照之前承诺履行。 </w:t>
      </w:r>
      <w:r>
        <w:rPr>
          <w:rFonts w:ascii="宋体" w:hAnsi="宋体" w:cs="宋体" w:eastAsia="宋体" w:hint="default"/>
          <w:b/>
          <w:bCs/>
          <w:w w:val="95"/>
        </w:rPr>
        <w:t>九</w:t>
        <w:tab/>
      </w:r>
      <w:r>
        <w:rPr>
          <w:rFonts w:ascii="宋体" w:hAnsi="宋体" w:cs="宋体" w:eastAsia="宋体" w:hint="default"/>
          <w:b/>
          <w:bCs/>
        </w:rPr>
        <w:t>资产负债表日后事项</w:t>
      </w:r>
      <w:r>
        <w:rPr>
          <w:rFonts w:ascii="宋体" w:hAnsi="宋体" w:cs="宋体" w:eastAsia="宋体" w:hint="default"/>
        </w:rPr>
      </w:r>
    </w:p>
    <w:p>
      <w:pPr>
        <w:tabs>
          <w:tab w:pos="855" w:val="left" w:leader="none"/>
        </w:tabs>
        <w:spacing w:before="113"/>
        <w:ind w:left="143"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(1)</w:t>
        <w:tab/>
      </w:r>
      <w:r>
        <w:rPr>
          <w:rFonts w:ascii="宋体" w:hAnsi="宋体" w:cs="宋体" w:eastAsia="宋体" w:hint="default"/>
          <w:b/>
          <w:bCs/>
          <w:sz w:val="24"/>
          <w:szCs w:val="24"/>
        </w:rPr>
        <w:t>重要的资产负债表日后事项说明</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55" w:footer="947" w:top="2300" w:bottom="1140" w:left="980" w:right="680"/>
        </w:sectPr>
      </w:pPr>
    </w:p>
    <w:p>
      <w:pPr>
        <w:spacing w:line="240" w:lineRule="auto" w:before="11"/>
        <w:rPr>
          <w:rFonts w:ascii="宋体" w:hAnsi="宋体" w:cs="宋体" w:eastAsia="宋体" w:hint="default"/>
          <w:b/>
          <w:bCs/>
          <w:sz w:val="25"/>
          <w:szCs w:val="25"/>
        </w:rPr>
      </w:pPr>
    </w:p>
    <w:p>
      <w:pPr>
        <w:pStyle w:val="BodyText"/>
        <w:tabs>
          <w:tab w:pos="5186" w:val="left" w:leader="none"/>
        </w:tabs>
        <w:spacing w:line="240" w:lineRule="auto"/>
        <w:ind w:left="856" w:right="-20"/>
        <w:jc w:val="left"/>
      </w:pPr>
      <w:r>
        <w:rPr/>
        <w:t>项目</w:t>
        <w:tab/>
        <w:t>内容</w:t>
      </w:r>
    </w:p>
    <w:p>
      <w:pPr>
        <w:pStyle w:val="BodyText"/>
        <w:spacing w:line="312" w:lineRule="exact" w:before="56"/>
        <w:ind w:left="267" w:right="-20"/>
        <w:jc w:val="left"/>
      </w:pPr>
      <w:r>
        <w:rPr/>
        <w:br w:type="column"/>
      </w:r>
      <w:r>
        <w:rPr/>
        <w:t>对财务状况和经 营成果的影响数</w:t>
      </w:r>
    </w:p>
    <w:p>
      <w:pPr>
        <w:pStyle w:val="BodyText"/>
        <w:spacing w:line="313" w:lineRule="exact" w:before="26"/>
        <w:ind w:left="186" w:right="0"/>
        <w:jc w:val="left"/>
      </w:pPr>
      <w:r>
        <w:rPr/>
        <w:br w:type="column"/>
      </w:r>
      <w:r>
        <w:rPr/>
        <w:t>无法估计影响数的</w:t>
      </w:r>
    </w:p>
    <w:p>
      <w:pPr>
        <w:pStyle w:val="BodyText"/>
        <w:spacing w:line="313" w:lineRule="exact"/>
        <w:ind w:left="1626" w:right="0"/>
        <w:jc w:val="left"/>
      </w:pPr>
      <w:r>
        <w:rPr/>
        <w:t>原因</w:t>
      </w:r>
    </w:p>
    <w:p>
      <w:pPr>
        <w:spacing w:after="0" w:line="313" w:lineRule="exact"/>
        <w:jc w:val="left"/>
        <w:sectPr>
          <w:type w:val="continuous"/>
          <w:pgSz w:w="11910" w:h="16840"/>
          <w:pgMar w:top="920" w:bottom="900" w:left="980" w:right="680"/>
          <w:cols w:num="3" w:equalWidth="0">
            <w:col w:w="5667" w:space="40"/>
            <w:col w:w="1948" w:space="40"/>
            <w:col w:w="2555"/>
          </w:cols>
        </w:sectPr>
      </w:pP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920" w:bottom="900" w:left="980" w:right="680"/>
        </w:sectPr>
      </w:pPr>
    </w:p>
    <w:p>
      <w:pPr>
        <w:pStyle w:val="BodyText"/>
        <w:spacing w:line="313" w:lineRule="exact" w:before="26"/>
        <w:ind w:left="856" w:right="-19"/>
        <w:jc w:val="left"/>
      </w:pPr>
      <w:r>
        <w:rPr/>
        <w:t>偿还应付款项</w:t>
      </w:r>
    </w:p>
    <w:p>
      <w:pPr>
        <w:pStyle w:val="BodyText"/>
        <w:spacing w:line="321" w:lineRule="exact"/>
        <w:ind w:left="1216" w:right="-19"/>
        <w:jc w:val="left"/>
        <w:rPr>
          <w:rFonts w:ascii="Arial" w:hAnsi="Arial" w:cs="Arial" w:eastAsia="Arial" w:hint="default"/>
        </w:rPr>
      </w:pPr>
      <w:r>
        <w:rPr>
          <w:rFonts w:ascii="Arial" w:hAnsi="Arial" w:cs="Arial" w:eastAsia="Arial" w:hint="default"/>
        </w:rPr>
        <w:t>(</w:t>
      </w:r>
      <w:r>
        <w:rPr/>
        <w:t>附注五</w:t>
      </w:r>
      <w:r>
        <w:rPr>
          <w:rFonts w:ascii="Arial" w:hAnsi="Arial" w:cs="Arial" w:eastAsia="Arial" w:hint="default"/>
        </w:rPr>
        <w:t>(22)(c))</w:t>
      </w:r>
    </w:p>
    <w:p>
      <w:pPr>
        <w:pStyle w:val="BodyText"/>
        <w:spacing w:line="312" w:lineRule="exact"/>
        <w:ind w:left="1216" w:right="-19"/>
        <w:jc w:val="left"/>
        <w:rPr>
          <w:rFonts w:ascii="Arial" w:hAnsi="Arial" w:cs="Arial" w:eastAsia="Arial" w:hint="default"/>
        </w:rPr>
      </w:pPr>
      <w:r>
        <w:rPr>
          <w:rFonts w:ascii="Arial" w:hAnsi="Arial" w:cs="Arial" w:eastAsia="Arial" w:hint="default"/>
        </w:rPr>
        <w:t>(</w:t>
      </w:r>
      <w:r>
        <w:rPr/>
        <w:t>附注五</w:t>
      </w:r>
      <w:r>
        <w:rPr>
          <w:rFonts w:ascii="Arial" w:hAnsi="Arial" w:cs="Arial" w:eastAsia="Arial" w:hint="default"/>
        </w:rPr>
        <w:t>(23)(c))</w:t>
      </w:r>
    </w:p>
    <w:p>
      <w:pPr>
        <w:pStyle w:val="BodyText"/>
        <w:spacing w:line="322" w:lineRule="exact"/>
        <w:ind w:left="1216" w:right="-19"/>
        <w:jc w:val="left"/>
        <w:rPr>
          <w:rFonts w:ascii="Arial" w:hAnsi="Arial" w:cs="Arial" w:eastAsia="Arial" w:hint="default"/>
        </w:rPr>
      </w:pPr>
      <w:r>
        <w:rPr>
          <w:rFonts w:ascii="Arial" w:hAnsi="Arial" w:cs="Arial" w:eastAsia="Arial" w:hint="default"/>
        </w:rPr>
        <w:t>(</w:t>
      </w:r>
      <w:r>
        <w:rPr/>
        <w:t>附注五</w:t>
      </w:r>
      <w:r>
        <w:rPr>
          <w:rFonts w:ascii="Arial" w:hAnsi="Arial" w:cs="Arial" w:eastAsia="Arial" w:hint="default"/>
        </w:rPr>
        <w:t>(27)(c))</w:t>
      </w:r>
    </w:p>
    <w:p>
      <w:pPr>
        <w:spacing w:line="240" w:lineRule="auto" w:before="0"/>
        <w:rPr>
          <w:rFonts w:ascii="Arial" w:hAnsi="Arial" w:cs="Arial" w:eastAsia="Arial" w:hint="default"/>
          <w:sz w:val="24"/>
          <w:szCs w:val="24"/>
        </w:rPr>
      </w:pPr>
      <w:r>
        <w:rPr/>
        <w:br w:type="column"/>
      </w:r>
      <w:r>
        <w:rPr>
          <w:rFonts w:ascii="Arial"/>
          <w:sz w:val="24"/>
        </w:rPr>
      </w:r>
    </w:p>
    <w:p>
      <w:pPr>
        <w:spacing w:line="240" w:lineRule="auto" w:before="2"/>
        <w:rPr>
          <w:rFonts w:ascii="Arial" w:hAnsi="Arial" w:cs="Arial" w:eastAsia="Arial" w:hint="default"/>
          <w:sz w:val="35"/>
          <w:szCs w:val="35"/>
        </w:rPr>
      </w:pPr>
    </w:p>
    <w:p>
      <w:pPr>
        <w:pStyle w:val="BodyText"/>
        <w:spacing w:line="312" w:lineRule="exact"/>
        <w:ind w:left="662" w:right="-20" w:firstLine="720"/>
        <w:jc w:val="left"/>
      </w:pPr>
      <w:r>
        <w:rPr/>
        <w:t>偿还账龄超过 一年的大额应付款项</w:t>
      </w:r>
    </w:p>
    <w:p>
      <w:pPr>
        <w:spacing w:line="240" w:lineRule="auto" w:before="2"/>
        <w:rPr>
          <w:rFonts w:ascii="宋体" w:hAnsi="宋体" w:cs="宋体" w:eastAsia="宋体" w:hint="default"/>
          <w:sz w:val="28"/>
          <w:szCs w:val="28"/>
        </w:rPr>
      </w:pPr>
      <w:r>
        <w:rPr/>
        <w:br w:type="column"/>
      </w:r>
      <w:r>
        <w:rPr>
          <w:rFonts w:ascii="宋体"/>
          <w:sz w:val="28"/>
        </w:rPr>
      </w:r>
    </w:p>
    <w:p>
      <w:pPr>
        <w:pStyle w:val="BodyText"/>
        <w:spacing w:line="312" w:lineRule="exact"/>
        <w:ind w:left="747" w:right="2570" w:hanging="480"/>
        <w:jc w:val="left"/>
      </w:pPr>
      <w:r>
        <w:rPr/>
        <w:t>资产和负债同时 减少人民币</w:t>
      </w:r>
    </w:p>
    <w:p>
      <w:pPr>
        <w:pStyle w:val="BodyText"/>
        <w:tabs>
          <w:tab w:pos="4013" w:val="left" w:leader="none"/>
        </w:tabs>
        <w:spacing w:line="318" w:lineRule="exact"/>
        <w:ind w:left="807" w:right="0"/>
        <w:jc w:val="left"/>
        <w:rPr>
          <w:rFonts w:ascii="Arial" w:hAnsi="Arial" w:cs="Arial" w:eastAsia="Arial" w:hint="default"/>
        </w:rPr>
      </w:pPr>
      <w:r>
        <w:rPr>
          <w:rFonts w:ascii="Arial" w:hAnsi="Arial" w:cs="Arial" w:eastAsia="Arial" w:hint="default"/>
          <w:position w:val="2"/>
        </w:rPr>
        <w:t>3,800</w:t>
      </w:r>
      <w:r>
        <w:rPr>
          <w:rFonts w:ascii="Arial" w:hAnsi="Arial" w:cs="Arial" w:eastAsia="Arial" w:hint="default"/>
          <w:spacing w:val="-12"/>
          <w:position w:val="2"/>
        </w:rPr>
        <w:t> </w:t>
      </w:r>
      <w:r>
        <w:rPr>
          <w:position w:val="2"/>
        </w:rPr>
        <w:t>万元</w:t>
        <w:tab/>
      </w:r>
      <w:r>
        <w:rPr>
          <w:rFonts w:ascii="Arial" w:hAnsi="Arial" w:cs="Arial" w:eastAsia="Arial" w:hint="default"/>
        </w:rPr>
        <w:t>-</w:t>
      </w:r>
    </w:p>
    <w:p>
      <w:pPr>
        <w:spacing w:after="0" w:line="318" w:lineRule="exact"/>
        <w:jc w:val="left"/>
        <w:rPr>
          <w:rFonts w:ascii="Arial" w:hAnsi="Arial" w:cs="Arial" w:eastAsia="Arial" w:hint="default"/>
        </w:rPr>
        <w:sectPr>
          <w:type w:val="continuous"/>
          <w:pgSz w:w="11910" w:h="16840"/>
          <w:pgMar w:top="920" w:bottom="900" w:left="980" w:right="680"/>
          <w:cols w:num="3" w:equalWidth="0">
            <w:col w:w="2804" w:space="40"/>
            <w:col w:w="2823" w:space="40"/>
            <w:col w:w="4543"/>
          </w:cols>
        </w:sectPr>
      </w:pPr>
    </w:p>
    <w:p>
      <w:pPr>
        <w:spacing w:line="240" w:lineRule="auto" w:before="6"/>
        <w:rPr>
          <w:rFonts w:ascii="Arial" w:hAnsi="Arial" w:cs="Arial" w:eastAsia="Arial" w:hint="default"/>
          <w:sz w:val="18"/>
          <w:szCs w:val="18"/>
        </w:rPr>
      </w:pPr>
    </w:p>
    <w:p>
      <w:pPr>
        <w:spacing w:after="0" w:line="240" w:lineRule="auto"/>
        <w:rPr>
          <w:rFonts w:ascii="Arial" w:hAnsi="Arial" w:cs="Arial" w:eastAsia="Arial" w:hint="default"/>
          <w:sz w:val="18"/>
          <w:szCs w:val="18"/>
        </w:rPr>
        <w:sectPr>
          <w:type w:val="continuous"/>
          <w:pgSz w:w="11910" w:h="16840"/>
          <w:pgMar w:top="920" w:bottom="900" w:left="980" w:right="680"/>
        </w:sectPr>
      </w:pPr>
    </w:p>
    <w:p>
      <w:pPr>
        <w:pStyle w:val="BodyText"/>
        <w:spacing w:line="313" w:lineRule="exact" w:before="26"/>
        <w:ind w:left="856" w:right="-20"/>
        <w:jc w:val="left"/>
      </w:pPr>
      <w:r>
        <w:rPr/>
        <w:t>收回理财产品本金</w:t>
      </w:r>
    </w:p>
    <w:p>
      <w:pPr>
        <w:pStyle w:val="BodyText"/>
        <w:spacing w:line="330" w:lineRule="exact"/>
        <w:ind w:left="1216" w:right="-20"/>
        <w:jc w:val="left"/>
        <w:rPr>
          <w:rFonts w:ascii="Arial" w:hAnsi="Arial" w:cs="Arial" w:eastAsia="Arial" w:hint="default"/>
        </w:rPr>
      </w:pPr>
      <w:r>
        <w:rPr>
          <w:rFonts w:ascii="Arial" w:hAnsi="Arial" w:cs="Arial" w:eastAsia="Arial" w:hint="default"/>
        </w:rPr>
        <w:t>(</w:t>
      </w:r>
      <w:r>
        <w:rPr/>
        <w:t>附注五</w:t>
      </w:r>
      <w:r>
        <w:rPr>
          <w:rFonts w:ascii="Arial" w:hAnsi="Arial" w:cs="Arial" w:eastAsia="Arial" w:hint="default"/>
        </w:rPr>
        <w:t>(6)(c))</w:t>
      </w:r>
    </w:p>
    <w:p>
      <w:pPr>
        <w:pStyle w:val="BodyText"/>
        <w:spacing w:line="322" w:lineRule="exact" w:before="26"/>
        <w:ind w:left="748" w:right="-15"/>
        <w:jc w:val="left"/>
      </w:pPr>
      <w:r>
        <w:rPr/>
        <w:br w:type="column"/>
      </w:r>
      <w:r>
        <w:rPr/>
        <w:t>于</w:t>
      </w:r>
      <w:r>
        <w:rPr>
          <w:spacing w:val="-60"/>
        </w:rPr>
        <w:t> </w:t>
      </w:r>
      <w:r>
        <w:rPr>
          <w:rFonts w:ascii="Arial" w:hAnsi="Arial" w:cs="Arial" w:eastAsia="Arial" w:hint="default"/>
          <w:spacing w:val="-6"/>
        </w:rPr>
        <w:t>2011</w:t>
      </w:r>
      <w:r>
        <w:rPr>
          <w:rFonts w:ascii="Arial" w:hAnsi="Arial" w:cs="Arial" w:eastAsia="Arial" w:hint="default"/>
          <w:spacing w:val="-7"/>
        </w:rPr>
        <w:t> </w:t>
      </w:r>
      <w:r>
        <w:rPr/>
        <w:t>年</w:t>
      </w:r>
      <w:r>
        <w:rPr>
          <w:spacing w:val="-59"/>
        </w:rPr>
        <w:t> </w:t>
      </w:r>
      <w:r>
        <w:rPr>
          <w:rFonts w:ascii="Arial" w:hAnsi="Arial" w:cs="Arial" w:eastAsia="Arial" w:hint="default"/>
        </w:rPr>
        <w:t>2</w:t>
      </w:r>
      <w:r>
        <w:rPr>
          <w:rFonts w:ascii="Arial" w:hAnsi="Arial" w:cs="Arial" w:eastAsia="Arial" w:hint="default"/>
          <w:spacing w:val="-7"/>
        </w:rPr>
        <w:t> </w:t>
      </w:r>
      <w:r>
        <w:rPr/>
        <w:t>月</w:t>
      </w:r>
      <w:r>
        <w:rPr>
          <w:spacing w:val="-60"/>
        </w:rPr>
        <w:t> </w:t>
      </w:r>
      <w:r>
        <w:rPr>
          <w:rFonts w:ascii="Arial" w:hAnsi="Arial" w:cs="Arial" w:eastAsia="Arial" w:hint="default"/>
        </w:rPr>
        <w:t>9</w:t>
      </w:r>
      <w:r>
        <w:rPr>
          <w:rFonts w:ascii="Arial" w:hAnsi="Arial" w:cs="Arial" w:eastAsia="Arial" w:hint="default"/>
          <w:spacing w:val="-7"/>
        </w:rPr>
        <w:t> </w:t>
      </w:r>
      <w:r>
        <w:rPr/>
        <w:t>日</w:t>
      </w:r>
    </w:p>
    <w:p>
      <w:pPr>
        <w:pStyle w:val="BodyText"/>
        <w:spacing w:line="312" w:lineRule="exact" w:before="21"/>
        <w:ind w:left="210" w:right="0" w:firstLine="319"/>
        <w:jc w:val="both"/>
      </w:pPr>
      <w:r>
        <w:rPr/>
        <w:t>和</w:t>
      </w:r>
      <w:r>
        <w:rPr>
          <w:spacing w:val="-61"/>
        </w:rPr>
        <w:t> </w:t>
      </w:r>
      <w:r>
        <w:rPr>
          <w:rFonts w:ascii="Arial" w:hAnsi="Arial" w:cs="Arial" w:eastAsia="Arial" w:hint="default"/>
        </w:rPr>
        <w:t>2</w:t>
      </w:r>
      <w:r>
        <w:rPr>
          <w:rFonts w:ascii="Arial" w:hAnsi="Arial" w:cs="Arial" w:eastAsia="Arial" w:hint="default"/>
          <w:spacing w:val="-8"/>
        </w:rPr>
        <w:t> </w:t>
      </w:r>
      <w:r>
        <w:rPr/>
        <w:t>月</w:t>
      </w:r>
      <w:r>
        <w:rPr>
          <w:spacing w:val="-61"/>
        </w:rPr>
        <w:t> </w:t>
      </w:r>
      <w:r>
        <w:rPr>
          <w:rFonts w:ascii="Arial" w:hAnsi="Arial" w:cs="Arial" w:eastAsia="Arial" w:hint="default"/>
        </w:rPr>
        <w:t>10</w:t>
      </w:r>
      <w:r>
        <w:rPr>
          <w:rFonts w:ascii="Arial" w:hAnsi="Arial" w:cs="Arial" w:eastAsia="Arial" w:hint="default"/>
          <w:spacing w:val="-7"/>
        </w:rPr>
        <w:t> </w:t>
      </w:r>
      <w:r>
        <w:rPr/>
        <w:t>日收回到期 理财产品的本金共人民币 </w:t>
      </w:r>
      <w:r>
        <w:rPr>
          <w:rFonts w:ascii="Arial" w:hAnsi="Arial" w:cs="Arial" w:eastAsia="Arial" w:hint="default"/>
        </w:rPr>
        <w:t>7</w:t>
      </w:r>
      <w:r>
        <w:rPr>
          <w:rFonts w:ascii="Arial" w:hAnsi="Arial" w:cs="Arial" w:eastAsia="Arial" w:hint="default"/>
          <w:spacing w:val="-8"/>
        </w:rPr>
        <w:t> </w:t>
      </w:r>
      <w:r>
        <w:rPr/>
        <w:t>亿元，并转入存款账户</w:t>
      </w:r>
    </w:p>
    <w:p>
      <w:pPr>
        <w:pStyle w:val="BodyText"/>
        <w:spacing w:line="312" w:lineRule="exact" w:before="56"/>
        <w:ind w:left="253" w:right="2588" w:firstLine="253"/>
        <w:jc w:val="both"/>
      </w:pPr>
      <w:r>
        <w:rPr/>
        <w:br w:type="column"/>
      </w:r>
      <w:r>
        <w:rPr/>
        <w:t>货币资金增加 人民币</w:t>
      </w:r>
      <w:r>
        <w:rPr>
          <w:spacing w:val="-60"/>
        </w:rPr>
        <w:t> </w:t>
      </w:r>
      <w:r>
        <w:rPr>
          <w:rFonts w:ascii="Arial" w:hAnsi="Arial" w:cs="Arial" w:eastAsia="Arial" w:hint="default"/>
        </w:rPr>
        <w:t>7</w:t>
      </w:r>
      <w:r>
        <w:rPr>
          <w:rFonts w:ascii="Arial" w:hAnsi="Arial" w:cs="Arial" w:eastAsia="Arial" w:hint="default"/>
          <w:spacing w:val="-7"/>
        </w:rPr>
        <w:t> </w:t>
      </w:r>
      <w:r>
        <w:rPr/>
        <w:t>亿元， 其他应收款减少</w:t>
      </w:r>
    </w:p>
    <w:p>
      <w:pPr>
        <w:pStyle w:val="BodyText"/>
        <w:tabs>
          <w:tab w:pos="4013" w:val="left" w:leader="none"/>
        </w:tabs>
        <w:spacing w:line="318" w:lineRule="exact"/>
        <w:ind w:left="493" w:right="0"/>
        <w:jc w:val="left"/>
        <w:rPr>
          <w:rFonts w:ascii="Arial" w:hAnsi="Arial" w:cs="Arial" w:eastAsia="Arial" w:hint="default"/>
        </w:rPr>
      </w:pPr>
      <w:r>
        <w:rPr>
          <w:position w:val="2"/>
        </w:rPr>
        <w:t>人民币</w:t>
      </w:r>
      <w:r>
        <w:rPr>
          <w:spacing w:val="-60"/>
          <w:position w:val="2"/>
        </w:rPr>
        <w:t> </w:t>
      </w:r>
      <w:r>
        <w:rPr>
          <w:rFonts w:ascii="Arial" w:hAnsi="Arial" w:cs="Arial" w:eastAsia="Arial" w:hint="default"/>
          <w:position w:val="2"/>
        </w:rPr>
        <w:t>7</w:t>
      </w:r>
      <w:r>
        <w:rPr>
          <w:rFonts w:ascii="Arial" w:hAnsi="Arial" w:cs="Arial" w:eastAsia="Arial" w:hint="default"/>
          <w:spacing w:val="-7"/>
          <w:position w:val="2"/>
        </w:rPr>
        <w:t> </w:t>
      </w:r>
      <w:r>
        <w:rPr>
          <w:position w:val="2"/>
        </w:rPr>
        <w:t>亿元</w:t>
        <w:tab/>
      </w:r>
      <w:r>
        <w:rPr>
          <w:rFonts w:ascii="Arial" w:hAnsi="Arial" w:cs="Arial" w:eastAsia="Arial" w:hint="default"/>
        </w:rPr>
        <w:t>-</w:t>
      </w:r>
    </w:p>
    <w:p>
      <w:pPr>
        <w:spacing w:after="0" w:line="318" w:lineRule="exact"/>
        <w:jc w:val="left"/>
        <w:rPr>
          <w:rFonts w:ascii="Arial" w:hAnsi="Arial" w:cs="Arial" w:eastAsia="Arial" w:hint="default"/>
        </w:rPr>
        <w:sectPr>
          <w:type w:val="continuous"/>
          <w:pgSz w:w="11910" w:h="16840"/>
          <w:pgMar w:top="920" w:bottom="900" w:left="980" w:right="680"/>
          <w:cols w:num="3" w:equalWidth="0">
            <w:col w:w="2777" w:space="40"/>
            <w:col w:w="2851" w:space="40"/>
            <w:col w:w="4542"/>
          </w:cols>
        </w:sectPr>
      </w:pPr>
    </w:p>
    <w:p>
      <w:pPr>
        <w:spacing w:line="240" w:lineRule="auto" w:before="11"/>
        <w:rPr>
          <w:rFonts w:ascii="Arial" w:hAnsi="Arial" w:cs="Arial" w:eastAsia="Arial" w:hint="default"/>
          <w:sz w:val="17"/>
          <w:szCs w:val="17"/>
        </w:rPr>
      </w:pPr>
    </w:p>
    <w:p>
      <w:pPr>
        <w:tabs>
          <w:tab w:pos="855" w:val="left" w:leader="none"/>
        </w:tabs>
        <w:spacing w:before="32"/>
        <w:ind w:left="143"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(2)</w:t>
        <w:tab/>
      </w:r>
      <w:r>
        <w:rPr>
          <w:rFonts w:ascii="宋体" w:hAnsi="宋体" w:cs="宋体" w:eastAsia="宋体" w:hint="default"/>
          <w:b/>
          <w:bCs/>
          <w:sz w:val="24"/>
          <w:szCs w:val="24"/>
        </w:rPr>
        <w:t>资产负债表日后利润分配情况说明</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pStyle w:val="BodyText"/>
        <w:spacing w:line="313" w:lineRule="exact"/>
        <w:ind w:left="0" w:right="2407"/>
        <w:jc w:val="right"/>
      </w:pPr>
      <w:r>
        <w:rPr/>
        <w:t>金额</w:t>
      </w:r>
    </w:p>
    <w:p>
      <w:pPr>
        <w:pStyle w:val="BodyText"/>
        <w:tabs>
          <w:tab w:pos="6113" w:val="left" w:leader="none"/>
        </w:tabs>
        <w:spacing w:line="330" w:lineRule="exact"/>
        <w:ind w:left="0" w:right="2406"/>
        <w:jc w:val="right"/>
        <w:rPr>
          <w:rFonts w:ascii="Arial" w:hAnsi="Arial" w:cs="Arial" w:eastAsia="Arial" w:hint="default"/>
        </w:rPr>
      </w:pPr>
      <w:r>
        <w:rPr>
          <w:w w:val="95"/>
        </w:rPr>
        <w:t>拟分配的股利</w:t>
      </w:r>
      <w:r>
        <w:rPr>
          <w:rFonts w:ascii="Arial" w:hAnsi="Arial" w:cs="Arial" w:eastAsia="Arial" w:hint="default"/>
          <w:w w:val="95"/>
        </w:rPr>
        <w:t>(a)</w:t>
        <w:tab/>
      </w:r>
      <w:r>
        <w:rPr>
          <w:rFonts w:ascii="Arial" w:hAnsi="Arial" w:cs="Arial" w:eastAsia="Arial" w:hint="default"/>
          <w:spacing w:val="-1"/>
          <w:w w:val="95"/>
          <w:position w:val="2"/>
        </w:rPr>
        <w:t>699,621</w:t>
      </w:r>
      <w:r>
        <w:rPr>
          <w:rFonts w:ascii="Arial" w:hAnsi="Arial" w:cs="Arial" w:eastAsia="Arial" w:hint="default"/>
        </w:rPr>
      </w:r>
    </w:p>
    <w:p>
      <w:pPr>
        <w:spacing w:line="30" w:lineRule="exact"/>
        <w:ind w:left="5290" w:right="0" w:firstLine="0"/>
        <w:rPr>
          <w:rFonts w:ascii="Arial" w:hAnsi="Arial" w:cs="Arial" w:eastAsia="Arial" w:hint="default"/>
          <w:sz w:val="3"/>
          <w:szCs w:val="3"/>
        </w:rPr>
      </w:pPr>
      <w:r>
        <w:rPr>
          <w:rFonts w:ascii="Arial" w:hAnsi="Arial" w:cs="Arial" w:eastAsia="Arial" w:hint="default"/>
          <w:position w:val="0"/>
          <w:sz w:val="3"/>
          <w:szCs w:val="3"/>
        </w:rPr>
        <w:pict>
          <v:group style="width:127.75pt;height:1.5pt;mso-position-horizontal-relative:char;mso-position-vertical-relative:line" coordorigin="0,0" coordsize="2555,30">
            <v:group style="position:absolute;left:15;top:15;width:2525;height:2" coordorigin="15,15" coordsize="2525,2">
              <v:shape style="position:absolute;left:15;top:15;width:2525;height:2" coordorigin="15,15" coordsize="2525,0" path="m15,15l2540,15e" filled="false" stroked="true" strokeweight="1.5pt" strokecolor="#000000">
                <v:path arrowok="t"/>
              </v:shape>
            </v:group>
          </v:group>
        </w:pict>
      </w:r>
      <w:r>
        <w:rPr>
          <w:rFonts w:ascii="Arial" w:hAnsi="Arial" w:cs="Arial" w:eastAsia="Arial" w:hint="default"/>
          <w:position w:val="0"/>
          <w:sz w:val="3"/>
          <w:szCs w:val="3"/>
        </w:rPr>
      </w:r>
    </w:p>
    <w:p>
      <w:pPr>
        <w:spacing w:line="240" w:lineRule="auto" w:before="7"/>
        <w:rPr>
          <w:rFonts w:ascii="Arial" w:hAnsi="Arial" w:cs="Arial" w:eastAsia="Arial" w:hint="default"/>
          <w:sz w:val="18"/>
          <w:szCs w:val="18"/>
        </w:rPr>
      </w:pPr>
    </w:p>
    <w:p>
      <w:pPr>
        <w:pStyle w:val="BodyText"/>
        <w:spacing w:line="305" w:lineRule="exact" w:before="26"/>
        <w:ind w:left="856" w:right="0"/>
        <w:jc w:val="left"/>
      </w:pPr>
      <w:r>
        <w:rPr>
          <w:rFonts w:ascii="Arial" w:hAnsi="Arial" w:cs="Arial" w:eastAsia="Arial" w:hint="default"/>
        </w:rPr>
        <w:t>(a)</w:t>
      </w:r>
      <w:r>
        <w:rPr>
          <w:rFonts w:ascii="Arial" w:hAnsi="Arial" w:cs="Arial" w:eastAsia="Arial" w:hint="default"/>
          <w:spacing w:val="53"/>
        </w:rPr>
        <w:t> </w:t>
      </w:r>
      <w:r>
        <w:rPr/>
        <w:t>根据</w:t>
      </w:r>
      <w:r>
        <w:rPr>
          <w:spacing w:val="-58"/>
        </w:rPr>
        <w:t> </w:t>
      </w:r>
      <w:r>
        <w:rPr>
          <w:rFonts w:ascii="Arial" w:hAnsi="Arial" w:cs="Arial" w:eastAsia="Arial" w:hint="default"/>
          <w:spacing w:val="-6"/>
        </w:rPr>
        <w:t>2011</w:t>
      </w:r>
      <w:r>
        <w:rPr>
          <w:rFonts w:ascii="Arial" w:hAnsi="Arial" w:cs="Arial" w:eastAsia="Arial" w:hint="default"/>
          <w:spacing w:val="-5"/>
        </w:rPr>
        <w:t> </w:t>
      </w:r>
      <w:r>
        <w:rPr/>
        <w:t>年</w:t>
      </w:r>
      <w:r>
        <w:rPr>
          <w:spacing w:val="-58"/>
        </w:rPr>
        <w:t> </w:t>
      </w:r>
      <w:r>
        <w:rPr>
          <w:rFonts w:ascii="Arial" w:hAnsi="Arial" w:cs="Arial" w:eastAsia="Arial" w:hint="default"/>
        </w:rPr>
        <w:t>3</w:t>
      </w:r>
      <w:r>
        <w:rPr>
          <w:rFonts w:ascii="Arial" w:hAnsi="Arial" w:cs="Arial" w:eastAsia="Arial" w:hint="default"/>
          <w:spacing w:val="-5"/>
        </w:rPr>
        <w:t> </w:t>
      </w:r>
      <w:r>
        <w:rPr/>
        <w:t>月</w:t>
      </w:r>
      <w:r>
        <w:rPr>
          <w:spacing w:val="-59"/>
        </w:rPr>
        <w:t> </w:t>
      </w:r>
      <w:r>
        <w:rPr>
          <w:rFonts w:ascii="Arial" w:hAnsi="Arial" w:cs="Arial" w:eastAsia="Arial" w:hint="default"/>
        </w:rPr>
        <w:t>14</w:t>
      </w:r>
      <w:r>
        <w:rPr>
          <w:rFonts w:ascii="Arial" w:hAnsi="Arial" w:cs="Arial" w:eastAsia="Arial" w:hint="default"/>
          <w:spacing w:val="-5"/>
        </w:rPr>
        <w:t> </w:t>
      </w:r>
      <w:r>
        <w:rPr/>
        <w:t>日董事会决议，董事会提议本公司向全体股东派发现金股利，</w:t>
      </w:r>
    </w:p>
    <w:p>
      <w:pPr>
        <w:pStyle w:val="BodyText"/>
        <w:spacing w:line="280" w:lineRule="exact"/>
        <w:ind w:left="856" w:right="0"/>
        <w:jc w:val="left"/>
      </w:pPr>
      <w:r>
        <w:rPr/>
        <w:t>每</w:t>
      </w:r>
      <w:r>
        <w:rPr>
          <w:spacing w:val="-62"/>
        </w:rPr>
        <w:t> </w:t>
      </w:r>
      <w:r>
        <w:rPr>
          <w:rFonts w:ascii="Arial" w:hAnsi="Arial" w:cs="Arial" w:eastAsia="Arial" w:hint="default"/>
        </w:rPr>
        <w:t>10</w:t>
      </w:r>
      <w:r>
        <w:rPr>
          <w:rFonts w:ascii="Arial" w:hAnsi="Arial" w:cs="Arial" w:eastAsia="Arial" w:hint="default"/>
          <w:spacing w:val="-9"/>
        </w:rPr>
        <w:t> </w:t>
      </w:r>
      <w:r>
        <w:rPr/>
        <w:t>股派发现金股利人民币</w:t>
      </w:r>
      <w:r>
        <w:rPr>
          <w:spacing w:val="-62"/>
        </w:rPr>
        <w:t> </w:t>
      </w:r>
      <w:r>
        <w:rPr>
          <w:rFonts w:ascii="Arial" w:hAnsi="Arial" w:cs="Arial" w:eastAsia="Arial" w:hint="default"/>
        </w:rPr>
        <w:t>1</w:t>
      </w:r>
      <w:r>
        <w:rPr>
          <w:rFonts w:ascii="Arial" w:hAnsi="Arial" w:cs="Arial" w:eastAsia="Arial" w:hint="default"/>
          <w:spacing w:val="-9"/>
        </w:rPr>
        <w:t> </w:t>
      </w:r>
      <w:r>
        <w:rPr/>
        <w:t>元</w:t>
      </w:r>
      <w:r>
        <w:rPr>
          <w:rFonts w:ascii="Arial" w:hAnsi="Arial" w:cs="Arial" w:eastAsia="Arial" w:hint="default"/>
        </w:rPr>
        <w:t>(</w:t>
      </w:r>
      <w:r>
        <w:rPr/>
        <w:t>含税</w:t>
      </w:r>
      <w:r>
        <w:rPr>
          <w:rFonts w:ascii="Arial" w:hAnsi="Arial" w:cs="Arial" w:eastAsia="Arial" w:hint="default"/>
        </w:rPr>
        <w:t>)</w:t>
      </w:r>
      <w:r>
        <w:rPr/>
        <w:t>，按已发行股份</w:t>
      </w:r>
      <w:r>
        <w:rPr>
          <w:spacing w:val="-62"/>
        </w:rPr>
        <w:t> </w:t>
      </w:r>
      <w:r>
        <w:rPr>
          <w:rFonts w:ascii="Arial" w:hAnsi="Arial" w:cs="Arial" w:eastAsia="Arial" w:hint="default"/>
          <w:spacing w:val="-3"/>
        </w:rPr>
        <w:t>6,996,211,866</w:t>
      </w:r>
      <w:r>
        <w:rPr>
          <w:rFonts w:ascii="Arial" w:hAnsi="Arial" w:cs="Arial" w:eastAsia="Arial" w:hint="default"/>
          <w:spacing w:val="-9"/>
        </w:rPr>
        <w:t> </w:t>
      </w:r>
      <w:r>
        <w:rPr/>
        <w:t>股为基数，拟派</w:t>
      </w:r>
    </w:p>
    <w:p>
      <w:pPr>
        <w:pStyle w:val="BodyText"/>
        <w:spacing w:line="280" w:lineRule="exact" w:before="30"/>
        <w:ind w:left="855" w:right="230"/>
        <w:jc w:val="left"/>
      </w:pPr>
      <w:r>
        <w:rPr/>
        <w:t>发现金股利共计约人民币</w:t>
      </w:r>
      <w:r>
        <w:rPr>
          <w:spacing w:val="-57"/>
        </w:rPr>
        <w:t> </w:t>
      </w:r>
      <w:r>
        <w:rPr>
          <w:rFonts w:ascii="Arial" w:hAnsi="Arial" w:cs="Arial" w:eastAsia="Arial" w:hint="default"/>
        </w:rPr>
        <w:t>7</w:t>
      </w:r>
      <w:r>
        <w:rPr>
          <w:rFonts w:ascii="Arial" w:hAnsi="Arial" w:cs="Arial" w:eastAsia="Arial" w:hint="default"/>
          <w:spacing w:val="-4"/>
        </w:rPr>
        <w:t> </w:t>
      </w:r>
      <w:r>
        <w:rPr/>
        <w:t>亿元，上述提议尚待股东大会批准，未在本财务报表中确认 为负债</w:t>
      </w:r>
      <w:r>
        <w:rPr>
          <w:rFonts w:ascii="Arial" w:hAnsi="Arial" w:cs="Arial" w:eastAsia="Arial" w:hint="default"/>
        </w:rPr>
        <w:t>(</w:t>
      </w:r>
      <w:r>
        <w:rPr/>
        <w:t>附注五</w:t>
      </w:r>
      <w:r>
        <w:rPr>
          <w:rFonts w:ascii="Arial" w:hAnsi="Arial" w:cs="Arial" w:eastAsia="Arial" w:hint="default"/>
        </w:rPr>
        <w:t>(34))</w:t>
      </w:r>
      <w:r>
        <w:rPr/>
        <w:t>。</w:t>
      </w:r>
    </w:p>
    <w:p>
      <w:pPr>
        <w:spacing w:after="0" w:line="280" w:lineRule="exact"/>
        <w:jc w:val="left"/>
        <w:sectPr>
          <w:type w:val="continuous"/>
          <w:pgSz w:w="11910" w:h="16840"/>
          <w:pgMar w:top="920" w:bottom="900" w:left="980" w:right="680"/>
        </w:sectPr>
      </w:pPr>
    </w:p>
    <w:p>
      <w:pPr>
        <w:spacing w:line="240" w:lineRule="auto" w:before="6"/>
        <w:rPr>
          <w:rFonts w:ascii="宋体" w:hAnsi="宋体" w:cs="宋体" w:eastAsia="宋体" w:hint="default"/>
          <w:sz w:val="13"/>
          <w:szCs w:val="13"/>
        </w:rPr>
      </w:pPr>
    </w:p>
    <w:p>
      <w:pPr>
        <w:tabs>
          <w:tab w:pos="806" w:val="left" w:leader="none"/>
        </w:tabs>
        <w:spacing w:line="422" w:lineRule="auto" w:before="26"/>
        <w:ind w:left="709" w:right="7839" w:hanging="602"/>
        <w:jc w:val="left"/>
        <w:rPr>
          <w:rFonts w:ascii="宋体" w:hAnsi="宋体" w:cs="宋体" w:eastAsia="宋体" w:hint="default"/>
          <w:sz w:val="24"/>
          <w:szCs w:val="24"/>
        </w:rPr>
      </w:pPr>
      <w:r>
        <w:rPr>
          <w:rFonts w:ascii="宋体" w:hAnsi="宋体" w:cs="宋体" w:eastAsia="宋体" w:hint="default"/>
          <w:b/>
          <w:bCs/>
          <w:w w:val="95"/>
          <w:sz w:val="24"/>
          <w:szCs w:val="24"/>
        </w:rPr>
        <w:t>十</w:t>
        <w:tab/>
        <w:tab/>
      </w:r>
      <w:r>
        <w:rPr>
          <w:rFonts w:ascii="宋体" w:hAnsi="宋体" w:cs="宋体" w:eastAsia="宋体" w:hint="default"/>
          <w:b/>
          <w:bCs/>
          <w:sz w:val="24"/>
          <w:szCs w:val="24"/>
        </w:rPr>
        <w:t>企业合并</w:t>
      </w:r>
      <w:r>
        <w:rPr>
          <w:rFonts w:ascii="宋体" w:hAnsi="宋体" w:cs="宋体" w:eastAsia="宋体" w:hint="default"/>
          <w:b/>
          <w:bCs/>
          <w:w w:val="99"/>
          <w:sz w:val="24"/>
          <w:szCs w:val="24"/>
        </w:rPr>
        <w:t> </w:t>
      </w:r>
      <w:r>
        <w:rPr>
          <w:rFonts w:ascii="宋体" w:hAnsi="宋体" w:cs="宋体" w:eastAsia="宋体" w:hint="default"/>
          <w:sz w:val="24"/>
          <w:szCs w:val="24"/>
        </w:rPr>
        <w:t>见附注四</w:t>
      </w:r>
      <w:r>
        <w:rPr>
          <w:rFonts w:ascii="Arial" w:hAnsi="Arial" w:cs="Arial" w:eastAsia="Arial" w:hint="default"/>
          <w:sz w:val="24"/>
          <w:szCs w:val="24"/>
        </w:rPr>
        <w:t>(3)</w:t>
      </w:r>
      <w:r>
        <w:rPr>
          <w:rFonts w:ascii="宋体" w:hAnsi="宋体" w:cs="宋体" w:eastAsia="宋体" w:hint="default"/>
          <w:sz w:val="24"/>
          <w:szCs w:val="24"/>
        </w:rPr>
        <w:t>。</w:t>
      </w:r>
    </w:p>
    <w:p>
      <w:pPr>
        <w:spacing w:line="240" w:lineRule="auto" w:before="11"/>
        <w:rPr>
          <w:rFonts w:ascii="宋体" w:hAnsi="宋体" w:cs="宋体" w:eastAsia="宋体" w:hint="default"/>
          <w:sz w:val="19"/>
          <w:szCs w:val="19"/>
        </w:rPr>
      </w:pPr>
    </w:p>
    <w:p>
      <w:pPr>
        <w:pStyle w:val="Heading2"/>
        <w:tabs>
          <w:tab w:pos="805" w:val="left" w:leader="none"/>
        </w:tabs>
        <w:spacing w:line="240" w:lineRule="auto" w:before="0"/>
        <w:ind w:right="0"/>
        <w:jc w:val="left"/>
        <w:rPr>
          <w:b w:val="0"/>
          <w:bCs w:val="0"/>
        </w:rPr>
      </w:pPr>
      <w:r>
        <w:rPr>
          <w:w w:val="95"/>
        </w:rPr>
        <w:t>十一</w:t>
        <w:tab/>
      </w:r>
      <w:r>
        <w:rPr/>
        <w:t>金融工具及其风险</w:t>
      </w:r>
      <w:r>
        <w:rPr>
          <w:b w:val="0"/>
          <w:bCs w:val="0"/>
        </w:rPr>
      </w:r>
    </w:p>
    <w:p>
      <w:pPr>
        <w:spacing w:line="240" w:lineRule="auto" w:before="4"/>
        <w:rPr>
          <w:rFonts w:ascii="宋体" w:hAnsi="宋体" w:cs="宋体" w:eastAsia="宋体" w:hint="default"/>
          <w:b/>
          <w:bCs/>
          <w:sz w:val="23"/>
          <w:szCs w:val="23"/>
        </w:rPr>
      </w:pPr>
    </w:p>
    <w:p>
      <w:pPr>
        <w:pStyle w:val="BodyText"/>
        <w:spacing w:line="312" w:lineRule="exact"/>
        <w:ind w:left="805" w:right="226"/>
        <w:jc w:val="both"/>
      </w:pPr>
      <w:r>
        <w:rPr>
          <w:spacing w:val="-1"/>
        </w:rPr>
        <w:t>本集团的经营活动会面临各种金融风险：市场风险</w:t>
      </w:r>
      <w:r>
        <w:rPr>
          <w:rFonts w:ascii="Arial" w:hAnsi="Arial" w:cs="Arial" w:eastAsia="Arial" w:hint="default"/>
          <w:spacing w:val="-1"/>
        </w:rPr>
        <w:t>(</w:t>
      </w:r>
      <w:r>
        <w:rPr>
          <w:spacing w:val="-1"/>
        </w:rPr>
        <w:t>主要为外汇风险</w:t>
      </w:r>
      <w:r>
        <w:rPr>
          <w:rFonts w:ascii="Arial" w:hAnsi="Arial" w:cs="Arial" w:eastAsia="Arial" w:hint="default"/>
          <w:spacing w:val="-1"/>
        </w:rPr>
        <w:t>)</w:t>
      </w:r>
      <w:r>
        <w:rPr>
          <w:spacing w:val="-1"/>
        </w:rPr>
        <w:t>、信用风险和流动</w:t>
      </w:r>
      <w:r>
        <w:rPr>
          <w:spacing w:val="-118"/>
        </w:rPr>
        <w:t> </w:t>
      </w:r>
      <w:r>
        <w:rPr>
          <w:spacing w:val="-118"/>
        </w:rPr>
      </w:r>
      <w:r>
        <w:rPr>
          <w:spacing w:val="-3"/>
        </w:rPr>
        <w:t>风险。本集团整体的风险管理计划针对金融市场的不可预见性，力求减少对本集团财务</w:t>
      </w:r>
      <w:r>
        <w:rPr>
          <w:spacing w:val="-118"/>
        </w:rPr>
        <w:t> </w:t>
      </w:r>
      <w:r>
        <w:rPr>
          <w:spacing w:val="-118"/>
        </w:rPr>
      </w:r>
      <w:r>
        <w:rPr/>
        <w:t>业绩的潜在不利影响。</w:t>
      </w:r>
    </w:p>
    <w:p>
      <w:pPr>
        <w:spacing w:line="240" w:lineRule="auto" w:before="10"/>
        <w:rPr>
          <w:rFonts w:ascii="宋体" w:hAnsi="宋体" w:cs="宋体" w:eastAsia="宋体" w:hint="default"/>
          <w:sz w:val="18"/>
          <w:szCs w:val="18"/>
        </w:rPr>
      </w:pPr>
    </w:p>
    <w:p>
      <w:pPr>
        <w:pStyle w:val="BodyText"/>
        <w:tabs>
          <w:tab w:pos="805" w:val="left" w:leader="none"/>
        </w:tabs>
        <w:spacing w:line="240" w:lineRule="auto"/>
        <w:ind w:left="108" w:right="0"/>
        <w:jc w:val="left"/>
      </w:pPr>
      <w:r>
        <w:rPr>
          <w:rFonts w:ascii="Arial" w:hAnsi="Arial" w:cs="Arial" w:eastAsia="Arial" w:hint="default"/>
          <w:w w:val="95"/>
          <w:position w:val="2"/>
        </w:rPr>
        <w:t>(1)</w:t>
        <w:tab/>
      </w:r>
      <w:r>
        <w:rPr/>
        <w:t>市场风险</w:t>
      </w:r>
    </w:p>
    <w:p>
      <w:pPr>
        <w:spacing w:line="240" w:lineRule="auto" w:before="12"/>
        <w:rPr>
          <w:rFonts w:ascii="宋体" w:hAnsi="宋体" w:cs="宋体" w:eastAsia="宋体" w:hint="default"/>
          <w:sz w:val="20"/>
          <w:szCs w:val="20"/>
        </w:rPr>
      </w:pPr>
    </w:p>
    <w:p>
      <w:pPr>
        <w:pStyle w:val="BodyText"/>
        <w:tabs>
          <w:tab w:pos="805" w:val="left" w:leader="none"/>
        </w:tabs>
        <w:spacing w:line="240" w:lineRule="auto"/>
        <w:ind w:left="107" w:right="0"/>
        <w:jc w:val="left"/>
      </w:pPr>
      <w:r>
        <w:rPr>
          <w:rFonts w:ascii="Arial" w:hAnsi="Arial" w:cs="Arial" w:eastAsia="Arial" w:hint="default"/>
          <w:w w:val="95"/>
          <w:position w:val="2"/>
        </w:rPr>
        <w:t>(a)</w:t>
        <w:tab/>
      </w:r>
      <w:r>
        <w:rPr/>
        <w:t>外汇风险</w:t>
      </w:r>
    </w:p>
    <w:p>
      <w:pPr>
        <w:spacing w:line="240" w:lineRule="auto" w:before="4"/>
        <w:rPr>
          <w:rFonts w:ascii="宋体" w:hAnsi="宋体" w:cs="宋体" w:eastAsia="宋体" w:hint="default"/>
          <w:sz w:val="23"/>
          <w:szCs w:val="23"/>
        </w:rPr>
      </w:pPr>
    </w:p>
    <w:p>
      <w:pPr>
        <w:pStyle w:val="BodyText"/>
        <w:spacing w:line="312" w:lineRule="exact"/>
        <w:ind w:left="805" w:right="222"/>
        <w:jc w:val="both"/>
      </w:pPr>
      <w:r>
        <w:rPr>
          <w:spacing w:val="-3"/>
        </w:rPr>
        <w:t>本集团的主要经营位于中国境内，主要业务以人民币结算。但本集团已确认的外币资产</w:t>
      </w:r>
      <w:r>
        <w:rPr>
          <w:spacing w:val="-118"/>
        </w:rPr>
        <w:t> </w:t>
      </w:r>
      <w:r>
        <w:rPr>
          <w:spacing w:val="-118"/>
        </w:rPr>
      </w:r>
      <w:r>
        <w:rPr>
          <w:spacing w:val="5"/>
        </w:rPr>
        <w:t>和负债及未来的外币交易</w:t>
      </w:r>
      <w:r>
        <w:rPr>
          <w:rFonts w:ascii="Arial" w:hAnsi="Arial" w:cs="Arial" w:eastAsia="Arial" w:hint="default"/>
          <w:spacing w:val="5"/>
        </w:rPr>
        <w:t>(</w:t>
      </w:r>
      <w:r>
        <w:rPr>
          <w:spacing w:val="5"/>
        </w:rPr>
        <w:t>外币资产和负债及外币交易的计价货币主要为港元</w:t>
      </w:r>
      <w:r>
        <w:rPr>
          <w:rFonts w:ascii="Arial" w:hAnsi="Arial" w:cs="Arial" w:eastAsia="Arial" w:hint="default"/>
          <w:spacing w:val="5"/>
        </w:rPr>
        <w:t>)</w:t>
      </w:r>
      <w:r>
        <w:rPr>
          <w:spacing w:val="5"/>
        </w:rPr>
        <w:t>依然存 </w:t>
      </w:r>
      <w:r>
        <w:rPr>
          <w:spacing w:val="-3"/>
        </w:rPr>
        <w:t>在外汇风险。本集团总部财务部门负责监控集团外币交易和外币资产及负债的规模，以</w:t>
      </w:r>
      <w:r>
        <w:rPr>
          <w:spacing w:val="-118"/>
        </w:rPr>
        <w:t> </w:t>
      </w:r>
      <w:r>
        <w:rPr>
          <w:spacing w:val="-118"/>
        </w:rPr>
      </w:r>
      <w:r>
        <w:rPr>
          <w:spacing w:val="-3"/>
        </w:rPr>
        <w:t>最大程度降低面临的外汇风险；为此，本集团可能会以签署远期外汇合约或货币互换合</w:t>
      </w:r>
      <w:r>
        <w:rPr>
          <w:spacing w:val="-118"/>
        </w:rPr>
        <w:t> </w:t>
      </w:r>
      <w:r>
        <w:rPr>
          <w:spacing w:val="-118"/>
        </w:rPr>
      </w:r>
      <w:r>
        <w:rPr/>
        <w:t>约的方式来达到规避外汇风险的目的。于</w:t>
      </w:r>
      <w:r>
        <w:rPr>
          <w:spacing w:val="-56"/>
        </w:rPr>
        <w:t> </w:t>
      </w:r>
      <w:r>
        <w:rPr>
          <w:rFonts w:ascii="Arial" w:hAnsi="Arial" w:cs="Arial" w:eastAsia="Arial" w:hint="default"/>
        </w:rPr>
        <w:t>2010</w:t>
      </w:r>
      <w:r>
        <w:rPr>
          <w:rFonts w:ascii="Arial" w:hAnsi="Arial" w:cs="Arial" w:eastAsia="Arial" w:hint="default"/>
          <w:spacing w:val="-3"/>
        </w:rPr>
        <w:t> </w:t>
      </w:r>
      <w:r>
        <w:rPr/>
        <w:t>年度及</w:t>
      </w:r>
      <w:r>
        <w:rPr>
          <w:spacing w:val="-56"/>
        </w:rPr>
        <w:t> </w:t>
      </w:r>
      <w:r>
        <w:rPr>
          <w:rFonts w:ascii="Arial" w:hAnsi="Arial" w:cs="Arial" w:eastAsia="Arial" w:hint="default"/>
        </w:rPr>
        <w:t>2009</w:t>
      </w:r>
      <w:r>
        <w:rPr>
          <w:rFonts w:ascii="Arial" w:hAnsi="Arial" w:cs="Arial" w:eastAsia="Arial" w:hint="default"/>
          <w:spacing w:val="-3"/>
        </w:rPr>
        <w:t> </w:t>
      </w:r>
      <w:r>
        <w:rPr/>
        <w:t>年度，本集团未签署任何 远期外汇合约或货币互换合约。</w:t>
      </w:r>
    </w:p>
    <w:p>
      <w:pPr>
        <w:spacing w:line="240" w:lineRule="auto" w:before="1"/>
        <w:rPr>
          <w:rFonts w:ascii="宋体" w:hAnsi="宋体" w:cs="宋体" w:eastAsia="宋体" w:hint="default"/>
          <w:sz w:val="21"/>
          <w:szCs w:val="21"/>
        </w:rPr>
      </w:pPr>
    </w:p>
    <w:p>
      <w:pPr>
        <w:pStyle w:val="BodyText"/>
        <w:spacing w:line="312" w:lineRule="exact"/>
        <w:ind w:left="805" w:right="226"/>
        <w:jc w:val="both"/>
      </w:pPr>
      <w:r>
        <w:rPr/>
        <w:t>于</w:t>
      </w:r>
      <w:r>
        <w:rPr>
          <w:spacing w:val="-60"/>
        </w:rPr>
        <w:t> </w:t>
      </w:r>
      <w:r>
        <w:rPr>
          <w:rFonts w:ascii="Arial" w:hAnsi="Arial" w:cs="Arial" w:eastAsia="Arial" w:hint="default"/>
        </w:rPr>
        <w:t>2010</w:t>
      </w:r>
      <w:r>
        <w:rPr>
          <w:rFonts w:ascii="Arial" w:hAnsi="Arial" w:cs="Arial" w:eastAsia="Arial" w:hint="default"/>
          <w:spacing w:val="-7"/>
        </w:rPr>
        <w:t> </w:t>
      </w:r>
      <w:r>
        <w:rPr/>
        <w:t>年</w:t>
      </w:r>
      <w:r>
        <w:rPr>
          <w:spacing w:val="-59"/>
        </w:rPr>
        <w:t> </w:t>
      </w:r>
      <w:r>
        <w:rPr>
          <w:rFonts w:ascii="Arial" w:hAnsi="Arial" w:cs="Arial" w:eastAsia="Arial" w:hint="default"/>
        </w:rPr>
        <w:t>12</w:t>
      </w:r>
      <w:r>
        <w:rPr>
          <w:rFonts w:ascii="Arial" w:hAnsi="Arial" w:cs="Arial" w:eastAsia="Arial" w:hint="default"/>
          <w:spacing w:val="-7"/>
        </w:rPr>
        <w:t> </w:t>
      </w:r>
      <w:r>
        <w:rPr/>
        <w:t>月</w:t>
      </w:r>
      <w:r>
        <w:rPr>
          <w:spacing w:val="-60"/>
        </w:rPr>
        <w:t> </w:t>
      </w:r>
      <w:r>
        <w:rPr>
          <w:rFonts w:ascii="Arial" w:hAnsi="Arial" w:cs="Arial" w:eastAsia="Arial" w:hint="default"/>
        </w:rPr>
        <w:t>31</w:t>
      </w:r>
      <w:r>
        <w:rPr>
          <w:rFonts w:ascii="Arial" w:hAnsi="Arial" w:cs="Arial" w:eastAsia="Arial" w:hint="default"/>
          <w:spacing w:val="-7"/>
        </w:rPr>
        <w:t> </w:t>
      </w:r>
      <w:r>
        <w:rPr/>
        <w:t>日及</w:t>
      </w:r>
      <w:r>
        <w:rPr>
          <w:spacing w:val="-60"/>
        </w:rPr>
        <w:t> </w:t>
      </w:r>
      <w:r>
        <w:rPr>
          <w:rFonts w:ascii="Arial" w:hAnsi="Arial" w:cs="Arial" w:eastAsia="Arial" w:hint="default"/>
        </w:rPr>
        <w:t>2009</w:t>
      </w:r>
      <w:r>
        <w:rPr>
          <w:rFonts w:ascii="Arial" w:hAnsi="Arial" w:cs="Arial" w:eastAsia="Arial" w:hint="default"/>
          <w:spacing w:val="-7"/>
        </w:rPr>
        <w:t> </w:t>
      </w:r>
      <w:r>
        <w:rPr/>
        <w:t>年</w:t>
      </w:r>
      <w:r>
        <w:rPr>
          <w:spacing w:val="-59"/>
        </w:rPr>
        <w:t> </w:t>
      </w:r>
      <w:r>
        <w:rPr>
          <w:rFonts w:ascii="Arial" w:hAnsi="Arial" w:cs="Arial" w:eastAsia="Arial" w:hint="default"/>
        </w:rPr>
        <w:t>12</w:t>
      </w:r>
      <w:r>
        <w:rPr>
          <w:rFonts w:ascii="Arial" w:hAnsi="Arial" w:cs="Arial" w:eastAsia="Arial" w:hint="default"/>
          <w:spacing w:val="-7"/>
        </w:rPr>
        <w:t> </w:t>
      </w:r>
      <w:r>
        <w:rPr/>
        <w:t>月</w:t>
      </w:r>
      <w:r>
        <w:rPr>
          <w:spacing w:val="-60"/>
        </w:rPr>
        <w:t> </w:t>
      </w:r>
      <w:r>
        <w:rPr>
          <w:rFonts w:ascii="Arial" w:hAnsi="Arial" w:cs="Arial" w:eastAsia="Arial" w:hint="default"/>
        </w:rPr>
        <w:t>31</w:t>
      </w:r>
      <w:r>
        <w:rPr>
          <w:rFonts w:ascii="Arial" w:hAnsi="Arial" w:cs="Arial" w:eastAsia="Arial" w:hint="default"/>
          <w:spacing w:val="-7"/>
        </w:rPr>
        <w:t> </w:t>
      </w:r>
      <w:r>
        <w:rPr>
          <w:spacing w:val="-5"/>
        </w:rPr>
        <w:t>日，本集团持有的外币金融资产和外币金融</w:t>
      </w:r>
      <w:r>
        <w:rPr/>
        <w:t> 负债折算成人民币的金额列示如下：</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55" w:footer="947" w:top="2300" w:bottom="1140" w:left="1020" w:right="840"/>
        </w:sect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7"/>
          <w:szCs w:val="27"/>
        </w:rPr>
      </w:pPr>
    </w:p>
    <w:p>
      <w:pPr>
        <w:pStyle w:val="BodyText"/>
        <w:spacing w:line="240" w:lineRule="auto"/>
        <w:ind w:left="805" w:right="-20"/>
        <w:jc w:val="left"/>
        <w:rPr>
          <w:rFonts w:ascii="Arial" w:hAnsi="Arial" w:cs="Arial" w:eastAsia="Arial" w:hint="default"/>
        </w:rPr>
      </w:pPr>
      <w:r>
        <w:rPr/>
        <w:t>外币金融资产 </w:t>
      </w:r>
      <w:r>
        <w:rPr>
          <w:rFonts w:ascii="Arial" w:hAnsi="Arial" w:cs="Arial" w:eastAsia="Arial" w:hint="default"/>
        </w:rPr>
        <w:t>-</w:t>
      </w:r>
    </w:p>
    <w:p>
      <w:pPr>
        <w:pStyle w:val="BodyText"/>
        <w:spacing w:line="240" w:lineRule="auto" w:before="26"/>
        <w:ind w:left="1892" w:right="0"/>
        <w:jc w:val="left"/>
      </w:pPr>
      <w:r>
        <w:rPr/>
        <w:br w:type="column"/>
      </w: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pStyle w:val="BodyText"/>
        <w:tabs>
          <w:tab w:pos="2591" w:val="left" w:leader="none"/>
          <w:tab w:pos="5536" w:val="left" w:leader="none"/>
        </w:tabs>
        <w:spacing w:line="240" w:lineRule="auto" w:before="11"/>
        <w:ind w:left="805" w:right="0"/>
        <w:jc w:val="left"/>
      </w:pPr>
      <w:r>
        <w:rPr/>
        <w:pict>
          <v:group style="position:absolute;margin-left:227.820007pt;margin-top:1.756013pt;width:319pt;height:.1pt;mso-position-horizontal-relative:page;mso-position-vertical-relative:paragraph;z-index:-1002160" coordorigin="4556,35" coordsize="6380,2">
            <v:shape style="position:absolute;left:4556;top:35;width:6380;height:2" coordorigin="4556,35" coordsize="6380,0" path="m4556,35l10936,35e" filled="false" stroked="true" strokeweight="1.5pt" strokecolor="#000000">
              <v:path arrowok="t"/>
            </v:shape>
            <w10:wrap type="none"/>
          </v:group>
        </w:pict>
      </w:r>
      <w:r>
        <w:rPr/>
        <w:t>港元项目</w:t>
        <w:tab/>
        <w:t>其他外币项目</w:t>
        <w:tab/>
        <w:t>合计</w:t>
      </w:r>
    </w:p>
    <w:p>
      <w:pPr>
        <w:spacing w:after="0" w:line="240" w:lineRule="auto"/>
        <w:jc w:val="left"/>
        <w:sectPr>
          <w:type w:val="continuous"/>
          <w:pgSz w:w="11910" w:h="16840"/>
          <w:pgMar w:top="920" w:bottom="900" w:left="1020" w:right="840"/>
          <w:cols w:num="2" w:equalWidth="0">
            <w:col w:w="2446" w:space="1352"/>
            <w:col w:w="6252"/>
          </w:cols>
        </w:sectPr>
      </w:pPr>
    </w:p>
    <w:p>
      <w:pPr>
        <w:pStyle w:val="BodyText"/>
        <w:tabs>
          <w:tab w:pos="4829" w:val="left" w:leader="none"/>
          <w:tab w:pos="7229" w:val="left" w:leader="none"/>
          <w:tab w:pos="9081" w:val="left" w:leader="none"/>
        </w:tabs>
        <w:spacing w:line="294" w:lineRule="exact"/>
        <w:ind w:left="1030" w:right="0"/>
        <w:jc w:val="left"/>
        <w:rPr>
          <w:rFonts w:ascii="Arial" w:hAnsi="Arial" w:cs="Arial" w:eastAsia="Arial" w:hint="default"/>
        </w:rPr>
      </w:pPr>
      <w:r>
        <w:rPr/>
        <w:t>货币资金</w:t>
        <w:tab/>
      </w:r>
      <w:r>
        <w:rPr>
          <w:rFonts w:ascii="Arial" w:hAnsi="Arial" w:cs="Arial" w:eastAsia="Arial" w:hint="default"/>
          <w:spacing w:val="-1"/>
          <w:position w:val="2"/>
        </w:rPr>
        <w:t>46,715</w:t>
        <w:tab/>
        <w:t>4,502</w:t>
        <w:tab/>
        <w:t>51,217</w:t>
      </w:r>
      <w:r>
        <w:rPr>
          <w:rFonts w:ascii="Arial" w:hAnsi="Arial" w:cs="Arial" w:eastAsia="Arial" w:hint="default"/>
        </w:rPr>
      </w:r>
    </w:p>
    <w:p>
      <w:pPr>
        <w:pStyle w:val="BodyText"/>
        <w:tabs>
          <w:tab w:pos="4829" w:val="left" w:leader="none"/>
          <w:tab w:pos="7749" w:val="left" w:leader="none"/>
          <w:tab w:pos="9081" w:val="left" w:leader="none"/>
        </w:tabs>
        <w:spacing w:line="313" w:lineRule="exact"/>
        <w:ind w:left="1030" w:right="0"/>
        <w:jc w:val="left"/>
        <w:rPr>
          <w:rFonts w:ascii="Arial" w:hAnsi="Arial" w:cs="Arial" w:eastAsia="Arial" w:hint="default"/>
        </w:rPr>
      </w:pPr>
      <w:r>
        <w:rPr/>
        <w:t>应收款项</w:t>
        <w:tab/>
      </w:r>
      <w:r>
        <w:rPr>
          <w:rFonts w:ascii="Arial" w:hAnsi="Arial" w:cs="Arial" w:eastAsia="Arial" w:hint="default"/>
          <w:spacing w:val="-1"/>
          <w:position w:val="2"/>
        </w:rPr>
        <w:t>35,107</w:t>
        <w:tab/>
      </w:r>
      <w:r>
        <w:rPr>
          <w:rFonts w:ascii="Arial" w:hAnsi="Arial" w:cs="Arial" w:eastAsia="Arial" w:hint="default"/>
          <w:position w:val="2"/>
        </w:rPr>
        <w:t>-</w:t>
        <w:tab/>
      </w:r>
      <w:r>
        <w:rPr>
          <w:rFonts w:ascii="Arial" w:hAnsi="Arial" w:cs="Arial" w:eastAsia="Arial" w:hint="default"/>
          <w:spacing w:val="-1"/>
          <w:position w:val="2"/>
        </w:rPr>
        <w:t>35,107</w:t>
      </w:r>
      <w:r>
        <w:rPr>
          <w:rFonts w:ascii="Arial" w:hAnsi="Arial" w:cs="Arial" w:eastAsia="Arial" w:hint="default"/>
        </w:rPr>
      </w:r>
    </w:p>
    <w:p>
      <w:pPr>
        <w:spacing w:line="240" w:lineRule="auto" w:before="3"/>
        <w:rPr>
          <w:rFonts w:ascii="Arial" w:hAnsi="Arial" w:cs="Arial" w:eastAsia="Arial" w:hint="default"/>
          <w:sz w:val="3"/>
          <w:szCs w:val="3"/>
        </w:rPr>
      </w:pPr>
    </w:p>
    <w:p>
      <w:pPr>
        <w:tabs>
          <w:tab w:pos="5941" w:val="left" w:leader="none"/>
          <w:tab w:pos="8209" w:val="left" w:leader="none"/>
        </w:tabs>
        <w:spacing w:line="20" w:lineRule="exact"/>
        <w:ind w:left="3531" w:right="0" w:firstLine="0"/>
        <w:rPr>
          <w:rFonts w:ascii="Arial" w:hAnsi="Arial" w:cs="Arial" w:eastAsia="Arial" w:hint="default"/>
          <w:sz w:val="2"/>
          <w:szCs w:val="2"/>
        </w:rPr>
      </w:pPr>
      <w:r>
        <w:rPr>
          <w:rFonts w:ascii="Arial"/>
          <w:sz w:val="2"/>
        </w:rPr>
        <w:pict>
          <v:group style="width:106.8pt;height:.5pt;mso-position-horizontal-relative:char;mso-position-vertical-relative:line" coordorigin="0,0" coordsize="2136,10">
            <v:group style="position:absolute;left:5;top:5;width:2127;height:2" coordorigin="5,5" coordsize="2127,2">
              <v:shape style="position:absolute;left:5;top:5;width:2127;height:2" coordorigin="5,5" coordsize="2127,0" path="m5,5l2131,5e" filled="false" stroked="true" strokeweight=".48001pt" strokecolor="#000000">
                <v:path arrowok="t"/>
              </v:shape>
            </v:group>
          </v:group>
        </w:pict>
      </w:r>
      <w:r>
        <w:rPr>
          <w:rFonts w:ascii="Arial"/>
          <w:sz w:val="2"/>
        </w:rPr>
      </w:r>
      <w:r>
        <w:rPr>
          <w:rFonts w:ascii="Arial"/>
          <w:sz w:val="2"/>
        </w:rPr>
        <w:tab/>
      </w:r>
      <w:r>
        <w:rPr>
          <w:rFonts w:ascii="Arial"/>
          <w:sz w:val="2"/>
        </w:rPr>
        <w:pict>
          <v:group style="width:99.75pt;height:.5pt;mso-position-horizontal-relative:char;mso-position-vertical-relative:line" coordorigin="0,0" coordsize="1995,10">
            <v:group style="position:absolute;left:5;top:5;width:1985;height:2" coordorigin="5,5" coordsize="1985,2">
              <v:shape style="position:absolute;left:5;top:5;width:1985;height:2" coordorigin="5,5" coordsize="1985,0" path="m5,5l1990,5e" filled="false" stroked="true" strokeweight=".48001pt" strokecolor="#000000">
                <v:path arrowok="t"/>
              </v:shape>
            </v:group>
          </v:group>
        </w:pict>
      </w:r>
      <w:r>
        <w:rPr>
          <w:rFonts w:ascii="Arial"/>
          <w:sz w:val="2"/>
        </w:rPr>
      </w:r>
      <w:r>
        <w:rPr>
          <w:rFonts w:ascii="Arial"/>
          <w:sz w:val="2"/>
        </w:rPr>
        <w:tab/>
      </w:r>
      <w:r>
        <w:rPr>
          <w:rFonts w:ascii="Arial"/>
          <w:sz w:val="2"/>
        </w:rPr>
        <w:pict>
          <v:group style="width:85.6pt;height:.5pt;mso-position-horizontal-relative:char;mso-position-vertical-relative:line" coordorigin="0,0" coordsize="1712,10">
            <v:group style="position:absolute;left:5;top:5;width:1702;height:2" coordorigin="5,5" coordsize="1702,2">
              <v:shape style="position:absolute;left:5;top:5;width:1702;height:2" coordorigin="5,5" coordsize="1702,0" path="m5,5l1706,5e" filled="false" stroked="true" strokeweight=".48001pt" strokecolor="#000000">
                <v:path arrowok="t"/>
              </v:shape>
            </v:group>
          </v:group>
        </w:pict>
      </w:r>
      <w:r>
        <w:rPr>
          <w:rFonts w:ascii="Arial"/>
          <w:sz w:val="2"/>
        </w:rPr>
      </w:r>
    </w:p>
    <w:p>
      <w:pPr>
        <w:pStyle w:val="BodyText"/>
        <w:tabs>
          <w:tab w:pos="7229" w:val="left" w:leader="none"/>
          <w:tab w:pos="9081" w:val="left" w:leader="none"/>
        </w:tabs>
        <w:spacing w:line="240" w:lineRule="auto"/>
        <w:ind w:left="4830" w:right="0"/>
        <w:jc w:val="left"/>
        <w:rPr>
          <w:rFonts w:ascii="Arial" w:hAnsi="Arial" w:cs="Arial" w:eastAsia="Arial" w:hint="default"/>
        </w:rPr>
      </w:pPr>
      <w:r>
        <w:rPr/>
        <w:pict>
          <v:group style="position:absolute;margin-left:227.820007pt;margin-top:14.706161pt;width:106.35pt;height:.1pt;mso-position-horizontal-relative:page;mso-position-vertical-relative:paragraph;z-index:4168" coordorigin="4556,294" coordsize="2127,2">
            <v:shape style="position:absolute;left:4556;top:294;width:2127;height:2" coordorigin="4556,294" coordsize="2127,0" path="m4556,294l6683,294e" filled="false" stroked="true" strokeweight="1.5pt" strokecolor="#000000">
              <v:path arrowok="t"/>
            </v:shape>
            <w10:wrap type="none"/>
          </v:group>
        </w:pict>
      </w:r>
      <w:r>
        <w:rPr/>
        <w:pict>
          <v:group style="position:absolute;margin-left:348.299988pt;margin-top:14.706161pt;width:99.25pt;height:.1pt;mso-position-horizontal-relative:page;mso-position-vertical-relative:paragraph;z-index:4192" coordorigin="6966,294" coordsize="1985,2">
            <v:shape style="position:absolute;left:6966;top:294;width:1985;height:2" coordorigin="6966,294" coordsize="1985,0" path="m6966,294l8951,294e" filled="false" stroked="true" strokeweight="1.5pt" strokecolor="#000000">
              <v:path arrowok="t"/>
            </v:shape>
            <w10:wrap type="none"/>
          </v:group>
        </w:pict>
      </w:r>
      <w:r>
        <w:rPr/>
        <w:pict>
          <v:group style="position:absolute;margin-left:461.700012pt;margin-top:14.706161pt;width:85.1pt;height:.1pt;mso-position-horizontal-relative:page;mso-position-vertical-relative:paragraph;z-index:4216" coordorigin="9234,294" coordsize="1702,2">
            <v:shape style="position:absolute;left:9234;top:294;width:1702;height:2" coordorigin="9234,294" coordsize="1702,0" path="m9234,294l10936,294e" filled="false" stroked="true" strokeweight="1.5pt" strokecolor="#000000">
              <v:path arrowok="t"/>
            </v:shape>
            <w10:wrap type="none"/>
          </v:group>
        </w:pict>
      </w:r>
      <w:r>
        <w:rPr>
          <w:rFonts w:ascii="Arial"/>
          <w:spacing w:val="-1"/>
        </w:rPr>
        <w:t>81,822</w:t>
        <w:tab/>
        <w:t>4,502</w:t>
        <w:tab/>
        <w:t>86,324</w:t>
      </w:r>
      <w:r>
        <w:rPr>
          <w:rFonts w:ascii="Arial"/>
        </w:rPr>
      </w:r>
    </w:p>
    <w:p>
      <w:pPr>
        <w:pStyle w:val="BodyText"/>
        <w:spacing w:line="316" w:lineRule="exact"/>
        <w:ind w:left="805" w:right="0"/>
        <w:jc w:val="left"/>
        <w:rPr>
          <w:rFonts w:ascii="Arial" w:hAnsi="Arial" w:cs="Arial" w:eastAsia="Arial" w:hint="default"/>
        </w:rPr>
      </w:pPr>
      <w:r>
        <w:rPr/>
        <w:t>外币金融负债 </w:t>
      </w:r>
      <w:r>
        <w:rPr>
          <w:rFonts w:ascii="Arial" w:hAnsi="Arial" w:cs="Arial" w:eastAsia="Arial" w:hint="default"/>
        </w:rPr>
        <w:t>-</w:t>
      </w:r>
    </w:p>
    <w:p>
      <w:pPr>
        <w:pStyle w:val="BodyText"/>
        <w:tabs>
          <w:tab w:pos="4696" w:val="left" w:leader="none"/>
          <w:tab w:pos="7749" w:val="left" w:leader="none"/>
          <w:tab w:pos="8948" w:val="left" w:leader="none"/>
        </w:tabs>
        <w:spacing w:line="303" w:lineRule="exact"/>
        <w:ind w:left="1030" w:right="0"/>
        <w:jc w:val="left"/>
        <w:rPr>
          <w:rFonts w:ascii="Arial" w:hAnsi="Arial" w:cs="Arial" w:eastAsia="Arial" w:hint="default"/>
        </w:rPr>
      </w:pPr>
      <w:r>
        <w:rPr/>
        <w:t>短期借款</w:t>
        <w:tab/>
      </w:r>
      <w:r>
        <w:rPr>
          <w:rFonts w:ascii="Arial" w:hAnsi="Arial" w:cs="Arial" w:eastAsia="Arial" w:hint="default"/>
          <w:spacing w:val="-1"/>
          <w:position w:val="2"/>
        </w:rPr>
        <w:t>317,789</w:t>
        <w:tab/>
      </w:r>
      <w:r>
        <w:rPr>
          <w:rFonts w:ascii="Arial" w:hAnsi="Arial" w:cs="Arial" w:eastAsia="Arial" w:hint="default"/>
          <w:position w:val="2"/>
        </w:rPr>
        <w:t>-</w:t>
        <w:tab/>
      </w:r>
      <w:r>
        <w:rPr>
          <w:rFonts w:ascii="Arial" w:hAnsi="Arial" w:cs="Arial" w:eastAsia="Arial" w:hint="default"/>
          <w:spacing w:val="-1"/>
          <w:position w:val="2"/>
        </w:rPr>
        <w:t>317,789</w:t>
      </w:r>
      <w:r>
        <w:rPr>
          <w:rFonts w:ascii="Arial" w:hAnsi="Arial" w:cs="Arial" w:eastAsia="Arial" w:hint="default"/>
        </w:rPr>
      </w:r>
    </w:p>
    <w:p>
      <w:pPr>
        <w:pStyle w:val="BodyText"/>
        <w:tabs>
          <w:tab w:pos="4829" w:val="left" w:leader="none"/>
          <w:tab w:pos="7749" w:val="left" w:leader="none"/>
          <w:tab w:pos="9081" w:val="left" w:leader="none"/>
        </w:tabs>
        <w:spacing w:line="313" w:lineRule="exact"/>
        <w:ind w:left="1030" w:right="0"/>
        <w:jc w:val="left"/>
        <w:rPr>
          <w:rFonts w:ascii="Arial" w:hAnsi="Arial" w:cs="Arial" w:eastAsia="Arial" w:hint="default"/>
        </w:rPr>
      </w:pPr>
      <w:r>
        <w:rPr/>
        <w:t>应付款项</w:t>
        <w:tab/>
      </w:r>
      <w:r>
        <w:rPr>
          <w:rFonts w:ascii="Arial" w:hAnsi="Arial" w:cs="Arial" w:eastAsia="Arial" w:hint="default"/>
          <w:spacing w:val="-1"/>
          <w:position w:val="2"/>
        </w:rPr>
        <w:t>63,138</w:t>
        <w:tab/>
      </w:r>
      <w:r>
        <w:rPr>
          <w:rFonts w:ascii="Arial" w:hAnsi="Arial" w:cs="Arial" w:eastAsia="Arial" w:hint="default"/>
          <w:position w:val="2"/>
        </w:rPr>
        <w:t>-</w:t>
        <w:tab/>
      </w:r>
      <w:r>
        <w:rPr>
          <w:rFonts w:ascii="Arial" w:hAnsi="Arial" w:cs="Arial" w:eastAsia="Arial" w:hint="default"/>
          <w:spacing w:val="-1"/>
          <w:position w:val="2"/>
        </w:rPr>
        <w:t>63,138</w:t>
      </w:r>
      <w:r>
        <w:rPr>
          <w:rFonts w:ascii="Arial" w:hAnsi="Arial" w:cs="Arial" w:eastAsia="Arial" w:hint="default"/>
        </w:rPr>
      </w:r>
    </w:p>
    <w:p>
      <w:pPr>
        <w:spacing w:line="240" w:lineRule="auto" w:before="3"/>
        <w:rPr>
          <w:rFonts w:ascii="Arial" w:hAnsi="Arial" w:cs="Arial" w:eastAsia="Arial" w:hint="default"/>
          <w:sz w:val="3"/>
          <w:szCs w:val="3"/>
        </w:rPr>
      </w:pPr>
    </w:p>
    <w:p>
      <w:pPr>
        <w:tabs>
          <w:tab w:pos="5941" w:val="left" w:leader="none"/>
          <w:tab w:pos="8209" w:val="left" w:leader="none"/>
        </w:tabs>
        <w:spacing w:line="20" w:lineRule="exact"/>
        <w:ind w:left="3531" w:right="0" w:firstLine="0"/>
        <w:rPr>
          <w:rFonts w:ascii="Arial" w:hAnsi="Arial" w:cs="Arial" w:eastAsia="Arial" w:hint="default"/>
          <w:sz w:val="2"/>
          <w:szCs w:val="2"/>
        </w:rPr>
      </w:pPr>
      <w:r>
        <w:rPr>
          <w:rFonts w:ascii="Arial"/>
          <w:sz w:val="2"/>
        </w:rPr>
        <w:pict>
          <v:group style="width:106.8pt;height:.5pt;mso-position-horizontal-relative:char;mso-position-vertical-relative:line" coordorigin="0,0" coordsize="2136,10">
            <v:group style="position:absolute;left:5;top:5;width:2127;height:2" coordorigin="5,5" coordsize="2127,2">
              <v:shape style="position:absolute;left:5;top:5;width:2127;height:2" coordorigin="5,5" coordsize="2127,0" path="m5,5l2131,5e" filled="false" stroked="true" strokeweight=".48001pt" strokecolor="#000000">
                <v:path arrowok="t"/>
              </v:shape>
            </v:group>
          </v:group>
        </w:pict>
      </w:r>
      <w:r>
        <w:rPr>
          <w:rFonts w:ascii="Arial"/>
          <w:sz w:val="2"/>
        </w:rPr>
      </w:r>
      <w:r>
        <w:rPr>
          <w:rFonts w:ascii="Arial"/>
          <w:sz w:val="2"/>
        </w:rPr>
        <w:tab/>
      </w:r>
      <w:r>
        <w:rPr>
          <w:rFonts w:ascii="Arial"/>
          <w:sz w:val="2"/>
        </w:rPr>
        <w:pict>
          <v:group style="width:99.75pt;height:.5pt;mso-position-horizontal-relative:char;mso-position-vertical-relative:line" coordorigin="0,0" coordsize="1995,10">
            <v:group style="position:absolute;left:5;top:5;width:1985;height:2" coordorigin="5,5" coordsize="1985,2">
              <v:shape style="position:absolute;left:5;top:5;width:1985;height:2" coordorigin="5,5" coordsize="1985,0" path="m5,5l1990,5e" filled="false" stroked="true" strokeweight=".48001pt" strokecolor="#000000">
                <v:path arrowok="t"/>
              </v:shape>
            </v:group>
          </v:group>
        </w:pict>
      </w:r>
      <w:r>
        <w:rPr>
          <w:rFonts w:ascii="Arial"/>
          <w:sz w:val="2"/>
        </w:rPr>
      </w:r>
      <w:r>
        <w:rPr>
          <w:rFonts w:ascii="Arial"/>
          <w:sz w:val="2"/>
        </w:rPr>
        <w:tab/>
      </w:r>
      <w:r>
        <w:rPr>
          <w:rFonts w:ascii="Arial"/>
          <w:sz w:val="2"/>
        </w:rPr>
        <w:pict>
          <v:group style="width:85.6pt;height:.5pt;mso-position-horizontal-relative:char;mso-position-vertical-relative:line" coordorigin="0,0" coordsize="1712,10">
            <v:group style="position:absolute;left:5;top:5;width:1702;height:2" coordorigin="5,5" coordsize="1702,2">
              <v:shape style="position:absolute;left:5;top:5;width:1702;height:2" coordorigin="5,5" coordsize="1702,0" path="m5,5l1706,5e" filled="false" stroked="true" strokeweight=".48001pt" strokecolor="#000000">
                <v:path arrowok="t"/>
              </v:shape>
            </v:group>
          </v:group>
        </w:pict>
      </w:r>
      <w:r>
        <w:rPr>
          <w:rFonts w:ascii="Arial"/>
          <w:sz w:val="2"/>
        </w:rPr>
      </w:r>
    </w:p>
    <w:p>
      <w:pPr>
        <w:pStyle w:val="BodyText"/>
        <w:tabs>
          <w:tab w:pos="7749" w:val="left" w:leader="none"/>
          <w:tab w:pos="8948" w:val="left" w:leader="none"/>
        </w:tabs>
        <w:spacing w:line="240" w:lineRule="auto"/>
        <w:ind w:left="4696" w:right="0"/>
        <w:jc w:val="left"/>
        <w:rPr>
          <w:rFonts w:ascii="Arial" w:hAnsi="Arial" w:cs="Arial" w:eastAsia="Arial" w:hint="default"/>
        </w:rPr>
      </w:pPr>
      <w:r>
        <w:rPr>
          <w:rFonts w:ascii="Arial"/>
          <w:spacing w:val="-1"/>
        </w:rPr>
        <w:t>380,927</w:t>
        <w:tab/>
      </w:r>
      <w:r>
        <w:rPr>
          <w:rFonts w:ascii="Arial"/>
        </w:rPr>
        <w:t>-</w:t>
        <w:tab/>
      </w:r>
      <w:r>
        <w:rPr>
          <w:rFonts w:ascii="Arial"/>
          <w:spacing w:val="-1"/>
        </w:rPr>
        <w:t>380,927</w:t>
      </w:r>
      <w:r>
        <w:rPr>
          <w:rFonts w:ascii="Arial"/>
        </w:rPr>
      </w:r>
    </w:p>
    <w:p>
      <w:pPr>
        <w:tabs>
          <w:tab w:pos="5931" w:val="left" w:leader="none"/>
          <w:tab w:pos="8199" w:val="left" w:leader="none"/>
        </w:tabs>
        <w:spacing w:line="30" w:lineRule="exact"/>
        <w:ind w:left="3521" w:right="0" w:firstLine="0"/>
        <w:rPr>
          <w:rFonts w:ascii="Arial" w:hAnsi="Arial" w:cs="Arial" w:eastAsia="Arial" w:hint="default"/>
          <w:sz w:val="3"/>
          <w:szCs w:val="3"/>
        </w:rPr>
      </w:pPr>
      <w:r>
        <w:rPr>
          <w:rFonts w:ascii="Arial"/>
          <w:position w:val="0"/>
          <w:sz w:val="3"/>
        </w:rPr>
        <w:pict>
          <v:group style="width:107.85pt;height:1.5pt;mso-position-horizontal-relative:char;mso-position-vertical-relative:line" coordorigin="0,0" coordsize="2157,30">
            <v:group style="position:absolute;left:15;top:15;width:2127;height:2" coordorigin="15,15" coordsize="2127,2">
              <v:shape style="position:absolute;left:15;top:15;width:2127;height:2" coordorigin="15,15" coordsize="2127,0" path="m15,15l2141,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00.75pt;height:1.5pt;mso-position-horizontal-relative:char;mso-position-vertical-relative:line" coordorigin="0,0" coordsize="2015,30">
            <v:group style="position:absolute;left:15;top:15;width:1985;height:2" coordorigin="15,15" coordsize="1985,2">
              <v:shape style="position:absolute;left:15;top:15;width:1985;height:2" coordorigin="15,15" coordsize="1985,0" path="m15,15l2000,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86.6pt;height:1.5pt;mso-position-horizontal-relative:char;mso-position-vertical-relative:line" coordorigin="0,0" coordsize="1732,30">
            <v:group style="position:absolute;left:15;top:15;width:1702;height:2" coordorigin="15,15" coordsize="1702,2">
              <v:shape style="position:absolute;left:15;top:15;width:1702;height:2" coordorigin="15,15" coordsize="1702,0" path="m15,15l1717,15e" filled="false" stroked="true" strokeweight="1.5pt" strokecolor="#000000">
                <v:path arrowok="t"/>
              </v:shape>
            </v:group>
          </v:group>
        </w:pict>
      </w:r>
      <w:r>
        <w:rPr>
          <w:rFonts w:ascii="Arial"/>
          <w:position w:val="0"/>
          <w:sz w:val="3"/>
        </w:rPr>
      </w:r>
    </w:p>
    <w:p>
      <w:pPr>
        <w:spacing w:after="0" w:line="30" w:lineRule="exact"/>
        <w:rPr>
          <w:rFonts w:ascii="Arial" w:hAnsi="Arial" w:cs="Arial" w:eastAsia="Arial" w:hint="default"/>
          <w:sz w:val="3"/>
          <w:szCs w:val="3"/>
        </w:rPr>
        <w:sectPr>
          <w:type w:val="continuous"/>
          <w:pgSz w:w="11910" w:h="16840"/>
          <w:pgMar w:top="920" w:bottom="900" w:left="1020" w:right="840"/>
        </w:sectPr>
      </w:pPr>
    </w:p>
    <w:p>
      <w:pPr>
        <w:spacing w:line="240" w:lineRule="auto" w:before="4"/>
        <w:rPr>
          <w:rFonts w:ascii="Arial" w:hAnsi="Arial" w:cs="Arial" w:eastAsia="Arial" w:hint="default"/>
          <w:sz w:val="15"/>
          <w:szCs w:val="15"/>
        </w:rPr>
      </w:pPr>
    </w:p>
    <w:p>
      <w:pPr>
        <w:pStyle w:val="Heading2"/>
        <w:tabs>
          <w:tab w:pos="805" w:val="left" w:leader="none"/>
        </w:tabs>
        <w:spacing w:line="240" w:lineRule="auto"/>
        <w:ind w:right="0"/>
        <w:jc w:val="left"/>
        <w:rPr>
          <w:rFonts w:ascii="Arial" w:hAnsi="Arial" w:cs="Arial" w:eastAsia="Arial" w:hint="default"/>
          <w:b w:val="0"/>
          <w:bCs w:val="0"/>
        </w:rPr>
      </w:pPr>
      <w:r>
        <w:rPr>
          <w:w w:val="95"/>
        </w:rPr>
        <w:t>十一</w:t>
        <w:tab/>
      </w:r>
      <w:r>
        <w:rPr/>
        <w:t>金融工具及其风险</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05" w:val="left" w:leader="none"/>
        </w:tabs>
        <w:spacing w:line="240" w:lineRule="auto"/>
        <w:ind w:left="108" w:right="0"/>
        <w:jc w:val="left"/>
        <w:rPr>
          <w:rFonts w:ascii="Arial" w:hAnsi="Arial" w:cs="Arial" w:eastAsia="Arial" w:hint="default"/>
        </w:rPr>
      </w:pPr>
      <w:r>
        <w:rPr>
          <w:rFonts w:ascii="Arial" w:hAnsi="Arial" w:cs="Arial" w:eastAsia="Arial" w:hint="default"/>
          <w:w w:val="95"/>
          <w:position w:val="2"/>
        </w:rPr>
        <w:t>(1)</w:t>
        <w:tab/>
      </w:r>
      <w:r>
        <w:rPr/>
        <w:t>市场风险</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805" w:val="left" w:leader="none"/>
        </w:tabs>
        <w:spacing w:line="240" w:lineRule="auto"/>
        <w:ind w:left="108" w:right="0"/>
        <w:jc w:val="left"/>
        <w:rPr>
          <w:rFonts w:ascii="Arial" w:hAnsi="Arial" w:cs="Arial" w:eastAsia="Arial" w:hint="default"/>
        </w:rPr>
      </w:pPr>
      <w:r>
        <w:rPr>
          <w:rFonts w:ascii="Arial" w:hAnsi="Arial" w:cs="Arial" w:eastAsia="Arial" w:hint="default"/>
          <w:w w:val="95"/>
          <w:position w:val="2"/>
        </w:rPr>
        <w:t>(a)</w:t>
        <w:tab/>
      </w:r>
      <w:r>
        <w:rPr/>
        <w:t>外汇风险</w:t>
      </w:r>
      <w:r>
        <w:rPr>
          <w:rFonts w:ascii="Arial" w:hAnsi="Arial" w:cs="Arial" w:eastAsia="Arial" w:hint="default"/>
        </w:rPr>
        <w:t>(</w:t>
      </w:r>
      <w:r>
        <w:rPr/>
        <w:t>续</w:t>
      </w:r>
      <w:r>
        <w:rPr>
          <w:rFonts w:ascii="Arial" w:hAnsi="Arial" w:cs="Arial" w:eastAsia="Arial" w:hint="default"/>
        </w:rPr>
        <w:t>)</w:t>
      </w:r>
    </w:p>
    <w:p>
      <w:pPr>
        <w:spacing w:line="240" w:lineRule="auto" w:before="1"/>
        <w:rPr>
          <w:rFonts w:ascii="Arial" w:hAnsi="Arial" w:cs="Arial" w:eastAsia="Arial" w:hint="default"/>
          <w:sz w:val="20"/>
          <w:szCs w:val="20"/>
        </w:rPr>
      </w:pPr>
    </w:p>
    <w:p>
      <w:pPr>
        <w:spacing w:after="0" w:line="240" w:lineRule="auto"/>
        <w:rPr>
          <w:rFonts w:ascii="Arial" w:hAnsi="Arial" w:cs="Arial" w:eastAsia="Arial" w:hint="default"/>
          <w:sz w:val="20"/>
          <w:szCs w:val="20"/>
        </w:rPr>
        <w:sectPr>
          <w:footerReference w:type="default" r:id="rId80"/>
          <w:pgSz w:w="11910" w:h="16840"/>
          <w:pgMar w:footer="947" w:header="755" w:top="2300" w:bottom="1140" w:left="1020" w:right="840"/>
        </w:sectPr>
      </w:pPr>
    </w:p>
    <w:p>
      <w:pPr>
        <w:spacing w:line="240" w:lineRule="auto" w:before="0"/>
        <w:rPr>
          <w:rFonts w:ascii="Arial" w:hAnsi="Arial" w:cs="Arial" w:eastAsia="Arial" w:hint="default"/>
          <w:sz w:val="24"/>
          <w:szCs w:val="24"/>
        </w:rPr>
      </w:pPr>
    </w:p>
    <w:p>
      <w:pPr>
        <w:spacing w:line="240" w:lineRule="auto" w:before="1"/>
        <w:rPr>
          <w:rFonts w:ascii="Arial" w:hAnsi="Arial" w:cs="Arial" w:eastAsia="Arial" w:hint="default"/>
          <w:sz w:val="35"/>
          <w:szCs w:val="35"/>
        </w:rPr>
      </w:pPr>
    </w:p>
    <w:p>
      <w:pPr>
        <w:pStyle w:val="BodyText"/>
        <w:spacing w:line="240" w:lineRule="auto"/>
        <w:ind w:left="805" w:right="-20"/>
        <w:jc w:val="left"/>
        <w:rPr>
          <w:rFonts w:ascii="Arial" w:hAnsi="Arial" w:cs="Arial" w:eastAsia="Arial" w:hint="default"/>
        </w:rPr>
      </w:pPr>
      <w:r>
        <w:rPr/>
        <w:t>外币金融资产 </w:t>
      </w:r>
      <w:r>
        <w:rPr>
          <w:rFonts w:ascii="Arial" w:hAnsi="Arial" w:cs="Arial" w:eastAsia="Arial" w:hint="default"/>
        </w:rPr>
        <w:t>-</w:t>
      </w:r>
    </w:p>
    <w:p>
      <w:pPr>
        <w:pStyle w:val="BodyText"/>
        <w:spacing w:line="240" w:lineRule="auto" w:before="26"/>
        <w:ind w:left="2012" w:right="0"/>
        <w:jc w:val="left"/>
      </w:pPr>
      <w:r>
        <w:rPr/>
        <w:br w:type="column"/>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pStyle w:val="BodyText"/>
        <w:tabs>
          <w:tab w:pos="2711" w:val="left" w:leader="none"/>
          <w:tab w:pos="5656" w:val="left" w:leader="none"/>
        </w:tabs>
        <w:spacing w:line="240" w:lineRule="auto" w:before="11"/>
        <w:ind w:left="805" w:right="0"/>
        <w:jc w:val="left"/>
      </w:pPr>
      <w:r>
        <w:rPr/>
        <w:pict>
          <v:group style="position:absolute;margin-left:227.820007pt;margin-top:1.755896pt;width:319pt;height:.1pt;mso-position-horizontal-relative:page;mso-position-vertical-relative:paragraph;z-index:-1001920" coordorigin="4556,35" coordsize="6380,2">
            <v:shape style="position:absolute;left:4556;top:35;width:6380;height:2" coordorigin="4556,35" coordsize="6380,0" path="m4556,35l10936,35e" filled="false" stroked="true" strokeweight="1.5pt" strokecolor="#000000">
              <v:path arrowok="t"/>
            </v:shape>
            <w10:wrap type="none"/>
          </v:group>
        </w:pict>
      </w:r>
      <w:r>
        <w:rPr/>
        <w:t>港元项目</w:t>
        <w:tab/>
        <w:t>其他外币项目</w:t>
        <w:tab/>
        <w:t>合计</w:t>
      </w:r>
    </w:p>
    <w:p>
      <w:pPr>
        <w:spacing w:after="0" w:line="240" w:lineRule="auto"/>
        <w:jc w:val="left"/>
        <w:sectPr>
          <w:type w:val="continuous"/>
          <w:pgSz w:w="11910" w:h="16840"/>
          <w:pgMar w:top="920" w:bottom="900" w:left="1020" w:right="840"/>
          <w:cols w:num="2" w:equalWidth="0">
            <w:col w:w="2446" w:space="1232"/>
            <w:col w:w="6372"/>
          </w:cols>
        </w:sectPr>
      </w:pPr>
    </w:p>
    <w:p>
      <w:pPr>
        <w:pStyle w:val="BodyText"/>
        <w:tabs>
          <w:tab w:pos="5482" w:val="left" w:leader="none"/>
          <w:tab w:pos="7229" w:val="left" w:leader="none"/>
          <w:tab w:pos="9214" w:val="left" w:leader="none"/>
        </w:tabs>
        <w:spacing w:line="295" w:lineRule="exact"/>
        <w:ind w:left="805" w:right="0"/>
        <w:jc w:val="left"/>
        <w:rPr>
          <w:rFonts w:ascii="Arial" w:hAnsi="Arial" w:cs="Arial" w:eastAsia="Arial" w:hint="default"/>
        </w:rPr>
      </w:pPr>
      <w:r>
        <w:rPr/>
        <w:t>货币资金</w:t>
        <w:tab/>
      </w:r>
      <w:r>
        <w:rPr>
          <w:rFonts w:ascii="Arial" w:hAnsi="Arial" w:cs="Arial" w:eastAsia="Arial" w:hint="default"/>
          <w:position w:val="2"/>
        </w:rPr>
        <w:t>-</w:t>
        <w:tab/>
      </w:r>
      <w:r>
        <w:rPr>
          <w:rFonts w:ascii="Arial" w:hAnsi="Arial" w:cs="Arial" w:eastAsia="Arial" w:hint="default"/>
          <w:spacing w:val="-1"/>
          <w:position w:val="2"/>
        </w:rPr>
        <w:t>9,767</w:t>
        <w:tab/>
        <w:t>9,767</w:t>
      </w:r>
      <w:r>
        <w:rPr>
          <w:rFonts w:ascii="Arial" w:hAnsi="Arial" w:cs="Arial" w:eastAsia="Arial" w:hint="default"/>
        </w:rPr>
      </w:r>
    </w:p>
    <w:p>
      <w:pPr>
        <w:spacing w:line="240" w:lineRule="auto" w:before="3"/>
        <w:rPr>
          <w:rFonts w:ascii="Arial" w:hAnsi="Arial" w:cs="Arial" w:eastAsia="Arial" w:hint="default"/>
          <w:sz w:val="3"/>
          <w:szCs w:val="3"/>
        </w:rPr>
      </w:pPr>
    </w:p>
    <w:p>
      <w:pPr>
        <w:tabs>
          <w:tab w:pos="5941" w:val="left" w:leader="none"/>
          <w:tab w:pos="8209" w:val="left" w:leader="none"/>
        </w:tabs>
        <w:spacing w:line="20" w:lineRule="exact"/>
        <w:ind w:left="3531" w:right="0" w:firstLine="0"/>
        <w:rPr>
          <w:rFonts w:ascii="Arial" w:hAnsi="Arial" w:cs="Arial" w:eastAsia="Arial" w:hint="default"/>
          <w:sz w:val="2"/>
          <w:szCs w:val="2"/>
        </w:rPr>
      </w:pPr>
      <w:r>
        <w:rPr>
          <w:rFonts w:ascii="Arial"/>
          <w:sz w:val="2"/>
        </w:rPr>
        <w:pict>
          <v:group style="width:106.8pt;height:.5pt;mso-position-horizontal-relative:char;mso-position-vertical-relative:line" coordorigin="0,0" coordsize="2136,10">
            <v:group style="position:absolute;left:5;top:5;width:2127;height:2" coordorigin="5,5" coordsize="2127,2">
              <v:shape style="position:absolute;left:5;top:5;width:2127;height:2" coordorigin="5,5" coordsize="2127,0" path="m5,5l2131,5e" filled="false" stroked="true" strokeweight=".47998pt" strokecolor="#000000">
                <v:path arrowok="t"/>
              </v:shape>
            </v:group>
          </v:group>
        </w:pict>
      </w:r>
      <w:r>
        <w:rPr>
          <w:rFonts w:ascii="Arial"/>
          <w:sz w:val="2"/>
        </w:rPr>
      </w:r>
      <w:r>
        <w:rPr>
          <w:rFonts w:ascii="Arial"/>
          <w:sz w:val="2"/>
        </w:rPr>
        <w:tab/>
      </w:r>
      <w:r>
        <w:rPr>
          <w:rFonts w:ascii="Arial"/>
          <w:sz w:val="2"/>
        </w:rPr>
        <w:pict>
          <v:group style="width:99.75pt;height:.5pt;mso-position-horizontal-relative:char;mso-position-vertical-relative:line" coordorigin="0,0" coordsize="1995,10">
            <v:group style="position:absolute;left:5;top:5;width:1985;height:2" coordorigin="5,5" coordsize="1985,2">
              <v:shape style="position:absolute;left:5;top:5;width:1985;height:2" coordorigin="5,5" coordsize="1985,0" path="m5,5l1990,5e" filled="false" stroked="true" strokeweight=".47998pt" strokecolor="#000000">
                <v:path arrowok="t"/>
              </v:shape>
            </v:group>
          </v:group>
        </w:pict>
      </w:r>
      <w:r>
        <w:rPr>
          <w:rFonts w:ascii="Arial"/>
          <w:sz w:val="2"/>
        </w:rPr>
      </w:r>
      <w:r>
        <w:rPr>
          <w:rFonts w:ascii="Arial"/>
          <w:sz w:val="2"/>
        </w:rPr>
        <w:tab/>
      </w:r>
      <w:r>
        <w:rPr>
          <w:rFonts w:ascii="Arial"/>
          <w:sz w:val="2"/>
        </w:rPr>
        <w:pict>
          <v:group style="width:85.6pt;height:.5pt;mso-position-horizontal-relative:char;mso-position-vertical-relative:line" coordorigin="0,0" coordsize="1712,10">
            <v:group style="position:absolute;left:5;top:5;width:1702;height:2" coordorigin="5,5" coordsize="1702,2">
              <v:shape style="position:absolute;left:5;top:5;width:1702;height:2" coordorigin="5,5" coordsize="1702,0" path="m5,5l1706,5e" filled="false" stroked="true" strokeweight=".47998pt" strokecolor="#000000">
                <v:path arrowok="t"/>
              </v:shape>
            </v:group>
          </v:group>
        </w:pict>
      </w:r>
      <w:r>
        <w:rPr>
          <w:rFonts w:ascii="Arial"/>
          <w:sz w:val="2"/>
        </w:rPr>
      </w:r>
    </w:p>
    <w:p>
      <w:pPr>
        <w:pStyle w:val="BodyText"/>
        <w:tabs>
          <w:tab w:pos="7230" w:val="left" w:leader="none"/>
          <w:tab w:pos="9214" w:val="left" w:leader="none"/>
        </w:tabs>
        <w:spacing w:line="240" w:lineRule="auto"/>
        <w:ind w:left="5482" w:right="0"/>
        <w:jc w:val="left"/>
        <w:rPr>
          <w:rFonts w:ascii="Arial" w:hAnsi="Arial" w:cs="Arial" w:eastAsia="Arial" w:hint="default"/>
        </w:rPr>
      </w:pPr>
      <w:r>
        <w:rPr>
          <w:rFonts w:ascii="Arial"/>
        </w:rPr>
        <w:t>-</w:t>
        <w:tab/>
      </w:r>
      <w:r>
        <w:rPr>
          <w:rFonts w:ascii="Arial"/>
          <w:spacing w:val="-1"/>
        </w:rPr>
        <w:t>9,767</w:t>
        <w:tab/>
        <w:t>9,767</w:t>
      </w:r>
      <w:r>
        <w:rPr>
          <w:rFonts w:ascii="Arial"/>
        </w:rPr>
      </w:r>
    </w:p>
    <w:p>
      <w:pPr>
        <w:tabs>
          <w:tab w:pos="5931" w:val="left" w:leader="none"/>
          <w:tab w:pos="8199" w:val="left" w:leader="none"/>
        </w:tabs>
        <w:spacing w:line="30" w:lineRule="exact"/>
        <w:ind w:left="3521" w:right="0" w:firstLine="0"/>
        <w:rPr>
          <w:rFonts w:ascii="Arial" w:hAnsi="Arial" w:cs="Arial" w:eastAsia="Arial" w:hint="default"/>
          <w:sz w:val="3"/>
          <w:szCs w:val="3"/>
        </w:rPr>
      </w:pPr>
      <w:r>
        <w:rPr>
          <w:rFonts w:ascii="Arial"/>
          <w:position w:val="0"/>
          <w:sz w:val="3"/>
        </w:rPr>
        <w:pict>
          <v:group style="width:107.85pt;height:1.5pt;mso-position-horizontal-relative:char;mso-position-vertical-relative:line" coordorigin="0,0" coordsize="2157,30">
            <v:group style="position:absolute;left:15;top:15;width:2127;height:2" coordorigin="15,15" coordsize="2127,2">
              <v:shape style="position:absolute;left:15;top:15;width:2127;height:2" coordorigin="15,15" coordsize="2127,0" path="m15,15l2141,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00.75pt;height:1.5pt;mso-position-horizontal-relative:char;mso-position-vertical-relative:line" coordorigin="0,0" coordsize="2015,30">
            <v:group style="position:absolute;left:15;top:15;width:1985;height:2" coordorigin="15,15" coordsize="1985,2">
              <v:shape style="position:absolute;left:15;top:15;width:1985;height:2" coordorigin="15,15" coordsize="1985,0" path="m15,15l2000,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86.6pt;height:1.5pt;mso-position-horizontal-relative:char;mso-position-vertical-relative:line" coordorigin="0,0" coordsize="1732,30">
            <v:group style="position:absolute;left:15;top:15;width:1702;height:2" coordorigin="15,15" coordsize="1702,2">
              <v:shape style="position:absolute;left:15;top:15;width:1702;height:2" coordorigin="15,15" coordsize="1702,0" path="m15,15l1717,15e" filled="false" stroked="true" strokeweight="1.5pt" strokecolor="#000000">
                <v:path arrowok="t"/>
              </v:shape>
            </v:group>
          </v:group>
        </w:pict>
      </w:r>
      <w:r>
        <w:rPr>
          <w:rFonts w:ascii="Arial"/>
          <w:position w:val="0"/>
          <w:sz w:val="3"/>
        </w:rPr>
      </w:r>
    </w:p>
    <w:p>
      <w:pPr>
        <w:spacing w:line="240" w:lineRule="auto" w:before="7"/>
        <w:rPr>
          <w:rFonts w:ascii="Arial" w:hAnsi="Arial" w:cs="Arial" w:eastAsia="Arial" w:hint="default"/>
          <w:sz w:val="18"/>
          <w:szCs w:val="18"/>
        </w:rPr>
      </w:pPr>
    </w:p>
    <w:p>
      <w:pPr>
        <w:pStyle w:val="BodyText"/>
        <w:spacing w:line="312" w:lineRule="exact" w:before="56"/>
        <w:ind w:left="805" w:right="226"/>
        <w:jc w:val="both"/>
      </w:pPr>
      <w:r>
        <w:rPr/>
        <w:t>于</w:t>
      </w:r>
      <w:r>
        <w:rPr>
          <w:spacing w:val="-59"/>
        </w:rPr>
        <w:t> </w:t>
      </w:r>
      <w:r>
        <w:rPr>
          <w:rFonts w:ascii="Arial" w:hAnsi="Arial" w:cs="Arial" w:eastAsia="Arial" w:hint="default"/>
        </w:rPr>
        <w:t>2010</w:t>
      </w:r>
      <w:r>
        <w:rPr>
          <w:rFonts w:ascii="Arial" w:hAnsi="Arial" w:cs="Arial" w:eastAsia="Arial" w:hint="default"/>
          <w:spacing w:val="-6"/>
        </w:rPr>
        <w:t> </w:t>
      </w:r>
      <w:r>
        <w:rPr/>
        <w:t>年</w:t>
      </w:r>
      <w:r>
        <w:rPr>
          <w:spacing w:val="-58"/>
        </w:rPr>
        <w:t> </w:t>
      </w:r>
      <w:r>
        <w:rPr>
          <w:rFonts w:ascii="Arial" w:hAnsi="Arial" w:cs="Arial" w:eastAsia="Arial" w:hint="default"/>
        </w:rPr>
        <w:t>12</w:t>
      </w:r>
      <w:r>
        <w:rPr>
          <w:rFonts w:ascii="Arial" w:hAnsi="Arial" w:cs="Arial" w:eastAsia="Arial" w:hint="default"/>
          <w:spacing w:val="-6"/>
        </w:rPr>
        <w:t> </w:t>
      </w:r>
      <w:r>
        <w:rPr/>
        <w:t>月</w:t>
      </w:r>
      <w:r>
        <w:rPr>
          <w:spacing w:val="-59"/>
        </w:rPr>
        <w:t> </w:t>
      </w:r>
      <w:r>
        <w:rPr>
          <w:rFonts w:ascii="Arial" w:hAnsi="Arial" w:cs="Arial" w:eastAsia="Arial" w:hint="default"/>
        </w:rPr>
        <w:t>31</w:t>
      </w:r>
      <w:r>
        <w:rPr>
          <w:rFonts w:ascii="Arial" w:hAnsi="Arial" w:cs="Arial" w:eastAsia="Arial" w:hint="default"/>
          <w:spacing w:val="-6"/>
        </w:rPr>
        <w:t> </w:t>
      </w:r>
      <w:r>
        <w:rPr>
          <w:spacing w:val="-4"/>
        </w:rPr>
        <w:t>日，对于本集团各类港元金融资产和美元金融负债，如果人民币对</w:t>
      </w:r>
      <w:r>
        <w:rPr/>
        <w:t> 外币升值或贬值</w:t>
      </w:r>
      <w:r>
        <w:rPr>
          <w:spacing w:val="-1"/>
        </w:rPr>
        <w:t> </w:t>
      </w:r>
      <w:r>
        <w:rPr>
          <w:rFonts w:ascii="Arial" w:hAnsi="Arial" w:cs="Arial" w:eastAsia="Arial" w:hint="default"/>
        </w:rPr>
        <w:t>10%</w:t>
      </w:r>
      <w:r>
        <w:rPr/>
        <w:t>，其它因素保持不变，则本集团将增加或减少利润总额约人民币 </w:t>
      </w:r>
      <w:r>
        <w:rPr>
          <w:rFonts w:ascii="Arial" w:hAnsi="Arial" w:cs="Arial" w:eastAsia="Arial" w:hint="default"/>
        </w:rPr>
        <w:t>2,946</w:t>
      </w:r>
      <w:r>
        <w:rPr>
          <w:rFonts w:ascii="Arial" w:hAnsi="Arial" w:cs="Arial" w:eastAsia="Arial" w:hint="default"/>
          <w:spacing w:val="-9"/>
        </w:rPr>
        <w:t> </w:t>
      </w:r>
      <w:r>
        <w:rPr/>
        <w:t>万元</w:t>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日：减少或增加约人民币</w:t>
      </w:r>
      <w:r>
        <w:rPr>
          <w:spacing w:val="-62"/>
        </w:rPr>
        <w:t> </w:t>
      </w:r>
      <w:r>
        <w:rPr>
          <w:rFonts w:ascii="Arial" w:hAnsi="Arial" w:cs="Arial" w:eastAsia="Arial" w:hint="default"/>
        </w:rPr>
        <w:t>98</w:t>
      </w:r>
      <w:r>
        <w:rPr>
          <w:rFonts w:ascii="Arial" w:hAnsi="Arial" w:cs="Arial" w:eastAsia="Arial" w:hint="default"/>
          <w:spacing w:val="-9"/>
        </w:rPr>
        <w:t> </w:t>
      </w:r>
      <w:r>
        <w:rPr/>
        <w:t>万元</w:t>
      </w:r>
      <w:r>
        <w:rPr>
          <w:rFonts w:ascii="Arial" w:hAnsi="Arial" w:cs="Arial" w:eastAsia="Arial" w:hint="default"/>
        </w:rPr>
        <w:t>)</w:t>
      </w:r>
      <w:r>
        <w:rPr/>
        <w:t>。</w:t>
      </w:r>
    </w:p>
    <w:p>
      <w:pPr>
        <w:spacing w:line="240" w:lineRule="auto" w:before="10"/>
        <w:rPr>
          <w:rFonts w:ascii="宋体" w:hAnsi="宋体" w:cs="宋体" w:eastAsia="宋体" w:hint="default"/>
          <w:sz w:val="18"/>
          <w:szCs w:val="18"/>
        </w:rPr>
      </w:pPr>
    </w:p>
    <w:p>
      <w:pPr>
        <w:pStyle w:val="BodyText"/>
        <w:tabs>
          <w:tab w:pos="805" w:val="left" w:leader="none"/>
        </w:tabs>
        <w:spacing w:line="240" w:lineRule="auto"/>
        <w:ind w:left="108" w:right="0"/>
        <w:jc w:val="left"/>
      </w:pPr>
      <w:r>
        <w:rPr>
          <w:rFonts w:ascii="Arial" w:hAnsi="Arial" w:cs="Arial" w:eastAsia="Arial" w:hint="default"/>
          <w:w w:val="95"/>
          <w:position w:val="2"/>
        </w:rPr>
        <w:t>(2)</w:t>
        <w:tab/>
      </w:r>
      <w:r>
        <w:rPr/>
        <w:t>信用风险</w:t>
      </w:r>
    </w:p>
    <w:p>
      <w:pPr>
        <w:spacing w:line="240" w:lineRule="auto" w:before="4"/>
        <w:rPr>
          <w:rFonts w:ascii="宋体" w:hAnsi="宋体" w:cs="宋体" w:eastAsia="宋体" w:hint="default"/>
          <w:sz w:val="23"/>
          <w:szCs w:val="23"/>
        </w:rPr>
      </w:pPr>
    </w:p>
    <w:p>
      <w:pPr>
        <w:pStyle w:val="BodyText"/>
        <w:spacing w:line="312" w:lineRule="exact"/>
        <w:ind w:left="805" w:right="227"/>
        <w:jc w:val="both"/>
      </w:pPr>
      <w:r>
        <w:rPr>
          <w:spacing w:val="-3"/>
        </w:rPr>
        <w:t>本集团对信用风险按组合分类进行管理。信用风险主要产生于银行存款、应收账款、其</w:t>
      </w:r>
      <w:r>
        <w:rPr/>
        <w:t> 他应收款和应收票据等。</w:t>
      </w:r>
    </w:p>
    <w:p>
      <w:pPr>
        <w:spacing w:line="240" w:lineRule="auto" w:before="1"/>
        <w:rPr>
          <w:rFonts w:ascii="宋体" w:hAnsi="宋体" w:cs="宋体" w:eastAsia="宋体" w:hint="default"/>
          <w:sz w:val="21"/>
          <w:szCs w:val="21"/>
        </w:rPr>
      </w:pPr>
    </w:p>
    <w:p>
      <w:pPr>
        <w:pStyle w:val="BodyText"/>
        <w:spacing w:line="312" w:lineRule="exact"/>
        <w:ind w:left="805" w:right="227"/>
        <w:jc w:val="both"/>
      </w:pPr>
      <w:r>
        <w:rPr>
          <w:spacing w:val="-3"/>
        </w:rPr>
        <w:t>本集团银行存款主要存放于国有银行和其它大中型上市银行，本集团认为其不存在重大</w:t>
      </w:r>
      <w:r>
        <w:rPr>
          <w:spacing w:val="-117"/>
        </w:rPr>
        <w:t> </w:t>
      </w:r>
      <w:r>
        <w:rPr>
          <w:spacing w:val="-117"/>
        </w:rPr>
      </w:r>
      <w:r>
        <w:rPr/>
        <w:t>的信用风险，不会产生因对方单位违约而导致的任何重大损失。</w:t>
      </w:r>
    </w:p>
    <w:p>
      <w:pPr>
        <w:spacing w:line="240" w:lineRule="auto" w:before="1"/>
        <w:rPr>
          <w:rFonts w:ascii="宋体" w:hAnsi="宋体" w:cs="宋体" w:eastAsia="宋体" w:hint="default"/>
          <w:sz w:val="21"/>
          <w:szCs w:val="21"/>
        </w:rPr>
      </w:pPr>
    </w:p>
    <w:p>
      <w:pPr>
        <w:pStyle w:val="BodyText"/>
        <w:spacing w:line="312" w:lineRule="exact"/>
        <w:ind w:left="805" w:right="227"/>
        <w:jc w:val="both"/>
      </w:pPr>
      <w:r>
        <w:rPr>
          <w:spacing w:val="-3"/>
        </w:rPr>
        <w:t>此外，对于应收账款、其他应收款和应收票据，本集团设定相关政策以控制信用风险敞</w:t>
      </w:r>
      <w:r>
        <w:rPr/>
        <w:t> </w:t>
      </w:r>
      <w:r>
        <w:rPr>
          <w:spacing w:val="-3"/>
        </w:rPr>
        <w:t>口。本集团基于对客户的财务状况、从第三方获取担保的可能性、信用记录及其它因素</w:t>
      </w:r>
      <w:r>
        <w:rPr/>
        <w:t> </w:t>
      </w:r>
      <w:r>
        <w:rPr>
          <w:spacing w:val="-3"/>
        </w:rPr>
        <w:t>诸如目前市场状况等评估客户的信用资质并设置相应信用期。本集团会定期对客户信用</w:t>
      </w:r>
      <w:r>
        <w:rPr>
          <w:spacing w:val="-117"/>
        </w:rPr>
        <w:t> </w:t>
      </w:r>
      <w:r>
        <w:rPr>
          <w:spacing w:val="-117"/>
        </w:rPr>
      </w:r>
      <w:r>
        <w:rPr>
          <w:spacing w:val="-3"/>
        </w:rPr>
        <w:t>记录进行监控，对于信用记录不良的客户，本集团会采用书面催款、缩短信用期或取消</w:t>
      </w:r>
      <w:r>
        <w:rPr/>
        <w:t> 信用期等方式，以确保本集团的整体信用风险在可控的范围内。</w:t>
      </w:r>
    </w:p>
    <w:p>
      <w:pPr>
        <w:pStyle w:val="BodyText"/>
        <w:tabs>
          <w:tab w:pos="805" w:val="left" w:leader="none"/>
        </w:tabs>
        <w:spacing w:line="240" w:lineRule="auto" w:before="210"/>
        <w:ind w:left="107" w:right="0"/>
        <w:jc w:val="left"/>
      </w:pPr>
      <w:r>
        <w:rPr>
          <w:rFonts w:ascii="Arial" w:hAnsi="Arial" w:cs="Arial" w:eastAsia="Arial" w:hint="default"/>
          <w:w w:val="95"/>
          <w:position w:val="2"/>
        </w:rPr>
        <w:t>(3)</w:t>
        <w:tab/>
      </w:r>
      <w:r>
        <w:rPr/>
        <w:t>流动风险</w:t>
      </w:r>
    </w:p>
    <w:p>
      <w:pPr>
        <w:spacing w:line="240" w:lineRule="auto" w:before="4"/>
        <w:rPr>
          <w:rFonts w:ascii="宋体" w:hAnsi="宋体" w:cs="宋体" w:eastAsia="宋体" w:hint="default"/>
          <w:sz w:val="23"/>
          <w:szCs w:val="23"/>
        </w:rPr>
      </w:pPr>
    </w:p>
    <w:p>
      <w:pPr>
        <w:pStyle w:val="BodyText"/>
        <w:spacing w:line="312" w:lineRule="exact"/>
        <w:ind w:left="805" w:right="369"/>
        <w:jc w:val="both"/>
      </w:pPr>
      <w:r>
        <w:rPr>
          <w:spacing w:val="-1"/>
        </w:rPr>
        <w:t>本集团内各子公司负责其自身的现金流量预测。总部财务部门在汇总各子公司现金流</w:t>
      </w:r>
      <w:r>
        <w:rPr>
          <w:spacing w:val="-95"/>
        </w:rPr>
        <w:t> </w:t>
      </w:r>
      <w:r>
        <w:rPr>
          <w:spacing w:val="-95"/>
        </w:rPr>
      </w:r>
      <w:r>
        <w:rPr>
          <w:spacing w:val="-1"/>
        </w:rPr>
        <w:t>量预测的基础上，在集团层面持续监控短期和长期的资金需求，以确保维持充裕的现</w:t>
      </w:r>
      <w:r>
        <w:rPr>
          <w:spacing w:val="-95"/>
        </w:rPr>
        <w:t> </w:t>
      </w:r>
      <w:r>
        <w:rPr>
          <w:spacing w:val="-95"/>
        </w:rPr>
      </w:r>
      <w:r>
        <w:rPr>
          <w:spacing w:val="-1"/>
        </w:rPr>
        <w:t>金储备和可供随时变现的有价证券；同时持续监控是否符合借款协议的规定，从主要</w:t>
      </w:r>
      <w:r>
        <w:rPr>
          <w:spacing w:val="-95"/>
        </w:rPr>
        <w:t> </w:t>
      </w:r>
      <w:r>
        <w:rPr>
          <w:spacing w:val="-95"/>
        </w:rPr>
      </w:r>
      <w:r>
        <w:rPr/>
        <w:t>金融机构获得提供足够备用资金的承诺，以满足短期和长期的资金需求。</w:t>
      </w:r>
    </w:p>
    <w:p>
      <w:pPr>
        <w:spacing w:after="0" w:line="312" w:lineRule="exact"/>
        <w:jc w:val="both"/>
        <w:sectPr>
          <w:type w:val="continuous"/>
          <w:pgSz w:w="11910" w:h="16840"/>
          <w:pgMar w:top="920" w:bottom="900" w:left="1020" w:right="840"/>
        </w:sectPr>
      </w:pPr>
    </w:p>
    <w:p>
      <w:pPr>
        <w:spacing w:line="240" w:lineRule="auto" w:before="6"/>
        <w:rPr>
          <w:rFonts w:ascii="宋体" w:hAnsi="宋体" w:cs="宋体" w:eastAsia="宋体" w:hint="default"/>
          <w:sz w:val="13"/>
          <w:szCs w:val="13"/>
        </w:rPr>
      </w:pPr>
    </w:p>
    <w:p>
      <w:pPr>
        <w:pStyle w:val="Heading2"/>
        <w:tabs>
          <w:tab w:pos="805" w:val="left" w:leader="none"/>
        </w:tabs>
        <w:spacing w:line="240" w:lineRule="auto"/>
        <w:ind w:right="143"/>
        <w:jc w:val="left"/>
        <w:rPr>
          <w:rFonts w:ascii="Arial" w:hAnsi="Arial" w:cs="Arial" w:eastAsia="Arial" w:hint="default"/>
          <w:b w:val="0"/>
          <w:bCs w:val="0"/>
        </w:rPr>
      </w:pPr>
      <w:r>
        <w:rPr>
          <w:w w:val="95"/>
        </w:rPr>
        <w:t>十一</w:t>
        <w:tab/>
      </w:r>
      <w:r>
        <w:rPr/>
        <w:t>金融工具及其风险</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5"/>
        <w:rPr>
          <w:rFonts w:ascii="Arial" w:hAnsi="Arial" w:cs="Arial" w:eastAsia="Arial" w:hint="default"/>
          <w:b/>
          <w:bCs/>
          <w:sz w:val="25"/>
          <w:szCs w:val="25"/>
        </w:rPr>
      </w:pPr>
    </w:p>
    <w:p>
      <w:pPr>
        <w:pStyle w:val="BodyText"/>
        <w:tabs>
          <w:tab w:pos="805" w:val="left" w:leader="none"/>
        </w:tabs>
        <w:spacing w:line="240" w:lineRule="auto"/>
        <w:ind w:left="108" w:right="143"/>
        <w:jc w:val="left"/>
        <w:rPr>
          <w:rFonts w:ascii="Arial" w:hAnsi="Arial" w:cs="Arial" w:eastAsia="Arial" w:hint="default"/>
        </w:rPr>
      </w:pPr>
      <w:r>
        <w:rPr>
          <w:rFonts w:ascii="Arial" w:hAnsi="Arial" w:cs="Arial" w:eastAsia="Arial" w:hint="default"/>
          <w:w w:val="95"/>
          <w:position w:val="2"/>
        </w:rPr>
        <w:t>(3)</w:t>
        <w:tab/>
      </w:r>
      <w:r>
        <w:rPr/>
        <w:t>流动风险</w:t>
      </w:r>
      <w:r>
        <w:rPr>
          <w:rFonts w:ascii="Arial" w:hAnsi="Arial" w:cs="Arial" w:eastAsia="Arial" w:hint="default"/>
        </w:rPr>
        <w:t>(</w:t>
      </w:r>
      <w:r>
        <w:rPr/>
        <w:t>续</w:t>
      </w:r>
      <w:r>
        <w:rPr>
          <w:rFonts w:ascii="Arial" w:hAnsi="Arial" w:cs="Arial" w:eastAsia="Arial" w:hint="default"/>
        </w:rPr>
        <w:t>)</w:t>
      </w:r>
    </w:p>
    <w:p>
      <w:pPr>
        <w:spacing w:line="240" w:lineRule="auto" w:before="2"/>
        <w:rPr>
          <w:rFonts w:ascii="Arial" w:hAnsi="Arial" w:cs="Arial" w:eastAsia="Arial" w:hint="default"/>
          <w:sz w:val="28"/>
          <w:szCs w:val="28"/>
        </w:rPr>
      </w:pPr>
    </w:p>
    <w:p>
      <w:pPr>
        <w:pStyle w:val="BodyText"/>
        <w:spacing w:line="312" w:lineRule="exact"/>
        <w:ind w:left="805" w:right="143"/>
        <w:jc w:val="left"/>
      </w:pPr>
      <w:r>
        <w:rPr>
          <w:spacing w:val="-1"/>
        </w:rPr>
        <w:t>于资产负债表日，本集团各项金融资产及金融负债以未折现的合同现金流量按到期日</w:t>
      </w:r>
      <w:r>
        <w:rPr>
          <w:spacing w:val="-95"/>
        </w:rPr>
        <w:t> </w:t>
      </w:r>
      <w:r>
        <w:rPr>
          <w:spacing w:val="-95"/>
        </w:rPr>
      </w:r>
      <w:r>
        <w:rPr/>
        <w:t>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line="235" w:lineRule="auto" w:before="37"/>
        <w:ind w:left="1059" w:right="7945" w:hanging="255"/>
        <w:jc w:val="left"/>
        <w:rPr>
          <w:rFonts w:ascii="宋体" w:hAnsi="宋体" w:cs="宋体" w:eastAsia="宋体" w:hint="default"/>
          <w:sz w:val="22"/>
          <w:szCs w:val="22"/>
        </w:rPr>
      </w:pPr>
      <w:r>
        <w:rPr/>
        <w:pict>
          <v:shape style="position:absolute;margin-left:175.679993pt;margin-top:-30.115217pt;width:375.7pt;height:263.650pt;mso-position-horizontal-relative:page;mso-position-vertical-relative:paragraph;z-index:4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284"/>
                    <w:gridCol w:w="1133"/>
                    <w:gridCol w:w="295"/>
                    <w:gridCol w:w="1122"/>
                    <w:gridCol w:w="236"/>
                    <w:gridCol w:w="1194"/>
                    <w:gridCol w:w="235"/>
                    <w:gridCol w:w="1453"/>
                  </w:tblGrid>
                  <w:tr>
                    <w:trPr>
                      <w:trHeight w:val="369" w:hRule="exact"/>
                    </w:trPr>
                    <w:tc>
                      <w:tcPr>
                        <w:tcW w:w="7513"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31"/>
                          <w:ind w:left="13" w:right="0"/>
                          <w:jc w:val="center"/>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440" w:hRule="exact"/>
                    </w:trPr>
                    <w:tc>
                      <w:tcPr>
                        <w:tcW w:w="1560" w:type="dxa"/>
                        <w:tcBorders>
                          <w:top w:val="single" w:sz="12" w:space="0" w:color="000000"/>
                          <w:left w:val="nil" w:sz="6" w:space="0" w:color="auto"/>
                          <w:bottom w:val="nil" w:sz="6" w:space="0" w:color="auto"/>
                          <w:right w:val="nil" w:sz="6" w:space="0" w:color="auto"/>
                        </w:tcBorders>
                      </w:tcPr>
                      <w:p>
                        <w:pPr>
                          <w:pStyle w:val="TableParagraph"/>
                          <w:spacing w:line="253" w:lineRule="exact"/>
                          <w:ind w:right="99"/>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284" w:type="dxa"/>
                        <w:tcBorders>
                          <w:top w:val="single" w:sz="12" w:space="0" w:color="000000"/>
                          <w:left w:val="nil" w:sz="6" w:space="0" w:color="auto"/>
                          <w:bottom w:val="nil" w:sz="6" w:space="0" w:color="auto"/>
                          <w:right w:val="nil" w:sz="6" w:space="0" w:color="auto"/>
                        </w:tcBorders>
                      </w:tcPr>
                      <w:p>
                        <w:pPr/>
                      </w:p>
                    </w:tc>
                    <w:tc>
                      <w:tcPr>
                        <w:tcW w:w="1133" w:type="dxa"/>
                        <w:tcBorders>
                          <w:top w:val="single" w:sz="12" w:space="0" w:color="000000"/>
                          <w:left w:val="nil" w:sz="6" w:space="0" w:color="auto"/>
                          <w:bottom w:val="nil" w:sz="6" w:space="0" w:color="auto"/>
                          <w:right w:val="nil" w:sz="6" w:space="0" w:color="auto"/>
                        </w:tcBorders>
                      </w:tcPr>
                      <w:p>
                        <w:pPr>
                          <w:pStyle w:val="TableParagraph"/>
                          <w:spacing w:line="253" w:lineRule="exact"/>
                          <w:ind w:right="98"/>
                          <w:jc w:val="right"/>
                          <w:rPr>
                            <w:rFonts w:ascii="宋体" w:hAnsi="宋体" w:cs="宋体" w:eastAsia="宋体" w:hint="default"/>
                            <w:sz w:val="22"/>
                            <w:szCs w:val="22"/>
                          </w:rPr>
                        </w:pPr>
                        <w:r>
                          <w:rPr>
                            <w:rFonts w:ascii="宋体" w:hAnsi="宋体" w:cs="宋体" w:eastAsia="宋体" w:hint="default"/>
                            <w:w w:val="95"/>
                            <w:sz w:val="22"/>
                            <w:szCs w:val="22"/>
                          </w:rPr>
                          <w:t>一到二年</w:t>
                        </w:r>
                        <w:r>
                          <w:rPr>
                            <w:rFonts w:ascii="宋体" w:hAnsi="宋体" w:cs="宋体" w:eastAsia="宋体" w:hint="default"/>
                            <w:sz w:val="22"/>
                            <w:szCs w:val="22"/>
                          </w:rPr>
                        </w:r>
                      </w:p>
                    </w:tc>
                    <w:tc>
                      <w:tcPr>
                        <w:tcW w:w="295" w:type="dxa"/>
                        <w:tcBorders>
                          <w:top w:val="single" w:sz="12" w:space="0" w:color="000000"/>
                          <w:left w:val="nil" w:sz="6" w:space="0" w:color="auto"/>
                          <w:bottom w:val="nil" w:sz="6" w:space="0" w:color="auto"/>
                          <w:right w:val="nil" w:sz="6" w:space="0" w:color="auto"/>
                        </w:tcBorders>
                      </w:tcPr>
                      <w:p>
                        <w:pPr/>
                      </w:p>
                    </w:tc>
                    <w:tc>
                      <w:tcPr>
                        <w:tcW w:w="1122" w:type="dxa"/>
                        <w:tcBorders>
                          <w:top w:val="single" w:sz="12" w:space="0" w:color="000000"/>
                          <w:left w:val="nil" w:sz="6" w:space="0" w:color="auto"/>
                          <w:bottom w:val="nil" w:sz="6" w:space="0" w:color="auto"/>
                          <w:right w:val="nil" w:sz="6" w:space="0" w:color="auto"/>
                        </w:tcBorders>
                      </w:tcPr>
                      <w:p>
                        <w:pPr>
                          <w:pStyle w:val="TableParagraph"/>
                          <w:spacing w:line="253" w:lineRule="exact"/>
                          <w:ind w:right="98"/>
                          <w:jc w:val="right"/>
                          <w:rPr>
                            <w:rFonts w:ascii="宋体" w:hAnsi="宋体" w:cs="宋体" w:eastAsia="宋体" w:hint="default"/>
                            <w:sz w:val="22"/>
                            <w:szCs w:val="22"/>
                          </w:rPr>
                        </w:pPr>
                        <w:r>
                          <w:rPr>
                            <w:rFonts w:ascii="宋体" w:hAnsi="宋体" w:cs="宋体" w:eastAsia="宋体" w:hint="default"/>
                            <w:w w:val="95"/>
                            <w:sz w:val="22"/>
                            <w:szCs w:val="22"/>
                          </w:rPr>
                          <w:t>二到五年</w:t>
                        </w:r>
                        <w:r>
                          <w:rPr>
                            <w:rFonts w:ascii="宋体" w:hAnsi="宋体" w:cs="宋体" w:eastAsia="宋体" w:hint="default"/>
                            <w:sz w:val="22"/>
                            <w:szCs w:val="22"/>
                          </w:rPr>
                        </w:r>
                      </w:p>
                    </w:tc>
                    <w:tc>
                      <w:tcPr>
                        <w:tcW w:w="236" w:type="dxa"/>
                        <w:tcBorders>
                          <w:top w:val="single" w:sz="12" w:space="0" w:color="000000"/>
                          <w:left w:val="nil" w:sz="6" w:space="0" w:color="auto"/>
                          <w:bottom w:val="nil" w:sz="6" w:space="0" w:color="auto"/>
                          <w:right w:val="nil" w:sz="6" w:space="0" w:color="auto"/>
                        </w:tcBorders>
                      </w:tcPr>
                      <w:p>
                        <w:pPr/>
                      </w:p>
                    </w:tc>
                    <w:tc>
                      <w:tcPr>
                        <w:tcW w:w="1194" w:type="dxa"/>
                        <w:tcBorders>
                          <w:top w:val="single" w:sz="12" w:space="0" w:color="000000"/>
                          <w:left w:val="nil" w:sz="6" w:space="0" w:color="auto"/>
                          <w:bottom w:val="nil" w:sz="6" w:space="0" w:color="auto"/>
                          <w:right w:val="nil" w:sz="6" w:space="0" w:color="auto"/>
                        </w:tcBorders>
                      </w:tcPr>
                      <w:p>
                        <w:pPr>
                          <w:pStyle w:val="TableParagraph"/>
                          <w:spacing w:line="253" w:lineRule="exact"/>
                          <w:ind w:right="98"/>
                          <w:jc w:val="right"/>
                          <w:rPr>
                            <w:rFonts w:ascii="宋体" w:hAnsi="宋体" w:cs="宋体" w:eastAsia="宋体" w:hint="default"/>
                            <w:sz w:val="22"/>
                            <w:szCs w:val="22"/>
                          </w:rPr>
                        </w:pPr>
                        <w:r>
                          <w:rPr>
                            <w:rFonts w:ascii="宋体" w:hAnsi="宋体" w:cs="宋体" w:eastAsia="宋体" w:hint="default"/>
                            <w:w w:val="95"/>
                            <w:sz w:val="22"/>
                            <w:szCs w:val="22"/>
                          </w:rPr>
                          <w:t>五年以上</w:t>
                        </w:r>
                        <w:r>
                          <w:rPr>
                            <w:rFonts w:ascii="宋体" w:hAnsi="宋体" w:cs="宋体" w:eastAsia="宋体" w:hint="default"/>
                            <w:sz w:val="22"/>
                            <w:szCs w:val="22"/>
                          </w:rPr>
                        </w:r>
                      </w:p>
                    </w:tc>
                    <w:tc>
                      <w:tcPr>
                        <w:tcW w:w="235" w:type="dxa"/>
                        <w:tcBorders>
                          <w:top w:val="single" w:sz="12" w:space="0" w:color="000000"/>
                          <w:left w:val="nil" w:sz="6" w:space="0" w:color="auto"/>
                          <w:bottom w:val="nil" w:sz="6" w:space="0" w:color="auto"/>
                          <w:right w:val="nil" w:sz="6" w:space="0" w:color="auto"/>
                        </w:tcBorders>
                      </w:tcPr>
                      <w:p>
                        <w:pPr/>
                      </w:p>
                    </w:tc>
                    <w:tc>
                      <w:tcPr>
                        <w:tcW w:w="1453" w:type="dxa"/>
                        <w:tcBorders>
                          <w:top w:val="single" w:sz="12" w:space="0" w:color="000000"/>
                          <w:left w:val="nil" w:sz="6" w:space="0" w:color="auto"/>
                          <w:bottom w:val="nil" w:sz="6" w:space="0" w:color="auto"/>
                          <w:right w:val="nil" w:sz="6" w:space="0" w:color="auto"/>
                        </w:tcBorders>
                      </w:tcPr>
                      <w:p>
                        <w:pPr>
                          <w:pStyle w:val="TableParagraph"/>
                          <w:spacing w:line="253" w:lineRule="exact"/>
                          <w:ind w:right="98"/>
                          <w:jc w:val="right"/>
                          <w:rPr>
                            <w:rFonts w:ascii="宋体" w:hAnsi="宋体" w:cs="宋体" w:eastAsia="宋体" w:hint="default"/>
                            <w:sz w:val="22"/>
                            <w:szCs w:val="22"/>
                          </w:rPr>
                        </w:pPr>
                        <w:r>
                          <w:rPr>
                            <w:rFonts w:ascii="宋体" w:hAnsi="宋体" w:cs="宋体" w:eastAsia="宋体" w:hint="default"/>
                            <w:w w:val="95"/>
                            <w:sz w:val="22"/>
                            <w:szCs w:val="22"/>
                          </w:rPr>
                          <w:t>合计</w:t>
                        </w:r>
                        <w:r>
                          <w:rPr>
                            <w:rFonts w:ascii="宋体" w:hAnsi="宋体" w:cs="宋体" w:eastAsia="宋体" w:hint="default"/>
                            <w:sz w:val="22"/>
                            <w:szCs w:val="22"/>
                          </w:rPr>
                        </w:r>
                      </w:p>
                    </w:tc>
                  </w:tr>
                  <w:tr>
                    <w:trPr>
                      <w:trHeight w:val="425"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99"/>
                          <w:jc w:val="right"/>
                          <w:rPr>
                            <w:rFonts w:ascii="Arial" w:hAnsi="Arial" w:cs="Arial" w:eastAsia="Arial" w:hint="default"/>
                            <w:sz w:val="22"/>
                            <w:szCs w:val="22"/>
                          </w:rPr>
                        </w:pPr>
                        <w:r>
                          <w:rPr>
                            <w:rFonts w:ascii="Arial"/>
                            <w:w w:val="95"/>
                            <w:sz w:val="22"/>
                          </w:rPr>
                          <w:t>19,351,838</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99"/>
                          <w:jc w:val="right"/>
                          <w:rPr>
                            <w:rFonts w:ascii="Arial" w:hAnsi="Arial" w:cs="Arial" w:eastAsia="Arial" w:hint="default"/>
                            <w:sz w:val="22"/>
                            <w:szCs w:val="22"/>
                          </w:rPr>
                        </w:pPr>
                        <w:r>
                          <w:rPr>
                            <w:rFonts w:ascii="Arial"/>
                            <w:w w:val="99"/>
                            <w:sz w:val="22"/>
                          </w:rPr>
                          <w:t>-</w:t>
                        </w:r>
                        <w:r>
                          <w:rPr>
                            <w:rFonts w:ascii="Arial"/>
                            <w:sz w:val="22"/>
                          </w:rPr>
                        </w: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99"/>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99"/>
                          <w:jc w:val="right"/>
                          <w:rPr>
                            <w:rFonts w:ascii="Arial" w:hAnsi="Arial" w:cs="Arial" w:eastAsia="Arial" w:hint="default"/>
                            <w:sz w:val="22"/>
                            <w:szCs w:val="22"/>
                          </w:rPr>
                        </w:pPr>
                        <w:r>
                          <w:rPr>
                            <w:rFonts w:ascii="Arial"/>
                            <w:w w:val="99"/>
                            <w:sz w:val="22"/>
                          </w:rPr>
                          <w:t>-</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98"/>
                          <w:jc w:val="right"/>
                          <w:rPr>
                            <w:rFonts w:ascii="Arial" w:hAnsi="Arial" w:cs="Arial" w:eastAsia="Arial" w:hint="default"/>
                            <w:sz w:val="22"/>
                            <w:szCs w:val="22"/>
                          </w:rPr>
                        </w:pPr>
                        <w:r>
                          <w:rPr>
                            <w:rFonts w:ascii="Arial"/>
                            <w:w w:val="95"/>
                            <w:sz w:val="22"/>
                          </w:rPr>
                          <w:t>19,351,838</w:t>
                        </w:r>
                        <w:r>
                          <w:rPr>
                            <w:rFonts w:ascii="Arial"/>
                            <w:sz w:val="22"/>
                          </w:rPr>
                        </w:r>
                      </w:p>
                    </w:tc>
                  </w:tr>
                  <w:tr>
                    <w:trPr>
                      <w:trHeight w:val="286"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0"/>
                          <w:jc w:val="right"/>
                          <w:rPr>
                            <w:rFonts w:ascii="Arial" w:hAnsi="Arial" w:cs="Arial" w:eastAsia="Arial" w:hint="default"/>
                            <w:sz w:val="22"/>
                            <w:szCs w:val="22"/>
                          </w:rPr>
                        </w:pPr>
                        <w:r>
                          <w:rPr>
                            <w:rFonts w:ascii="Arial"/>
                            <w:spacing w:val="-2"/>
                            <w:w w:val="95"/>
                            <w:sz w:val="22"/>
                          </w:rPr>
                          <w:t>1,104,611</w:t>
                        </w:r>
                        <w:r>
                          <w:rPr>
                            <w:rFonts w:ascii="Arial"/>
                            <w:spacing w:val="-2"/>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9"/>
                          <w:jc w:val="right"/>
                          <w:rPr>
                            <w:rFonts w:ascii="Arial" w:hAnsi="Arial" w:cs="Arial" w:eastAsia="Arial" w:hint="default"/>
                            <w:sz w:val="22"/>
                            <w:szCs w:val="22"/>
                          </w:rPr>
                        </w:pPr>
                        <w:r>
                          <w:rPr>
                            <w:rFonts w:ascii="Arial"/>
                            <w:w w:val="99"/>
                            <w:sz w:val="22"/>
                          </w:rPr>
                          <w:t>-</w:t>
                        </w:r>
                        <w:r>
                          <w:rPr>
                            <w:rFonts w:ascii="Arial"/>
                            <w:sz w:val="22"/>
                          </w:rPr>
                        </w: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0"/>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0"/>
                          <w:jc w:val="right"/>
                          <w:rPr>
                            <w:rFonts w:ascii="Arial" w:hAnsi="Arial" w:cs="Arial" w:eastAsia="Arial" w:hint="default"/>
                            <w:sz w:val="22"/>
                            <w:szCs w:val="22"/>
                          </w:rPr>
                        </w:pPr>
                        <w:r>
                          <w:rPr>
                            <w:rFonts w:ascii="Arial"/>
                            <w:w w:val="99"/>
                            <w:sz w:val="22"/>
                          </w:rPr>
                          <w:t>-</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9"/>
                          <w:jc w:val="right"/>
                          <w:rPr>
                            <w:rFonts w:ascii="Arial" w:hAnsi="Arial" w:cs="Arial" w:eastAsia="Arial" w:hint="default"/>
                            <w:sz w:val="22"/>
                            <w:szCs w:val="22"/>
                          </w:rPr>
                        </w:pPr>
                        <w:r>
                          <w:rPr>
                            <w:rFonts w:ascii="Arial"/>
                            <w:spacing w:val="-2"/>
                            <w:w w:val="95"/>
                            <w:sz w:val="22"/>
                          </w:rPr>
                          <w:t>1,104,611</w:t>
                        </w:r>
                        <w:r>
                          <w:rPr>
                            <w:rFonts w:ascii="Arial"/>
                            <w:spacing w:val="-2"/>
                            <w:sz w:val="22"/>
                          </w:rPr>
                        </w:r>
                      </w:p>
                    </w:tc>
                  </w:tr>
                  <w:tr>
                    <w:trPr>
                      <w:trHeight w:val="286"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Arial" w:hAnsi="Arial" w:cs="Arial" w:eastAsia="Arial" w:hint="default"/>
                            <w:sz w:val="22"/>
                            <w:szCs w:val="22"/>
                          </w:rPr>
                        </w:pPr>
                        <w:r>
                          <w:rPr>
                            <w:rFonts w:ascii="Arial"/>
                            <w:w w:val="95"/>
                            <w:sz w:val="22"/>
                          </w:rPr>
                          <w:t>975,737</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9"/>
                            <w:sz w:val="22"/>
                          </w:rPr>
                          <w:t>-</w:t>
                        </w:r>
                        <w:r>
                          <w:rPr>
                            <w:rFonts w:ascii="Arial"/>
                            <w:sz w:val="22"/>
                          </w:rPr>
                        </w: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9"/>
                            <w:sz w:val="22"/>
                          </w:rPr>
                          <w:t>-</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5"/>
                            <w:sz w:val="22"/>
                          </w:rPr>
                          <w:t>975,737</w:t>
                        </w:r>
                        <w:r>
                          <w:rPr>
                            <w:rFonts w:ascii="Arial"/>
                            <w:sz w:val="22"/>
                          </w:rPr>
                        </w:r>
                      </w:p>
                    </w:tc>
                  </w:tr>
                  <w:tr>
                    <w:trPr>
                      <w:trHeight w:val="286"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Arial" w:hAnsi="Arial" w:cs="Arial" w:eastAsia="Arial" w:hint="default"/>
                            <w:sz w:val="22"/>
                            <w:szCs w:val="22"/>
                          </w:rPr>
                        </w:pPr>
                        <w:r>
                          <w:rPr>
                            <w:rFonts w:ascii="Arial"/>
                            <w:w w:val="95"/>
                            <w:sz w:val="22"/>
                          </w:rPr>
                          <w:t>2,505</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9"/>
                            <w:sz w:val="22"/>
                          </w:rPr>
                          <w:t>-</w:t>
                        </w:r>
                        <w:r>
                          <w:rPr>
                            <w:rFonts w:ascii="Arial"/>
                            <w:sz w:val="22"/>
                          </w:rPr>
                        </w: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9"/>
                            <w:sz w:val="22"/>
                          </w:rPr>
                          <w:t>-</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5"/>
                            <w:sz w:val="22"/>
                          </w:rPr>
                          <w:t>2,505</w:t>
                        </w:r>
                        <w:r>
                          <w:rPr>
                            <w:rFonts w:ascii="Arial"/>
                            <w:sz w:val="22"/>
                          </w:rPr>
                        </w:r>
                      </w:p>
                    </w:tc>
                  </w:tr>
                  <w:tr>
                    <w:trPr>
                      <w:trHeight w:val="286"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0"/>
                          <w:jc w:val="right"/>
                          <w:rPr>
                            <w:rFonts w:ascii="Arial" w:hAnsi="Arial" w:cs="Arial" w:eastAsia="Arial" w:hint="default"/>
                            <w:sz w:val="22"/>
                            <w:szCs w:val="22"/>
                          </w:rPr>
                        </w:pPr>
                        <w:r>
                          <w:rPr>
                            <w:rFonts w:ascii="Arial"/>
                            <w:w w:val="95"/>
                            <w:sz w:val="22"/>
                          </w:rPr>
                          <w:t>31,385</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9"/>
                          <w:jc w:val="right"/>
                          <w:rPr>
                            <w:rFonts w:ascii="Arial" w:hAnsi="Arial" w:cs="Arial" w:eastAsia="Arial" w:hint="default"/>
                            <w:sz w:val="22"/>
                            <w:szCs w:val="22"/>
                          </w:rPr>
                        </w:pPr>
                        <w:r>
                          <w:rPr>
                            <w:rFonts w:ascii="Arial"/>
                            <w:w w:val="99"/>
                            <w:sz w:val="22"/>
                          </w:rPr>
                          <w:t>-</w:t>
                        </w:r>
                        <w:r>
                          <w:rPr>
                            <w:rFonts w:ascii="Arial"/>
                            <w:sz w:val="22"/>
                          </w:rPr>
                        </w: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9"/>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9"/>
                          <w:jc w:val="right"/>
                          <w:rPr>
                            <w:rFonts w:ascii="Arial" w:hAnsi="Arial" w:cs="Arial" w:eastAsia="Arial" w:hint="default"/>
                            <w:sz w:val="22"/>
                            <w:szCs w:val="22"/>
                          </w:rPr>
                        </w:pPr>
                        <w:r>
                          <w:rPr>
                            <w:rFonts w:ascii="Arial"/>
                            <w:w w:val="99"/>
                            <w:sz w:val="22"/>
                          </w:rPr>
                          <w:t>-</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9"/>
                          <w:jc w:val="right"/>
                          <w:rPr>
                            <w:rFonts w:ascii="Arial" w:hAnsi="Arial" w:cs="Arial" w:eastAsia="Arial" w:hint="default"/>
                            <w:sz w:val="22"/>
                            <w:szCs w:val="22"/>
                          </w:rPr>
                        </w:pPr>
                        <w:r>
                          <w:rPr>
                            <w:rFonts w:ascii="Arial"/>
                            <w:w w:val="95"/>
                            <w:sz w:val="22"/>
                          </w:rPr>
                          <w:t>31,385</w:t>
                        </w:r>
                        <w:r>
                          <w:rPr>
                            <w:rFonts w:ascii="Arial"/>
                            <w:sz w:val="22"/>
                          </w:rPr>
                        </w:r>
                      </w:p>
                    </w:tc>
                  </w:tr>
                  <w:tr>
                    <w:trPr>
                      <w:trHeight w:val="297" w:hRule="exact"/>
                    </w:trPr>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0"/>
                          <w:jc w:val="right"/>
                          <w:rPr>
                            <w:rFonts w:ascii="Arial" w:hAnsi="Arial" w:cs="Arial" w:eastAsia="Arial" w:hint="default"/>
                            <w:sz w:val="22"/>
                            <w:szCs w:val="22"/>
                          </w:rPr>
                        </w:pPr>
                        <w:r>
                          <w:rPr>
                            <w:rFonts w:ascii="Arial"/>
                            <w:w w:val="95"/>
                            <w:sz w:val="22"/>
                          </w:rPr>
                          <w:t>300</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5"/>
                            <w:sz w:val="22"/>
                          </w:rPr>
                          <w:t>8,214</w:t>
                        </w:r>
                        <w:r>
                          <w:rPr>
                            <w:rFonts w:ascii="Arial"/>
                            <w:sz w:val="22"/>
                          </w:rPr>
                        </w: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5"/>
                            <w:sz w:val="22"/>
                          </w:rPr>
                          <w:t>122,254</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9"/>
                            <w:sz w:val="22"/>
                          </w:rPr>
                          <w:t>-</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5"/>
                            <w:sz w:val="22"/>
                          </w:rPr>
                          <w:t>130,768</w:t>
                        </w:r>
                        <w:r>
                          <w:rPr>
                            <w:rFonts w:ascii="Arial"/>
                            <w:sz w:val="22"/>
                          </w:rPr>
                        </w:r>
                      </w:p>
                    </w:tc>
                  </w:tr>
                  <w:tr>
                    <w:trPr>
                      <w:trHeight w:val="273" w:hRule="exact"/>
                    </w:trPr>
                    <w:tc>
                      <w:tcPr>
                        <w:tcW w:w="1560"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9"/>
                          <w:jc w:val="right"/>
                          <w:rPr>
                            <w:rFonts w:ascii="Arial" w:hAnsi="Arial" w:cs="Arial" w:eastAsia="Arial" w:hint="default"/>
                            <w:sz w:val="22"/>
                            <w:szCs w:val="22"/>
                          </w:rPr>
                        </w:pPr>
                        <w:r>
                          <w:rPr>
                            <w:rFonts w:ascii="Arial"/>
                            <w:w w:val="95"/>
                            <w:sz w:val="22"/>
                          </w:rPr>
                          <w:t>21,466,376</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9"/>
                          <w:jc w:val="right"/>
                          <w:rPr>
                            <w:rFonts w:ascii="Arial" w:hAnsi="Arial" w:cs="Arial" w:eastAsia="Arial" w:hint="default"/>
                            <w:sz w:val="22"/>
                            <w:szCs w:val="22"/>
                          </w:rPr>
                        </w:pPr>
                        <w:r>
                          <w:rPr>
                            <w:rFonts w:ascii="Arial"/>
                            <w:w w:val="95"/>
                            <w:sz w:val="22"/>
                          </w:rPr>
                          <w:t>8,214</w:t>
                        </w:r>
                        <w:r>
                          <w:rPr>
                            <w:rFonts w:ascii="Arial"/>
                            <w:sz w:val="22"/>
                          </w:rPr>
                        </w: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9"/>
                          <w:jc w:val="right"/>
                          <w:rPr>
                            <w:rFonts w:ascii="Arial" w:hAnsi="Arial" w:cs="Arial" w:eastAsia="Arial" w:hint="default"/>
                            <w:sz w:val="22"/>
                            <w:szCs w:val="22"/>
                          </w:rPr>
                        </w:pPr>
                        <w:r>
                          <w:rPr>
                            <w:rFonts w:ascii="Arial"/>
                            <w:w w:val="95"/>
                            <w:sz w:val="22"/>
                          </w:rPr>
                          <w:t>122,254</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9"/>
                          <w:jc w:val="right"/>
                          <w:rPr>
                            <w:rFonts w:ascii="Arial" w:hAnsi="Arial" w:cs="Arial" w:eastAsia="Arial" w:hint="default"/>
                            <w:sz w:val="22"/>
                            <w:szCs w:val="22"/>
                          </w:rPr>
                        </w:pPr>
                        <w:r>
                          <w:rPr>
                            <w:rFonts w:ascii="Arial"/>
                            <w:w w:val="99"/>
                            <w:sz w:val="22"/>
                          </w:rPr>
                          <w:t>-</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453"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8"/>
                          <w:jc w:val="right"/>
                          <w:rPr>
                            <w:rFonts w:ascii="Arial" w:hAnsi="Arial" w:cs="Arial" w:eastAsia="Arial" w:hint="default"/>
                            <w:sz w:val="22"/>
                            <w:szCs w:val="22"/>
                          </w:rPr>
                        </w:pPr>
                        <w:r>
                          <w:rPr>
                            <w:rFonts w:ascii="Arial"/>
                            <w:w w:val="95"/>
                            <w:sz w:val="22"/>
                          </w:rPr>
                          <w:t>21,596,844</w:t>
                        </w:r>
                        <w:r>
                          <w:rPr>
                            <w:rFonts w:ascii="Arial"/>
                            <w:sz w:val="22"/>
                          </w:rPr>
                        </w:r>
                      </w:p>
                    </w:tc>
                  </w:tr>
                  <w:tr>
                    <w:trPr>
                      <w:trHeight w:val="580" w:hRule="exact"/>
                    </w:trPr>
                    <w:tc>
                      <w:tcPr>
                        <w:tcW w:w="1560"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2"/>
                            <w:szCs w:val="22"/>
                          </w:rPr>
                        </w:pPr>
                        <w:r>
                          <w:rPr>
                            <w:rFonts w:ascii="Arial"/>
                            <w:w w:val="95"/>
                            <w:sz w:val="22"/>
                          </w:rPr>
                          <w:t>317,789</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2"/>
                            <w:szCs w:val="22"/>
                          </w:rPr>
                        </w:pPr>
                        <w:r>
                          <w:rPr>
                            <w:rFonts w:ascii="Arial"/>
                            <w:w w:val="99"/>
                            <w:sz w:val="22"/>
                          </w:rPr>
                          <w:t>-</w:t>
                        </w:r>
                        <w:r>
                          <w:rPr>
                            <w:rFonts w:ascii="Arial"/>
                            <w:sz w:val="22"/>
                          </w:rPr>
                        </w: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2"/>
                            <w:szCs w:val="22"/>
                          </w:rPr>
                        </w:pPr>
                        <w:r>
                          <w:rPr>
                            <w:rFonts w:ascii="Arial"/>
                            <w:w w:val="99"/>
                            <w:sz w:val="22"/>
                          </w:rPr>
                          <w:t>-</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453"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2"/>
                            <w:szCs w:val="22"/>
                          </w:rPr>
                        </w:pPr>
                        <w:r>
                          <w:rPr>
                            <w:rFonts w:ascii="Arial"/>
                            <w:w w:val="95"/>
                            <w:sz w:val="22"/>
                          </w:rPr>
                          <w:t>317,789</w:t>
                        </w:r>
                        <w:r>
                          <w:rPr>
                            <w:rFonts w:ascii="Arial"/>
                            <w:sz w:val="22"/>
                          </w:rPr>
                        </w:r>
                      </w:p>
                    </w:tc>
                  </w:tr>
                  <w:tr>
                    <w:trPr>
                      <w:trHeight w:val="286"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Arial" w:hAnsi="Arial" w:cs="Arial" w:eastAsia="Arial" w:hint="default"/>
                            <w:sz w:val="22"/>
                            <w:szCs w:val="22"/>
                          </w:rPr>
                        </w:pPr>
                        <w:r>
                          <w:rPr>
                            <w:rFonts w:ascii="Arial"/>
                            <w:w w:val="95"/>
                            <w:sz w:val="22"/>
                          </w:rPr>
                          <w:t>6,839,024</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9"/>
                            <w:sz w:val="22"/>
                          </w:rPr>
                          <w:t>-</w:t>
                        </w:r>
                        <w:r>
                          <w:rPr>
                            <w:rFonts w:ascii="Arial"/>
                            <w:sz w:val="22"/>
                          </w:rPr>
                        </w: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9"/>
                            <w:sz w:val="22"/>
                          </w:rPr>
                          <w:t>-</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Arial" w:hAnsi="Arial" w:cs="Arial" w:eastAsia="Arial" w:hint="default"/>
                            <w:sz w:val="22"/>
                            <w:szCs w:val="22"/>
                          </w:rPr>
                        </w:pPr>
                        <w:r>
                          <w:rPr>
                            <w:rFonts w:ascii="Arial"/>
                            <w:w w:val="95"/>
                            <w:sz w:val="22"/>
                          </w:rPr>
                          <w:t>6,839,024</w:t>
                        </w:r>
                        <w:r>
                          <w:rPr>
                            <w:rFonts w:ascii="Arial"/>
                            <w:sz w:val="22"/>
                          </w:rPr>
                        </w:r>
                      </w:p>
                    </w:tc>
                  </w:tr>
                  <w:tr>
                    <w:trPr>
                      <w:trHeight w:val="286"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Arial" w:hAnsi="Arial" w:cs="Arial" w:eastAsia="Arial" w:hint="default"/>
                            <w:sz w:val="22"/>
                            <w:szCs w:val="22"/>
                          </w:rPr>
                        </w:pPr>
                        <w:r>
                          <w:rPr>
                            <w:rFonts w:ascii="Arial"/>
                            <w:w w:val="95"/>
                            <w:sz w:val="22"/>
                          </w:rPr>
                          <w:t>1,539,020</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5"/>
                            <w:sz w:val="22"/>
                          </w:rPr>
                          <w:t>1,539,020</w:t>
                        </w:r>
                        <w:r>
                          <w:rPr>
                            <w:rFonts w:ascii="Arial"/>
                            <w:sz w:val="22"/>
                          </w:rPr>
                        </w:r>
                      </w:p>
                    </w:tc>
                  </w:tr>
                  <w:tr>
                    <w:trPr>
                      <w:trHeight w:val="298" w:hRule="exact"/>
                    </w:trPr>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00"/>
                          <w:jc w:val="right"/>
                          <w:rPr>
                            <w:rFonts w:ascii="Arial" w:hAnsi="Arial" w:cs="Arial" w:eastAsia="Arial" w:hint="default"/>
                            <w:sz w:val="22"/>
                            <w:szCs w:val="22"/>
                          </w:rPr>
                        </w:pPr>
                        <w:r>
                          <w:rPr>
                            <w:rFonts w:ascii="Arial"/>
                            <w:w w:val="95"/>
                            <w:sz w:val="22"/>
                          </w:rPr>
                          <w:t>14,277,320</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99"/>
                          <w:jc w:val="right"/>
                          <w:rPr>
                            <w:rFonts w:ascii="Arial" w:hAnsi="Arial" w:cs="Arial" w:eastAsia="Arial" w:hint="default"/>
                            <w:sz w:val="22"/>
                            <w:szCs w:val="22"/>
                          </w:rPr>
                        </w:pPr>
                        <w:r>
                          <w:rPr>
                            <w:rFonts w:ascii="Arial"/>
                            <w:w w:val="99"/>
                            <w:sz w:val="22"/>
                          </w:rPr>
                          <w:t>-</w:t>
                        </w:r>
                        <w:r>
                          <w:rPr>
                            <w:rFonts w:ascii="Arial"/>
                            <w:sz w:val="22"/>
                          </w:rPr>
                        </w: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99"/>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99"/>
                          <w:jc w:val="right"/>
                          <w:rPr>
                            <w:rFonts w:ascii="Arial" w:hAnsi="Arial" w:cs="Arial" w:eastAsia="Arial" w:hint="default"/>
                            <w:sz w:val="22"/>
                            <w:szCs w:val="22"/>
                          </w:rPr>
                        </w:pPr>
                        <w:r>
                          <w:rPr>
                            <w:rFonts w:ascii="Arial"/>
                            <w:w w:val="99"/>
                            <w:sz w:val="22"/>
                          </w:rPr>
                          <w:t>-</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99"/>
                          <w:jc w:val="right"/>
                          <w:rPr>
                            <w:rFonts w:ascii="Arial" w:hAnsi="Arial" w:cs="Arial" w:eastAsia="Arial" w:hint="default"/>
                            <w:sz w:val="22"/>
                            <w:szCs w:val="22"/>
                          </w:rPr>
                        </w:pPr>
                        <w:r>
                          <w:rPr>
                            <w:rFonts w:ascii="Arial"/>
                            <w:w w:val="95"/>
                            <w:sz w:val="22"/>
                          </w:rPr>
                          <w:t>14,277,320</w:t>
                        </w:r>
                        <w:r>
                          <w:rPr>
                            <w:rFonts w:ascii="Arial"/>
                            <w:sz w:val="22"/>
                          </w:rPr>
                        </w:r>
                      </w:p>
                    </w:tc>
                  </w:tr>
                  <w:tr>
                    <w:trPr>
                      <w:trHeight w:val="273" w:hRule="exact"/>
                    </w:trPr>
                    <w:tc>
                      <w:tcPr>
                        <w:tcW w:w="1560"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9"/>
                          <w:jc w:val="right"/>
                          <w:rPr>
                            <w:rFonts w:ascii="Arial" w:hAnsi="Arial" w:cs="Arial" w:eastAsia="Arial" w:hint="default"/>
                            <w:sz w:val="22"/>
                            <w:szCs w:val="22"/>
                          </w:rPr>
                        </w:pPr>
                        <w:r>
                          <w:rPr>
                            <w:rFonts w:ascii="Arial"/>
                            <w:w w:val="95"/>
                            <w:sz w:val="22"/>
                          </w:rPr>
                          <w:t>22,973,153</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9"/>
                          <w:jc w:val="right"/>
                          <w:rPr>
                            <w:rFonts w:ascii="Arial" w:hAnsi="Arial" w:cs="Arial" w:eastAsia="Arial" w:hint="default"/>
                            <w:sz w:val="22"/>
                            <w:szCs w:val="22"/>
                          </w:rPr>
                        </w:pPr>
                        <w:r>
                          <w:rPr>
                            <w:rFonts w:ascii="Arial"/>
                            <w:w w:val="99"/>
                            <w:sz w:val="22"/>
                          </w:rPr>
                          <w:t>-</w:t>
                        </w:r>
                        <w:r>
                          <w:rPr>
                            <w:rFonts w:ascii="Arial"/>
                            <w:sz w:val="22"/>
                          </w:rPr>
                        </w: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9"/>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9"/>
                          <w:jc w:val="right"/>
                          <w:rPr>
                            <w:rFonts w:ascii="Arial" w:hAnsi="Arial" w:cs="Arial" w:eastAsia="Arial" w:hint="default"/>
                            <w:sz w:val="22"/>
                            <w:szCs w:val="22"/>
                          </w:rPr>
                        </w:pPr>
                        <w:r>
                          <w:rPr>
                            <w:rFonts w:ascii="Arial"/>
                            <w:w w:val="99"/>
                            <w:sz w:val="22"/>
                          </w:rPr>
                          <w:t>-</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453"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8"/>
                          <w:jc w:val="right"/>
                          <w:rPr>
                            <w:rFonts w:ascii="Arial" w:hAnsi="Arial" w:cs="Arial" w:eastAsia="Arial" w:hint="default"/>
                            <w:sz w:val="22"/>
                            <w:szCs w:val="22"/>
                          </w:rPr>
                        </w:pPr>
                        <w:r>
                          <w:rPr>
                            <w:rFonts w:ascii="Arial"/>
                            <w:w w:val="95"/>
                            <w:sz w:val="22"/>
                          </w:rPr>
                          <w:t>22,973,153</w:t>
                        </w:r>
                        <w:r>
                          <w:rPr>
                            <w:rFonts w:ascii="Arial"/>
                            <w:sz w:val="22"/>
                          </w:rPr>
                        </w:r>
                      </w:p>
                    </w:tc>
                  </w:tr>
                  <w:tr>
                    <w:trPr>
                      <w:trHeight w:val="601" w:hRule="exact"/>
                    </w:trPr>
                    <w:tc>
                      <w:tcPr>
                        <w:tcW w:w="7513"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bl>
                <w:p>
                  <w:pPr/>
                </w:p>
              </w:txbxContent>
            </v:textbox>
            <w10:wrap type="none"/>
          </v:shape>
        </w:pict>
      </w:r>
      <w:r>
        <w:rPr>
          <w:rFonts w:ascii="宋体" w:hAnsi="宋体" w:cs="宋体" w:eastAsia="宋体" w:hint="default"/>
          <w:sz w:val="22"/>
          <w:szCs w:val="22"/>
        </w:rPr>
        <w:t>金融资产</w:t>
      </w:r>
      <w:r>
        <w:rPr>
          <w:rFonts w:ascii="宋体" w:hAnsi="宋体" w:cs="宋体" w:eastAsia="宋体" w:hint="default"/>
          <w:spacing w:val="-1"/>
          <w:sz w:val="22"/>
          <w:szCs w:val="22"/>
        </w:rPr>
        <w:t> </w:t>
      </w:r>
      <w:r>
        <w:rPr>
          <w:rFonts w:ascii="Arial" w:hAnsi="Arial" w:cs="Arial" w:eastAsia="Arial" w:hint="default"/>
          <w:sz w:val="22"/>
          <w:szCs w:val="22"/>
        </w:rPr>
        <w:t>-</w:t>
      </w:r>
      <w:r>
        <w:rPr>
          <w:rFonts w:ascii="Arial" w:hAnsi="Arial" w:cs="Arial" w:eastAsia="Arial" w:hint="default"/>
          <w:w w:val="99"/>
          <w:sz w:val="22"/>
          <w:szCs w:val="22"/>
        </w:rPr>
        <w:t> </w:t>
      </w:r>
      <w:r>
        <w:rPr>
          <w:rFonts w:ascii="宋体" w:hAnsi="宋体" w:cs="宋体" w:eastAsia="宋体" w:hint="default"/>
          <w:sz w:val="22"/>
          <w:szCs w:val="22"/>
        </w:rPr>
        <w:t>货币资金</w:t>
      </w:r>
      <w:r>
        <w:rPr>
          <w:rFonts w:ascii="宋体" w:hAnsi="宋体" w:cs="宋体" w:eastAsia="宋体" w:hint="default"/>
          <w:w w:val="99"/>
          <w:sz w:val="22"/>
          <w:szCs w:val="22"/>
        </w:rPr>
        <w:t> </w:t>
      </w:r>
      <w:r>
        <w:rPr>
          <w:rFonts w:ascii="宋体" w:hAnsi="宋体" w:cs="宋体" w:eastAsia="宋体" w:hint="default"/>
          <w:sz w:val="22"/>
          <w:szCs w:val="22"/>
        </w:rPr>
        <w:t>应收账款</w:t>
      </w:r>
      <w:r>
        <w:rPr>
          <w:rFonts w:ascii="宋体" w:hAnsi="宋体" w:cs="宋体" w:eastAsia="宋体" w:hint="default"/>
          <w:w w:val="99"/>
          <w:sz w:val="22"/>
          <w:szCs w:val="22"/>
        </w:rPr>
        <w:t> </w:t>
      </w:r>
      <w:r>
        <w:rPr>
          <w:rFonts w:ascii="宋体" w:hAnsi="宋体" w:cs="宋体" w:eastAsia="宋体" w:hint="default"/>
          <w:sz w:val="22"/>
          <w:szCs w:val="22"/>
        </w:rPr>
        <w:t>其他应收款</w:t>
      </w:r>
      <w:r>
        <w:rPr>
          <w:rFonts w:ascii="宋体" w:hAnsi="宋体" w:cs="宋体" w:eastAsia="宋体" w:hint="default"/>
          <w:w w:val="99"/>
          <w:sz w:val="22"/>
          <w:szCs w:val="22"/>
        </w:rPr>
        <w:t> </w:t>
      </w:r>
      <w:r>
        <w:rPr>
          <w:rFonts w:ascii="宋体" w:hAnsi="宋体" w:cs="宋体" w:eastAsia="宋体" w:hint="default"/>
          <w:sz w:val="22"/>
          <w:szCs w:val="22"/>
        </w:rPr>
        <w:t>应收票据</w:t>
      </w:r>
      <w:r>
        <w:rPr>
          <w:rFonts w:ascii="宋体" w:hAnsi="宋体" w:cs="宋体" w:eastAsia="宋体" w:hint="default"/>
          <w:w w:val="99"/>
          <w:sz w:val="22"/>
          <w:szCs w:val="22"/>
        </w:rPr>
        <w:t> </w:t>
      </w:r>
      <w:r>
        <w:rPr>
          <w:rFonts w:ascii="宋体" w:hAnsi="宋体" w:cs="宋体" w:eastAsia="宋体" w:hint="default"/>
          <w:sz w:val="22"/>
          <w:szCs w:val="22"/>
        </w:rPr>
        <w:t>应收利息</w:t>
      </w:r>
      <w:r>
        <w:rPr>
          <w:rFonts w:ascii="宋体" w:hAnsi="宋体" w:cs="宋体" w:eastAsia="宋体" w:hint="default"/>
          <w:w w:val="99"/>
          <w:sz w:val="22"/>
          <w:szCs w:val="22"/>
        </w:rPr>
        <w:t> </w:t>
      </w:r>
      <w:r>
        <w:rPr>
          <w:rFonts w:ascii="宋体" w:hAnsi="宋体" w:cs="宋体" w:eastAsia="宋体" w:hint="default"/>
          <w:sz w:val="22"/>
          <w:szCs w:val="22"/>
        </w:rPr>
        <w:t>长期应收款</w:t>
      </w:r>
    </w:p>
    <w:p>
      <w:pPr>
        <w:spacing w:line="240" w:lineRule="auto" w:before="11"/>
        <w:rPr>
          <w:rFonts w:ascii="宋体" w:hAnsi="宋体" w:cs="宋体" w:eastAsia="宋体" w:hint="default"/>
          <w:sz w:val="19"/>
          <w:szCs w:val="19"/>
        </w:rPr>
      </w:pPr>
    </w:p>
    <w:p>
      <w:pPr>
        <w:spacing w:line="235" w:lineRule="auto" w:before="37"/>
        <w:ind w:left="1059" w:right="7945" w:hanging="255"/>
        <w:jc w:val="left"/>
        <w:rPr>
          <w:rFonts w:ascii="宋体" w:hAnsi="宋体" w:cs="宋体" w:eastAsia="宋体" w:hint="default"/>
          <w:sz w:val="22"/>
          <w:szCs w:val="22"/>
        </w:rPr>
      </w:pPr>
      <w:r>
        <w:rPr>
          <w:rFonts w:ascii="宋体" w:hAnsi="宋体" w:cs="宋体" w:eastAsia="宋体" w:hint="default"/>
          <w:sz w:val="22"/>
          <w:szCs w:val="22"/>
        </w:rPr>
        <w:t>金融负债</w:t>
      </w:r>
      <w:r>
        <w:rPr>
          <w:rFonts w:ascii="宋体" w:hAnsi="宋体" w:cs="宋体" w:eastAsia="宋体" w:hint="default"/>
          <w:spacing w:val="-1"/>
          <w:sz w:val="22"/>
          <w:szCs w:val="22"/>
        </w:rPr>
        <w:t> </w:t>
      </w:r>
      <w:r>
        <w:rPr>
          <w:rFonts w:ascii="Arial" w:hAnsi="Arial" w:cs="Arial" w:eastAsia="Arial" w:hint="default"/>
          <w:sz w:val="22"/>
          <w:szCs w:val="22"/>
        </w:rPr>
        <w:t>-</w:t>
      </w:r>
      <w:r>
        <w:rPr>
          <w:rFonts w:ascii="Arial" w:hAnsi="Arial" w:cs="Arial" w:eastAsia="Arial" w:hint="default"/>
          <w:w w:val="99"/>
          <w:sz w:val="22"/>
          <w:szCs w:val="22"/>
        </w:rPr>
        <w:t> </w:t>
      </w:r>
      <w:r>
        <w:rPr>
          <w:rFonts w:ascii="宋体" w:hAnsi="宋体" w:cs="宋体" w:eastAsia="宋体" w:hint="default"/>
          <w:sz w:val="22"/>
          <w:szCs w:val="22"/>
        </w:rPr>
        <w:t>短期借款</w:t>
      </w:r>
      <w:r>
        <w:rPr>
          <w:rFonts w:ascii="宋体" w:hAnsi="宋体" w:cs="宋体" w:eastAsia="宋体" w:hint="default"/>
          <w:w w:val="99"/>
          <w:sz w:val="22"/>
          <w:szCs w:val="22"/>
        </w:rPr>
        <w:t> </w:t>
      </w:r>
      <w:r>
        <w:rPr>
          <w:rFonts w:ascii="宋体" w:hAnsi="宋体" w:cs="宋体" w:eastAsia="宋体" w:hint="default"/>
          <w:sz w:val="22"/>
          <w:szCs w:val="22"/>
        </w:rPr>
        <w:t>应付账款</w:t>
      </w:r>
      <w:r>
        <w:rPr>
          <w:rFonts w:ascii="宋体" w:hAnsi="宋体" w:cs="宋体" w:eastAsia="宋体" w:hint="default"/>
          <w:w w:val="99"/>
          <w:sz w:val="22"/>
          <w:szCs w:val="22"/>
        </w:rPr>
        <w:t> </w:t>
      </w:r>
      <w:r>
        <w:rPr>
          <w:rFonts w:ascii="宋体" w:hAnsi="宋体" w:cs="宋体" w:eastAsia="宋体" w:hint="default"/>
          <w:sz w:val="22"/>
          <w:szCs w:val="22"/>
        </w:rPr>
        <w:t>其他应付款</w:t>
      </w:r>
      <w:r>
        <w:rPr>
          <w:rFonts w:ascii="宋体" w:hAnsi="宋体" w:cs="宋体" w:eastAsia="宋体" w:hint="default"/>
          <w:w w:val="99"/>
          <w:sz w:val="22"/>
          <w:szCs w:val="22"/>
        </w:rPr>
        <w:t> </w:t>
      </w:r>
      <w:r>
        <w:rPr>
          <w:rFonts w:ascii="宋体" w:hAnsi="宋体" w:cs="宋体" w:eastAsia="宋体" w:hint="default"/>
          <w:sz w:val="22"/>
          <w:szCs w:val="22"/>
        </w:rPr>
        <w:t>应付票据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line="235" w:lineRule="auto" w:before="37"/>
        <w:ind w:left="1059" w:right="7945" w:hanging="255"/>
        <w:jc w:val="left"/>
        <w:rPr>
          <w:rFonts w:ascii="宋体" w:hAnsi="宋体" w:cs="宋体" w:eastAsia="宋体" w:hint="default"/>
          <w:sz w:val="22"/>
          <w:szCs w:val="22"/>
        </w:rPr>
      </w:pPr>
      <w:r>
        <w:rPr/>
        <w:pict>
          <v:shape style="position:absolute;margin-left:178.259995pt;margin-top:-11.689267pt;width:370.35pt;height:231pt;mso-position-horizontal-relative:page;mso-position-vertical-relative:paragraph;z-index:4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284"/>
                    <w:gridCol w:w="1133"/>
                    <w:gridCol w:w="295"/>
                    <w:gridCol w:w="1122"/>
                    <w:gridCol w:w="236"/>
                    <w:gridCol w:w="1194"/>
                    <w:gridCol w:w="271"/>
                    <w:gridCol w:w="1452"/>
                  </w:tblGrid>
                  <w:tr>
                    <w:trPr>
                      <w:trHeight w:val="865" w:hRule="exact"/>
                    </w:trPr>
                    <w:tc>
                      <w:tcPr>
                        <w:tcW w:w="1418" w:type="dxa"/>
                        <w:tcBorders>
                          <w:top w:val="single" w:sz="12" w:space="0" w:color="000000"/>
                          <w:left w:val="nil" w:sz="6" w:space="0" w:color="auto"/>
                          <w:bottom w:val="nil" w:sz="6" w:space="0" w:color="auto"/>
                          <w:right w:val="nil" w:sz="6" w:space="0" w:color="auto"/>
                        </w:tcBorders>
                      </w:tcPr>
                      <w:p>
                        <w:pPr>
                          <w:pStyle w:val="TableParagraph"/>
                          <w:spacing w:line="253" w:lineRule="exact"/>
                          <w:ind w:left="217" w:right="0" w:firstLine="222"/>
                          <w:jc w:val="left"/>
                          <w:rPr>
                            <w:rFonts w:ascii="宋体" w:hAnsi="宋体" w:cs="宋体" w:eastAsia="宋体" w:hint="default"/>
                            <w:sz w:val="22"/>
                            <w:szCs w:val="22"/>
                          </w:rPr>
                        </w:pPr>
                        <w:r>
                          <w:rPr>
                            <w:rFonts w:ascii="宋体" w:hAnsi="宋体" w:cs="宋体" w:eastAsia="宋体" w:hint="default"/>
                            <w:sz w:val="22"/>
                            <w:szCs w:val="22"/>
                          </w:rPr>
                          <w:t>一年以内</w:t>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17" w:right="0"/>
                          <w:jc w:val="left"/>
                          <w:rPr>
                            <w:rFonts w:ascii="Arial" w:hAnsi="Arial" w:cs="Arial" w:eastAsia="Arial" w:hint="default"/>
                            <w:sz w:val="22"/>
                            <w:szCs w:val="22"/>
                          </w:rPr>
                        </w:pPr>
                        <w:r>
                          <w:rPr>
                            <w:rFonts w:ascii="Arial"/>
                            <w:sz w:val="22"/>
                          </w:rPr>
                          <w:t>21,960,978</w:t>
                        </w:r>
                      </w:p>
                    </w:tc>
                    <w:tc>
                      <w:tcPr>
                        <w:tcW w:w="284" w:type="dxa"/>
                        <w:tcBorders>
                          <w:top w:val="single" w:sz="12" w:space="0" w:color="000000"/>
                          <w:left w:val="nil" w:sz="6" w:space="0" w:color="auto"/>
                          <w:bottom w:val="nil" w:sz="6" w:space="0" w:color="auto"/>
                          <w:right w:val="nil" w:sz="6" w:space="0" w:color="auto"/>
                        </w:tcBorders>
                      </w:tcPr>
                      <w:p>
                        <w:pPr/>
                      </w:p>
                    </w:tc>
                    <w:tc>
                      <w:tcPr>
                        <w:tcW w:w="1133" w:type="dxa"/>
                        <w:tcBorders>
                          <w:top w:val="single" w:sz="12" w:space="0" w:color="000000"/>
                          <w:left w:val="nil" w:sz="6" w:space="0" w:color="auto"/>
                          <w:bottom w:val="nil" w:sz="6" w:space="0" w:color="auto"/>
                          <w:right w:val="nil" w:sz="6" w:space="0" w:color="auto"/>
                        </w:tcBorders>
                      </w:tcPr>
                      <w:p>
                        <w:pPr>
                          <w:pStyle w:val="TableParagraph"/>
                          <w:spacing w:line="253" w:lineRule="exact"/>
                          <w:ind w:right="98"/>
                          <w:jc w:val="right"/>
                          <w:rPr>
                            <w:rFonts w:ascii="宋体" w:hAnsi="宋体" w:cs="宋体" w:eastAsia="宋体" w:hint="default"/>
                            <w:sz w:val="22"/>
                            <w:szCs w:val="22"/>
                          </w:rPr>
                        </w:pPr>
                        <w:r>
                          <w:rPr>
                            <w:rFonts w:ascii="宋体" w:hAnsi="宋体" w:cs="宋体" w:eastAsia="宋体" w:hint="default"/>
                            <w:w w:val="95"/>
                            <w:sz w:val="22"/>
                            <w:szCs w:val="22"/>
                          </w:rPr>
                          <w:t>一到二年</w:t>
                        </w:r>
                        <w:r>
                          <w:rPr>
                            <w:rFonts w:ascii="宋体" w:hAnsi="宋体" w:cs="宋体" w:eastAsia="宋体" w:hint="default"/>
                            <w:sz w:val="22"/>
                            <w:szCs w:val="22"/>
                          </w:rPr>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9"/>
                          <w:jc w:val="right"/>
                          <w:rPr>
                            <w:rFonts w:ascii="Arial" w:hAnsi="Arial" w:cs="Arial" w:eastAsia="Arial" w:hint="default"/>
                            <w:sz w:val="22"/>
                            <w:szCs w:val="22"/>
                          </w:rPr>
                        </w:pPr>
                        <w:r>
                          <w:rPr>
                            <w:rFonts w:ascii="Arial"/>
                            <w:w w:val="99"/>
                            <w:sz w:val="22"/>
                          </w:rPr>
                          <w:t>-</w:t>
                        </w:r>
                        <w:r>
                          <w:rPr>
                            <w:rFonts w:ascii="Arial"/>
                            <w:sz w:val="22"/>
                          </w:rPr>
                        </w:r>
                      </w:p>
                    </w:tc>
                    <w:tc>
                      <w:tcPr>
                        <w:tcW w:w="295" w:type="dxa"/>
                        <w:tcBorders>
                          <w:top w:val="single" w:sz="12" w:space="0" w:color="000000"/>
                          <w:left w:val="nil" w:sz="6" w:space="0" w:color="auto"/>
                          <w:bottom w:val="nil" w:sz="6" w:space="0" w:color="auto"/>
                          <w:right w:val="nil" w:sz="6" w:space="0" w:color="auto"/>
                        </w:tcBorders>
                      </w:tcPr>
                      <w:p>
                        <w:pPr/>
                      </w:p>
                    </w:tc>
                    <w:tc>
                      <w:tcPr>
                        <w:tcW w:w="1122" w:type="dxa"/>
                        <w:tcBorders>
                          <w:top w:val="single" w:sz="12" w:space="0" w:color="000000"/>
                          <w:left w:val="nil" w:sz="6" w:space="0" w:color="auto"/>
                          <w:bottom w:val="nil" w:sz="6" w:space="0" w:color="auto"/>
                          <w:right w:val="nil" w:sz="6" w:space="0" w:color="auto"/>
                        </w:tcBorders>
                      </w:tcPr>
                      <w:p>
                        <w:pPr>
                          <w:pStyle w:val="TableParagraph"/>
                          <w:spacing w:line="253" w:lineRule="exact"/>
                          <w:ind w:right="98"/>
                          <w:jc w:val="right"/>
                          <w:rPr>
                            <w:rFonts w:ascii="宋体" w:hAnsi="宋体" w:cs="宋体" w:eastAsia="宋体" w:hint="default"/>
                            <w:sz w:val="22"/>
                            <w:szCs w:val="22"/>
                          </w:rPr>
                        </w:pPr>
                        <w:r>
                          <w:rPr>
                            <w:rFonts w:ascii="宋体" w:hAnsi="宋体" w:cs="宋体" w:eastAsia="宋体" w:hint="default"/>
                            <w:w w:val="95"/>
                            <w:sz w:val="22"/>
                            <w:szCs w:val="22"/>
                          </w:rPr>
                          <w:t>二到五年</w:t>
                        </w:r>
                        <w:r>
                          <w:rPr>
                            <w:rFonts w:ascii="宋体" w:hAnsi="宋体" w:cs="宋体" w:eastAsia="宋体" w:hint="default"/>
                            <w:sz w:val="22"/>
                            <w:szCs w:val="22"/>
                          </w:rPr>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9"/>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single" w:sz="12" w:space="0" w:color="000000"/>
                          <w:left w:val="nil" w:sz="6" w:space="0" w:color="auto"/>
                          <w:bottom w:val="nil" w:sz="6" w:space="0" w:color="auto"/>
                          <w:right w:val="nil" w:sz="6" w:space="0" w:color="auto"/>
                        </w:tcBorders>
                      </w:tcPr>
                      <w:p>
                        <w:pPr/>
                      </w:p>
                    </w:tc>
                    <w:tc>
                      <w:tcPr>
                        <w:tcW w:w="1194" w:type="dxa"/>
                        <w:tcBorders>
                          <w:top w:val="single" w:sz="12" w:space="0" w:color="000000"/>
                          <w:left w:val="nil" w:sz="6" w:space="0" w:color="auto"/>
                          <w:bottom w:val="nil" w:sz="6" w:space="0" w:color="auto"/>
                          <w:right w:val="nil" w:sz="6" w:space="0" w:color="auto"/>
                        </w:tcBorders>
                      </w:tcPr>
                      <w:p>
                        <w:pPr>
                          <w:pStyle w:val="TableParagraph"/>
                          <w:spacing w:line="253" w:lineRule="exact"/>
                          <w:ind w:right="98"/>
                          <w:jc w:val="right"/>
                          <w:rPr>
                            <w:rFonts w:ascii="宋体" w:hAnsi="宋体" w:cs="宋体" w:eastAsia="宋体" w:hint="default"/>
                            <w:sz w:val="22"/>
                            <w:szCs w:val="22"/>
                          </w:rPr>
                        </w:pPr>
                        <w:r>
                          <w:rPr>
                            <w:rFonts w:ascii="宋体" w:hAnsi="宋体" w:cs="宋体" w:eastAsia="宋体" w:hint="default"/>
                            <w:w w:val="95"/>
                            <w:sz w:val="22"/>
                            <w:szCs w:val="22"/>
                          </w:rPr>
                          <w:t>五年以上</w:t>
                        </w:r>
                        <w:r>
                          <w:rPr>
                            <w:rFonts w:ascii="宋体" w:hAnsi="宋体" w:cs="宋体" w:eastAsia="宋体" w:hint="default"/>
                            <w:sz w:val="22"/>
                            <w:szCs w:val="22"/>
                          </w:rPr>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9"/>
                          <w:jc w:val="right"/>
                          <w:rPr>
                            <w:rFonts w:ascii="Arial" w:hAnsi="Arial" w:cs="Arial" w:eastAsia="Arial" w:hint="default"/>
                            <w:sz w:val="22"/>
                            <w:szCs w:val="22"/>
                          </w:rPr>
                        </w:pPr>
                        <w:r>
                          <w:rPr>
                            <w:rFonts w:ascii="Arial"/>
                            <w:w w:val="99"/>
                            <w:sz w:val="22"/>
                          </w:rPr>
                          <w:t>-</w:t>
                        </w:r>
                        <w:r>
                          <w:rPr>
                            <w:rFonts w:ascii="Arial"/>
                            <w:sz w:val="22"/>
                          </w:rPr>
                        </w:r>
                      </w:p>
                    </w:tc>
                    <w:tc>
                      <w:tcPr>
                        <w:tcW w:w="271" w:type="dxa"/>
                        <w:tcBorders>
                          <w:top w:val="single" w:sz="12" w:space="0" w:color="000000"/>
                          <w:left w:val="nil" w:sz="6" w:space="0" w:color="auto"/>
                          <w:bottom w:val="nil" w:sz="6" w:space="0" w:color="auto"/>
                          <w:right w:val="nil" w:sz="6" w:space="0" w:color="auto"/>
                        </w:tcBorders>
                      </w:tcPr>
                      <w:p>
                        <w:pPr/>
                      </w:p>
                    </w:tc>
                    <w:tc>
                      <w:tcPr>
                        <w:tcW w:w="1452" w:type="dxa"/>
                        <w:tcBorders>
                          <w:top w:val="single" w:sz="12" w:space="0" w:color="000000"/>
                          <w:left w:val="nil" w:sz="6" w:space="0" w:color="auto"/>
                          <w:bottom w:val="nil" w:sz="6" w:space="0" w:color="auto"/>
                          <w:right w:val="nil" w:sz="6" w:space="0" w:color="auto"/>
                        </w:tcBorders>
                      </w:tcPr>
                      <w:p>
                        <w:pPr>
                          <w:pStyle w:val="TableParagraph"/>
                          <w:spacing w:line="253" w:lineRule="exact"/>
                          <w:ind w:left="265" w:right="0" w:firstLine="646"/>
                          <w:jc w:val="left"/>
                          <w:rPr>
                            <w:rFonts w:ascii="宋体" w:hAnsi="宋体" w:cs="宋体" w:eastAsia="宋体" w:hint="default"/>
                            <w:sz w:val="22"/>
                            <w:szCs w:val="22"/>
                          </w:rPr>
                        </w:pPr>
                        <w:r>
                          <w:rPr>
                            <w:rFonts w:ascii="宋体" w:hAnsi="宋体" w:cs="宋体" w:eastAsia="宋体" w:hint="default"/>
                            <w:sz w:val="22"/>
                            <w:szCs w:val="22"/>
                          </w:rPr>
                          <w:t>合计</w:t>
                        </w: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65" w:right="0"/>
                          <w:jc w:val="left"/>
                          <w:rPr>
                            <w:rFonts w:ascii="Arial" w:hAnsi="Arial" w:cs="Arial" w:eastAsia="Arial" w:hint="default"/>
                            <w:sz w:val="22"/>
                            <w:szCs w:val="22"/>
                          </w:rPr>
                        </w:pPr>
                        <w:r>
                          <w:rPr>
                            <w:rFonts w:ascii="Arial"/>
                            <w:sz w:val="22"/>
                          </w:rPr>
                          <w:t>21,960,978</w:t>
                        </w:r>
                      </w:p>
                    </w:tc>
                  </w:tr>
                  <w:tr>
                    <w:trPr>
                      <w:trHeight w:val="302"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8"/>
                          <w:jc w:val="right"/>
                          <w:rPr>
                            <w:rFonts w:ascii="Arial" w:hAnsi="Arial" w:cs="Arial" w:eastAsia="Arial" w:hint="default"/>
                            <w:sz w:val="22"/>
                            <w:szCs w:val="22"/>
                          </w:rPr>
                        </w:pPr>
                        <w:r>
                          <w:rPr>
                            <w:rFonts w:ascii="Arial"/>
                            <w:w w:val="95"/>
                            <w:sz w:val="22"/>
                          </w:rPr>
                          <w:t>347,024</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8"/>
                          <w:jc w:val="right"/>
                          <w:rPr>
                            <w:rFonts w:ascii="Arial" w:hAnsi="Arial" w:cs="Arial" w:eastAsia="Arial" w:hint="default"/>
                            <w:sz w:val="22"/>
                            <w:szCs w:val="22"/>
                          </w:rPr>
                        </w:pPr>
                        <w:r>
                          <w:rPr>
                            <w:rFonts w:ascii="Arial"/>
                            <w:w w:val="99"/>
                            <w:sz w:val="22"/>
                          </w:rPr>
                          <w:t>-</w:t>
                        </w:r>
                        <w:r>
                          <w:rPr>
                            <w:rFonts w:ascii="Arial"/>
                            <w:sz w:val="22"/>
                          </w:rPr>
                        </w: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8"/>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8"/>
                          <w:jc w:val="right"/>
                          <w:rPr>
                            <w:rFonts w:ascii="Arial" w:hAnsi="Arial" w:cs="Arial" w:eastAsia="Arial" w:hint="default"/>
                            <w:sz w:val="22"/>
                            <w:szCs w:val="22"/>
                          </w:rPr>
                        </w:pPr>
                        <w:r>
                          <w:rPr>
                            <w:rFonts w:ascii="Arial"/>
                            <w:w w:val="99"/>
                            <w:sz w:val="22"/>
                          </w:rPr>
                          <w:t>-</w:t>
                        </w:r>
                        <w:r>
                          <w:rPr>
                            <w:rFonts w:ascii="Arial"/>
                            <w:sz w:val="22"/>
                          </w:rPr>
                        </w:r>
                      </w:p>
                    </w:tc>
                    <w:tc>
                      <w:tcPr>
                        <w:tcW w:w="271"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8"/>
                          <w:jc w:val="right"/>
                          <w:rPr>
                            <w:rFonts w:ascii="Arial" w:hAnsi="Arial" w:cs="Arial" w:eastAsia="Arial" w:hint="default"/>
                            <w:sz w:val="22"/>
                            <w:szCs w:val="22"/>
                          </w:rPr>
                        </w:pPr>
                        <w:r>
                          <w:rPr>
                            <w:rFonts w:ascii="Arial"/>
                            <w:w w:val="95"/>
                            <w:sz w:val="22"/>
                          </w:rPr>
                          <w:t>347,024</w:t>
                        </w:r>
                        <w:r>
                          <w:rPr>
                            <w:rFonts w:ascii="Arial"/>
                            <w:sz w:val="22"/>
                          </w:rPr>
                        </w:r>
                      </w:p>
                    </w:tc>
                  </w:tr>
                  <w:tr>
                    <w:trPr>
                      <w:trHeight w:val="445"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Arial" w:hAnsi="Arial" w:cs="Arial" w:eastAsia="Arial" w:hint="default"/>
                            <w:sz w:val="22"/>
                            <w:szCs w:val="22"/>
                          </w:rPr>
                        </w:pPr>
                        <w:r>
                          <w:rPr>
                            <w:rFonts w:ascii="Arial"/>
                            <w:spacing w:val="-3"/>
                            <w:sz w:val="22"/>
                          </w:rPr>
                          <w:t>110,975</w:t>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Arial" w:hAnsi="Arial" w:cs="Arial" w:eastAsia="Arial" w:hint="default"/>
                            <w:sz w:val="22"/>
                            <w:szCs w:val="22"/>
                          </w:rPr>
                        </w:pPr>
                        <w:r>
                          <w:rPr>
                            <w:rFonts w:ascii="Arial"/>
                            <w:spacing w:val="-3"/>
                            <w:sz w:val="22"/>
                          </w:rPr>
                          <w:t>110,975</w:t>
                        </w:r>
                      </w:p>
                    </w:tc>
                  </w:tr>
                  <w:tr>
                    <w:trPr>
                      <w:trHeight w:val="413"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98"/>
                          <w:jc w:val="right"/>
                          <w:rPr>
                            <w:rFonts w:ascii="Arial" w:hAnsi="Arial" w:cs="Arial" w:eastAsia="Arial" w:hint="default"/>
                            <w:sz w:val="22"/>
                            <w:szCs w:val="22"/>
                          </w:rPr>
                        </w:pPr>
                        <w:r>
                          <w:rPr>
                            <w:rFonts w:ascii="Arial"/>
                            <w:w w:val="95"/>
                            <w:sz w:val="22"/>
                          </w:rPr>
                          <w:t>7,378</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98"/>
                          <w:jc w:val="right"/>
                          <w:rPr>
                            <w:rFonts w:ascii="Arial" w:hAnsi="Arial" w:cs="Arial" w:eastAsia="Arial" w:hint="default"/>
                            <w:sz w:val="22"/>
                            <w:szCs w:val="22"/>
                          </w:rPr>
                        </w:pPr>
                        <w:r>
                          <w:rPr>
                            <w:rFonts w:ascii="Arial"/>
                            <w:w w:val="99"/>
                            <w:sz w:val="22"/>
                          </w:rPr>
                          <w:t>-</w:t>
                        </w:r>
                        <w:r>
                          <w:rPr>
                            <w:rFonts w:ascii="Arial"/>
                            <w:sz w:val="22"/>
                          </w:rPr>
                        </w: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98"/>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98"/>
                          <w:jc w:val="right"/>
                          <w:rPr>
                            <w:rFonts w:ascii="Arial" w:hAnsi="Arial" w:cs="Arial" w:eastAsia="Arial" w:hint="default"/>
                            <w:sz w:val="22"/>
                            <w:szCs w:val="22"/>
                          </w:rPr>
                        </w:pPr>
                        <w:r>
                          <w:rPr>
                            <w:rFonts w:ascii="Arial"/>
                            <w:w w:val="99"/>
                            <w:sz w:val="22"/>
                          </w:rPr>
                          <w:t>-</w:t>
                        </w:r>
                        <w:r>
                          <w:rPr>
                            <w:rFonts w:ascii="Arial"/>
                            <w:sz w:val="22"/>
                          </w:rPr>
                        </w:r>
                      </w:p>
                    </w:tc>
                    <w:tc>
                      <w:tcPr>
                        <w:tcW w:w="271"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98"/>
                          <w:jc w:val="right"/>
                          <w:rPr>
                            <w:rFonts w:ascii="Arial" w:hAnsi="Arial" w:cs="Arial" w:eastAsia="Arial" w:hint="default"/>
                            <w:sz w:val="22"/>
                            <w:szCs w:val="22"/>
                          </w:rPr>
                        </w:pPr>
                        <w:r>
                          <w:rPr>
                            <w:rFonts w:ascii="Arial"/>
                            <w:w w:val="95"/>
                            <w:sz w:val="22"/>
                          </w:rPr>
                          <w:t>7,378</w:t>
                        </w:r>
                        <w:r>
                          <w:rPr>
                            <w:rFonts w:ascii="Arial"/>
                            <w:sz w:val="22"/>
                          </w:rPr>
                        </w:r>
                      </w:p>
                    </w:tc>
                  </w:tr>
                  <w:tr>
                    <w:trPr>
                      <w:trHeight w:val="269"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Arial" w:hAnsi="Arial" w:cs="Arial" w:eastAsia="Arial" w:hint="default"/>
                            <w:sz w:val="22"/>
                            <w:szCs w:val="22"/>
                          </w:rPr>
                        </w:pPr>
                        <w:r>
                          <w:rPr>
                            <w:rFonts w:ascii="Arial"/>
                            <w:w w:val="95"/>
                            <w:sz w:val="22"/>
                          </w:rPr>
                          <w:t>6,874</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Arial" w:hAnsi="Arial" w:cs="Arial" w:eastAsia="Arial" w:hint="default"/>
                            <w:sz w:val="22"/>
                            <w:szCs w:val="22"/>
                          </w:rPr>
                        </w:pPr>
                        <w:r>
                          <w:rPr>
                            <w:rFonts w:ascii="Arial"/>
                            <w:w w:val="95"/>
                            <w:sz w:val="22"/>
                          </w:rPr>
                          <w:t>6,874</w:t>
                        </w:r>
                        <w:r>
                          <w:rPr>
                            <w:rFonts w:ascii="Arial"/>
                            <w:sz w:val="22"/>
                          </w:rPr>
                        </w:r>
                      </w:p>
                    </w:tc>
                  </w:tr>
                  <w:tr>
                    <w:trPr>
                      <w:trHeight w:val="286"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Arial" w:hAnsi="Arial" w:cs="Arial" w:eastAsia="Arial" w:hint="default"/>
                            <w:sz w:val="22"/>
                            <w:szCs w:val="22"/>
                          </w:rPr>
                        </w:pPr>
                        <w:r>
                          <w:rPr>
                            <w:rFonts w:ascii="Arial"/>
                            <w:w w:val="95"/>
                            <w:sz w:val="22"/>
                          </w:rPr>
                          <w:t>32,376</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Arial" w:hAnsi="Arial" w:cs="Arial" w:eastAsia="Arial" w:hint="default"/>
                            <w:sz w:val="22"/>
                            <w:szCs w:val="22"/>
                          </w:rPr>
                        </w:pPr>
                        <w:r>
                          <w:rPr>
                            <w:rFonts w:ascii="Arial"/>
                            <w:w w:val="95"/>
                            <w:sz w:val="22"/>
                          </w:rPr>
                          <w:t>32,376</w:t>
                        </w:r>
                        <w:r>
                          <w:rPr>
                            <w:rFonts w:ascii="Arial"/>
                            <w:sz w:val="22"/>
                          </w:rPr>
                        </w:r>
                      </w:p>
                    </w:tc>
                  </w:tr>
                  <w:tr>
                    <w:trPr>
                      <w:trHeight w:val="298" w:hRule="exact"/>
                    </w:trPr>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98"/>
                          <w:jc w:val="right"/>
                          <w:rPr>
                            <w:rFonts w:ascii="Arial" w:hAnsi="Arial" w:cs="Arial" w:eastAsia="Arial" w:hint="default"/>
                            <w:sz w:val="22"/>
                            <w:szCs w:val="22"/>
                          </w:rPr>
                        </w:pPr>
                        <w:r>
                          <w:rPr>
                            <w:rFonts w:ascii="Arial"/>
                            <w:w w:val="95"/>
                            <w:sz w:val="22"/>
                          </w:rPr>
                          <w:t>2,002</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99"/>
                          <w:jc w:val="right"/>
                          <w:rPr>
                            <w:rFonts w:ascii="Arial" w:hAnsi="Arial" w:cs="Arial" w:eastAsia="Arial" w:hint="default"/>
                            <w:sz w:val="22"/>
                            <w:szCs w:val="22"/>
                          </w:rPr>
                        </w:pPr>
                        <w:r>
                          <w:rPr>
                            <w:rFonts w:ascii="Arial"/>
                            <w:w w:val="95"/>
                            <w:sz w:val="22"/>
                          </w:rPr>
                          <w:t>1,107</w:t>
                        </w:r>
                        <w:r>
                          <w:rPr>
                            <w:rFonts w:ascii="Arial"/>
                            <w:sz w:val="22"/>
                          </w:rPr>
                        </w: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99"/>
                          <w:jc w:val="right"/>
                          <w:rPr>
                            <w:rFonts w:ascii="Arial" w:hAnsi="Arial" w:cs="Arial" w:eastAsia="Arial" w:hint="default"/>
                            <w:sz w:val="22"/>
                            <w:szCs w:val="22"/>
                          </w:rPr>
                        </w:pPr>
                        <w:r>
                          <w:rPr>
                            <w:rFonts w:ascii="Arial"/>
                            <w:w w:val="95"/>
                            <w:sz w:val="22"/>
                          </w:rPr>
                          <w:t>85,341</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99"/>
                          <w:jc w:val="right"/>
                          <w:rPr>
                            <w:rFonts w:ascii="Arial" w:hAnsi="Arial" w:cs="Arial" w:eastAsia="Arial" w:hint="default"/>
                            <w:sz w:val="22"/>
                            <w:szCs w:val="22"/>
                          </w:rPr>
                        </w:pPr>
                        <w:r>
                          <w:rPr>
                            <w:rFonts w:ascii="Arial"/>
                            <w:w w:val="99"/>
                            <w:sz w:val="22"/>
                          </w:rPr>
                          <w:t>-</w:t>
                        </w:r>
                        <w:r>
                          <w:rPr>
                            <w:rFonts w:ascii="Arial"/>
                            <w:sz w:val="22"/>
                          </w:rPr>
                        </w:r>
                      </w:p>
                    </w:tc>
                    <w:tc>
                      <w:tcPr>
                        <w:tcW w:w="271"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99"/>
                          <w:jc w:val="right"/>
                          <w:rPr>
                            <w:rFonts w:ascii="Arial" w:hAnsi="Arial" w:cs="Arial" w:eastAsia="Arial" w:hint="default"/>
                            <w:sz w:val="22"/>
                            <w:szCs w:val="22"/>
                          </w:rPr>
                        </w:pPr>
                        <w:r>
                          <w:rPr>
                            <w:rFonts w:ascii="Arial"/>
                            <w:w w:val="95"/>
                            <w:sz w:val="22"/>
                          </w:rPr>
                          <w:t>88,450</w:t>
                        </w:r>
                        <w:r>
                          <w:rPr>
                            <w:rFonts w:ascii="Arial"/>
                            <w:sz w:val="22"/>
                          </w:rPr>
                        </w:r>
                      </w:p>
                    </w:tc>
                  </w:tr>
                  <w:tr>
                    <w:trPr>
                      <w:trHeight w:val="273" w:hRule="exact"/>
                    </w:trPr>
                    <w:tc>
                      <w:tcPr>
                        <w:tcW w:w="1418"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7"/>
                          <w:jc w:val="right"/>
                          <w:rPr>
                            <w:rFonts w:ascii="Arial" w:hAnsi="Arial" w:cs="Arial" w:eastAsia="Arial" w:hint="default"/>
                            <w:sz w:val="22"/>
                            <w:szCs w:val="22"/>
                          </w:rPr>
                        </w:pPr>
                        <w:r>
                          <w:rPr>
                            <w:rFonts w:ascii="Arial"/>
                            <w:w w:val="95"/>
                            <w:sz w:val="22"/>
                          </w:rPr>
                          <w:t>22,467,607</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9"/>
                          <w:jc w:val="right"/>
                          <w:rPr>
                            <w:rFonts w:ascii="Arial" w:hAnsi="Arial" w:cs="Arial" w:eastAsia="Arial" w:hint="default"/>
                            <w:sz w:val="22"/>
                            <w:szCs w:val="22"/>
                          </w:rPr>
                        </w:pPr>
                        <w:r>
                          <w:rPr>
                            <w:rFonts w:ascii="Arial"/>
                            <w:w w:val="95"/>
                            <w:sz w:val="22"/>
                          </w:rPr>
                          <w:t>1,107</w:t>
                        </w:r>
                        <w:r>
                          <w:rPr>
                            <w:rFonts w:ascii="Arial"/>
                            <w:sz w:val="22"/>
                          </w:rPr>
                        </w: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9"/>
                          <w:jc w:val="right"/>
                          <w:rPr>
                            <w:rFonts w:ascii="Arial" w:hAnsi="Arial" w:cs="Arial" w:eastAsia="Arial" w:hint="default"/>
                            <w:sz w:val="22"/>
                            <w:szCs w:val="22"/>
                          </w:rPr>
                        </w:pPr>
                        <w:r>
                          <w:rPr>
                            <w:rFonts w:ascii="Arial"/>
                            <w:w w:val="95"/>
                            <w:sz w:val="22"/>
                          </w:rPr>
                          <w:t>85,341</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9"/>
                          <w:jc w:val="right"/>
                          <w:rPr>
                            <w:rFonts w:ascii="Arial" w:hAnsi="Arial" w:cs="Arial" w:eastAsia="Arial" w:hint="default"/>
                            <w:sz w:val="22"/>
                            <w:szCs w:val="22"/>
                          </w:rPr>
                        </w:pPr>
                        <w:r>
                          <w:rPr>
                            <w:rFonts w:ascii="Arial"/>
                            <w:w w:val="99"/>
                            <w:sz w:val="22"/>
                          </w:rPr>
                          <w:t>-</w:t>
                        </w:r>
                        <w:r>
                          <w:rPr>
                            <w:rFonts w:ascii="Arial"/>
                            <w:sz w:val="22"/>
                          </w:rPr>
                        </w:r>
                      </w:p>
                    </w:tc>
                    <w:tc>
                      <w:tcPr>
                        <w:tcW w:w="271" w:type="dxa"/>
                        <w:tcBorders>
                          <w:top w:val="nil" w:sz="6" w:space="0" w:color="auto"/>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8"/>
                          <w:jc w:val="right"/>
                          <w:rPr>
                            <w:rFonts w:ascii="Arial" w:hAnsi="Arial" w:cs="Arial" w:eastAsia="Arial" w:hint="default"/>
                            <w:sz w:val="22"/>
                            <w:szCs w:val="22"/>
                          </w:rPr>
                        </w:pPr>
                        <w:r>
                          <w:rPr>
                            <w:rFonts w:ascii="Arial"/>
                            <w:w w:val="95"/>
                            <w:sz w:val="22"/>
                          </w:rPr>
                          <w:t>22,554,055</w:t>
                        </w:r>
                        <w:r>
                          <w:rPr>
                            <w:rFonts w:ascii="Arial"/>
                            <w:sz w:val="22"/>
                          </w:rPr>
                        </w:r>
                      </w:p>
                    </w:tc>
                  </w:tr>
                  <w:tr>
                    <w:trPr>
                      <w:trHeight w:val="580" w:hRule="exact"/>
                    </w:trPr>
                    <w:tc>
                      <w:tcPr>
                        <w:tcW w:w="1418"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2"/>
                            <w:szCs w:val="22"/>
                          </w:rPr>
                        </w:pPr>
                        <w:r>
                          <w:rPr>
                            <w:rFonts w:ascii="Arial"/>
                            <w:spacing w:val="-2"/>
                            <w:w w:val="95"/>
                            <w:sz w:val="22"/>
                          </w:rPr>
                          <w:t>5,003,117</w:t>
                        </w:r>
                        <w:r>
                          <w:rPr>
                            <w:rFonts w:ascii="Arial"/>
                            <w:spacing w:val="-2"/>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2"/>
                            <w:szCs w:val="22"/>
                          </w:rPr>
                        </w:pPr>
                        <w:r>
                          <w:rPr>
                            <w:rFonts w:ascii="Arial"/>
                            <w:w w:val="99"/>
                            <w:sz w:val="22"/>
                          </w:rPr>
                          <w:t>-</w:t>
                        </w:r>
                        <w:r>
                          <w:rPr>
                            <w:rFonts w:ascii="Arial"/>
                            <w:sz w:val="22"/>
                          </w:rPr>
                        </w: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2"/>
                            <w:szCs w:val="22"/>
                          </w:rPr>
                        </w:pPr>
                        <w:r>
                          <w:rPr>
                            <w:rFonts w:ascii="Arial"/>
                            <w:w w:val="99"/>
                            <w:sz w:val="22"/>
                          </w:rPr>
                          <w:t>-</w:t>
                        </w:r>
                        <w:r>
                          <w:rPr>
                            <w:rFonts w:ascii="Arial"/>
                            <w:sz w:val="22"/>
                          </w:rPr>
                        </w:r>
                      </w:p>
                    </w:tc>
                    <w:tc>
                      <w:tcPr>
                        <w:tcW w:w="271" w:type="dxa"/>
                        <w:tcBorders>
                          <w:top w:val="nil" w:sz="6" w:space="0" w:color="auto"/>
                          <w:left w:val="nil" w:sz="6" w:space="0" w:color="auto"/>
                          <w:bottom w:val="nil" w:sz="6" w:space="0" w:color="auto"/>
                          <w:right w:val="nil" w:sz="6" w:space="0" w:color="auto"/>
                        </w:tcBorders>
                      </w:tcPr>
                      <w:p>
                        <w:pPr/>
                      </w:p>
                    </w:tc>
                    <w:tc>
                      <w:tcPr>
                        <w:tcW w:w="1452"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2"/>
                            <w:szCs w:val="22"/>
                          </w:rPr>
                        </w:pPr>
                        <w:r>
                          <w:rPr>
                            <w:rFonts w:ascii="Arial"/>
                            <w:spacing w:val="-2"/>
                            <w:w w:val="95"/>
                            <w:sz w:val="22"/>
                          </w:rPr>
                          <w:t>5,003,117</w:t>
                        </w:r>
                        <w:r>
                          <w:rPr>
                            <w:rFonts w:ascii="Arial"/>
                            <w:spacing w:val="-2"/>
                            <w:sz w:val="22"/>
                          </w:rPr>
                        </w:r>
                      </w:p>
                    </w:tc>
                  </w:tr>
                  <w:tr>
                    <w:trPr>
                      <w:trHeight w:val="286"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8"/>
                          <w:jc w:val="right"/>
                          <w:rPr>
                            <w:rFonts w:ascii="Arial" w:hAnsi="Arial" w:cs="Arial" w:eastAsia="Arial" w:hint="default"/>
                            <w:sz w:val="22"/>
                            <w:szCs w:val="22"/>
                          </w:rPr>
                        </w:pPr>
                        <w:r>
                          <w:rPr>
                            <w:rFonts w:ascii="Arial"/>
                            <w:w w:val="95"/>
                            <w:sz w:val="22"/>
                          </w:rPr>
                          <w:t>666,391</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8"/>
                          <w:jc w:val="right"/>
                          <w:rPr>
                            <w:rFonts w:ascii="Arial" w:hAnsi="Arial" w:cs="Arial" w:eastAsia="Arial" w:hint="default"/>
                            <w:sz w:val="22"/>
                            <w:szCs w:val="22"/>
                          </w:rPr>
                        </w:pPr>
                        <w:r>
                          <w:rPr>
                            <w:rFonts w:ascii="Arial"/>
                            <w:w w:val="95"/>
                            <w:sz w:val="22"/>
                          </w:rPr>
                          <w:t>666,391</w:t>
                        </w:r>
                        <w:r>
                          <w:rPr>
                            <w:rFonts w:ascii="Arial"/>
                            <w:sz w:val="22"/>
                          </w:rPr>
                        </w:r>
                      </w:p>
                    </w:tc>
                  </w:tr>
                  <w:tr>
                    <w:trPr>
                      <w:trHeight w:val="297" w:hRule="exact"/>
                    </w:trPr>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7"/>
                          <w:jc w:val="right"/>
                          <w:rPr>
                            <w:rFonts w:ascii="Arial" w:hAnsi="Arial" w:cs="Arial" w:eastAsia="Arial" w:hint="default"/>
                            <w:sz w:val="22"/>
                            <w:szCs w:val="22"/>
                          </w:rPr>
                        </w:pPr>
                        <w:r>
                          <w:rPr>
                            <w:rFonts w:ascii="Arial"/>
                            <w:w w:val="95"/>
                            <w:sz w:val="22"/>
                          </w:rPr>
                          <w:t>13,999,191</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9"/>
                            <w:sz w:val="22"/>
                          </w:rPr>
                          <w:t>-</w:t>
                        </w:r>
                        <w:r>
                          <w:rPr>
                            <w:rFonts w:ascii="Arial"/>
                            <w:sz w:val="22"/>
                          </w:rPr>
                        </w: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9"/>
                          <w:jc w:val="right"/>
                          <w:rPr>
                            <w:rFonts w:ascii="Arial" w:hAnsi="Arial" w:cs="Arial" w:eastAsia="Arial" w:hint="default"/>
                            <w:sz w:val="22"/>
                            <w:szCs w:val="22"/>
                          </w:rPr>
                        </w:pPr>
                        <w:r>
                          <w:rPr>
                            <w:rFonts w:ascii="Arial"/>
                            <w:w w:val="99"/>
                            <w:sz w:val="22"/>
                          </w:rPr>
                          <w:t>-</w:t>
                        </w:r>
                        <w:r>
                          <w:rPr>
                            <w:rFonts w:ascii="Arial"/>
                            <w:sz w:val="22"/>
                          </w:rPr>
                        </w:r>
                      </w:p>
                    </w:tc>
                    <w:tc>
                      <w:tcPr>
                        <w:tcW w:w="271"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7"/>
                          <w:jc w:val="right"/>
                          <w:rPr>
                            <w:rFonts w:ascii="Arial" w:hAnsi="Arial" w:cs="Arial" w:eastAsia="Arial" w:hint="default"/>
                            <w:sz w:val="22"/>
                            <w:szCs w:val="22"/>
                          </w:rPr>
                        </w:pPr>
                        <w:r>
                          <w:rPr>
                            <w:rFonts w:ascii="Arial"/>
                            <w:w w:val="95"/>
                            <w:sz w:val="22"/>
                          </w:rPr>
                          <w:t>13,999,191</w:t>
                        </w:r>
                        <w:r>
                          <w:rPr>
                            <w:rFonts w:ascii="Arial"/>
                            <w:sz w:val="22"/>
                          </w:rPr>
                        </w:r>
                      </w:p>
                    </w:tc>
                  </w:tr>
                  <w:tr>
                    <w:trPr>
                      <w:trHeight w:val="274" w:hRule="exact"/>
                    </w:trPr>
                    <w:tc>
                      <w:tcPr>
                        <w:tcW w:w="1418"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7"/>
                          <w:jc w:val="right"/>
                          <w:rPr>
                            <w:rFonts w:ascii="Arial" w:hAnsi="Arial" w:cs="Arial" w:eastAsia="Arial" w:hint="default"/>
                            <w:sz w:val="22"/>
                            <w:szCs w:val="22"/>
                          </w:rPr>
                        </w:pPr>
                        <w:r>
                          <w:rPr>
                            <w:rFonts w:ascii="Arial"/>
                            <w:w w:val="95"/>
                            <w:sz w:val="22"/>
                          </w:rPr>
                          <w:t>19,668,699</w:t>
                        </w:r>
                        <w:r>
                          <w:rPr>
                            <w:rFonts w:ascii="Arial"/>
                            <w:sz w:val="22"/>
                          </w:rPr>
                        </w:r>
                      </w:p>
                    </w:tc>
                    <w:tc>
                      <w:tcPr>
                        <w:tcW w:w="284"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9"/>
                          <w:jc w:val="right"/>
                          <w:rPr>
                            <w:rFonts w:ascii="Arial" w:hAnsi="Arial" w:cs="Arial" w:eastAsia="Arial" w:hint="default"/>
                            <w:sz w:val="22"/>
                            <w:szCs w:val="22"/>
                          </w:rPr>
                        </w:pPr>
                        <w:r>
                          <w:rPr>
                            <w:rFonts w:ascii="Arial"/>
                            <w:w w:val="99"/>
                            <w:sz w:val="22"/>
                          </w:rPr>
                          <w:t>-</w:t>
                        </w:r>
                        <w:r>
                          <w:rPr>
                            <w:rFonts w:ascii="Arial"/>
                            <w:sz w:val="22"/>
                          </w:rPr>
                        </w:r>
                      </w:p>
                    </w:tc>
                    <w:tc>
                      <w:tcPr>
                        <w:tcW w:w="295" w:type="dxa"/>
                        <w:tcBorders>
                          <w:top w:val="nil" w:sz="6" w:space="0" w:color="auto"/>
                          <w:left w:val="nil" w:sz="6" w:space="0" w:color="auto"/>
                          <w:bottom w:val="nil" w:sz="6" w:space="0" w:color="auto"/>
                          <w:right w:val="nil" w:sz="6" w:space="0" w:color="auto"/>
                        </w:tcBorders>
                      </w:tcPr>
                      <w:p>
                        <w:pPr/>
                      </w:p>
                    </w:tc>
                    <w:tc>
                      <w:tcPr>
                        <w:tcW w:w="1122"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9"/>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194"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9"/>
                          <w:jc w:val="right"/>
                          <w:rPr>
                            <w:rFonts w:ascii="Arial" w:hAnsi="Arial" w:cs="Arial" w:eastAsia="Arial" w:hint="default"/>
                            <w:sz w:val="22"/>
                            <w:szCs w:val="22"/>
                          </w:rPr>
                        </w:pPr>
                        <w:r>
                          <w:rPr>
                            <w:rFonts w:ascii="Arial"/>
                            <w:w w:val="99"/>
                            <w:sz w:val="22"/>
                          </w:rPr>
                          <w:t>-</w:t>
                        </w:r>
                        <w:r>
                          <w:rPr>
                            <w:rFonts w:ascii="Arial"/>
                            <w:sz w:val="22"/>
                          </w:rPr>
                        </w:r>
                      </w:p>
                    </w:tc>
                    <w:tc>
                      <w:tcPr>
                        <w:tcW w:w="271" w:type="dxa"/>
                        <w:tcBorders>
                          <w:top w:val="nil" w:sz="6" w:space="0" w:color="auto"/>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97"/>
                          <w:jc w:val="right"/>
                          <w:rPr>
                            <w:rFonts w:ascii="Arial" w:hAnsi="Arial" w:cs="Arial" w:eastAsia="Arial" w:hint="default"/>
                            <w:sz w:val="22"/>
                            <w:szCs w:val="22"/>
                          </w:rPr>
                        </w:pPr>
                        <w:r>
                          <w:rPr>
                            <w:rFonts w:ascii="Arial"/>
                            <w:w w:val="95"/>
                            <w:sz w:val="22"/>
                          </w:rPr>
                          <w:t>19,668,699</w:t>
                        </w:r>
                        <w:r>
                          <w:rPr>
                            <w:rFonts w:ascii="Arial"/>
                            <w:sz w:val="22"/>
                          </w:rPr>
                        </w:r>
                      </w:p>
                    </w:tc>
                  </w:tr>
                </w:tbl>
                <w:p>
                  <w:pPr/>
                </w:p>
              </w:txbxContent>
            </v:textbox>
            <w10:wrap type="none"/>
          </v:shape>
        </w:pict>
      </w:r>
      <w:r>
        <w:rPr>
          <w:rFonts w:ascii="宋体" w:hAnsi="宋体" w:cs="宋体" w:eastAsia="宋体" w:hint="default"/>
          <w:sz w:val="22"/>
          <w:szCs w:val="22"/>
        </w:rPr>
        <w:t>金融资产</w:t>
      </w:r>
      <w:r>
        <w:rPr>
          <w:rFonts w:ascii="宋体" w:hAnsi="宋体" w:cs="宋体" w:eastAsia="宋体" w:hint="default"/>
          <w:spacing w:val="-1"/>
          <w:sz w:val="22"/>
          <w:szCs w:val="22"/>
        </w:rPr>
        <w:t> </w:t>
      </w:r>
      <w:r>
        <w:rPr>
          <w:rFonts w:ascii="Arial" w:hAnsi="Arial" w:cs="Arial" w:eastAsia="Arial" w:hint="default"/>
          <w:sz w:val="22"/>
          <w:szCs w:val="22"/>
        </w:rPr>
        <w:t>-</w:t>
      </w:r>
      <w:r>
        <w:rPr>
          <w:rFonts w:ascii="Arial" w:hAnsi="Arial" w:cs="Arial" w:eastAsia="Arial" w:hint="default"/>
          <w:w w:val="99"/>
          <w:sz w:val="22"/>
          <w:szCs w:val="22"/>
        </w:rPr>
        <w:t> </w:t>
      </w:r>
      <w:r>
        <w:rPr>
          <w:rFonts w:ascii="宋体" w:hAnsi="宋体" w:cs="宋体" w:eastAsia="宋体" w:hint="default"/>
          <w:sz w:val="22"/>
          <w:szCs w:val="22"/>
        </w:rPr>
        <w:t>货币资金</w:t>
      </w:r>
      <w:r>
        <w:rPr>
          <w:rFonts w:ascii="宋体" w:hAnsi="宋体" w:cs="宋体" w:eastAsia="宋体" w:hint="default"/>
          <w:w w:val="99"/>
          <w:sz w:val="22"/>
          <w:szCs w:val="22"/>
        </w:rPr>
        <w:t> </w:t>
      </w:r>
      <w:r>
        <w:rPr>
          <w:rFonts w:ascii="宋体" w:hAnsi="宋体" w:cs="宋体" w:eastAsia="宋体" w:hint="default"/>
          <w:sz w:val="22"/>
          <w:szCs w:val="22"/>
        </w:rPr>
        <w:t>应收账款</w:t>
      </w:r>
      <w:r>
        <w:rPr>
          <w:rFonts w:ascii="宋体" w:hAnsi="宋体" w:cs="宋体" w:eastAsia="宋体" w:hint="default"/>
          <w:w w:val="99"/>
          <w:sz w:val="22"/>
          <w:szCs w:val="22"/>
        </w:rPr>
        <w:t> </w:t>
      </w:r>
      <w:r>
        <w:rPr>
          <w:rFonts w:ascii="宋体" w:hAnsi="宋体" w:cs="宋体" w:eastAsia="宋体" w:hint="default"/>
          <w:sz w:val="22"/>
          <w:szCs w:val="22"/>
        </w:rPr>
        <w:t>其他应收款</w:t>
      </w:r>
      <w:r>
        <w:rPr>
          <w:rFonts w:ascii="宋体" w:hAnsi="宋体" w:cs="宋体" w:eastAsia="宋体" w:hint="default"/>
          <w:w w:val="99"/>
          <w:sz w:val="22"/>
          <w:szCs w:val="22"/>
        </w:rPr>
        <w:t> </w:t>
      </w:r>
      <w:r>
        <w:rPr>
          <w:rFonts w:ascii="宋体" w:hAnsi="宋体" w:cs="宋体" w:eastAsia="宋体" w:hint="default"/>
          <w:sz w:val="22"/>
          <w:szCs w:val="22"/>
        </w:rPr>
        <w:t>交易性金融</w:t>
      </w:r>
    </w:p>
    <w:p>
      <w:pPr>
        <w:spacing w:line="237" w:lineRule="auto" w:before="2"/>
        <w:ind w:left="1059" w:right="7945" w:firstLine="252"/>
        <w:jc w:val="left"/>
        <w:rPr>
          <w:rFonts w:ascii="宋体" w:hAnsi="宋体" w:cs="宋体" w:eastAsia="宋体" w:hint="default"/>
          <w:sz w:val="22"/>
          <w:szCs w:val="22"/>
        </w:rPr>
      </w:pPr>
      <w:r>
        <w:rPr>
          <w:rFonts w:ascii="宋体" w:hAnsi="宋体" w:cs="宋体" w:eastAsia="宋体" w:hint="default"/>
          <w:sz w:val="22"/>
          <w:szCs w:val="22"/>
        </w:rPr>
        <w:t>资产</w:t>
      </w:r>
      <w:r>
        <w:rPr>
          <w:rFonts w:ascii="宋体" w:hAnsi="宋体" w:cs="宋体" w:eastAsia="宋体" w:hint="default"/>
          <w:w w:val="99"/>
          <w:sz w:val="22"/>
          <w:szCs w:val="22"/>
        </w:rPr>
        <w:t> </w:t>
      </w:r>
      <w:r>
        <w:rPr>
          <w:rFonts w:ascii="宋体" w:hAnsi="宋体" w:cs="宋体" w:eastAsia="宋体" w:hint="default"/>
          <w:sz w:val="22"/>
          <w:szCs w:val="22"/>
        </w:rPr>
        <w:t>应收票据</w:t>
      </w:r>
      <w:r>
        <w:rPr>
          <w:rFonts w:ascii="宋体" w:hAnsi="宋体" w:cs="宋体" w:eastAsia="宋体" w:hint="default"/>
          <w:w w:val="99"/>
          <w:sz w:val="22"/>
          <w:szCs w:val="22"/>
        </w:rPr>
        <w:t> </w:t>
      </w:r>
      <w:r>
        <w:rPr>
          <w:rFonts w:ascii="宋体" w:hAnsi="宋体" w:cs="宋体" w:eastAsia="宋体" w:hint="default"/>
          <w:sz w:val="22"/>
          <w:szCs w:val="22"/>
        </w:rPr>
        <w:t>应收利息</w:t>
      </w:r>
      <w:r>
        <w:rPr>
          <w:rFonts w:ascii="宋体" w:hAnsi="宋体" w:cs="宋体" w:eastAsia="宋体" w:hint="default"/>
          <w:w w:val="99"/>
          <w:sz w:val="22"/>
          <w:szCs w:val="22"/>
        </w:rPr>
        <w:t> </w:t>
      </w:r>
      <w:r>
        <w:rPr>
          <w:rFonts w:ascii="宋体" w:hAnsi="宋体" w:cs="宋体" w:eastAsia="宋体" w:hint="default"/>
          <w:sz w:val="22"/>
          <w:szCs w:val="22"/>
        </w:rPr>
        <w:t>长期应收款</w:t>
      </w:r>
    </w:p>
    <w:p>
      <w:pPr>
        <w:spacing w:line="240" w:lineRule="auto" w:before="10"/>
        <w:rPr>
          <w:rFonts w:ascii="宋体" w:hAnsi="宋体" w:cs="宋体" w:eastAsia="宋体" w:hint="default"/>
          <w:sz w:val="19"/>
          <w:szCs w:val="19"/>
        </w:rPr>
      </w:pPr>
    </w:p>
    <w:p>
      <w:pPr>
        <w:spacing w:line="235" w:lineRule="auto" w:before="37"/>
        <w:ind w:left="1059" w:right="7945" w:hanging="255"/>
        <w:jc w:val="left"/>
        <w:rPr>
          <w:rFonts w:ascii="宋体" w:hAnsi="宋体" w:cs="宋体" w:eastAsia="宋体" w:hint="default"/>
          <w:sz w:val="22"/>
          <w:szCs w:val="22"/>
        </w:rPr>
      </w:pPr>
      <w:r>
        <w:rPr>
          <w:rFonts w:ascii="宋体" w:hAnsi="宋体" w:cs="宋体" w:eastAsia="宋体" w:hint="default"/>
          <w:sz w:val="22"/>
          <w:szCs w:val="22"/>
        </w:rPr>
        <w:t>金融负债</w:t>
      </w:r>
      <w:r>
        <w:rPr>
          <w:rFonts w:ascii="宋体" w:hAnsi="宋体" w:cs="宋体" w:eastAsia="宋体" w:hint="default"/>
          <w:spacing w:val="-1"/>
          <w:sz w:val="22"/>
          <w:szCs w:val="22"/>
        </w:rPr>
        <w:t> </w:t>
      </w:r>
      <w:r>
        <w:rPr>
          <w:rFonts w:ascii="Arial" w:hAnsi="Arial" w:cs="Arial" w:eastAsia="Arial" w:hint="default"/>
          <w:sz w:val="22"/>
          <w:szCs w:val="22"/>
        </w:rPr>
        <w:t>-</w:t>
      </w:r>
      <w:r>
        <w:rPr>
          <w:rFonts w:ascii="Arial" w:hAnsi="Arial" w:cs="Arial" w:eastAsia="Arial" w:hint="default"/>
          <w:w w:val="99"/>
          <w:sz w:val="22"/>
          <w:szCs w:val="22"/>
        </w:rPr>
        <w:t> </w:t>
      </w:r>
      <w:r>
        <w:rPr>
          <w:rFonts w:ascii="宋体" w:hAnsi="宋体" w:cs="宋体" w:eastAsia="宋体" w:hint="default"/>
          <w:sz w:val="22"/>
          <w:szCs w:val="22"/>
        </w:rPr>
        <w:t>应付账款</w:t>
      </w:r>
      <w:r>
        <w:rPr>
          <w:rFonts w:ascii="宋体" w:hAnsi="宋体" w:cs="宋体" w:eastAsia="宋体" w:hint="default"/>
          <w:w w:val="99"/>
          <w:sz w:val="22"/>
          <w:szCs w:val="22"/>
        </w:rPr>
        <w:t> </w:t>
      </w:r>
      <w:r>
        <w:rPr>
          <w:rFonts w:ascii="宋体" w:hAnsi="宋体" w:cs="宋体" w:eastAsia="宋体" w:hint="default"/>
          <w:sz w:val="22"/>
          <w:szCs w:val="22"/>
        </w:rPr>
        <w:t>其他应付款</w:t>
      </w:r>
      <w:r>
        <w:rPr>
          <w:rFonts w:ascii="宋体" w:hAnsi="宋体" w:cs="宋体" w:eastAsia="宋体" w:hint="default"/>
          <w:w w:val="99"/>
          <w:sz w:val="22"/>
          <w:szCs w:val="22"/>
        </w:rPr>
        <w:t> </w:t>
      </w:r>
      <w:r>
        <w:rPr>
          <w:rFonts w:ascii="宋体" w:hAnsi="宋体" w:cs="宋体" w:eastAsia="宋体" w:hint="default"/>
          <w:sz w:val="22"/>
          <w:szCs w:val="22"/>
        </w:rPr>
        <w:t>应付票据</w:t>
      </w:r>
    </w:p>
    <w:p>
      <w:pPr>
        <w:spacing w:after="0" w:line="235" w:lineRule="auto"/>
        <w:jc w:val="left"/>
        <w:rPr>
          <w:rFonts w:ascii="宋体" w:hAnsi="宋体" w:cs="宋体" w:eastAsia="宋体" w:hint="default"/>
          <w:sz w:val="22"/>
          <w:szCs w:val="22"/>
        </w:rPr>
        <w:sectPr>
          <w:footerReference w:type="default" r:id="rId81"/>
          <w:pgSz w:w="11910" w:h="16840"/>
          <w:pgMar w:footer="947" w:header="755" w:top="2300" w:bottom="1140" w:left="1020" w:right="760"/>
          <w:pgNumType w:start="201"/>
        </w:sectPr>
      </w:pPr>
    </w:p>
    <w:p>
      <w:pPr>
        <w:spacing w:line="240" w:lineRule="auto" w:before="6"/>
        <w:rPr>
          <w:rFonts w:ascii="宋体" w:hAnsi="宋体" w:cs="宋体" w:eastAsia="宋体" w:hint="default"/>
          <w:sz w:val="13"/>
          <w:szCs w:val="13"/>
        </w:rPr>
      </w:pPr>
    </w:p>
    <w:p>
      <w:pPr>
        <w:pStyle w:val="Heading2"/>
        <w:tabs>
          <w:tab w:pos="823" w:val="left" w:leader="none"/>
        </w:tabs>
        <w:spacing w:line="240" w:lineRule="auto"/>
        <w:ind w:left="117" w:right="221"/>
        <w:jc w:val="left"/>
        <w:rPr>
          <w:rFonts w:ascii="Arial" w:hAnsi="Arial" w:cs="Arial" w:eastAsia="Arial" w:hint="default"/>
          <w:b w:val="0"/>
          <w:bCs w:val="0"/>
        </w:rPr>
      </w:pPr>
      <w:r>
        <w:rPr>
          <w:w w:val="95"/>
        </w:rPr>
        <w:t>十一</w:t>
        <w:tab/>
      </w:r>
      <w:r>
        <w:rPr/>
        <w:t>金融工具及其风险</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23" w:val="left" w:leader="none"/>
        </w:tabs>
        <w:spacing w:line="240" w:lineRule="auto"/>
        <w:ind w:left="117" w:right="221"/>
        <w:jc w:val="left"/>
      </w:pPr>
      <w:r>
        <w:rPr>
          <w:rFonts w:ascii="Arial" w:hAnsi="Arial" w:cs="Arial" w:eastAsia="Arial" w:hint="default"/>
          <w:w w:val="95"/>
          <w:position w:val="2"/>
        </w:rPr>
        <w:t>(4)</w:t>
        <w:tab/>
      </w:r>
      <w:r>
        <w:rPr/>
        <w:t>公允价值</w:t>
      </w:r>
    </w:p>
    <w:p>
      <w:pPr>
        <w:spacing w:line="240" w:lineRule="auto" w:before="12"/>
        <w:rPr>
          <w:rFonts w:ascii="宋体" w:hAnsi="宋体" w:cs="宋体" w:eastAsia="宋体" w:hint="default"/>
          <w:sz w:val="20"/>
          <w:szCs w:val="20"/>
        </w:rPr>
      </w:pPr>
    </w:p>
    <w:p>
      <w:pPr>
        <w:pStyle w:val="BodyText"/>
        <w:tabs>
          <w:tab w:pos="823" w:val="left" w:leader="none"/>
        </w:tabs>
        <w:spacing w:line="240" w:lineRule="auto"/>
        <w:ind w:left="117" w:right="221"/>
        <w:jc w:val="left"/>
      </w:pPr>
      <w:r>
        <w:rPr>
          <w:rFonts w:ascii="Arial" w:hAnsi="Arial" w:cs="Arial" w:eastAsia="Arial" w:hint="default"/>
          <w:w w:val="95"/>
          <w:position w:val="2"/>
        </w:rPr>
        <w:t>(a)</w:t>
        <w:tab/>
      </w:r>
      <w:r>
        <w:rPr/>
        <w:t>不以公允价值计量的金融工具</w:t>
      </w:r>
    </w:p>
    <w:p>
      <w:pPr>
        <w:spacing w:line="240" w:lineRule="auto" w:before="4"/>
        <w:rPr>
          <w:rFonts w:ascii="宋体" w:hAnsi="宋体" w:cs="宋体" w:eastAsia="宋体" w:hint="default"/>
          <w:sz w:val="23"/>
          <w:szCs w:val="23"/>
        </w:rPr>
      </w:pPr>
    </w:p>
    <w:p>
      <w:pPr>
        <w:pStyle w:val="BodyText"/>
        <w:spacing w:line="312" w:lineRule="exact"/>
        <w:ind w:left="823" w:right="221"/>
        <w:jc w:val="left"/>
      </w:pPr>
      <w:r>
        <w:rPr/>
        <w:t>不以公允价值计量的金融资产和负债主要包括：应收款项、应付款项、应收票据、应 付票据、应收利息、长期应收款、短期借款、应付款项。</w:t>
      </w:r>
    </w:p>
    <w:p>
      <w:pPr>
        <w:spacing w:line="240" w:lineRule="auto" w:before="1"/>
        <w:rPr>
          <w:rFonts w:ascii="宋体" w:hAnsi="宋体" w:cs="宋体" w:eastAsia="宋体" w:hint="default"/>
          <w:sz w:val="21"/>
          <w:szCs w:val="21"/>
        </w:rPr>
      </w:pPr>
    </w:p>
    <w:p>
      <w:pPr>
        <w:pStyle w:val="BodyText"/>
        <w:spacing w:line="312" w:lineRule="exact"/>
        <w:ind w:left="823" w:right="221"/>
        <w:jc w:val="left"/>
      </w:pPr>
      <w:r>
        <w:rPr/>
        <w:t>除下述金融资产和负债以外，其他不以公允价值计量的金融资产和负债的账面价值与 公允价值相差很小。</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55" w:footer="947" w:top="2300" w:bottom="1140" w:left="1020" w:right="940"/>
        </w:sect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7"/>
          <w:szCs w:val="27"/>
        </w:rPr>
      </w:pPr>
    </w:p>
    <w:p>
      <w:pPr>
        <w:pStyle w:val="BodyText"/>
        <w:spacing w:line="240" w:lineRule="auto"/>
        <w:ind w:left="823" w:right="-20"/>
        <w:jc w:val="left"/>
      </w:pPr>
      <w:r>
        <w:rPr/>
        <w:t>金融资产 –</w:t>
      </w:r>
    </w:p>
    <w:p>
      <w:pPr>
        <w:pStyle w:val="BodyText"/>
        <w:tabs>
          <w:tab w:pos="3806" w:val="left" w:leader="none"/>
        </w:tabs>
        <w:spacing w:line="240" w:lineRule="auto" w:before="26"/>
        <w:ind w:left="378" w:right="0"/>
        <w:jc w:val="center"/>
      </w:pPr>
      <w:r>
        <w:rPr/>
        <w:br w:type="column"/>
      </w: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r>
    </w:p>
    <w:p>
      <w:pPr>
        <w:pStyle w:val="BodyText"/>
        <w:tabs>
          <w:tab w:pos="2313" w:val="left" w:leader="none"/>
          <w:tab w:pos="3952" w:val="left" w:leader="none"/>
          <w:tab w:pos="5741" w:val="left" w:leader="none"/>
        </w:tabs>
        <w:spacing w:line="240" w:lineRule="auto" w:before="11"/>
        <w:ind w:left="554" w:right="0"/>
        <w:jc w:val="center"/>
      </w:pPr>
      <w:r>
        <w:rPr/>
        <w:pict>
          <v:group style="position:absolute;margin-left:212.759995pt;margin-top:1.755926pt;width:155.7pt;height:.1pt;mso-position-horizontal-relative:page;mso-position-vertical-relative:paragraph;z-index:-1001848" coordorigin="4255,35" coordsize="3114,2">
            <v:shape style="position:absolute;left:4255;top:35;width:3114;height:2" coordorigin="4255,35" coordsize="3114,0" path="m4255,35l7369,35e" filled="false" stroked="true" strokeweight="1.5pt" strokecolor="#000000">
              <v:path arrowok="t"/>
            </v:shape>
            <w10:wrap type="none"/>
          </v:group>
        </w:pict>
      </w:r>
      <w:r>
        <w:rPr/>
        <w:pict>
          <v:group style="position:absolute;margin-left:382.679993pt;margin-top:1.755926pt;width:158.7pt;height:.1pt;mso-position-horizontal-relative:page;mso-position-vertical-relative:paragraph;z-index:-1001824" coordorigin="7654,35" coordsize="3174,2">
            <v:shape style="position:absolute;left:7654;top:35;width:3174;height:2" coordorigin="7654,35" coordsize="3174,0" path="m7654,35l10828,35e" filled="false" stroked="true" strokeweight="1.5pt" strokecolor="#000000">
              <v:path arrowok="t"/>
            </v:shape>
            <w10:wrap type="none"/>
          </v:group>
        </w:pict>
      </w:r>
      <w:r>
        <w:rPr/>
        <w:t>账面价值</w:t>
        <w:tab/>
        <w:t>公允价值</w:t>
        <w:tab/>
        <w:t>账面价值</w:t>
        <w:tab/>
        <w:t>公允价值</w:t>
      </w:r>
    </w:p>
    <w:p>
      <w:pPr>
        <w:spacing w:after="0" w:line="240" w:lineRule="auto"/>
        <w:jc w:val="center"/>
        <w:sectPr>
          <w:type w:val="continuous"/>
          <w:pgSz w:w="11910" w:h="16840"/>
          <w:pgMar w:top="920" w:bottom="900" w:left="1020" w:right="940"/>
          <w:cols w:num="2" w:equalWidth="0">
            <w:col w:w="2144" w:space="561"/>
            <w:col w:w="7245"/>
          </w:cols>
        </w:sectPr>
      </w:pPr>
    </w:p>
    <w:p>
      <w:pPr>
        <w:pStyle w:val="BodyText"/>
        <w:tabs>
          <w:tab w:pos="3235" w:val="left" w:leader="none"/>
          <w:tab w:pos="3670" w:val="left" w:leader="none"/>
          <w:tab w:pos="4930" w:val="left" w:leader="none"/>
          <w:tab w:pos="5381" w:val="left" w:leader="none"/>
          <w:tab w:pos="6633" w:val="left" w:leader="none"/>
          <w:tab w:pos="7211" w:val="left" w:leader="none"/>
          <w:tab w:pos="8329" w:val="left" w:leader="none"/>
          <w:tab w:pos="8972" w:val="left" w:leader="none"/>
          <w:tab w:pos="9807" w:val="left" w:leader="none"/>
        </w:tabs>
        <w:spacing w:line="347" w:lineRule="exact"/>
        <w:ind w:left="823" w:right="193"/>
        <w:jc w:val="left"/>
        <w:rPr>
          <w:rFonts w:ascii="Arial" w:hAnsi="Arial" w:cs="Arial" w:eastAsia="Arial" w:hint="default"/>
        </w:rPr>
      </w:pPr>
      <w:r>
        <w:rPr>
          <w:position w:val="2"/>
        </w:rPr>
        <w:t>长期应收款</w:t>
        <w:tab/>
      </w:r>
      <w:r>
        <w:rPr>
          <w:rFonts w:ascii="Arial" w:hAnsi="Arial" w:cs="Arial" w:eastAsia="Arial" w:hint="default"/>
        </w:rPr>
      </w:r>
      <w:r>
        <w:rPr>
          <w:rFonts w:ascii="Arial" w:hAnsi="Arial" w:cs="Arial" w:eastAsia="Arial" w:hint="default"/>
          <w:u w:val="thick" w:color="000000"/>
        </w:rPr>
        <w:t> </w:t>
        <w:tab/>
      </w:r>
      <w:r>
        <w:rPr>
          <w:rFonts w:ascii="Arial" w:hAnsi="Arial" w:cs="Arial" w:eastAsia="Arial" w:hint="default"/>
          <w:spacing w:val="-1"/>
          <w:u w:val="thick" w:color="000000"/>
        </w:rPr>
        <w:t>130,768</w:t>
      </w:r>
      <w:r>
        <w:rPr>
          <w:rFonts w:ascii="Arial" w:hAnsi="Arial" w:cs="Arial" w:eastAsia="Arial" w:hint="default"/>
          <w:spacing w:val="-1"/>
        </w:rPr>
        <w:tab/>
      </w:r>
      <w:r>
        <w:rPr>
          <w:rFonts w:ascii="Arial" w:hAnsi="Arial" w:cs="Arial" w:eastAsia="Arial" w:hint="default"/>
          <w:spacing w:val="-1"/>
          <w:u w:val="thick" w:color="000000"/>
        </w:rPr>
        <w:t> </w:t>
        <w:tab/>
        <w:t>109,567</w:t>
      </w:r>
      <w:r>
        <w:rPr>
          <w:rFonts w:ascii="Arial" w:hAnsi="Arial" w:cs="Arial" w:eastAsia="Arial" w:hint="default"/>
          <w:spacing w:val="-1"/>
        </w:rPr>
        <w:tab/>
      </w:r>
      <w:r>
        <w:rPr>
          <w:rFonts w:ascii="Arial" w:hAnsi="Arial" w:cs="Arial" w:eastAsia="Arial" w:hint="default"/>
          <w:spacing w:val="-1"/>
          <w:u w:val="thick" w:color="000000"/>
        </w:rPr>
        <w:t> </w:t>
        <w:tab/>
        <w:t>88,450</w:t>
      </w:r>
      <w:r>
        <w:rPr>
          <w:rFonts w:ascii="Arial" w:hAnsi="Arial" w:cs="Arial" w:eastAsia="Arial" w:hint="default"/>
          <w:spacing w:val="-1"/>
        </w:rPr>
        <w:tab/>
      </w:r>
      <w:r>
        <w:rPr>
          <w:rFonts w:ascii="Arial" w:hAnsi="Arial" w:cs="Arial" w:eastAsia="Arial" w:hint="default"/>
          <w:spacing w:val="-1"/>
          <w:u w:val="thick" w:color="000000"/>
        </w:rPr>
        <w:t> </w:t>
        <w:tab/>
        <w:t>84,165</w:t>
        <w:tab/>
      </w:r>
      <w:r>
        <w:rPr>
          <w:rFonts w:ascii="Arial" w:hAnsi="Arial" w:cs="Arial" w:eastAsia="Arial" w:hint="default"/>
          <w:spacing w:val="-1"/>
        </w:rPr>
      </w:r>
    </w:p>
    <w:p>
      <w:pPr>
        <w:spacing w:line="240" w:lineRule="auto" w:before="1"/>
        <w:rPr>
          <w:rFonts w:ascii="Arial" w:hAnsi="Arial" w:cs="Arial" w:eastAsia="Arial" w:hint="default"/>
          <w:sz w:val="21"/>
          <w:szCs w:val="21"/>
        </w:rPr>
      </w:pPr>
    </w:p>
    <w:p>
      <w:pPr>
        <w:pStyle w:val="BodyText"/>
        <w:spacing w:line="312" w:lineRule="exact" w:before="56"/>
        <w:ind w:left="810" w:right="193"/>
        <w:jc w:val="left"/>
      </w:pPr>
      <w:r>
        <w:rPr/>
        <w:t>长期应收款以合同规定的未来现金流量按照市场上具有可比信用等级并在相同条件下</w:t>
      </w:r>
      <w:r>
        <w:rPr>
          <w:spacing w:val="-84"/>
        </w:rPr>
        <w:t> </w:t>
      </w:r>
      <w:r>
        <w:rPr/>
        <w:t>提供几乎相同现金流量的利率进行折现后的现值确定其公允价值。</w:t>
      </w:r>
    </w:p>
    <w:p>
      <w:pPr>
        <w:spacing w:line="240" w:lineRule="auto" w:before="10"/>
        <w:rPr>
          <w:rFonts w:ascii="宋体" w:hAnsi="宋体" w:cs="宋体" w:eastAsia="宋体" w:hint="default"/>
          <w:sz w:val="18"/>
          <w:szCs w:val="18"/>
        </w:rPr>
      </w:pPr>
    </w:p>
    <w:p>
      <w:pPr>
        <w:pStyle w:val="BodyText"/>
        <w:tabs>
          <w:tab w:pos="809" w:val="left" w:leader="none"/>
        </w:tabs>
        <w:spacing w:line="240" w:lineRule="auto"/>
        <w:ind w:left="117" w:right="221"/>
        <w:jc w:val="left"/>
      </w:pPr>
      <w:r>
        <w:rPr>
          <w:rFonts w:ascii="Arial" w:hAnsi="Arial" w:cs="Arial" w:eastAsia="Arial" w:hint="default"/>
          <w:w w:val="95"/>
          <w:position w:val="2"/>
        </w:rPr>
        <w:t>(b)</w:t>
        <w:tab/>
      </w:r>
      <w:r>
        <w:rPr/>
        <w:t>以公允价值计量的金融工具</w:t>
      </w:r>
    </w:p>
    <w:p>
      <w:pPr>
        <w:spacing w:line="240" w:lineRule="auto" w:before="4"/>
        <w:rPr>
          <w:rFonts w:ascii="宋体" w:hAnsi="宋体" w:cs="宋体" w:eastAsia="宋体" w:hint="default"/>
          <w:sz w:val="23"/>
          <w:szCs w:val="23"/>
        </w:rPr>
      </w:pPr>
    </w:p>
    <w:p>
      <w:pPr>
        <w:pStyle w:val="BodyText"/>
        <w:spacing w:line="312" w:lineRule="exact"/>
        <w:ind w:left="810" w:right="193"/>
        <w:jc w:val="left"/>
      </w:pPr>
      <w:r>
        <w:rPr/>
        <w:t>根据在公允价值计量中对计量整体具有重大意义的最低层级的输入值，公允价值层级</w:t>
      </w:r>
      <w:r>
        <w:rPr>
          <w:spacing w:val="-84"/>
        </w:rPr>
        <w:t> </w:t>
      </w:r>
      <w:r>
        <w:rPr/>
        <w:t>可分为：</w:t>
      </w:r>
    </w:p>
    <w:p>
      <w:pPr>
        <w:spacing w:line="240" w:lineRule="auto" w:before="10"/>
        <w:rPr>
          <w:rFonts w:ascii="宋体" w:hAnsi="宋体" w:cs="宋体" w:eastAsia="宋体" w:hint="default"/>
          <w:sz w:val="18"/>
          <w:szCs w:val="18"/>
        </w:rPr>
      </w:pPr>
    </w:p>
    <w:p>
      <w:pPr>
        <w:pStyle w:val="BodyText"/>
        <w:spacing w:line="240" w:lineRule="auto"/>
        <w:ind w:left="810" w:right="221"/>
        <w:jc w:val="left"/>
      </w:pPr>
      <w:r>
        <w:rPr/>
        <w:t>第一层级：相同资产或负债在活跃市场上</w:t>
      </w:r>
      <w:r>
        <w:rPr>
          <w:rFonts w:ascii="Arial" w:hAnsi="Arial" w:cs="Arial" w:eastAsia="Arial" w:hint="default"/>
        </w:rPr>
        <w:t>(</w:t>
      </w:r>
      <w:r>
        <w:rPr/>
        <w:t>未经调整</w:t>
      </w:r>
      <w:r>
        <w:rPr>
          <w:rFonts w:ascii="Arial" w:hAnsi="Arial" w:cs="Arial" w:eastAsia="Arial" w:hint="default"/>
        </w:rPr>
        <w:t>)</w:t>
      </w:r>
      <w:r>
        <w:rPr/>
        <w:t>的报价。</w:t>
      </w:r>
    </w:p>
    <w:p>
      <w:pPr>
        <w:spacing w:line="240" w:lineRule="auto" w:before="13"/>
        <w:rPr>
          <w:rFonts w:ascii="宋体" w:hAnsi="宋体" w:cs="宋体" w:eastAsia="宋体" w:hint="default"/>
          <w:sz w:val="21"/>
          <w:szCs w:val="21"/>
        </w:rPr>
      </w:pPr>
    </w:p>
    <w:p>
      <w:pPr>
        <w:pStyle w:val="BodyText"/>
        <w:spacing w:line="312" w:lineRule="exact"/>
        <w:ind w:left="809" w:right="193"/>
        <w:jc w:val="left"/>
      </w:pPr>
      <w:r>
        <w:rPr>
          <w:spacing w:val="-2"/>
        </w:rPr>
        <w:t>第二层级：直接</w:t>
      </w:r>
      <w:r>
        <w:rPr>
          <w:rFonts w:ascii="Arial" w:hAnsi="Arial" w:cs="Arial" w:eastAsia="Arial" w:hint="default"/>
          <w:spacing w:val="-2"/>
        </w:rPr>
        <w:t>(</w:t>
      </w:r>
      <w:r>
        <w:rPr>
          <w:spacing w:val="-2"/>
        </w:rPr>
        <w:t>比如取自价格</w:t>
      </w:r>
      <w:r>
        <w:rPr>
          <w:rFonts w:ascii="Arial" w:hAnsi="Arial" w:cs="Arial" w:eastAsia="Arial" w:hint="default"/>
          <w:spacing w:val="-2"/>
        </w:rPr>
        <w:t>)</w:t>
      </w:r>
      <w:r>
        <w:rPr>
          <w:spacing w:val="-2"/>
        </w:rPr>
        <w:t>或间接</w:t>
      </w:r>
      <w:r>
        <w:rPr>
          <w:rFonts w:ascii="Arial" w:hAnsi="Arial" w:cs="Arial" w:eastAsia="Arial" w:hint="default"/>
          <w:spacing w:val="-2"/>
        </w:rPr>
        <w:t>(</w:t>
      </w:r>
      <w:r>
        <w:rPr>
          <w:spacing w:val="-2"/>
        </w:rPr>
        <w:t>比如根据价格推算的</w:t>
      </w:r>
      <w:r>
        <w:rPr>
          <w:rFonts w:ascii="Arial" w:hAnsi="Arial" w:cs="Arial" w:eastAsia="Arial" w:hint="default"/>
          <w:spacing w:val="-2"/>
        </w:rPr>
        <w:t>)</w:t>
      </w:r>
      <w:r>
        <w:rPr>
          <w:spacing w:val="-2"/>
        </w:rPr>
        <w:t>可观察到的、除第一层级</w:t>
      </w:r>
      <w:r>
        <w:rPr>
          <w:spacing w:val="-84"/>
        </w:rPr>
        <w:t> </w:t>
      </w:r>
      <w:r>
        <w:rPr>
          <w:spacing w:val="-84"/>
        </w:rPr>
      </w:r>
      <w:r>
        <w:rPr/>
        <w:t>中的市场报价以外的资产或负债的输入值。</w:t>
      </w:r>
    </w:p>
    <w:p>
      <w:pPr>
        <w:spacing w:line="240" w:lineRule="auto" w:before="1"/>
        <w:rPr>
          <w:rFonts w:ascii="宋体" w:hAnsi="宋体" w:cs="宋体" w:eastAsia="宋体" w:hint="default"/>
          <w:sz w:val="21"/>
          <w:szCs w:val="21"/>
        </w:rPr>
      </w:pPr>
    </w:p>
    <w:p>
      <w:pPr>
        <w:pStyle w:val="BodyText"/>
        <w:spacing w:line="312" w:lineRule="exact"/>
        <w:ind w:left="809" w:right="193"/>
        <w:jc w:val="left"/>
      </w:pPr>
      <w:r>
        <w:rPr>
          <w:spacing w:val="-1"/>
        </w:rPr>
        <w:t>第三层级：以可观察到的市场数据以外的变量为基础确定的资产或负债的输入值</w:t>
      </w:r>
      <w:r>
        <w:rPr>
          <w:rFonts w:ascii="Arial" w:hAnsi="Arial" w:cs="Arial" w:eastAsia="Arial" w:hint="default"/>
          <w:spacing w:val="-1"/>
        </w:rPr>
        <w:t>(</w:t>
      </w:r>
      <w:r>
        <w:rPr>
          <w:spacing w:val="-1"/>
        </w:rPr>
        <w:t>不可</w:t>
      </w:r>
      <w:r>
        <w:rPr>
          <w:spacing w:val="-116"/>
        </w:rPr>
        <w:t> </w:t>
      </w:r>
      <w:r>
        <w:rPr/>
        <w:t>观察输入值</w:t>
      </w:r>
      <w:r>
        <w:rPr>
          <w:rFonts w:ascii="Arial" w:hAnsi="Arial" w:cs="Arial" w:eastAsia="Arial" w:hint="default"/>
        </w:rPr>
        <w:t>)</w:t>
      </w:r>
      <w:r>
        <w:rPr/>
        <w:t>。</w:t>
      </w:r>
    </w:p>
    <w:p>
      <w:pPr>
        <w:spacing w:line="240" w:lineRule="auto" w:before="10"/>
        <w:rPr>
          <w:rFonts w:ascii="宋体" w:hAnsi="宋体" w:cs="宋体" w:eastAsia="宋体" w:hint="default"/>
          <w:sz w:val="18"/>
          <w:szCs w:val="18"/>
        </w:rPr>
      </w:pPr>
    </w:p>
    <w:p>
      <w:pPr>
        <w:pStyle w:val="BodyText"/>
        <w:spacing w:line="240" w:lineRule="auto"/>
        <w:ind w:left="809" w:right="221"/>
        <w:jc w:val="left"/>
      </w:pPr>
      <w:r>
        <w:rPr/>
        <w:t>于</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日，以公允价值计量的金融资产按上述三个层级列示如下：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22" w:lineRule="exact" w:before="26"/>
        <w:ind w:left="809" w:right="221"/>
        <w:jc w:val="left"/>
        <w:rPr>
          <w:rFonts w:ascii="Arial" w:hAnsi="Arial" w:cs="Arial" w:eastAsia="Arial" w:hint="default"/>
        </w:rPr>
      </w:pPr>
      <w:r>
        <w:rPr/>
        <w:pict>
          <v:shape style="position:absolute;margin-left:226.199997pt;margin-top:-15.596868pt;width:316.7pt;height:52.35pt;mso-position-horizontal-relative:page;mso-position-vertical-relative:paragraph;z-index:4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287"/>
                    <w:gridCol w:w="1456"/>
                    <w:gridCol w:w="284"/>
                    <w:gridCol w:w="1434"/>
                    <w:gridCol w:w="287"/>
                    <w:gridCol w:w="1310"/>
                  </w:tblGrid>
                  <w:tr>
                    <w:trPr>
                      <w:trHeight w:val="529"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宋体" w:hAnsi="宋体" w:cs="宋体" w:eastAsia="宋体" w:hint="default"/>
                            <w:sz w:val="24"/>
                            <w:szCs w:val="24"/>
                          </w:rPr>
                        </w:pPr>
                        <w:r>
                          <w:rPr>
                            <w:rFonts w:ascii="宋体" w:hAnsi="宋体" w:cs="宋体" w:eastAsia="宋体" w:hint="default"/>
                            <w:sz w:val="24"/>
                            <w:szCs w:val="24"/>
                          </w:rPr>
                          <w:t>第一层级</w:t>
                        </w:r>
                      </w:p>
                    </w:tc>
                    <w:tc>
                      <w:tcPr>
                        <w:tcW w:w="287"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宋体" w:hAnsi="宋体" w:cs="宋体" w:eastAsia="宋体" w:hint="default"/>
                            <w:sz w:val="24"/>
                            <w:szCs w:val="24"/>
                          </w:rPr>
                        </w:pPr>
                        <w:r>
                          <w:rPr>
                            <w:rFonts w:ascii="宋体" w:hAnsi="宋体" w:cs="宋体" w:eastAsia="宋体" w:hint="default"/>
                            <w:sz w:val="24"/>
                            <w:szCs w:val="24"/>
                          </w:rPr>
                          <w:t>第二层级</w:t>
                        </w:r>
                      </w:p>
                    </w:tc>
                    <w:tc>
                      <w:tcPr>
                        <w:tcW w:w="284"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宋体" w:hAnsi="宋体" w:cs="宋体" w:eastAsia="宋体" w:hint="default"/>
                            <w:sz w:val="24"/>
                            <w:szCs w:val="24"/>
                          </w:rPr>
                        </w:pPr>
                        <w:r>
                          <w:rPr>
                            <w:rFonts w:ascii="宋体" w:hAnsi="宋体" w:cs="宋体" w:eastAsia="宋体" w:hint="default"/>
                            <w:sz w:val="24"/>
                            <w:szCs w:val="24"/>
                          </w:rPr>
                          <w:t>第三层级</w:t>
                        </w:r>
                      </w:p>
                    </w:tc>
                    <w:tc>
                      <w:tcPr>
                        <w:tcW w:w="28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487" w:hRule="exact"/>
                    </w:trPr>
                    <w:tc>
                      <w:tcPr>
                        <w:tcW w:w="1276" w:type="dxa"/>
                        <w:tcBorders>
                          <w:top w:val="nil" w:sz="6" w:space="0" w:color="auto"/>
                          <w:left w:val="nil" w:sz="6" w:space="0" w:color="auto"/>
                          <w:bottom w:val="single" w:sz="12" w:space="0" w:color="000000"/>
                          <w:right w:val="nil" w:sz="6" w:space="0" w:color="auto"/>
                        </w:tcBorders>
                      </w:tcPr>
                      <w:p>
                        <w:pPr>
                          <w:pStyle w:val="TableParagraph"/>
                          <w:spacing w:line="240" w:lineRule="auto" w:before="158"/>
                          <w:ind w:right="99"/>
                          <w:jc w:val="right"/>
                          <w:rPr>
                            <w:rFonts w:ascii="Arial" w:hAnsi="Arial" w:cs="Arial" w:eastAsia="Arial" w:hint="default"/>
                            <w:sz w:val="24"/>
                            <w:szCs w:val="24"/>
                          </w:rPr>
                        </w:pPr>
                        <w:r>
                          <w:rPr>
                            <w:rFonts w:ascii="Arial"/>
                            <w:w w:val="99"/>
                            <w:sz w:val="24"/>
                          </w:rPr>
                          <w:t>-</w:t>
                        </w:r>
                        <w:r>
                          <w:rPr>
                            <w:rFonts w:ascii="Arial"/>
                            <w:sz w:val="24"/>
                          </w:rPr>
                        </w:r>
                      </w:p>
                    </w:tc>
                    <w:tc>
                      <w:tcPr>
                        <w:tcW w:w="287"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single" w:sz="12" w:space="0" w:color="000000"/>
                          <w:right w:val="nil" w:sz="6" w:space="0" w:color="auto"/>
                        </w:tcBorders>
                      </w:tcPr>
                      <w:p>
                        <w:pPr>
                          <w:pStyle w:val="TableParagraph"/>
                          <w:spacing w:line="240" w:lineRule="auto" w:before="158"/>
                          <w:ind w:right="99"/>
                          <w:jc w:val="right"/>
                          <w:rPr>
                            <w:rFonts w:ascii="Arial" w:hAnsi="Arial" w:cs="Arial" w:eastAsia="Arial" w:hint="default"/>
                            <w:sz w:val="24"/>
                            <w:szCs w:val="24"/>
                          </w:rPr>
                        </w:pPr>
                        <w:r>
                          <w:rPr>
                            <w:rFonts w:ascii="Arial"/>
                            <w:w w:val="99"/>
                            <w:sz w:val="24"/>
                          </w:rPr>
                          <w:t>-</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single" w:sz="12" w:space="0" w:color="000000"/>
                          <w:right w:val="nil" w:sz="6" w:space="0" w:color="auto"/>
                        </w:tcBorders>
                      </w:tcPr>
                      <w:p>
                        <w:pPr>
                          <w:pStyle w:val="TableParagraph"/>
                          <w:spacing w:line="240" w:lineRule="auto" w:before="158"/>
                          <w:ind w:right="99"/>
                          <w:jc w:val="right"/>
                          <w:rPr>
                            <w:rFonts w:ascii="Arial" w:hAnsi="Arial" w:cs="Arial" w:eastAsia="Arial" w:hint="default"/>
                            <w:sz w:val="24"/>
                            <w:szCs w:val="24"/>
                          </w:rPr>
                        </w:pPr>
                        <w:r>
                          <w:rPr>
                            <w:rFonts w:ascii="Arial"/>
                            <w:w w:val="99"/>
                            <w:sz w:val="24"/>
                          </w:rPr>
                          <w:t>-</w:t>
                        </w:r>
                        <w:r>
                          <w:rPr>
                            <w:rFonts w:ascii="Arial"/>
                            <w:sz w:val="24"/>
                          </w:rPr>
                        </w:r>
                      </w:p>
                    </w:tc>
                    <w:tc>
                      <w:tcPr>
                        <w:tcW w:w="28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single" w:sz="12" w:space="0" w:color="000000"/>
                          <w:right w:val="nil" w:sz="6" w:space="0" w:color="auto"/>
                        </w:tcBorders>
                      </w:tcPr>
                      <w:p>
                        <w:pPr>
                          <w:pStyle w:val="TableParagraph"/>
                          <w:spacing w:line="240" w:lineRule="auto" w:before="158"/>
                          <w:ind w:right="99"/>
                          <w:jc w:val="right"/>
                          <w:rPr>
                            <w:rFonts w:ascii="Arial" w:hAnsi="Arial" w:cs="Arial" w:eastAsia="Arial" w:hint="default"/>
                            <w:sz w:val="24"/>
                            <w:szCs w:val="24"/>
                          </w:rPr>
                        </w:pPr>
                        <w:r>
                          <w:rPr>
                            <w:rFonts w:ascii="Arial"/>
                            <w:w w:val="99"/>
                            <w:sz w:val="24"/>
                          </w:rPr>
                          <w:t>-</w:t>
                        </w:r>
                        <w:r>
                          <w:rPr>
                            <w:rFonts w:ascii="Arial"/>
                            <w:sz w:val="24"/>
                          </w:rPr>
                        </w:r>
                      </w:p>
                    </w:tc>
                  </w:tr>
                </w:tbl>
                <w:p>
                  <w:pPr/>
                </w:p>
              </w:txbxContent>
            </v:textbox>
            <w10:wrap type="none"/>
          </v:shape>
        </w:pict>
      </w:r>
      <w:r>
        <w:rPr/>
        <w:t>金融资产 </w:t>
      </w:r>
      <w:r>
        <w:rPr>
          <w:rFonts w:ascii="Arial" w:hAnsi="Arial" w:cs="Arial" w:eastAsia="Arial" w:hint="default"/>
        </w:rPr>
        <w:t>-</w:t>
      </w:r>
    </w:p>
    <w:p>
      <w:pPr>
        <w:pStyle w:val="BodyText"/>
        <w:spacing w:line="304" w:lineRule="exact"/>
        <w:ind w:left="987" w:right="221"/>
        <w:jc w:val="left"/>
      </w:pPr>
      <w:r>
        <w:rPr/>
        <w:t>新股预约权</w:t>
      </w:r>
    </w:p>
    <w:p>
      <w:pPr>
        <w:spacing w:after="0" w:line="304" w:lineRule="exact"/>
        <w:jc w:val="left"/>
        <w:sectPr>
          <w:type w:val="continuous"/>
          <w:pgSz w:w="11910" w:h="16840"/>
          <w:pgMar w:top="920" w:bottom="900" w:left="1020" w:right="940"/>
        </w:sectPr>
      </w:pPr>
    </w:p>
    <w:p>
      <w:pPr>
        <w:spacing w:line="240" w:lineRule="auto" w:before="6"/>
        <w:rPr>
          <w:rFonts w:ascii="宋体" w:hAnsi="宋体" w:cs="宋体" w:eastAsia="宋体" w:hint="default"/>
          <w:sz w:val="13"/>
          <w:szCs w:val="13"/>
        </w:rPr>
      </w:pPr>
    </w:p>
    <w:p>
      <w:pPr>
        <w:pStyle w:val="Heading2"/>
        <w:tabs>
          <w:tab w:pos="808" w:val="left" w:leader="none"/>
        </w:tabs>
        <w:spacing w:line="240" w:lineRule="auto"/>
        <w:ind w:right="221"/>
        <w:jc w:val="left"/>
        <w:rPr>
          <w:rFonts w:ascii="Arial" w:hAnsi="Arial" w:cs="Arial" w:eastAsia="Arial" w:hint="default"/>
          <w:b w:val="0"/>
          <w:bCs w:val="0"/>
        </w:rPr>
      </w:pPr>
      <w:r>
        <w:rPr>
          <w:w w:val="95"/>
        </w:rPr>
        <w:t>十一</w:t>
        <w:tab/>
      </w:r>
      <w:r>
        <w:rPr/>
        <w:t>金融工具及其风险</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tabs>
          <w:tab w:pos="808" w:val="left" w:leader="none"/>
        </w:tabs>
        <w:spacing w:line="240" w:lineRule="auto"/>
        <w:ind w:left="107" w:right="221"/>
        <w:jc w:val="left"/>
        <w:rPr>
          <w:rFonts w:ascii="Arial" w:hAnsi="Arial" w:cs="Arial" w:eastAsia="Arial" w:hint="default"/>
        </w:rPr>
      </w:pPr>
      <w:r>
        <w:rPr>
          <w:rFonts w:ascii="Arial" w:hAnsi="Arial" w:cs="Arial" w:eastAsia="Arial" w:hint="default"/>
          <w:w w:val="95"/>
          <w:position w:val="2"/>
        </w:rPr>
        <w:t>(4)</w:t>
        <w:tab/>
      </w:r>
      <w:r>
        <w:rPr/>
        <w:t>公允价值</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tabs>
          <w:tab w:pos="808" w:val="left" w:leader="none"/>
        </w:tabs>
        <w:spacing w:line="240" w:lineRule="auto"/>
        <w:ind w:left="108" w:right="221"/>
        <w:jc w:val="left"/>
        <w:rPr>
          <w:rFonts w:ascii="Arial" w:hAnsi="Arial" w:cs="Arial" w:eastAsia="Arial" w:hint="default"/>
        </w:rPr>
      </w:pPr>
      <w:r>
        <w:rPr>
          <w:rFonts w:ascii="Arial" w:hAnsi="Arial" w:cs="Arial" w:eastAsia="Arial" w:hint="default"/>
          <w:w w:val="95"/>
          <w:position w:val="2"/>
        </w:rPr>
        <w:t>(b)</w:t>
        <w:tab/>
      </w:r>
      <w:r>
        <w:rPr/>
        <w:t>以公允价值计量的金融工具</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BodyText"/>
        <w:spacing w:line="240" w:lineRule="auto"/>
        <w:ind w:left="804" w:right="221"/>
        <w:jc w:val="left"/>
      </w:pPr>
      <w:r>
        <w:rPr/>
        <w:t>于</w:t>
      </w:r>
      <w:r>
        <w:rPr>
          <w:spacing w:val="-61"/>
        </w:rPr>
        <w:t> </w:t>
      </w:r>
      <w:r>
        <w:rPr>
          <w:rFonts w:ascii="Arial" w:hAnsi="Arial" w:cs="Arial" w:eastAsia="Arial" w:hint="default"/>
        </w:rPr>
        <w:t>2009</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日，以公允价值计量的金融资产按上述三个层级列示如下：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22" w:lineRule="exact" w:before="26"/>
        <w:ind w:left="803" w:right="221"/>
        <w:jc w:val="left"/>
        <w:rPr>
          <w:rFonts w:ascii="Arial" w:hAnsi="Arial" w:cs="Arial" w:eastAsia="Arial" w:hint="default"/>
        </w:rPr>
      </w:pPr>
      <w:r>
        <w:rPr/>
        <w:pict>
          <v:shape style="position:absolute;margin-left:226.380005pt;margin-top:-15.596868pt;width:317.5pt;height:52.35pt;mso-position-horizontal-relative:page;mso-position-vertical-relative:paragraph;z-index:4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80"/>
                    <w:gridCol w:w="286"/>
                    <w:gridCol w:w="1460"/>
                    <w:gridCol w:w="284"/>
                    <w:gridCol w:w="1438"/>
                    <w:gridCol w:w="287"/>
                    <w:gridCol w:w="1314"/>
                  </w:tblGrid>
                  <w:tr>
                    <w:trPr>
                      <w:trHeight w:val="529" w:hRule="exact"/>
                    </w:trPr>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宋体" w:hAnsi="宋体" w:cs="宋体" w:eastAsia="宋体" w:hint="default"/>
                            <w:sz w:val="24"/>
                            <w:szCs w:val="24"/>
                          </w:rPr>
                        </w:pPr>
                        <w:r>
                          <w:rPr>
                            <w:rFonts w:ascii="宋体" w:hAnsi="宋体" w:cs="宋体" w:eastAsia="宋体" w:hint="default"/>
                            <w:sz w:val="24"/>
                            <w:szCs w:val="24"/>
                          </w:rPr>
                          <w:t>第一层级</w:t>
                        </w:r>
                      </w:p>
                    </w:tc>
                    <w:tc>
                      <w:tcPr>
                        <w:tcW w:w="28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宋体" w:hAnsi="宋体" w:cs="宋体" w:eastAsia="宋体" w:hint="default"/>
                            <w:sz w:val="24"/>
                            <w:szCs w:val="24"/>
                          </w:rPr>
                        </w:pPr>
                        <w:r>
                          <w:rPr>
                            <w:rFonts w:ascii="宋体" w:hAnsi="宋体" w:cs="宋体" w:eastAsia="宋体" w:hint="default"/>
                            <w:sz w:val="24"/>
                            <w:szCs w:val="24"/>
                          </w:rPr>
                          <w:t>第二层级</w:t>
                        </w:r>
                      </w:p>
                    </w:tc>
                    <w:tc>
                      <w:tcPr>
                        <w:tcW w:w="284"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宋体" w:hAnsi="宋体" w:cs="宋体" w:eastAsia="宋体" w:hint="default"/>
                            <w:sz w:val="24"/>
                            <w:szCs w:val="24"/>
                          </w:rPr>
                        </w:pPr>
                        <w:r>
                          <w:rPr>
                            <w:rFonts w:ascii="宋体" w:hAnsi="宋体" w:cs="宋体" w:eastAsia="宋体" w:hint="default"/>
                            <w:sz w:val="24"/>
                            <w:szCs w:val="24"/>
                          </w:rPr>
                          <w:t>第三层级</w:t>
                        </w:r>
                      </w:p>
                    </w:tc>
                    <w:tc>
                      <w:tcPr>
                        <w:tcW w:w="287"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487" w:hRule="exact"/>
                    </w:trPr>
                    <w:tc>
                      <w:tcPr>
                        <w:tcW w:w="1280" w:type="dxa"/>
                        <w:tcBorders>
                          <w:top w:val="nil" w:sz="6" w:space="0" w:color="auto"/>
                          <w:left w:val="nil" w:sz="6" w:space="0" w:color="auto"/>
                          <w:bottom w:val="single" w:sz="12" w:space="0" w:color="000000"/>
                          <w:right w:val="nil" w:sz="6" w:space="0" w:color="auto"/>
                        </w:tcBorders>
                      </w:tcPr>
                      <w:p>
                        <w:pPr>
                          <w:pStyle w:val="TableParagraph"/>
                          <w:spacing w:line="240" w:lineRule="auto" w:before="158"/>
                          <w:ind w:right="99"/>
                          <w:jc w:val="right"/>
                          <w:rPr>
                            <w:rFonts w:ascii="Arial" w:hAnsi="Arial" w:cs="Arial" w:eastAsia="Arial" w:hint="default"/>
                            <w:sz w:val="24"/>
                            <w:szCs w:val="24"/>
                          </w:rPr>
                        </w:pPr>
                        <w:r>
                          <w:rPr>
                            <w:rFonts w:ascii="Arial"/>
                            <w:w w:val="99"/>
                            <w:sz w:val="24"/>
                          </w:rPr>
                          <w:t>-</w:t>
                        </w:r>
                        <w:r>
                          <w:rPr>
                            <w:rFonts w:ascii="Arial"/>
                            <w:sz w:val="24"/>
                          </w:rPr>
                        </w:r>
                      </w:p>
                    </w:tc>
                    <w:tc>
                      <w:tcPr>
                        <w:tcW w:w="28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single" w:sz="12" w:space="0" w:color="000000"/>
                          <w:right w:val="nil" w:sz="6" w:space="0" w:color="auto"/>
                        </w:tcBorders>
                      </w:tcPr>
                      <w:p>
                        <w:pPr>
                          <w:pStyle w:val="TableParagraph"/>
                          <w:spacing w:line="240" w:lineRule="auto" w:before="158"/>
                          <w:ind w:right="99"/>
                          <w:jc w:val="right"/>
                          <w:rPr>
                            <w:rFonts w:ascii="Arial" w:hAnsi="Arial" w:cs="Arial" w:eastAsia="Arial" w:hint="default"/>
                            <w:sz w:val="24"/>
                            <w:szCs w:val="24"/>
                          </w:rPr>
                        </w:pPr>
                        <w:r>
                          <w:rPr>
                            <w:rFonts w:ascii="Arial"/>
                            <w:w w:val="99"/>
                            <w:sz w:val="24"/>
                          </w:rPr>
                          <w:t>-</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12" w:space="0" w:color="000000"/>
                          <w:right w:val="nil" w:sz="6" w:space="0" w:color="auto"/>
                        </w:tcBorders>
                      </w:tcPr>
                      <w:p>
                        <w:pPr>
                          <w:pStyle w:val="TableParagraph"/>
                          <w:spacing w:line="240" w:lineRule="auto" w:before="158"/>
                          <w:ind w:right="98"/>
                          <w:jc w:val="right"/>
                          <w:rPr>
                            <w:rFonts w:ascii="Arial" w:hAnsi="Arial" w:cs="Arial" w:eastAsia="Arial" w:hint="default"/>
                            <w:sz w:val="24"/>
                            <w:szCs w:val="24"/>
                          </w:rPr>
                        </w:pPr>
                        <w:r>
                          <w:rPr>
                            <w:rFonts w:ascii="Arial"/>
                            <w:spacing w:val="-1"/>
                            <w:w w:val="95"/>
                            <w:sz w:val="24"/>
                          </w:rPr>
                          <w:t>7,378</w:t>
                        </w:r>
                        <w:r>
                          <w:rPr>
                            <w:rFonts w:ascii="Arial"/>
                            <w:sz w:val="24"/>
                          </w:rPr>
                        </w:r>
                      </w:p>
                    </w:tc>
                    <w:tc>
                      <w:tcPr>
                        <w:tcW w:w="287"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single" w:sz="12" w:space="0" w:color="000000"/>
                          <w:right w:val="nil" w:sz="6" w:space="0" w:color="auto"/>
                        </w:tcBorders>
                      </w:tcPr>
                      <w:p>
                        <w:pPr>
                          <w:pStyle w:val="TableParagraph"/>
                          <w:spacing w:line="240" w:lineRule="auto" w:before="158"/>
                          <w:ind w:right="98"/>
                          <w:jc w:val="right"/>
                          <w:rPr>
                            <w:rFonts w:ascii="Arial" w:hAnsi="Arial" w:cs="Arial" w:eastAsia="Arial" w:hint="default"/>
                            <w:sz w:val="24"/>
                            <w:szCs w:val="24"/>
                          </w:rPr>
                        </w:pPr>
                        <w:r>
                          <w:rPr>
                            <w:rFonts w:ascii="Arial"/>
                            <w:spacing w:val="-1"/>
                            <w:w w:val="95"/>
                            <w:sz w:val="24"/>
                          </w:rPr>
                          <w:t>7,378</w:t>
                        </w:r>
                        <w:r>
                          <w:rPr>
                            <w:rFonts w:ascii="Arial"/>
                            <w:sz w:val="24"/>
                          </w:rPr>
                        </w:r>
                      </w:p>
                    </w:tc>
                  </w:tr>
                </w:tbl>
                <w:p>
                  <w:pPr/>
                </w:p>
              </w:txbxContent>
            </v:textbox>
            <w10:wrap type="none"/>
          </v:shape>
        </w:pict>
      </w:r>
      <w:r>
        <w:rPr/>
        <w:t>金融资产 </w:t>
      </w:r>
      <w:r>
        <w:rPr>
          <w:rFonts w:ascii="Arial" w:hAnsi="Arial" w:cs="Arial" w:eastAsia="Arial" w:hint="default"/>
        </w:rPr>
        <w:t>-</w:t>
      </w:r>
    </w:p>
    <w:p>
      <w:pPr>
        <w:pStyle w:val="BodyText"/>
        <w:spacing w:line="304" w:lineRule="exact"/>
        <w:ind w:left="981" w:right="221"/>
        <w:jc w:val="left"/>
      </w:pPr>
      <w:r>
        <w:rPr/>
        <w:t>新股预约权</w:t>
      </w:r>
    </w:p>
    <w:p>
      <w:pPr>
        <w:spacing w:line="240" w:lineRule="auto" w:before="3"/>
        <w:rPr>
          <w:rFonts w:ascii="宋体" w:hAnsi="宋体" w:cs="宋体" w:eastAsia="宋体" w:hint="default"/>
          <w:sz w:val="21"/>
          <w:szCs w:val="21"/>
        </w:rPr>
      </w:pPr>
    </w:p>
    <w:p>
      <w:pPr>
        <w:pStyle w:val="BodyText"/>
        <w:spacing w:line="312" w:lineRule="exact" w:before="56"/>
        <w:ind w:left="803" w:right="226"/>
        <w:jc w:val="both"/>
        <w:rPr>
          <w:rFonts w:ascii="Arial" w:hAnsi="Arial" w:cs="Arial" w:eastAsia="Arial" w:hint="default"/>
        </w:rPr>
      </w:pPr>
      <w:r>
        <w:rPr/>
        <w:t>新股预约权为本集团</w:t>
      </w:r>
      <w:r>
        <w:rPr>
          <w:spacing w:val="-37"/>
        </w:rPr>
        <w:t> </w:t>
      </w:r>
      <w:r>
        <w:rPr>
          <w:rFonts w:ascii="Arial" w:hAnsi="Arial" w:cs="Arial" w:eastAsia="Arial" w:hint="default"/>
        </w:rPr>
        <w:t>2009</w:t>
      </w:r>
      <w:r>
        <w:rPr>
          <w:rFonts w:ascii="Arial" w:hAnsi="Arial" w:cs="Arial" w:eastAsia="Arial" w:hint="default"/>
          <w:spacing w:val="16"/>
        </w:rPr>
        <w:t> </w:t>
      </w:r>
      <w:r>
        <w:rPr/>
        <w:t>年度收购</w:t>
      </w:r>
      <w:r>
        <w:rPr>
          <w:spacing w:val="-38"/>
        </w:rPr>
        <w:t> </w:t>
      </w:r>
      <w:r>
        <w:rPr>
          <w:rFonts w:ascii="Arial" w:hAnsi="Arial" w:cs="Arial" w:eastAsia="Arial" w:hint="default"/>
        </w:rPr>
        <w:t>LAOX</w:t>
      </w:r>
      <w:r>
        <w:rPr>
          <w:rFonts w:ascii="Arial" w:hAnsi="Arial" w:cs="Arial" w:eastAsia="Arial" w:hint="default"/>
          <w:spacing w:val="16"/>
        </w:rPr>
        <w:t> </w:t>
      </w:r>
      <w:r>
        <w:rPr/>
        <w:t>株式会社同时获取之新股预约权，即以合 同约定之行权价格在合同约定之行权期间内认购 </w:t>
      </w:r>
      <w:r>
        <w:rPr>
          <w:rFonts w:ascii="Arial" w:hAnsi="Arial" w:cs="Arial" w:eastAsia="Arial" w:hint="default"/>
        </w:rPr>
        <w:t>LAOX</w:t>
      </w:r>
      <w:r>
        <w:rPr>
          <w:rFonts w:ascii="Arial" w:hAnsi="Arial" w:cs="Arial" w:eastAsia="Arial" w:hint="default"/>
          <w:spacing w:val="-36"/>
        </w:rPr>
        <w:t> </w:t>
      </w:r>
      <w:r>
        <w:rPr/>
        <w:t>株式会社发行普通股之权利。 </w:t>
      </w:r>
      <w:r>
        <w:rPr>
          <w:spacing w:val="-3"/>
        </w:rPr>
        <w:t>该新股预约权的公允价值根据二项期权定价模型计算确定。本集团已于</w:t>
      </w:r>
      <w:r>
        <w:rPr>
          <w:spacing w:val="-56"/>
        </w:rPr>
        <w:t> </w:t>
      </w:r>
      <w:r>
        <w:rPr>
          <w:rFonts w:ascii="Arial" w:hAnsi="Arial" w:cs="Arial" w:eastAsia="Arial" w:hint="default"/>
        </w:rPr>
        <w:t>2010</w:t>
      </w:r>
      <w:r>
        <w:rPr>
          <w:rFonts w:ascii="Arial" w:hAnsi="Arial" w:cs="Arial" w:eastAsia="Arial" w:hint="default"/>
          <w:spacing w:val="-3"/>
        </w:rPr>
        <w:t> </w:t>
      </w:r>
      <w:r>
        <w:rPr/>
        <w:t>年</w:t>
      </w:r>
      <w:r>
        <w:rPr>
          <w:spacing w:val="-55"/>
        </w:rPr>
        <w:t> </w:t>
      </w:r>
      <w:r>
        <w:rPr>
          <w:rFonts w:ascii="Arial" w:hAnsi="Arial" w:cs="Arial" w:eastAsia="Arial" w:hint="default"/>
        </w:rPr>
        <w:t>6</w:t>
      </w:r>
      <w:r>
        <w:rPr>
          <w:rFonts w:ascii="Arial" w:hAnsi="Arial" w:cs="Arial" w:eastAsia="Arial" w:hint="default"/>
          <w:spacing w:val="-3"/>
        </w:rPr>
        <w:t> </w:t>
      </w:r>
      <w:r>
        <w:rPr/>
        <w:t>月</w:t>
      </w:r>
      <w:r>
        <w:rPr>
          <w:spacing w:val="-56"/>
        </w:rPr>
        <w:t> </w:t>
      </w:r>
      <w:r>
        <w:rPr>
          <w:rFonts w:ascii="Arial" w:hAnsi="Arial" w:cs="Arial" w:eastAsia="Arial" w:hint="default"/>
        </w:rPr>
        <w:t>4</w:t>
      </w:r>
    </w:p>
    <w:p>
      <w:pPr>
        <w:pStyle w:val="BodyText"/>
        <w:spacing w:line="300" w:lineRule="exact"/>
        <w:ind w:left="804" w:right="0"/>
        <w:jc w:val="both"/>
      </w:pPr>
      <w:r>
        <w:rPr/>
        <w:t>日行权，因此</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日没有余额。</w:t>
      </w:r>
    </w:p>
    <w:p>
      <w:pPr>
        <w:spacing w:line="240" w:lineRule="auto" w:before="8"/>
        <w:rPr>
          <w:rFonts w:ascii="宋体" w:hAnsi="宋体" w:cs="宋体" w:eastAsia="宋体" w:hint="default"/>
          <w:sz w:val="19"/>
          <w:szCs w:val="19"/>
        </w:rPr>
      </w:pPr>
    </w:p>
    <w:p>
      <w:pPr>
        <w:pStyle w:val="BodyText"/>
        <w:spacing w:line="313" w:lineRule="exact"/>
        <w:ind w:left="803" w:right="0"/>
        <w:jc w:val="both"/>
      </w:pPr>
      <w:r>
        <w:rPr/>
        <w:t>上述第三层级金融资产变动如下：</w:t>
      </w:r>
    </w:p>
    <w:p>
      <w:pPr>
        <w:pStyle w:val="BodyText"/>
        <w:spacing w:line="321" w:lineRule="exact"/>
        <w:ind w:left="4294" w:right="3889"/>
        <w:jc w:val="center"/>
        <w:rPr>
          <w:rFonts w:ascii="Arial" w:hAnsi="Arial" w:cs="Arial" w:eastAsia="Arial" w:hint="default"/>
        </w:rPr>
      </w:pPr>
      <w:r>
        <w:rPr/>
        <w:t>交易性金融资产</w:t>
      </w:r>
      <w:r>
        <w:rPr>
          <w:rFonts w:ascii="Arial" w:hAnsi="Arial" w:cs="Arial" w:eastAsia="Arial" w:hint="default"/>
        </w:rPr>
        <w:t>-</w:t>
      </w:r>
    </w:p>
    <w:p>
      <w:pPr>
        <w:pStyle w:val="BodyText"/>
        <w:spacing w:line="304" w:lineRule="exact"/>
        <w:ind w:left="4294" w:right="3328"/>
        <w:jc w:val="center"/>
      </w:pPr>
      <w:r>
        <w:rPr/>
        <w:t>新股预约权</w:t>
      </w:r>
    </w:p>
    <w:p>
      <w:pPr>
        <w:spacing w:line="240" w:lineRule="auto" w:before="12"/>
        <w:rPr>
          <w:rFonts w:ascii="宋体" w:hAnsi="宋体" w:cs="宋体" w:eastAsia="宋体" w:hint="default"/>
          <w:sz w:val="20"/>
          <w:szCs w:val="20"/>
        </w:rPr>
      </w:pPr>
    </w:p>
    <w:p>
      <w:pPr>
        <w:pStyle w:val="BodyText"/>
        <w:tabs>
          <w:tab w:pos="5978" w:val="left" w:leader="none"/>
        </w:tabs>
        <w:spacing w:line="322" w:lineRule="exact"/>
        <w:ind w:left="803" w:right="0"/>
        <w:jc w:val="both"/>
        <w:rPr>
          <w:rFonts w:ascii="Arial" w:hAnsi="Arial" w:cs="Arial" w:eastAsia="Arial" w:hint="default"/>
        </w:rPr>
      </w:pPr>
      <w:r>
        <w:rPr>
          <w:rFonts w:ascii="Arial" w:hAnsi="Arial" w:cs="Arial" w:eastAsia="Arial" w:hint="default"/>
        </w:rPr>
        <w:t>2009</w:t>
      </w:r>
      <w:r>
        <w:rPr>
          <w:rFonts w:ascii="Arial" w:hAnsi="Arial" w:cs="Arial" w:eastAsia="Arial" w:hint="default"/>
          <w:spacing w:val="-8"/>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1</w:t>
      </w:r>
      <w:r>
        <w:rPr>
          <w:rFonts w:ascii="Arial" w:hAnsi="Arial" w:cs="Arial" w:eastAsia="Arial" w:hint="default"/>
          <w:spacing w:val="-8"/>
        </w:rPr>
        <w:t> </w:t>
      </w:r>
      <w:r>
        <w:rPr/>
        <w:t>日</w:t>
        <w:tab/>
      </w:r>
      <w:r>
        <w:rPr>
          <w:rFonts w:ascii="Arial" w:hAnsi="Arial" w:cs="Arial" w:eastAsia="Arial" w:hint="default"/>
          <w:position w:val="2"/>
        </w:rPr>
        <w:t>-</w:t>
      </w:r>
      <w:r>
        <w:rPr>
          <w:rFonts w:ascii="Arial" w:hAnsi="Arial" w:cs="Arial" w:eastAsia="Arial" w:hint="default"/>
        </w:rPr>
      </w:r>
    </w:p>
    <w:p>
      <w:pPr>
        <w:pStyle w:val="BodyText"/>
        <w:tabs>
          <w:tab w:pos="5475" w:val="left" w:leader="none"/>
        </w:tabs>
        <w:spacing w:line="303" w:lineRule="exact"/>
        <w:ind w:left="803" w:right="0"/>
        <w:jc w:val="both"/>
        <w:rPr>
          <w:rFonts w:ascii="Arial" w:hAnsi="Arial" w:cs="Arial" w:eastAsia="Arial" w:hint="default"/>
        </w:rPr>
      </w:pPr>
      <w:r>
        <w:rPr/>
        <w:t>购买</w:t>
        <w:tab/>
      </w:r>
      <w:r>
        <w:rPr>
          <w:rFonts w:ascii="Arial" w:hAnsi="Arial" w:cs="Arial" w:eastAsia="Arial" w:hint="default"/>
          <w:position w:val="2"/>
        </w:rPr>
        <w:t>7,378</w:t>
      </w:r>
      <w:r>
        <w:rPr>
          <w:rFonts w:ascii="Arial" w:hAnsi="Arial" w:cs="Arial" w:eastAsia="Arial" w:hint="default"/>
        </w:rPr>
      </w:r>
    </w:p>
    <w:p>
      <w:pPr>
        <w:pStyle w:val="BodyText"/>
        <w:tabs>
          <w:tab w:pos="5475" w:val="left" w:leader="none"/>
          <w:tab w:pos="5995" w:val="left" w:leader="none"/>
        </w:tabs>
        <w:spacing w:line="244" w:lineRule="auto"/>
        <w:ind w:left="803" w:right="3906"/>
        <w:jc w:val="left"/>
        <w:rPr>
          <w:rFonts w:ascii="Arial" w:hAnsi="Arial" w:cs="Arial" w:eastAsia="Arial" w:hint="default"/>
        </w:rPr>
      </w:pPr>
      <w:r>
        <w:rPr/>
        <w:pict>
          <v:group style="position:absolute;margin-left:255.360001pt;margin-top:17.795927pt;width:104.5pt;height:.1pt;mso-position-horizontal-relative:page;mso-position-vertical-relative:paragraph;z-index:-1001704" coordorigin="5107,356" coordsize="2090,2">
            <v:shape style="position:absolute;left:5107;top:356;width:2090;height:2" coordorigin="5107,356" coordsize="2090,0" path="m5107,356l7196,356e" filled="false" stroked="true" strokeweight=".48001pt" strokecolor="#000000">
              <v:path arrowok="t"/>
            </v:shape>
            <w10:wrap type="none"/>
          </v:group>
        </w:pict>
      </w:r>
      <w:r>
        <w:rPr/>
        <w:t>计入损益的公允价值变动</w:t>
        <w:tab/>
        <w:tab/>
      </w:r>
      <w:r>
        <w:rPr>
          <w:rFonts w:ascii="Arial" w:hAnsi="Arial" w:cs="Arial" w:eastAsia="Arial" w:hint="default"/>
          <w:position w:val="2"/>
        </w:rPr>
        <w:t>- </w:t>
      </w:r>
      <w:r>
        <w:rPr>
          <w:rFonts w:ascii="Arial" w:hAnsi="Arial" w:cs="Arial" w:eastAsia="Arial" w:hint="default"/>
        </w:rPr>
        <w:t>2009</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position w:val="2"/>
        </w:rPr>
        <w:t>7,378</w:t>
      </w:r>
      <w:r>
        <w:rPr>
          <w:rFonts w:ascii="Arial" w:hAnsi="Arial" w:cs="Arial" w:eastAsia="Arial" w:hint="default"/>
        </w:rPr>
      </w:r>
    </w:p>
    <w:p>
      <w:pPr>
        <w:spacing w:line="30" w:lineRule="exact"/>
        <w:ind w:left="4072" w:right="0" w:firstLine="0"/>
        <w:rPr>
          <w:rFonts w:ascii="Arial" w:hAnsi="Arial" w:cs="Arial" w:eastAsia="Arial" w:hint="default"/>
          <w:sz w:val="3"/>
          <w:szCs w:val="3"/>
        </w:rPr>
      </w:pPr>
      <w:r>
        <w:rPr>
          <w:rFonts w:ascii="Arial" w:hAnsi="Arial" w:cs="Arial" w:eastAsia="Arial" w:hint="default"/>
          <w:position w:val="0"/>
          <w:sz w:val="3"/>
          <w:szCs w:val="3"/>
        </w:rPr>
        <w:pict>
          <v:group style="width:106pt;height:1.5pt;mso-position-horizontal-relative:char;mso-position-vertical-relative:line" coordorigin="0,0" coordsize="2120,30">
            <v:group style="position:absolute;left:15;top:15;width:2090;height:2" coordorigin="15,15" coordsize="2090,2">
              <v:shape style="position:absolute;left:15;top:15;width:2090;height:2" coordorigin="15,15" coordsize="2090,0" path="m15,15l2104,15e" filled="false" stroked="true" strokeweight="1.5pt" strokecolor="#000000">
                <v:path arrowok="t"/>
              </v:shape>
            </v:group>
          </v:group>
        </w:pict>
      </w:r>
      <w:r>
        <w:rPr>
          <w:rFonts w:ascii="Arial" w:hAnsi="Arial" w:cs="Arial" w:eastAsia="Arial" w:hint="default"/>
          <w:position w:val="0"/>
          <w:sz w:val="3"/>
          <w:szCs w:val="3"/>
        </w:rPr>
      </w:r>
    </w:p>
    <w:p>
      <w:pPr>
        <w:spacing w:line="240" w:lineRule="auto" w:before="2"/>
        <w:rPr>
          <w:rFonts w:ascii="Arial" w:hAnsi="Arial" w:cs="Arial" w:eastAsia="Arial" w:hint="default"/>
          <w:sz w:val="19"/>
          <w:szCs w:val="19"/>
        </w:rPr>
      </w:pPr>
    </w:p>
    <w:p>
      <w:pPr>
        <w:pStyle w:val="BodyText"/>
        <w:tabs>
          <w:tab w:pos="5475" w:val="left" w:leader="none"/>
        </w:tabs>
        <w:spacing w:line="322" w:lineRule="exact" w:before="32"/>
        <w:ind w:left="804" w:right="221"/>
        <w:jc w:val="left"/>
        <w:rPr>
          <w:rFonts w:ascii="Arial" w:hAnsi="Arial" w:cs="Arial" w:eastAsia="Arial" w:hint="default"/>
        </w:rPr>
      </w:pPr>
      <w:r>
        <w:rPr>
          <w:rFonts w:ascii="Arial" w:hAnsi="Arial" w:cs="Arial" w:eastAsia="Arial" w:hint="default"/>
        </w:rPr>
        <w:t>2010</w:t>
      </w:r>
      <w:r>
        <w:rPr>
          <w:rFonts w:ascii="Arial" w:hAnsi="Arial" w:cs="Arial" w:eastAsia="Arial" w:hint="default"/>
          <w:spacing w:val="-8"/>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1</w:t>
      </w:r>
      <w:r>
        <w:rPr>
          <w:rFonts w:ascii="Arial" w:hAnsi="Arial" w:cs="Arial" w:eastAsia="Arial" w:hint="default"/>
          <w:spacing w:val="-8"/>
        </w:rPr>
        <w:t> </w:t>
      </w:r>
      <w:r>
        <w:rPr/>
        <w:t>日</w:t>
        <w:tab/>
      </w:r>
      <w:r>
        <w:rPr>
          <w:rFonts w:ascii="Arial" w:hAnsi="Arial" w:cs="Arial" w:eastAsia="Arial" w:hint="default"/>
          <w:position w:val="2"/>
        </w:rPr>
        <w:t>7,378</w:t>
      </w:r>
      <w:r>
        <w:rPr>
          <w:rFonts w:ascii="Arial" w:hAnsi="Arial" w:cs="Arial" w:eastAsia="Arial" w:hint="default"/>
        </w:rPr>
      </w:r>
    </w:p>
    <w:p>
      <w:pPr>
        <w:pStyle w:val="BodyText"/>
        <w:tabs>
          <w:tab w:pos="5475" w:val="left" w:leader="none"/>
        </w:tabs>
        <w:spacing w:line="303" w:lineRule="exact"/>
        <w:ind w:left="803" w:right="221"/>
        <w:jc w:val="left"/>
        <w:rPr>
          <w:rFonts w:ascii="Arial" w:hAnsi="Arial" w:cs="Arial" w:eastAsia="Arial" w:hint="default"/>
        </w:rPr>
      </w:pPr>
      <w:r>
        <w:rPr/>
        <w:t>计入损益的公允价值变动</w:t>
        <w:tab/>
      </w:r>
      <w:r>
        <w:rPr>
          <w:rFonts w:ascii="Arial" w:hAnsi="Arial" w:cs="Arial" w:eastAsia="Arial" w:hint="default"/>
          <w:position w:val="2"/>
        </w:rPr>
        <w:t>5,658</w:t>
      </w:r>
      <w:r>
        <w:rPr>
          <w:rFonts w:ascii="Arial" w:hAnsi="Arial" w:cs="Arial" w:eastAsia="Arial" w:hint="default"/>
        </w:rPr>
      </w:r>
    </w:p>
    <w:p>
      <w:pPr>
        <w:pStyle w:val="BodyText"/>
        <w:tabs>
          <w:tab w:pos="5275" w:val="left" w:leader="none"/>
        </w:tabs>
        <w:spacing w:line="313" w:lineRule="exact"/>
        <w:ind w:left="803" w:right="221"/>
        <w:jc w:val="left"/>
        <w:rPr>
          <w:rFonts w:ascii="Arial" w:hAnsi="Arial" w:cs="Arial" w:eastAsia="Arial" w:hint="default"/>
        </w:rPr>
      </w:pPr>
      <w:r>
        <w:rPr/>
        <w:t>行权</w:t>
        <w:tab/>
      </w:r>
      <w:r>
        <w:rPr>
          <w:rFonts w:ascii="Arial" w:hAnsi="Arial" w:cs="Arial" w:eastAsia="Arial" w:hint="default"/>
          <w:position w:val="2"/>
        </w:rPr>
        <w:t>(13,036)</w:t>
      </w:r>
      <w:r>
        <w:rPr>
          <w:rFonts w:ascii="Arial" w:hAnsi="Arial" w:cs="Arial" w:eastAsia="Arial" w:hint="default"/>
        </w:rPr>
      </w:r>
    </w:p>
    <w:p>
      <w:pPr>
        <w:pStyle w:val="BodyText"/>
        <w:tabs>
          <w:tab w:pos="5995" w:val="left" w:leader="none"/>
        </w:tabs>
        <w:spacing w:line="240" w:lineRule="auto" w:before="7"/>
        <w:ind w:left="803" w:right="221"/>
        <w:jc w:val="left"/>
        <w:rPr>
          <w:rFonts w:ascii="Arial" w:hAnsi="Arial" w:cs="Arial" w:eastAsia="Arial" w:hint="default"/>
        </w:rPr>
      </w:pPr>
      <w:r>
        <w:rPr/>
        <w:pict>
          <v:group style="position:absolute;margin-left:255.360001pt;margin-top:2.065935pt;width:104.5pt;height:.1pt;mso-position-horizontal-relative:page;mso-position-vertical-relative:paragraph;z-index:-1001680" coordorigin="5107,41" coordsize="2090,2">
            <v:shape style="position:absolute;left:5107;top:41;width:2090;height:2" coordorigin="5107,41" coordsize="2090,0" path="m5107,41l7196,41e" filled="false" stroked="true" strokeweight=".47998pt" strokecolor="#000000">
              <v:path arrowok="t"/>
            </v:shape>
            <w10:wrap type="none"/>
          </v:group>
        </w:pict>
      </w: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w:t>
        <w:tab/>
      </w:r>
      <w:r>
        <w:rPr>
          <w:rFonts w:ascii="Arial" w:hAnsi="Arial" w:cs="Arial" w:eastAsia="Arial" w:hint="default"/>
          <w:position w:val="2"/>
        </w:rPr>
        <w:t>-</w:t>
      </w:r>
      <w:r>
        <w:rPr>
          <w:rFonts w:ascii="Arial" w:hAnsi="Arial" w:cs="Arial" w:eastAsia="Arial" w:hint="default"/>
        </w:rPr>
      </w:r>
    </w:p>
    <w:p>
      <w:pPr>
        <w:spacing w:line="30" w:lineRule="exact"/>
        <w:ind w:left="4072" w:right="0" w:firstLine="0"/>
        <w:rPr>
          <w:rFonts w:ascii="Arial" w:hAnsi="Arial" w:cs="Arial" w:eastAsia="Arial" w:hint="default"/>
          <w:sz w:val="3"/>
          <w:szCs w:val="3"/>
        </w:rPr>
      </w:pPr>
      <w:r>
        <w:rPr>
          <w:rFonts w:ascii="Arial" w:hAnsi="Arial" w:cs="Arial" w:eastAsia="Arial" w:hint="default"/>
          <w:position w:val="0"/>
          <w:sz w:val="3"/>
          <w:szCs w:val="3"/>
        </w:rPr>
        <w:pict>
          <v:group style="width:106pt;height:1.5pt;mso-position-horizontal-relative:char;mso-position-vertical-relative:line" coordorigin="0,0" coordsize="2120,30">
            <v:group style="position:absolute;left:15;top:15;width:2090;height:2" coordorigin="15,15" coordsize="2090,2">
              <v:shape style="position:absolute;left:15;top:15;width:2090;height:2" coordorigin="15,15" coordsize="2090,0" path="m15,15l2104,15e" filled="false" stroked="true" strokeweight="1.5pt" strokecolor="#000000">
                <v:path arrowok="t"/>
              </v:shape>
            </v:group>
          </v:group>
        </w:pict>
      </w:r>
      <w:r>
        <w:rPr>
          <w:rFonts w:ascii="Arial" w:hAnsi="Arial" w:cs="Arial" w:eastAsia="Arial" w:hint="default"/>
          <w:position w:val="0"/>
          <w:sz w:val="3"/>
          <w:szCs w:val="3"/>
        </w:rPr>
      </w:r>
    </w:p>
    <w:p>
      <w:pPr>
        <w:spacing w:line="240" w:lineRule="auto" w:before="1"/>
        <w:rPr>
          <w:rFonts w:ascii="Arial" w:hAnsi="Arial" w:cs="Arial" w:eastAsia="Arial" w:hint="default"/>
          <w:sz w:val="20"/>
          <w:szCs w:val="20"/>
        </w:rPr>
      </w:pPr>
    </w:p>
    <w:p>
      <w:pPr>
        <w:pStyle w:val="BodyText"/>
        <w:spacing w:line="312" w:lineRule="exact" w:before="56"/>
        <w:ind w:left="804" w:right="221"/>
        <w:jc w:val="left"/>
      </w:pPr>
      <w:r>
        <w:rPr/>
        <w:t>于</w:t>
      </w:r>
      <w:r>
        <w:rPr>
          <w:spacing w:val="-48"/>
        </w:rPr>
        <w:t> </w:t>
      </w:r>
      <w:r>
        <w:rPr>
          <w:rFonts w:ascii="Arial" w:hAnsi="Arial" w:cs="Arial" w:eastAsia="Arial" w:hint="default"/>
        </w:rPr>
        <w:t>2010</w:t>
      </w:r>
      <w:r>
        <w:rPr>
          <w:rFonts w:ascii="Arial" w:hAnsi="Arial" w:cs="Arial" w:eastAsia="Arial" w:hint="default"/>
          <w:spacing w:val="5"/>
        </w:rPr>
        <w:t> </w:t>
      </w:r>
      <w:r>
        <w:rPr/>
        <w:t>年度，新股预约权计入当年损益的利得为约人民币</w:t>
      </w:r>
      <w:r>
        <w:rPr>
          <w:spacing w:val="-48"/>
        </w:rPr>
        <w:t> </w:t>
      </w:r>
      <w:r>
        <w:rPr>
          <w:rFonts w:ascii="Arial" w:hAnsi="Arial" w:cs="Arial" w:eastAsia="Arial" w:hint="default"/>
        </w:rPr>
        <w:t>566</w:t>
      </w:r>
      <w:r>
        <w:rPr>
          <w:rFonts w:ascii="Arial" w:hAnsi="Arial" w:cs="Arial" w:eastAsia="Arial" w:hint="default"/>
          <w:spacing w:val="5"/>
        </w:rPr>
        <w:t> </w:t>
      </w:r>
      <w:r>
        <w:rPr/>
        <w:t>万元</w:t>
      </w:r>
      <w:r>
        <w:rPr>
          <w:rFonts w:ascii="Arial" w:hAnsi="Arial" w:cs="Arial" w:eastAsia="Arial" w:hint="default"/>
        </w:rPr>
        <w:t>(</w:t>
      </w:r>
      <w:r>
        <w:rPr/>
        <w:t>于</w:t>
      </w:r>
      <w:r>
        <w:rPr>
          <w:spacing w:val="-48"/>
        </w:rPr>
        <w:t> </w:t>
      </w:r>
      <w:r>
        <w:rPr>
          <w:rFonts w:ascii="Arial" w:hAnsi="Arial" w:cs="Arial" w:eastAsia="Arial" w:hint="default"/>
        </w:rPr>
        <w:t>2009</w:t>
      </w:r>
      <w:r>
        <w:rPr>
          <w:rFonts w:ascii="Arial" w:hAnsi="Arial" w:cs="Arial" w:eastAsia="Arial" w:hint="default"/>
          <w:spacing w:val="5"/>
        </w:rPr>
        <w:t> </w:t>
      </w:r>
      <w:r>
        <w:rPr/>
        <w:t>年度： 无</w:t>
      </w:r>
      <w:r>
        <w:rPr>
          <w:rFonts w:ascii="Arial" w:hAnsi="Arial" w:cs="Arial" w:eastAsia="Arial" w:hint="default"/>
        </w:rPr>
        <w:t>)</w:t>
      </w:r>
      <w:r>
        <w:rPr/>
        <w:t>。</w:t>
      </w:r>
    </w:p>
    <w:p>
      <w:pPr>
        <w:pStyle w:val="Heading2"/>
        <w:tabs>
          <w:tab w:pos="817" w:val="left" w:leader="none"/>
        </w:tabs>
        <w:spacing w:line="240" w:lineRule="auto" w:before="210"/>
        <w:ind w:left="103" w:right="221"/>
        <w:jc w:val="left"/>
        <w:rPr>
          <w:b w:val="0"/>
          <w:bCs w:val="0"/>
        </w:rPr>
      </w:pPr>
      <w:r>
        <w:rPr>
          <w:w w:val="95"/>
        </w:rPr>
        <w:t>十二</w:t>
        <w:tab/>
      </w:r>
      <w:r>
        <w:rPr/>
        <w:t>以公允价值计量的资产和负债</w:t>
      </w:r>
      <w:r>
        <w:rPr>
          <w:b w:val="0"/>
          <w:bCs w:val="0"/>
        </w:rPr>
      </w:r>
    </w:p>
    <w:p>
      <w:pPr>
        <w:spacing w:line="240" w:lineRule="auto" w:before="12"/>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55" w:footer="947" w:top="2300" w:bottom="1140" w:left="1020" w:right="900"/>
        </w:sectPr>
      </w:pP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25"/>
          <w:szCs w:val="25"/>
        </w:rPr>
      </w:pPr>
    </w:p>
    <w:p>
      <w:pPr>
        <w:pStyle w:val="BodyText"/>
        <w:spacing w:line="240" w:lineRule="auto"/>
        <w:ind w:left="817" w:right="-20"/>
        <w:jc w:val="left"/>
        <w:rPr>
          <w:rFonts w:ascii="Times New Roman" w:hAnsi="Times New Roman" w:cs="Times New Roman" w:eastAsia="Times New Roman" w:hint="default"/>
        </w:rPr>
      </w:pPr>
      <w:r>
        <w:rPr/>
        <w:t>金融资产</w:t>
      </w:r>
      <w:r>
        <w:rPr>
          <w:rFonts w:ascii="Times New Roman" w:hAnsi="Times New Roman" w:cs="Times New Roman" w:eastAsia="Times New Roman" w:hint="default"/>
        </w:rPr>
        <w:t>-</w:t>
      </w:r>
    </w:p>
    <w:p>
      <w:pPr>
        <w:pStyle w:val="BodyText"/>
        <w:spacing w:line="322" w:lineRule="exact" w:before="26"/>
        <w:ind w:left="1178" w:right="-17"/>
        <w:jc w:val="left"/>
      </w:pPr>
      <w:r>
        <w:rPr/>
        <w:br w:type="column"/>
      </w:r>
      <w:r>
        <w:rPr>
          <w:rFonts w:ascii="Arial" w:hAnsi="Arial" w:cs="Arial" w:eastAsia="Arial" w:hint="default"/>
        </w:rPr>
        <w:t>2009</w:t>
      </w:r>
      <w:r>
        <w:rPr>
          <w:rFonts w:ascii="Arial" w:hAnsi="Arial" w:cs="Arial" w:eastAsia="Arial" w:hint="default"/>
          <w:spacing w:val="-11"/>
        </w:rPr>
        <w:t> </w:t>
      </w:r>
      <w:r>
        <w:rPr/>
        <w:t>年</w:t>
      </w:r>
    </w:p>
    <w:p>
      <w:pPr>
        <w:pStyle w:val="BodyText"/>
        <w:spacing w:line="322" w:lineRule="exact"/>
        <w:ind w:left="817" w:right="-17"/>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pStyle w:val="BodyText"/>
        <w:spacing w:line="312" w:lineRule="exact" w:before="56"/>
        <w:ind w:left="197" w:right="-20" w:firstLine="240"/>
        <w:jc w:val="left"/>
      </w:pPr>
      <w:r>
        <w:rPr/>
        <w:br w:type="column"/>
      </w:r>
      <w:r>
        <w:rPr/>
        <w:t>本年度公允 价值变动损益</w:t>
      </w:r>
    </w:p>
    <w:p>
      <w:pPr>
        <w:pStyle w:val="BodyText"/>
        <w:spacing w:line="313" w:lineRule="exact" w:before="26"/>
        <w:ind w:left="310" w:right="-20"/>
        <w:jc w:val="left"/>
      </w:pPr>
      <w:r>
        <w:rPr/>
        <w:br w:type="column"/>
      </w:r>
      <w:r>
        <w:rPr/>
        <w:t>转入长期股权投资</w:t>
      </w:r>
    </w:p>
    <w:p>
      <w:pPr>
        <w:pStyle w:val="BodyText"/>
        <w:spacing w:line="330" w:lineRule="exact"/>
        <w:ind w:left="389" w:right="-19"/>
        <w:jc w:val="left"/>
        <w:rPr>
          <w:rFonts w:ascii="Arial" w:hAnsi="Arial" w:cs="Arial" w:eastAsia="Arial" w:hint="default"/>
        </w:rPr>
      </w:pPr>
      <w:r>
        <w:rPr>
          <w:rFonts w:ascii="Arial" w:hAnsi="Arial" w:cs="Arial" w:eastAsia="Arial" w:hint="default"/>
        </w:rPr>
        <w:t>(</w:t>
      </w:r>
      <w:r>
        <w:rPr/>
        <w:t>新股预约权行权</w:t>
      </w:r>
      <w:r>
        <w:rPr>
          <w:rFonts w:ascii="Arial" w:hAnsi="Arial" w:cs="Arial" w:eastAsia="Arial" w:hint="default"/>
        </w:rPr>
        <w:t>)</w:t>
      </w:r>
    </w:p>
    <w:p>
      <w:pPr>
        <w:pStyle w:val="BodyText"/>
        <w:spacing w:line="322" w:lineRule="exact" w:before="26"/>
        <w:ind w:left="777" w:right="0"/>
        <w:jc w:val="left"/>
      </w:pPr>
      <w:r>
        <w:rPr/>
        <w:br w:type="column"/>
      </w:r>
      <w:r>
        <w:rPr>
          <w:rFonts w:ascii="Arial" w:hAnsi="Arial" w:cs="Arial" w:eastAsia="Arial" w:hint="default"/>
        </w:rPr>
        <w:t>2010</w:t>
      </w:r>
      <w:r>
        <w:rPr>
          <w:rFonts w:ascii="Arial" w:hAnsi="Arial" w:cs="Arial" w:eastAsia="Arial" w:hint="default"/>
          <w:spacing w:val="-11"/>
        </w:rPr>
        <w:t> </w:t>
      </w:r>
      <w:r>
        <w:rPr/>
        <w:t>年</w:t>
      </w:r>
    </w:p>
    <w:p>
      <w:pPr>
        <w:pStyle w:val="BodyText"/>
        <w:spacing w:line="322" w:lineRule="exact"/>
        <w:ind w:left="415" w:right="0"/>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after="0" w:line="322" w:lineRule="exact"/>
        <w:jc w:val="left"/>
        <w:sectPr>
          <w:type w:val="continuous"/>
          <w:pgSz w:w="11910" w:h="16840"/>
          <w:pgMar w:top="920" w:bottom="900" w:left="1020" w:right="900"/>
          <w:cols w:num="5" w:equalWidth="0">
            <w:col w:w="1858" w:space="276"/>
            <w:col w:w="2012" w:space="40"/>
            <w:col w:w="1638" w:space="40"/>
            <w:col w:w="2231" w:space="40"/>
            <w:col w:w="1855"/>
          </w:cols>
        </w:sectPr>
      </w:pPr>
    </w:p>
    <w:p>
      <w:pPr>
        <w:pStyle w:val="BodyText"/>
        <w:tabs>
          <w:tab w:pos="3544" w:val="left" w:leader="none"/>
          <w:tab w:pos="5222" w:val="left" w:leader="none"/>
          <w:tab w:pos="7198" w:val="left" w:leader="none"/>
          <w:tab w:pos="9662" w:val="left" w:leader="none"/>
        </w:tabs>
        <w:spacing w:line="329" w:lineRule="exact"/>
        <w:ind w:left="1177" w:right="0"/>
        <w:jc w:val="left"/>
        <w:rPr>
          <w:rFonts w:ascii="Arial" w:hAnsi="Arial" w:cs="Arial" w:eastAsia="Arial" w:hint="default"/>
        </w:rPr>
      </w:pPr>
      <w:r>
        <w:rPr>
          <w:position w:val="2"/>
        </w:rPr>
        <w:t>新股预约权</w:t>
        <w:tab/>
      </w:r>
      <w:r>
        <w:rPr>
          <w:rFonts w:ascii="Arial" w:hAnsi="Arial" w:cs="Arial" w:eastAsia="Arial" w:hint="default"/>
          <w:spacing w:val="-1"/>
        </w:rPr>
        <w:t>7,378</w:t>
        <w:tab/>
      </w:r>
      <w:r>
        <w:rPr>
          <w:rFonts w:ascii="Arial" w:hAnsi="Arial" w:cs="Arial" w:eastAsia="Arial" w:hint="default"/>
          <w:w w:val="95"/>
        </w:rPr>
        <w:t>5,658</w:t>
        <w:tab/>
        <w:t>(13,036)</w:t>
        <w:tab/>
      </w:r>
      <w:r>
        <w:rPr>
          <w:rFonts w:ascii="Arial" w:hAnsi="Arial" w:cs="Arial" w:eastAsia="Arial" w:hint="default"/>
        </w:rPr>
        <w:t>-</w:t>
      </w:r>
    </w:p>
    <w:p>
      <w:pPr>
        <w:spacing w:line="30" w:lineRule="exact"/>
        <w:ind w:left="2639" w:right="0" w:firstLine="0"/>
        <w:rPr>
          <w:rFonts w:ascii="Arial" w:hAnsi="Arial" w:cs="Arial" w:eastAsia="Arial" w:hint="default"/>
          <w:sz w:val="3"/>
          <w:szCs w:val="3"/>
        </w:rPr>
      </w:pPr>
      <w:r>
        <w:rPr>
          <w:rFonts w:ascii="Arial" w:hAnsi="Arial" w:cs="Arial" w:eastAsia="Arial" w:hint="default"/>
          <w:position w:val="0"/>
          <w:sz w:val="3"/>
          <w:szCs w:val="3"/>
        </w:rPr>
        <w:pict>
          <v:group style="width:361.35pt;height:1.5pt;mso-position-horizontal-relative:char;mso-position-vertical-relative:line" coordorigin="0,0" coordsize="7227,30">
            <v:group style="position:absolute;left:15;top:15;width:1599;height:2" coordorigin="15,15" coordsize="1599,2">
              <v:shape style="position:absolute;left:15;top:15;width:1599;height:2" coordorigin="15,15" coordsize="1599,0" path="m15,15l1613,15e" filled="false" stroked="true" strokeweight="1.5pt" strokecolor="#000000">
                <v:path arrowok="t"/>
              </v:shape>
            </v:group>
            <v:group style="position:absolute;left:1599;top:15;width:1694;height:2" coordorigin="1599,15" coordsize="1694,2">
              <v:shape style="position:absolute;left:1599;top:15;width:1694;height:2" coordorigin="1599,15" coordsize="1694,0" path="m1599,15l3292,15e" filled="false" stroked="true" strokeweight="1.5pt" strokecolor="#000000">
                <v:path arrowok="t"/>
              </v:shape>
            </v:group>
            <v:group style="position:absolute;left:3278;top:15;width:2284;height:2" coordorigin="3278,15" coordsize="2284,2">
              <v:shape style="position:absolute;left:3278;top:15;width:2284;height:2" coordorigin="3278,15" coordsize="2284,0" path="m3278,15l5561,15e" filled="false" stroked="true" strokeweight="1.5pt" strokecolor="#000000">
                <v:path arrowok="t"/>
              </v:shape>
            </v:group>
            <v:group style="position:absolute;left:5547;top:15;width:1665;height:2" coordorigin="5547,15" coordsize="1665,2">
              <v:shape style="position:absolute;left:5547;top:15;width:1665;height:2" coordorigin="5547,15" coordsize="1665,0" path="m5547,15l7211,15e" filled="false" stroked="true" strokeweight="1.5pt" strokecolor="#000000">
                <v:path arrowok="t"/>
              </v:shape>
            </v:group>
          </v:group>
        </w:pict>
      </w:r>
      <w:r>
        <w:rPr>
          <w:rFonts w:ascii="Arial" w:hAnsi="Arial" w:cs="Arial" w:eastAsia="Arial" w:hint="default"/>
          <w:position w:val="0"/>
          <w:sz w:val="3"/>
          <w:szCs w:val="3"/>
        </w:rPr>
      </w:r>
    </w:p>
    <w:p>
      <w:pPr>
        <w:spacing w:after="0" w:line="30" w:lineRule="exact"/>
        <w:rPr>
          <w:rFonts w:ascii="Arial" w:hAnsi="Arial" w:cs="Arial" w:eastAsia="Arial" w:hint="default"/>
          <w:sz w:val="3"/>
          <w:szCs w:val="3"/>
        </w:rPr>
        <w:sectPr>
          <w:type w:val="continuous"/>
          <w:pgSz w:w="11910" w:h="16840"/>
          <w:pgMar w:top="920" w:bottom="900" w:left="1020" w:right="900"/>
        </w:sectPr>
      </w:pPr>
    </w:p>
    <w:p>
      <w:pPr>
        <w:spacing w:line="240" w:lineRule="auto" w:before="4"/>
        <w:rPr>
          <w:rFonts w:ascii="Arial" w:hAnsi="Arial" w:cs="Arial" w:eastAsia="Arial" w:hint="default"/>
          <w:sz w:val="15"/>
          <w:szCs w:val="15"/>
        </w:rPr>
      </w:pPr>
    </w:p>
    <w:tbl>
      <w:tblPr>
        <w:tblW w:w="0" w:type="auto"/>
        <w:jc w:val="left"/>
        <w:tblInd w:w="108" w:type="dxa"/>
        <w:tblLayout w:type="fixed"/>
        <w:tblCellMar>
          <w:top w:w="0" w:type="dxa"/>
          <w:left w:w="0" w:type="dxa"/>
          <w:bottom w:w="0" w:type="dxa"/>
          <w:right w:w="0" w:type="dxa"/>
        </w:tblCellMar>
        <w:tblLook w:val="01E0"/>
      </w:tblPr>
      <w:tblGrid>
        <w:gridCol w:w="627"/>
        <w:gridCol w:w="3101"/>
        <w:gridCol w:w="3159"/>
        <w:gridCol w:w="3229"/>
      </w:tblGrid>
      <w:tr>
        <w:trPr>
          <w:trHeight w:val="1102" w:hRule="exact"/>
        </w:trPr>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p>
            <w:pPr>
              <w:pStyle w:val="TableParagraph"/>
              <w:spacing w:line="240" w:lineRule="auto" w:before="1"/>
              <w:ind w:right="0"/>
              <w:jc w:val="left"/>
              <w:rPr>
                <w:rFonts w:ascii="Arial" w:hAnsi="Arial" w:cs="Arial" w:eastAsia="Arial"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(1)</w:t>
            </w: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1" w:right="0"/>
              <w:jc w:val="left"/>
              <w:rPr>
                <w:rFonts w:ascii="宋体" w:hAnsi="宋体" w:cs="宋体" w:eastAsia="宋体" w:hint="default"/>
                <w:sz w:val="24"/>
                <w:szCs w:val="24"/>
              </w:rPr>
            </w:pPr>
            <w:r>
              <w:rPr>
                <w:rFonts w:ascii="宋体" w:hAnsi="宋体" w:cs="宋体" w:eastAsia="宋体" w:hint="default"/>
                <w:b/>
                <w:bCs/>
                <w:sz w:val="24"/>
                <w:szCs w:val="24"/>
              </w:rPr>
              <w:t>公司财务报表附注</w:t>
            </w:r>
            <w:r>
              <w:rPr>
                <w:rFonts w:ascii="宋体" w:hAnsi="宋体" w:cs="宋体" w:eastAsia="宋体" w:hint="default"/>
                <w:sz w:val="24"/>
                <w:szCs w:val="24"/>
              </w:rPr>
            </w:r>
          </w:p>
          <w:p>
            <w:pPr>
              <w:pStyle w:val="TableParagraph"/>
              <w:spacing w:line="240" w:lineRule="auto" w:before="9"/>
              <w:ind w:right="0"/>
              <w:jc w:val="left"/>
              <w:rPr>
                <w:rFonts w:ascii="Arial" w:hAnsi="Arial" w:cs="Arial" w:eastAsia="Arial" w:hint="default"/>
                <w:sz w:val="23"/>
                <w:szCs w:val="23"/>
              </w:rPr>
            </w:pPr>
          </w:p>
          <w:p>
            <w:pPr>
              <w:pStyle w:val="TableParagraph"/>
              <w:spacing w:line="240" w:lineRule="auto"/>
              <w:ind w:left="111" w:right="0"/>
              <w:jc w:val="left"/>
              <w:rPr>
                <w:rFonts w:ascii="宋体" w:hAnsi="宋体" w:cs="宋体" w:eastAsia="宋体" w:hint="default"/>
                <w:sz w:val="24"/>
                <w:szCs w:val="24"/>
              </w:rPr>
            </w:pPr>
            <w:r>
              <w:rPr>
                <w:rFonts w:ascii="宋体" w:hAnsi="宋体" w:cs="宋体" w:eastAsia="宋体" w:hint="default"/>
                <w:b/>
                <w:bCs/>
                <w:sz w:val="24"/>
                <w:szCs w:val="24"/>
              </w:rPr>
              <w:t>应收账款</w:t>
            </w:r>
            <w:r>
              <w:rPr>
                <w:rFonts w:ascii="宋体" w:hAnsi="宋体" w:cs="宋体" w:eastAsia="宋体" w:hint="default"/>
                <w:sz w:val="24"/>
                <w:szCs w:val="24"/>
              </w:rPr>
            </w:r>
          </w:p>
        </w:tc>
        <w:tc>
          <w:tcPr>
            <w:tcW w:w="6388" w:type="dxa"/>
            <w:gridSpan w:val="2"/>
            <w:tcBorders>
              <w:top w:val="nil" w:sz="6" w:space="0" w:color="auto"/>
              <w:left w:val="nil" w:sz="6" w:space="0" w:color="auto"/>
              <w:bottom w:val="nil" w:sz="6" w:space="0" w:color="auto"/>
              <w:right w:val="nil" w:sz="6" w:space="0" w:color="auto"/>
            </w:tcBorders>
          </w:tcPr>
          <w:p>
            <w:pPr/>
          </w:p>
        </w:tc>
      </w:tr>
      <w:tr>
        <w:trPr>
          <w:trHeight w:val="594" w:hRule="exact"/>
        </w:trPr>
        <w:tc>
          <w:tcPr>
            <w:tcW w:w="627" w:type="dxa"/>
            <w:tcBorders>
              <w:top w:val="nil" w:sz="6" w:space="0" w:color="auto"/>
              <w:left w:val="nil" w:sz="6" w:space="0" w:color="auto"/>
              <w:bottom w:val="nil" w:sz="6" w:space="0" w:color="auto"/>
              <w:right w:val="nil" w:sz="6" w:space="0" w:color="auto"/>
            </w:tcBorders>
          </w:tcPr>
          <w:p>
            <w:pPr/>
          </w:p>
        </w:tc>
        <w:tc>
          <w:tcPr>
            <w:tcW w:w="3101" w:type="dxa"/>
            <w:tcBorders>
              <w:top w:val="nil" w:sz="6" w:space="0" w:color="auto"/>
              <w:left w:val="nil" w:sz="6" w:space="0" w:color="auto"/>
              <w:bottom w:val="nil" w:sz="6" w:space="0" w:color="auto"/>
              <w:right w:val="nil" w:sz="6" w:space="0" w:color="auto"/>
            </w:tcBorders>
          </w:tcPr>
          <w:p>
            <w:pPr/>
          </w:p>
        </w:tc>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31"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05" w:right="0"/>
              <w:jc w:val="lef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9" w:hRule="exact"/>
        </w:trPr>
        <w:tc>
          <w:tcPr>
            <w:tcW w:w="627" w:type="dxa"/>
            <w:tcBorders>
              <w:top w:val="nil" w:sz="6" w:space="0" w:color="auto"/>
              <w:left w:val="nil" w:sz="6" w:space="0" w:color="auto"/>
              <w:bottom w:val="nil" w:sz="6" w:space="0" w:color="auto"/>
              <w:right w:val="nil" w:sz="6" w:space="0" w:color="auto"/>
            </w:tcBorders>
          </w:tcPr>
          <w:p>
            <w:pP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9"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310" w:right="0"/>
              <w:jc w:val="left"/>
              <w:rPr>
                <w:rFonts w:ascii="Arial" w:hAnsi="Arial" w:cs="Arial" w:eastAsia="Arial" w:hint="default"/>
                <w:sz w:val="24"/>
                <w:szCs w:val="24"/>
              </w:rPr>
            </w:pPr>
            <w:r>
              <w:rPr>
                <w:rFonts w:ascii="Arial"/>
                <w:sz w:val="24"/>
              </w:rPr>
              <w:t>2,583,983</w:t>
            </w:r>
          </w:p>
        </w:tc>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986" w:right="0"/>
              <w:jc w:val="left"/>
              <w:rPr>
                <w:rFonts w:ascii="Arial" w:hAnsi="Arial" w:cs="Arial" w:eastAsia="Arial" w:hint="default"/>
                <w:sz w:val="24"/>
                <w:szCs w:val="24"/>
              </w:rPr>
            </w:pPr>
            <w:r>
              <w:rPr>
                <w:rFonts w:ascii="Arial"/>
                <w:sz w:val="24"/>
              </w:rPr>
              <w:t>1,433,644</w:t>
            </w:r>
          </w:p>
        </w:tc>
      </w:tr>
      <w:tr>
        <w:trPr>
          <w:trHeight w:val="314" w:hRule="exact"/>
        </w:trPr>
        <w:tc>
          <w:tcPr>
            <w:tcW w:w="627" w:type="dxa"/>
            <w:tcBorders>
              <w:top w:val="nil" w:sz="6" w:space="0" w:color="auto"/>
              <w:left w:val="nil" w:sz="6" w:space="0" w:color="auto"/>
              <w:bottom w:val="nil" w:sz="6" w:space="0" w:color="auto"/>
              <w:right w:val="nil" w:sz="6" w:space="0" w:color="auto"/>
            </w:tcBorders>
          </w:tcPr>
          <w:p>
            <w:pPr/>
          </w:p>
        </w:tc>
        <w:tc>
          <w:tcPr>
            <w:tcW w:w="3101" w:type="dxa"/>
            <w:tcBorders>
              <w:top w:val="nil" w:sz="6" w:space="0" w:color="auto"/>
              <w:left w:val="nil" w:sz="6" w:space="0" w:color="auto"/>
              <w:bottom w:val="nil" w:sz="6" w:space="0" w:color="auto"/>
              <w:right w:val="nil" w:sz="6" w:space="0" w:color="auto"/>
            </w:tcBorders>
          </w:tcPr>
          <w:p>
            <w:pPr>
              <w:pStyle w:val="TableParagraph"/>
              <w:spacing w:line="261" w:lineRule="exact"/>
              <w:ind w:left="119"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3159" w:type="dxa"/>
            <w:tcBorders>
              <w:top w:val="nil" w:sz="6" w:space="0" w:color="auto"/>
              <w:left w:val="nil" w:sz="6" w:space="0" w:color="auto"/>
              <w:bottom w:val="nil" w:sz="6" w:space="0" w:color="auto"/>
              <w:right w:val="nil" w:sz="6" w:space="0" w:color="auto"/>
            </w:tcBorders>
          </w:tcPr>
          <w:p>
            <w:pPr>
              <w:pStyle w:val="TableParagraph"/>
              <w:tabs>
                <w:tab w:pos="1698" w:val="left" w:leader="none"/>
              </w:tabs>
              <w:spacing w:line="240" w:lineRule="auto" w:before="20"/>
              <w:ind w:left="109"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(5,096)</w:t>
            </w:r>
            <w:r>
              <w:rPr>
                <w:rFonts w:ascii="Arial"/>
                <w:sz w:val="24"/>
              </w:rPr>
            </w:r>
          </w:p>
        </w:tc>
        <w:tc>
          <w:tcPr>
            <w:tcW w:w="3229" w:type="dxa"/>
            <w:tcBorders>
              <w:top w:val="nil" w:sz="6" w:space="0" w:color="auto"/>
              <w:left w:val="nil" w:sz="6" w:space="0" w:color="auto"/>
              <w:bottom w:val="nil" w:sz="6" w:space="0" w:color="auto"/>
              <w:right w:val="nil" w:sz="6" w:space="0" w:color="auto"/>
            </w:tcBorders>
          </w:tcPr>
          <w:p>
            <w:pPr>
              <w:pStyle w:val="TableParagraph"/>
              <w:tabs>
                <w:tab w:pos="2374" w:val="left" w:leader="none"/>
              </w:tabs>
              <w:spacing w:line="240" w:lineRule="auto" w:before="20"/>
              <w:ind w:left="639"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(2,991)</w:t>
            </w:r>
            <w:r>
              <w:rPr>
                <w:rFonts w:ascii="Arial"/>
                <w:sz w:val="24"/>
              </w:rPr>
            </w:r>
          </w:p>
        </w:tc>
      </w:tr>
      <w:tr>
        <w:trPr>
          <w:trHeight w:val="434" w:hRule="exact"/>
        </w:trPr>
        <w:tc>
          <w:tcPr>
            <w:tcW w:w="627" w:type="dxa"/>
            <w:tcBorders>
              <w:top w:val="nil" w:sz="6" w:space="0" w:color="auto"/>
              <w:left w:val="nil" w:sz="6" w:space="0" w:color="auto"/>
              <w:bottom w:val="nil" w:sz="6" w:space="0" w:color="auto"/>
              <w:right w:val="nil" w:sz="6" w:space="0" w:color="auto"/>
            </w:tcBorders>
          </w:tcPr>
          <w:p>
            <w:pPr/>
          </w:p>
        </w:tc>
        <w:tc>
          <w:tcPr>
            <w:tcW w:w="3101" w:type="dxa"/>
            <w:tcBorders>
              <w:top w:val="nil" w:sz="6" w:space="0" w:color="auto"/>
              <w:left w:val="nil" w:sz="6" w:space="0" w:color="auto"/>
              <w:bottom w:val="nil" w:sz="6" w:space="0" w:color="auto"/>
              <w:right w:val="nil" w:sz="6" w:space="0" w:color="auto"/>
            </w:tcBorders>
          </w:tcPr>
          <w:p>
            <w:pPr/>
          </w:p>
        </w:tc>
        <w:tc>
          <w:tcPr>
            <w:tcW w:w="3159" w:type="dxa"/>
            <w:tcBorders>
              <w:top w:val="nil" w:sz="6" w:space="0" w:color="auto"/>
              <w:left w:val="nil" w:sz="6" w:space="0" w:color="auto"/>
              <w:bottom w:val="nil" w:sz="6" w:space="0" w:color="auto"/>
              <w:right w:val="nil" w:sz="6" w:space="0" w:color="auto"/>
            </w:tcBorders>
          </w:tcPr>
          <w:p>
            <w:pPr>
              <w:pStyle w:val="TableParagraph"/>
              <w:tabs>
                <w:tab w:pos="1310" w:val="left" w:leader="none"/>
                <w:tab w:pos="2519" w:val="left" w:leader="none"/>
              </w:tabs>
              <w:spacing w:line="268" w:lineRule="exact"/>
              <w:ind w:left="109"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2,578,887</w:t>
              <w:tab/>
            </w:r>
            <w:r>
              <w:rPr>
                <w:rFonts w:ascii="Arial"/>
                <w:sz w:val="24"/>
              </w:rPr>
            </w:r>
          </w:p>
        </w:tc>
        <w:tc>
          <w:tcPr>
            <w:tcW w:w="3229" w:type="dxa"/>
            <w:tcBorders>
              <w:top w:val="nil" w:sz="6" w:space="0" w:color="auto"/>
              <w:left w:val="nil" w:sz="6" w:space="0" w:color="auto"/>
              <w:bottom w:val="nil" w:sz="6" w:space="0" w:color="auto"/>
              <w:right w:val="nil" w:sz="6" w:space="0" w:color="auto"/>
            </w:tcBorders>
          </w:tcPr>
          <w:p>
            <w:pPr>
              <w:pStyle w:val="TableParagraph"/>
              <w:tabs>
                <w:tab w:pos="1987" w:val="left" w:leader="none"/>
                <w:tab w:pos="3194" w:val="left" w:leader="none"/>
              </w:tabs>
              <w:spacing w:line="268" w:lineRule="exact"/>
              <w:ind w:left="639"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1,430,653</w:t>
              <w:tab/>
            </w:r>
            <w:r>
              <w:rPr>
                <w:rFonts w:ascii="Arial"/>
                <w:sz w:val="24"/>
              </w:rPr>
            </w:r>
          </w:p>
        </w:tc>
      </w:tr>
      <w:tr>
        <w:trPr>
          <w:trHeight w:val="592" w:hRule="exact"/>
        </w:trPr>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Arial" w:hAnsi="Arial" w:cs="Arial" w:eastAsia="Arial" w:hint="default"/>
                <w:sz w:val="24"/>
                <w:szCs w:val="24"/>
              </w:rPr>
            </w:pPr>
            <w:r>
              <w:rPr>
                <w:rFonts w:ascii="Arial"/>
                <w:sz w:val="24"/>
              </w:rPr>
              <w:t>(a)</w:t>
            </w: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9" w:right="0"/>
              <w:jc w:val="left"/>
              <w:rPr>
                <w:rFonts w:ascii="宋体" w:hAnsi="宋体" w:cs="宋体" w:eastAsia="宋体" w:hint="default"/>
                <w:sz w:val="24"/>
                <w:szCs w:val="24"/>
              </w:rPr>
            </w:pPr>
            <w:r>
              <w:rPr>
                <w:rFonts w:ascii="宋体" w:hAnsi="宋体" w:cs="宋体" w:eastAsia="宋体" w:hint="default"/>
                <w:sz w:val="24"/>
                <w:szCs w:val="24"/>
              </w:rPr>
              <w:t>应收账款账龄分析如下：</w:t>
            </w:r>
          </w:p>
        </w:tc>
        <w:tc>
          <w:tcPr>
            <w:tcW w:w="3159" w:type="dxa"/>
            <w:tcBorders>
              <w:top w:val="nil" w:sz="6" w:space="0" w:color="auto"/>
              <w:left w:val="nil" w:sz="6" w:space="0" w:color="auto"/>
              <w:bottom w:val="nil" w:sz="6" w:space="0" w:color="auto"/>
              <w:right w:val="nil" w:sz="6" w:space="0" w:color="auto"/>
            </w:tcBorders>
          </w:tcPr>
          <w:p>
            <w:pPr/>
          </w:p>
        </w:tc>
        <w:tc>
          <w:tcPr>
            <w:tcW w:w="3229" w:type="dxa"/>
            <w:tcBorders>
              <w:top w:val="nil" w:sz="6" w:space="0" w:color="auto"/>
              <w:left w:val="nil" w:sz="6" w:space="0" w:color="auto"/>
              <w:bottom w:val="nil" w:sz="6" w:space="0" w:color="auto"/>
              <w:right w:val="nil" w:sz="6" w:space="0" w:color="auto"/>
            </w:tcBorders>
          </w:tcPr>
          <w:p>
            <w:pPr/>
          </w:p>
        </w:tc>
      </w:tr>
      <w:tr>
        <w:trPr>
          <w:trHeight w:val="594" w:hRule="exact"/>
        </w:trPr>
        <w:tc>
          <w:tcPr>
            <w:tcW w:w="627" w:type="dxa"/>
            <w:tcBorders>
              <w:top w:val="nil" w:sz="6" w:space="0" w:color="auto"/>
              <w:left w:val="nil" w:sz="6" w:space="0" w:color="auto"/>
              <w:bottom w:val="nil" w:sz="6" w:space="0" w:color="auto"/>
              <w:right w:val="nil" w:sz="6" w:space="0" w:color="auto"/>
            </w:tcBorders>
          </w:tcPr>
          <w:p>
            <w:pPr/>
          </w:p>
        </w:tc>
        <w:tc>
          <w:tcPr>
            <w:tcW w:w="3101" w:type="dxa"/>
            <w:tcBorders>
              <w:top w:val="nil" w:sz="6" w:space="0" w:color="auto"/>
              <w:left w:val="nil" w:sz="6" w:space="0" w:color="auto"/>
              <w:bottom w:val="nil" w:sz="6" w:space="0" w:color="auto"/>
              <w:right w:val="nil" w:sz="6" w:space="0" w:color="auto"/>
            </w:tcBorders>
          </w:tcPr>
          <w:p>
            <w:pPr/>
          </w:p>
        </w:tc>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31"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05" w:right="0"/>
              <w:jc w:val="lef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9" w:hRule="exact"/>
        </w:trPr>
        <w:tc>
          <w:tcPr>
            <w:tcW w:w="627" w:type="dxa"/>
            <w:tcBorders>
              <w:top w:val="nil" w:sz="6" w:space="0" w:color="auto"/>
              <w:left w:val="nil" w:sz="6" w:space="0" w:color="auto"/>
              <w:bottom w:val="nil" w:sz="6" w:space="0" w:color="auto"/>
              <w:right w:val="nil" w:sz="6" w:space="0" w:color="auto"/>
            </w:tcBorders>
          </w:tcPr>
          <w:p>
            <w:pP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9"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310" w:right="0"/>
              <w:jc w:val="left"/>
              <w:rPr>
                <w:rFonts w:ascii="Arial" w:hAnsi="Arial" w:cs="Arial" w:eastAsia="Arial" w:hint="default"/>
                <w:sz w:val="24"/>
                <w:szCs w:val="24"/>
              </w:rPr>
            </w:pPr>
            <w:r>
              <w:rPr>
                <w:rFonts w:ascii="Arial"/>
                <w:sz w:val="24"/>
              </w:rPr>
              <w:t>2,581,261</w:t>
            </w:r>
          </w:p>
        </w:tc>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972" w:right="0"/>
              <w:jc w:val="left"/>
              <w:rPr>
                <w:rFonts w:ascii="Arial" w:hAnsi="Arial" w:cs="Arial" w:eastAsia="Arial" w:hint="default"/>
                <w:sz w:val="24"/>
                <w:szCs w:val="24"/>
              </w:rPr>
            </w:pPr>
            <w:r>
              <w:rPr>
                <w:rFonts w:ascii="Arial"/>
                <w:sz w:val="24"/>
              </w:rPr>
              <w:t>1,424,467</w:t>
            </w:r>
          </w:p>
        </w:tc>
      </w:tr>
      <w:tr>
        <w:trPr>
          <w:trHeight w:val="312" w:hRule="exact"/>
        </w:trPr>
        <w:tc>
          <w:tcPr>
            <w:tcW w:w="627" w:type="dxa"/>
            <w:tcBorders>
              <w:top w:val="nil" w:sz="6" w:space="0" w:color="auto"/>
              <w:left w:val="nil" w:sz="6" w:space="0" w:color="auto"/>
              <w:bottom w:val="nil" w:sz="6" w:space="0" w:color="auto"/>
              <w:right w:val="nil" w:sz="6" w:space="0" w:color="auto"/>
            </w:tcBorders>
          </w:tcPr>
          <w:p>
            <w:pPr/>
          </w:p>
        </w:tc>
        <w:tc>
          <w:tcPr>
            <w:tcW w:w="3101" w:type="dxa"/>
            <w:tcBorders>
              <w:top w:val="nil" w:sz="6" w:space="0" w:color="auto"/>
              <w:left w:val="nil" w:sz="6" w:space="0" w:color="auto"/>
              <w:bottom w:val="nil" w:sz="6" w:space="0" w:color="auto"/>
              <w:right w:val="nil" w:sz="6" w:space="0" w:color="auto"/>
            </w:tcBorders>
          </w:tcPr>
          <w:p>
            <w:pPr>
              <w:pStyle w:val="TableParagraph"/>
              <w:spacing w:line="261" w:lineRule="exact"/>
              <w:ind w:left="119"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979" w:right="0"/>
              <w:jc w:val="left"/>
              <w:rPr>
                <w:rFonts w:ascii="Arial" w:hAnsi="Arial" w:cs="Arial" w:eastAsia="Arial" w:hint="default"/>
                <w:sz w:val="24"/>
                <w:szCs w:val="24"/>
              </w:rPr>
            </w:pPr>
            <w:r>
              <w:rPr>
                <w:rFonts w:ascii="Arial"/>
                <w:sz w:val="24"/>
              </w:rPr>
              <w:t>676</w:t>
            </w:r>
          </w:p>
        </w:tc>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86"/>
              <w:jc w:val="right"/>
              <w:rPr>
                <w:rFonts w:ascii="Arial" w:hAnsi="Arial" w:cs="Arial" w:eastAsia="Arial" w:hint="default"/>
                <w:sz w:val="24"/>
                <w:szCs w:val="24"/>
              </w:rPr>
            </w:pPr>
            <w:r>
              <w:rPr>
                <w:rFonts w:ascii="Arial"/>
                <w:spacing w:val="-1"/>
                <w:w w:val="95"/>
                <w:sz w:val="24"/>
              </w:rPr>
              <w:t>1,480</w:t>
            </w:r>
            <w:r>
              <w:rPr>
                <w:rFonts w:ascii="Arial"/>
                <w:sz w:val="24"/>
              </w:rPr>
            </w:r>
          </w:p>
        </w:tc>
      </w:tr>
      <w:tr>
        <w:trPr>
          <w:trHeight w:val="312" w:hRule="exact"/>
        </w:trPr>
        <w:tc>
          <w:tcPr>
            <w:tcW w:w="627" w:type="dxa"/>
            <w:tcBorders>
              <w:top w:val="nil" w:sz="6" w:space="0" w:color="auto"/>
              <w:left w:val="nil" w:sz="6" w:space="0" w:color="auto"/>
              <w:bottom w:val="nil" w:sz="6" w:space="0" w:color="auto"/>
              <w:right w:val="nil" w:sz="6" w:space="0" w:color="auto"/>
            </w:tcBorders>
          </w:tcPr>
          <w:p>
            <w:pPr/>
          </w:p>
        </w:tc>
        <w:tc>
          <w:tcPr>
            <w:tcW w:w="3101" w:type="dxa"/>
            <w:tcBorders>
              <w:top w:val="nil" w:sz="6" w:space="0" w:color="auto"/>
              <w:left w:val="nil" w:sz="6" w:space="0" w:color="auto"/>
              <w:bottom w:val="nil" w:sz="6" w:space="0" w:color="auto"/>
              <w:right w:val="nil" w:sz="6" w:space="0" w:color="auto"/>
            </w:tcBorders>
          </w:tcPr>
          <w:p>
            <w:pPr>
              <w:pStyle w:val="TableParagraph"/>
              <w:spacing w:line="261" w:lineRule="exact"/>
              <w:ind w:left="119"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78" w:right="0"/>
              <w:jc w:val="left"/>
              <w:rPr>
                <w:rFonts w:ascii="Arial" w:hAnsi="Arial" w:cs="Arial" w:eastAsia="Arial" w:hint="default"/>
                <w:sz w:val="24"/>
                <w:szCs w:val="24"/>
              </w:rPr>
            </w:pPr>
            <w:r>
              <w:rPr>
                <w:rFonts w:ascii="Arial"/>
                <w:sz w:val="24"/>
              </w:rPr>
              <w:t>1,350</w:t>
            </w:r>
          </w:p>
        </w:tc>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86"/>
              <w:jc w:val="right"/>
              <w:rPr>
                <w:rFonts w:ascii="Arial" w:hAnsi="Arial" w:cs="Arial" w:eastAsia="Arial" w:hint="default"/>
                <w:sz w:val="24"/>
                <w:szCs w:val="24"/>
              </w:rPr>
            </w:pPr>
            <w:r>
              <w:rPr>
                <w:rFonts w:ascii="Arial"/>
                <w:spacing w:val="-1"/>
                <w:w w:val="95"/>
                <w:sz w:val="24"/>
              </w:rPr>
              <w:t>6,530</w:t>
            </w:r>
            <w:r>
              <w:rPr>
                <w:rFonts w:ascii="Arial"/>
                <w:sz w:val="24"/>
              </w:rPr>
            </w:r>
          </w:p>
        </w:tc>
      </w:tr>
      <w:tr>
        <w:trPr>
          <w:trHeight w:val="312" w:hRule="exact"/>
        </w:trPr>
        <w:tc>
          <w:tcPr>
            <w:tcW w:w="627" w:type="dxa"/>
            <w:tcBorders>
              <w:top w:val="nil" w:sz="6" w:space="0" w:color="auto"/>
              <w:left w:val="nil" w:sz="6" w:space="0" w:color="auto"/>
              <w:bottom w:val="nil" w:sz="6" w:space="0" w:color="auto"/>
              <w:right w:val="nil" w:sz="6" w:space="0" w:color="auto"/>
            </w:tcBorders>
          </w:tcPr>
          <w:p>
            <w:pPr/>
          </w:p>
        </w:tc>
        <w:tc>
          <w:tcPr>
            <w:tcW w:w="3101" w:type="dxa"/>
            <w:tcBorders>
              <w:top w:val="nil" w:sz="6" w:space="0" w:color="auto"/>
              <w:left w:val="nil" w:sz="6" w:space="0" w:color="auto"/>
              <w:bottom w:val="nil" w:sz="6" w:space="0" w:color="auto"/>
              <w:right w:val="nil" w:sz="6" w:space="0" w:color="auto"/>
            </w:tcBorders>
          </w:tcPr>
          <w:p>
            <w:pPr>
              <w:pStyle w:val="TableParagraph"/>
              <w:spacing w:line="261" w:lineRule="exact"/>
              <w:ind w:left="119"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979" w:right="0"/>
              <w:jc w:val="left"/>
              <w:rPr>
                <w:rFonts w:ascii="Arial" w:hAnsi="Arial" w:cs="Arial" w:eastAsia="Arial" w:hint="default"/>
                <w:sz w:val="24"/>
                <w:szCs w:val="24"/>
              </w:rPr>
            </w:pPr>
            <w:r>
              <w:rPr>
                <w:rFonts w:ascii="Arial"/>
                <w:sz w:val="24"/>
              </w:rPr>
              <w:t>159</w:t>
            </w:r>
          </w:p>
        </w:tc>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86"/>
              <w:jc w:val="right"/>
              <w:rPr>
                <w:rFonts w:ascii="Arial" w:hAnsi="Arial" w:cs="Arial" w:eastAsia="Arial" w:hint="default"/>
                <w:sz w:val="24"/>
                <w:szCs w:val="24"/>
              </w:rPr>
            </w:pPr>
            <w:r>
              <w:rPr>
                <w:rFonts w:ascii="Arial"/>
                <w:spacing w:val="-1"/>
                <w:w w:val="95"/>
                <w:sz w:val="24"/>
              </w:rPr>
              <w:t>1,167</w:t>
            </w:r>
            <w:r>
              <w:rPr>
                <w:rFonts w:ascii="Arial"/>
                <w:sz w:val="24"/>
              </w:rPr>
            </w:r>
          </w:p>
        </w:tc>
      </w:tr>
      <w:tr>
        <w:trPr>
          <w:trHeight w:val="626" w:hRule="exact"/>
        </w:trPr>
        <w:tc>
          <w:tcPr>
            <w:tcW w:w="627" w:type="dxa"/>
            <w:tcBorders>
              <w:top w:val="nil" w:sz="6" w:space="0" w:color="auto"/>
              <w:left w:val="nil" w:sz="6" w:space="0" w:color="auto"/>
              <w:bottom w:val="nil" w:sz="6" w:space="0" w:color="auto"/>
              <w:right w:val="nil" w:sz="6" w:space="0" w:color="auto"/>
            </w:tcBorders>
          </w:tcPr>
          <w:p>
            <w:pPr/>
          </w:p>
        </w:tc>
        <w:tc>
          <w:tcPr>
            <w:tcW w:w="3101" w:type="dxa"/>
            <w:tcBorders>
              <w:top w:val="nil" w:sz="6" w:space="0" w:color="auto"/>
              <w:left w:val="nil" w:sz="6" w:space="0" w:color="auto"/>
              <w:bottom w:val="nil" w:sz="6" w:space="0" w:color="auto"/>
              <w:right w:val="nil" w:sz="6" w:space="0" w:color="auto"/>
            </w:tcBorders>
          </w:tcPr>
          <w:p>
            <w:pPr>
              <w:pStyle w:val="TableParagraph"/>
              <w:spacing w:line="260" w:lineRule="exact"/>
              <w:ind w:left="119" w:right="0"/>
              <w:jc w:val="left"/>
              <w:rPr>
                <w:rFonts w:ascii="宋体" w:hAnsi="宋体" w:cs="宋体" w:eastAsia="宋体" w:hint="default"/>
                <w:sz w:val="24"/>
                <w:szCs w:val="24"/>
              </w:rPr>
            </w:pPr>
            <w:r>
              <w:rPr>
                <w:rFonts w:ascii="宋体" w:hAnsi="宋体" w:cs="宋体" w:eastAsia="宋体" w:hint="default"/>
                <w:sz w:val="24"/>
                <w:szCs w:val="24"/>
              </w:rPr>
              <w:t>四到五年</w:t>
            </w:r>
          </w:p>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979" w:right="0"/>
              <w:jc w:val="left"/>
              <w:rPr>
                <w:rFonts w:ascii="Arial" w:hAnsi="Arial" w:cs="Arial" w:eastAsia="Arial" w:hint="default"/>
                <w:sz w:val="24"/>
                <w:szCs w:val="24"/>
              </w:rPr>
            </w:pPr>
            <w:r>
              <w:rPr>
                <w:rFonts w:ascii="Arial"/>
                <w:sz w:val="24"/>
              </w:rPr>
              <w:t>537</w:t>
            </w:r>
          </w:p>
          <w:p>
            <w:pPr>
              <w:pStyle w:val="TableParagraph"/>
              <w:tabs>
                <w:tab w:pos="2298" w:val="left" w:leader="none"/>
                <w:tab w:pos="2519" w:val="left" w:leader="none"/>
              </w:tabs>
              <w:spacing w:line="240" w:lineRule="auto" w:before="36"/>
              <w:ind w:left="13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87"/>
              <w:jc w:val="right"/>
              <w:rPr>
                <w:rFonts w:ascii="Arial" w:hAnsi="Arial" w:cs="Arial" w:eastAsia="Arial" w:hint="default"/>
                <w:sz w:val="24"/>
                <w:szCs w:val="24"/>
              </w:rPr>
            </w:pPr>
            <w:r>
              <w:rPr>
                <w:rFonts w:ascii="Arial"/>
                <w:w w:val="99"/>
                <w:sz w:val="24"/>
              </w:rPr>
              <w:t>-</w:t>
            </w:r>
            <w:r>
              <w:rPr>
                <w:rFonts w:ascii="Arial"/>
                <w:sz w:val="24"/>
              </w:rPr>
            </w:r>
          </w:p>
          <w:p>
            <w:pPr>
              <w:pStyle w:val="TableParagraph"/>
              <w:tabs>
                <w:tab w:pos="2960" w:val="left" w:leader="none"/>
                <w:tab w:pos="3194" w:val="left" w:leader="none"/>
              </w:tabs>
              <w:spacing w:line="240" w:lineRule="auto" w:before="36"/>
              <w:ind w:left="639"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434" w:hRule="exact"/>
        </w:trPr>
        <w:tc>
          <w:tcPr>
            <w:tcW w:w="627" w:type="dxa"/>
            <w:tcBorders>
              <w:top w:val="nil" w:sz="6" w:space="0" w:color="auto"/>
              <w:left w:val="nil" w:sz="6" w:space="0" w:color="auto"/>
              <w:bottom w:val="nil" w:sz="6" w:space="0" w:color="auto"/>
              <w:right w:val="nil" w:sz="6" w:space="0" w:color="auto"/>
            </w:tcBorders>
          </w:tcPr>
          <w:p>
            <w:pPr/>
          </w:p>
        </w:tc>
        <w:tc>
          <w:tcPr>
            <w:tcW w:w="3101" w:type="dxa"/>
            <w:tcBorders>
              <w:top w:val="nil" w:sz="6" w:space="0" w:color="auto"/>
              <w:left w:val="nil" w:sz="6" w:space="0" w:color="auto"/>
              <w:bottom w:val="nil" w:sz="6" w:space="0" w:color="auto"/>
              <w:right w:val="nil" w:sz="6" w:space="0" w:color="auto"/>
            </w:tcBorders>
          </w:tcPr>
          <w:p>
            <w:pPr/>
          </w:p>
        </w:tc>
        <w:tc>
          <w:tcPr>
            <w:tcW w:w="3159" w:type="dxa"/>
            <w:tcBorders>
              <w:top w:val="nil" w:sz="6" w:space="0" w:color="auto"/>
              <w:left w:val="nil" w:sz="6" w:space="0" w:color="auto"/>
              <w:bottom w:val="nil" w:sz="6" w:space="0" w:color="auto"/>
              <w:right w:val="nil" w:sz="6" w:space="0" w:color="auto"/>
            </w:tcBorders>
          </w:tcPr>
          <w:p>
            <w:pPr>
              <w:pStyle w:val="TableParagraph"/>
              <w:tabs>
                <w:tab w:pos="1310" w:val="left" w:leader="none"/>
                <w:tab w:pos="2519" w:val="left" w:leader="none"/>
              </w:tabs>
              <w:spacing w:line="268" w:lineRule="exact"/>
              <w:ind w:left="13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2,583,983</w:t>
              <w:tab/>
            </w:r>
            <w:r>
              <w:rPr>
                <w:rFonts w:ascii="Arial"/>
                <w:sz w:val="24"/>
              </w:rPr>
            </w:r>
          </w:p>
        </w:tc>
        <w:tc>
          <w:tcPr>
            <w:tcW w:w="3229" w:type="dxa"/>
            <w:tcBorders>
              <w:top w:val="nil" w:sz="6" w:space="0" w:color="auto"/>
              <w:left w:val="nil" w:sz="6" w:space="0" w:color="auto"/>
              <w:bottom w:val="nil" w:sz="6" w:space="0" w:color="auto"/>
              <w:right w:val="nil" w:sz="6" w:space="0" w:color="auto"/>
            </w:tcBorders>
          </w:tcPr>
          <w:p>
            <w:pPr>
              <w:pStyle w:val="TableParagraph"/>
              <w:tabs>
                <w:tab w:pos="1973" w:val="left" w:leader="none"/>
                <w:tab w:pos="3194" w:val="left" w:leader="none"/>
              </w:tabs>
              <w:spacing w:line="268" w:lineRule="exact"/>
              <w:ind w:left="639"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1,433,644</w:t>
              <w:tab/>
            </w:r>
            <w:r>
              <w:rPr>
                <w:rFonts w:ascii="Arial"/>
                <w:sz w:val="24"/>
              </w:rPr>
            </w:r>
          </w:p>
        </w:tc>
      </w:tr>
      <w:tr>
        <w:trPr>
          <w:trHeight w:val="517" w:hRule="exact"/>
        </w:trPr>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(b)</w:t>
            </w: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1" w:right="0"/>
              <w:jc w:val="left"/>
              <w:rPr>
                <w:rFonts w:ascii="宋体" w:hAnsi="宋体" w:cs="宋体" w:eastAsia="宋体" w:hint="default"/>
                <w:sz w:val="24"/>
                <w:szCs w:val="24"/>
              </w:rPr>
            </w:pPr>
            <w:r>
              <w:rPr>
                <w:rFonts w:ascii="宋体" w:hAnsi="宋体" w:cs="宋体" w:eastAsia="宋体" w:hint="default"/>
                <w:sz w:val="24"/>
                <w:szCs w:val="24"/>
              </w:rPr>
              <w:t>应收账款按类别分析如下：</w:t>
            </w:r>
          </w:p>
        </w:tc>
        <w:tc>
          <w:tcPr>
            <w:tcW w:w="3159" w:type="dxa"/>
            <w:tcBorders>
              <w:top w:val="nil" w:sz="6" w:space="0" w:color="auto"/>
              <w:left w:val="nil" w:sz="6" w:space="0" w:color="auto"/>
              <w:bottom w:val="nil" w:sz="6" w:space="0" w:color="auto"/>
              <w:right w:val="nil" w:sz="6" w:space="0" w:color="auto"/>
            </w:tcBorders>
          </w:tcPr>
          <w:p>
            <w:pPr/>
          </w:p>
        </w:tc>
        <w:tc>
          <w:tcPr>
            <w:tcW w:w="3229"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Arial" w:hAnsi="Arial" w:cs="Arial" w:eastAsia="Arial" w:hint="default"/>
          <w:sz w:val="12"/>
          <w:szCs w:val="12"/>
        </w:rPr>
      </w:pPr>
    </w:p>
    <w:p>
      <w:pPr>
        <w:tabs>
          <w:tab w:pos="6527" w:val="left" w:leader="none"/>
        </w:tabs>
        <w:spacing w:before="38"/>
        <w:ind w:left="2623" w:right="0" w:firstLine="0"/>
        <w:jc w:val="center"/>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tabs>
          <w:tab w:pos="4773" w:val="left" w:leader="none"/>
          <w:tab w:pos="6677" w:val="left" w:leader="none"/>
          <w:tab w:pos="8529" w:val="left" w:leader="none"/>
        </w:tabs>
        <w:spacing w:before="14"/>
        <w:ind w:left="2748" w:right="0" w:firstLine="0"/>
        <w:jc w:val="center"/>
        <w:rPr>
          <w:rFonts w:ascii="宋体" w:hAnsi="宋体" w:cs="宋体" w:eastAsia="宋体" w:hint="default"/>
          <w:sz w:val="20"/>
          <w:szCs w:val="20"/>
        </w:rPr>
      </w:pPr>
      <w:r>
        <w:rPr/>
        <w:pict>
          <v:group style="position:absolute;margin-left:179.880005pt;margin-top:1.550321pt;width:190.8pt;height:.1pt;mso-position-horizontal-relative:page;mso-position-vertical-relative:paragraph;z-index:-1001632" coordorigin="3598,31" coordsize="3816,2">
            <v:shape style="position:absolute;left:3598;top:31;width:3816;height:2" coordorigin="3598,31" coordsize="3816,0" path="m3598,31l7414,31e" filled="false" stroked="true" strokeweight="1.5pt" strokecolor="#000000">
              <v:path arrowok="t"/>
            </v:shape>
            <w10:wrap type="none"/>
          </v:group>
        </w:pict>
      </w:r>
      <w:r>
        <w:rPr/>
        <w:pict>
          <v:group style="position:absolute;margin-left:381.75pt;margin-top:.800321pt;width:177.5pt;height:1.5pt;mso-position-horizontal-relative:page;mso-position-vertical-relative:paragraph;z-index:-1001608" coordorigin="7635,16" coordsize="3550,30">
            <v:group style="position:absolute;left:7650;top:31;width:1764;height:2" coordorigin="7650,31" coordsize="1764,2">
              <v:shape style="position:absolute;left:7650;top:31;width:1764;height:2" coordorigin="7650,31" coordsize="1764,0" path="m7650,31l9414,31e" filled="false" stroked="true" strokeweight="1.5pt" strokecolor="#000000">
                <v:path arrowok="t"/>
              </v:shape>
            </v:group>
            <v:group style="position:absolute;left:9414;top:31;width:1756;height:2" coordorigin="9414,31" coordsize="1756,2">
              <v:shape style="position:absolute;left:9414;top:31;width:1756;height:2" coordorigin="9414,31" coordsize="1756,0" path="m9414,31l11170,31e" filled="false" stroked="true" strokeweight="1.5pt" strokecolor="#000000">
                <v:path arrowok="t"/>
              </v:shape>
            </v:group>
            <w10:wrap type="none"/>
          </v:group>
        </w:pict>
      </w:r>
      <w:r>
        <w:rPr>
          <w:rFonts w:ascii="宋体" w:hAnsi="宋体" w:cs="宋体" w:eastAsia="宋体" w:hint="default"/>
          <w:sz w:val="20"/>
          <w:szCs w:val="20"/>
        </w:rPr>
        <w:t>账面余额</w:t>
        <w:tab/>
        <w:t>坏账准备</w:t>
        <w:tab/>
        <w:t>账面余额</w:t>
        <w:tab/>
        <w:t>坏账准备</w:t>
      </w:r>
    </w:p>
    <w:p>
      <w:pPr>
        <w:spacing w:line="240" w:lineRule="auto" w:before="13"/>
        <w:rPr>
          <w:rFonts w:ascii="宋体" w:hAnsi="宋体" w:cs="宋体" w:eastAsia="宋体" w:hint="default"/>
          <w:sz w:val="2"/>
          <w:szCs w:val="2"/>
        </w:rPr>
      </w:pPr>
    </w:p>
    <w:tbl>
      <w:tblPr>
        <w:tblW w:w="0" w:type="auto"/>
        <w:jc w:val="left"/>
        <w:tblInd w:w="811" w:type="dxa"/>
        <w:tblLayout w:type="fixed"/>
        <w:tblCellMar>
          <w:top w:w="0" w:type="dxa"/>
          <w:left w:w="0" w:type="dxa"/>
          <w:bottom w:w="0" w:type="dxa"/>
          <w:right w:w="0" w:type="dxa"/>
        </w:tblCellMar>
        <w:tblLook w:val="01E0"/>
      </w:tblPr>
      <w:tblGrid>
        <w:gridCol w:w="1836"/>
        <w:gridCol w:w="1160"/>
        <w:gridCol w:w="821"/>
        <w:gridCol w:w="236"/>
        <w:gridCol w:w="664"/>
        <w:gridCol w:w="905"/>
        <w:gridCol w:w="236"/>
        <w:gridCol w:w="1028"/>
        <w:gridCol w:w="736"/>
        <w:gridCol w:w="236"/>
        <w:gridCol w:w="665"/>
        <w:gridCol w:w="889"/>
      </w:tblGrid>
      <w:tr>
        <w:trPr>
          <w:trHeight w:val="646" w:hRule="exact"/>
        </w:trPr>
        <w:tc>
          <w:tcPr>
            <w:tcW w:w="1836" w:type="dxa"/>
            <w:tcBorders>
              <w:top w:val="nil" w:sz="6" w:space="0" w:color="auto"/>
              <w:left w:val="nil" w:sz="6" w:space="0" w:color="auto"/>
              <w:bottom w:val="nil" w:sz="6" w:space="0" w:color="auto"/>
              <w:right w:val="nil" w:sz="6" w:space="0" w:color="auto"/>
            </w:tcBorders>
          </w:tcPr>
          <w:p>
            <w:pPr/>
          </w:p>
        </w:tc>
        <w:tc>
          <w:tcPr>
            <w:tcW w:w="1160" w:type="dxa"/>
            <w:tcBorders>
              <w:top w:val="single" w:sz="8" w:space="0" w:color="000000"/>
              <w:left w:val="nil" w:sz="6" w:space="0" w:color="auto"/>
              <w:bottom w:val="nil" w:sz="6" w:space="0" w:color="auto"/>
              <w:right w:val="nil" w:sz="6" w:space="0" w:color="auto"/>
            </w:tcBorders>
          </w:tcPr>
          <w:p>
            <w:pPr>
              <w:pStyle w:val="TableParagraph"/>
              <w:spacing w:line="231" w:lineRule="exact"/>
              <w:ind w:left="37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821" w:type="dxa"/>
            <w:tcBorders>
              <w:top w:val="single" w:sz="8" w:space="0" w:color="000000"/>
              <w:left w:val="nil" w:sz="6" w:space="0" w:color="auto"/>
              <w:bottom w:val="nil" w:sz="6" w:space="0" w:color="auto"/>
              <w:right w:val="nil" w:sz="6" w:space="0" w:color="auto"/>
            </w:tcBorders>
          </w:tcPr>
          <w:p>
            <w:pPr>
              <w:pStyle w:val="TableParagraph"/>
              <w:spacing w:line="230" w:lineRule="exact"/>
              <w:ind w:left="370" w:right="0" w:hanging="200"/>
              <w:jc w:val="left"/>
              <w:rPr>
                <w:rFonts w:ascii="宋体" w:hAnsi="宋体" w:cs="宋体" w:eastAsia="宋体" w:hint="default"/>
                <w:sz w:val="20"/>
                <w:szCs w:val="20"/>
              </w:rPr>
            </w:pPr>
            <w:r>
              <w:rPr>
                <w:rFonts w:ascii="宋体" w:hAnsi="宋体" w:cs="宋体" w:eastAsia="宋体" w:hint="default"/>
                <w:sz w:val="20"/>
                <w:szCs w:val="20"/>
              </w:rPr>
              <w:t>占总额</w:t>
            </w:r>
          </w:p>
          <w:p>
            <w:pPr>
              <w:pStyle w:val="TableParagraph"/>
              <w:spacing w:line="261" w:lineRule="exact"/>
              <w:ind w:left="370"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236" w:type="dxa"/>
            <w:tcBorders>
              <w:top w:val="nil" w:sz="6" w:space="0" w:color="auto"/>
              <w:left w:val="nil" w:sz="6" w:space="0" w:color="auto"/>
              <w:bottom w:val="nil" w:sz="6" w:space="0" w:color="auto"/>
              <w:right w:val="nil" w:sz="6" w:space="0" w:color="auto"/>
            </w:tcBorders>
          </w:tcPr>
          <w:p>
            <w:pPr/>
          </w:p>
        </w:tc>
        <w:tc>
          <w:tcPr>
            <w:tcW w:w="664" w:type="dxa"/>
            <w:tcBorders>
              <w:top w:val="single" w:sz="8" w:space="0" w:color="000000"/>
              <w:left w:val="nil" w:sz="6" w:space="0" w:color="auto"/>
              <w:bottom w:val="nil" w:sz="6" w:space="0" w:color="auto"/>
              <w:right w:val="nil" w:sz="6" w:space="0" w:color="auto"/>
            </w:tcBorders>
          </w:tcPr>
          <w:p>
            <w:pPr>
              <w:pStyle w:val="TableParagraph"/>
              <w:spacing w:line="231" w:lineRule="exact"/>
              <w:ind w:left="244"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905" w:type="dxa"/>
            <w:tcBorders>
              <w:top w:val="single" w:sz="8" w:space="0" w:color="000000"/>
              <w:left w:val="nil" w:sz="6" w:space="0" w:color="auto"/>
              <w:bottom w:val="nil" w:sz="6" w:space="0" w:color="auto"/>
              <w:right w:val="nil" w:sz="6" w:space="0" w:color="auto"/>
            </w:tcBorders>
          </w:tcPr>
          <w:p>
            <w:pPr>
              <w:pStyle w:val="TableParagraph"/>
              <w:spacing w:line="230" w:lineRule="exact"/>
              <w:ind w:left="364" w:right="0"/>
              <w:jc w:val="left"/>
              <w:rPr>
                <w:rFonts w:ascii="宋体" w:hAnsi="宋体" w:cs="宋体" w:eastAsia="宋体" w:hint="default"/>
                <w:sz w:val="20"/>
                <w:szCs w:val="20"/>
              </w:rPr>
            </w:pPr>
            <w:r>
              <w:rPr>
                <w:rFonts w:ascii="宋体" w:hAnsi="宋体" w:cs="宋体" w:eastAsia="宋体" w:hint="default"/>
                <w:sz w:val="20"/>
                <w:szCs w:val="20"/>
              </w:rPr>
              <w:t>计提</w:t>
            </w:r>
          </w:p>
          <w:p>
            <w:pPr>
              <w:pStyle w:val="TableParagraph"/>
              <w:spacing w:line="261" w:lineRule="exact"/>
              <w:ind w:left="364"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236" w:type="dxa"/>
            <w:tcBorders>
              <w:top w:val="nil" w:sz="6" w:space="0" w:color="auto"/>
              <w:left w:val="nil" w:sz="6" w:space="0" w:color="auto"/>
              <w:bottom w:val="nil" w:sz="6" w:space="0" w:color="auto"/>
              <w:right w:val="nil" w:sz="6" w:space="0" w:color="auto"/>
            </w:tcBorders>
          </w:tcPr>
          <w:p>
            <w:pPr/>
          </w:p>
        </w:tc>
        <w:tc>
          <w:tcPr>
            <w:tcW w:w="1028" w:type="dxa"/>
            <w:tcBorders>
              <w:top w:val="single" w:sz="8" w:space="0" w:color="000000"/>
              <w:left w:val="nil" w:sz="6" w:space="0" w:color="auto"/>
              <w:bottom w:val="nil" w:sz="6" w:space="0" w:color="auto"/>
              <w:right w:val="nil" w:sz="6" w:space="0" w:color="auto"/>
            </w:tcBorders>
          </w:tcPr>
          <w:p>
            <w:pPr>
              <w:pStyle w:val="TableParagraph"/>
              <w:spacing w:line="231" w:lineRule="exact"/>
              <w:ind w:left="293"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36" w:type="dxa"/>
            <w:tcBorders>
              <w:top w:val="single" w:sz="8" w:space="0" w:color="000000"/>
              <w:left w:val="nil" w:sz="6" w:space="0" w:color="auto"/>
              <w:bottom w:val="nil" w:sz="6" w:space="0" w:color="auto"/>
              <w:right w:val="nil" w:sz="6" w:space="0" w:color="auto"/>
            </w:tcBorders>
          </w:tcPr>
          <w:p>
            <w:pPr>
              <w:pStyle w:val="TableParagraph"/>
              <w:spacing w:line="230" w:lineRule="exact"/>
              <w:ind w:left="296" w:right="0" w:hanging="200"/>
              <w:jc w:val="left"/>
              <w:rPr>
                <w:rFonts w:ascii="宋体" w:hAnsi="宋体" w:cs="宋体" w:eastAsia="宋体" w:hint="default"/>
                <w:sz w:val="20"/>
                <w:szCs w:val="20"/>
              </w:rPr>
            </w:pPr>
            <w:r>
              <w:rPr>
                <w:rFonts w:ascii="宋体" w:hAnsi="宋体" w:cs="宋体" w:eastAsia="宋体" w:hint="default"/>
                <w:sz w:val="20"/>
                <w:szCs w:val="20"/>
              </w:rPr>
              <w:t>占总额</w:t>
            </w:r>
          </w:p>
          <w:p>
            <w:pPr>
              <w:pStyle w:val="TableParagraph"/>
              <w:spacing w:line="261" w:lineRule="exact"/>
              <w:ind w:left="296"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236" w:type="dxa"/>
            <w:tcBorders>
              <w:top w:val="nil" w:sz="6" w:space="0" w:color="auto"/>
              <w:left w:val="nil" w:sz="6" w:space="0" w:color="auto"/>
              <w:bottom w:val="nil" w:sz="6" w:space="0" w:color="auto"/>
              <w:right w:val="nil" w:sz="6" w:space="0" w:color="auto"/>
            </w:tcBorders>
          </w:tcPr>
          <w:p>
            <w:pPr/>
          </w:p>
        </w:tc>
        <w:tc>
          <w:tcPr>
            <w:tcW w:w="665" w:type="dxa"/>
            <w:tcBorders>
              <w:top w:val="single" w:sz="8" w:space="0" w:color="000000"/>
              <w:left w:val="nil" w:sz="6" w:space="0" w:color="auto"/>
              <w:bottom w:val="nil" w:sz="6" w:space="0" w:color="auto"/>
              <w:right w:val="nil" w:sz="6" w:space="0" w:color="auto"/>
            </w:tcBorders>
          </w:tcPr>
          <w:p>
            <w:pPr>
              <w:pStyle w:val="TableParagraph"/>
              <w:spacing w:line="231" w:lineRule="exact"/>
              <w:ind w:left="259"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889" w:type="dxa"/>
            <w:tcBorders>
              <w:top w:val="single" w:sz="8" w:space="0" w:color="000000"/>
              <w:left w:val="nil" w:sz="6" w:space="0" w:color="auto"/>
              <w:bottom w:val="nil" w:sz="6" w:space="0" w:color="auto"/>
              <w:right w:val="nil" w:sz="6" w:space="0" w:color="auto"/>
            </w:tcBorders>
          </w:tcPr>
          <w:p>
            <w:pPr>
              <w:pStyle w:val="TableParagraph"/>
              <w:spacing w:line="230" w:lineRule="exact"/>
              <w:ind w:left="328" w:right="0" w:firstLine="1"/>
              <w:jc w:val="left"/>
              <w:rPr>
                <w:rFonts w:ascii="宋体" w:hAnsi="宋体" w:cs="宋体" w:eastAsia="宋体" w:hint="default"/>
                <w:sz w:val="20"/>
                <w:szCs w:val="20"/>
              </w:rPr>
            </w:pPr>
            <w:r>
              <w:rPr>
                <w:rFonts w:ascii="宋体" w:hAnsi="宋体" w:cs="宋体" w:eastAsia="宋体" w:hint="default"/>
                <w:sz w:val="20"/>
                <w:szCs w:val="20"/>
              </w:rPr>
              <w:t>计提</w:t>
            </w:r>
          </w:p>
          <w:p>
            <w:pPr>
              <w:pStyle w:val="TableParagraph"/>
              <w:spacing w:line="261" w:lineRule="exact"/>
              <w:ind w:left="328"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375" w:hRule="exact"/>
        </w:trPr>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0"/>
              <w:jc w:val="right"/>
              <w:rPr>
                <w:rFonts w:ascii="宋体" w:hAnsi="宋体" w:cs="宋体" w:eastAsia="宋体" w:hint="default"/>
                <w:sz w:val="20"/>
                <w:szCs w:val="20"/>
              </w:rPr>
            </w:pPr>
            <w:r>
              <w:rPr>
                <w:rFonts w:ascii="宋体" w:hAnsi="宋体" w:cs="宋体" w:eastAsia="宋体" w:hint="default"/>
                <w:spacing w:val="-1"/>
                <w:sz w:val="20"/>
                <w:szCs w:val="20"/>
              </w:rPr>
              <w:t>按组合计提坏账准备</w:t>
            </w:r>
          </w:p>
        </w:tc>
        <w:tc>
          <w:tcPr>
            <w:tcW w:w="1160"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nil" w:sz="6" w:space="0" w:color="auto"/>
              <w:right w:val="nil" w:sz="6" w:space="0" w:color="auto"/>
            </w:tcBorders>
          </w:tcPr>
          <w:p>
            <w:pPr/>
          </w:p>
        </w:tc>
      </w:tr>
      <w:tr>
        <w:trPr>
          <w:trHeight w:val="271" w:hRule="exact"/>
        </w:trPr>
        <w:tc>
          <w:tcPr>
            <w:tcW w:w="1836"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应收政府补贴组合</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91" w:right="0"/>
              <w:jc w:val="left"/>
              <w:rPr>
                <w:rFonts w:ascii="Arial" w:hAnsi="Arial" w:cs="Arial" w:eastAsia="Arial" w:hint="default"/>
                <w:sz w:val="20"/>
                <w:szCs w:val="20"/>
              </w:rPr>
            </w:pPr>
            <w:r>
              <w:rPr>
                <w:rFonts w:ascii="Arial"/>
                <w:spacing w:val="-4"/>
                <w:sz w:val="20"/>
              </w:rPr>
              <w:t>11,731</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4" w:right="0"/>
              <w:jc w:val="left"/>
              <w:rPr>
                <w:rFonts w:ascii="Arial" w:hAnsi="Arial" w:cs="Arial" w:eastAsia="Arial" w:hint="default"/>
                <w:sz w:val="20"/>
                <w:szCs w:val="20"/>
              </w:rPr>
            </w:pPr>
            <w:r>
              <w:rPr>
                <w:rFonts w:ascii="Arial"/>
                <w:sz w:val="20"/>
              </w:rPr>
              <w:t>0.5%</w:t>
            </w:r>
          </w:p>
        </w:tc>
        <w:tc>
          <w:tcPr>
            <w:tcW w:w="236"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0" w:lineRule="auto" w:before="28"/>
              <w:ind w:left="18" w:right="0"/>
              <w:jc w:val="left"/>
              <w:rPr>
                <w:rFonts w:ascii="Arial" w:hAnsi="Arial" w:cs="Arial" w:eastAsia="Arial" w:hint="default"/>
                <w:sz w:val="20"/>
                <w:szCs w:val="20"/>
              </w:rPr>
            </w:pPr>
            <w:r>
              <w:rPr>
                <w:rFonts w:ascii="Arial"/>
                <w:sz w:val="20"/>
              </w:rPr>
              <w:t>-</w:t>
              <w:tab/>
              <w:t>-</w:t>
            </w:r>
          </w:p>
        </w:tc>
        <w:tc>
          <w:tcPr>
            <w:tcW w:w="236"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18" w:right="0"/>
              <w:jc w:val="left"/>
              <w:rPr>
                <w:rFonts w:ascii="Arial" w:hAnsi="Arial" w:cs="Arial" w:eastAsia="Arial" w:hint="default"/>
                <w:sz w:val="20"/>
                <w:szCs w:val="20"/>
              </w:rPr>
            </w:pPr>
            <w:r>
              <w:rPr>
                <w:rFonts w:ascii="Arial"/>
                <w:sz w:val="20"/>
              </w:rPr>
              <w:t>19,747</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41" w:right="0"/>
              <w:jc w:val="left"/>
              <w:rPr>
                <w:rFonts w:ascii="Arial" w:hAnsi="Arial" w:cs="Arial" w:eastAsia="Arial" w:hint="default"/>
                <w:sz w:val="20"/>
                <w:szCs w:val="20"/>
              </w:rPr>
            </w:pPr>
            <w:r>
              <w:rPr>
                <w:rFonts w:ascii="Arial"/>
                <w:sz w:val="20"/>
              </w:rPr>
              <w:t>1.4%</w:t>
            </w:r>
          </w:p>
        </w:tc>
        <w:tc>
          <w:tcPr>
            <w:tcW w:w="236"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nil" w:sz="6" w:space="0" w:color="auto"/>
              <w:right w:val="nil" w:sz="6" w:space="0" w:color="auto"/>
            </w:tcBorders>
          </w:tcPr>
          <w:p>
            <w:pPr>
              <w:pStyle w:val="TableParagraph"/>
              <w:tabs>
                <w:tab w:pos="634" w:val="left" w:leader="none"/>
              </w:tabs>
              <w:spacing w:line="240" w:lineRule="auto" w:before="28"/>
              <w:ind w:left="4" w:right="0"/>
              <w:jc w:val="left"/>
              <w:rPr>
                <w:rFonts w:ascii="Arial" w:hAnsi="Arial" w:cs="Arial" w:eastAsia="Arial" w:hint="default"/>
                <w:sz w:val="20"/>
                <w:szCs w:val="20"/>
              </w:rPr>
            </w:pPr>
            <w:r>
              <w:rPr>
                <w:rFonts w:ascii="Arial"/>
                <w:sz w:val="20"/>
              </w:rPr>
              <w:t>-</w:t>
              <w:tab/>
              <w:t>-</w:t>
            </w:r>
          </w:p>
        </w:tc>
      </w:tr>
      <w:tr>
        <w:trPr>
          <w:trHeight w:val="267" w:hRule="exact"/>
        </w:trPr>
        <w:tc>
          <w:tcPr>
            <w:tcW w:w="3817" w:type="dxa"/>
            <w:gridSpan w:val="3"/>
            <w:tcBorders>
              <w:top w:val="nil" w:sz="6" w:space="0" w:color="auto"/>
              <w:left w:val="nil" w:sz="6" w:space="0" w:color="auto"/>
              <w:bottom w:val="nil" w:sz="6" w:space="0" w:color="auto"/>
              <w:right w:val="nil" w:sz="6" w:space="0" w:color="auto"/>
            </w:tcBorders>
          </w:tcPr>
          <w:p>
            <w:pPr>
              <w:pStyle w:val="TableParagraph"/>
              <w:tabs>
                <w:tab w:pos="3148" w:val="left" w:leader="none"/>
                <w:tab w:pos="3817" w:val="left" w:leader="none"/>
              </w:tabs>
              <w:spacing w:line="228" w:lineRule="exact"/>
              <w:ind w:left="231" w:right="0"/>
              <w:jc w:val="left"/>
              <w:rPr>
                <w:rFonts w:ascii="Arial" w:hAnsi="Arial" w:cs="Arial" w:eastAsia="Arial" w:hint="default"/>
                <w:sz w:val="20"/>
                <w:szCs w:val="20"/>
              </w:rPr>
            </w:pPr>
            <w:r>
              <w:rPr>
                <w:rFonts w:ascii="宋体" w:hAnsi="宋体" w:cs="宋体" w:eastAsia="宋体" w:hint="default"/>
                <w:spacing w:val="-4"/>
                <w:position w:val="1"/>
                <w:sz w:val="20"/>
                <w:szCs w:val="20"/>
              </w:rPr>
              <w:t>应收其他款项组合</w:t>
            </w:r>
            <w:r>
              <w:rPr>
                <w:rFonts w:ascii="宋体" w:hAnsi="宋体" w:cs="宋体" w:eastAsia="宋体" w:hint="default"/>
                <w:spacing w:val="25"/>
                <w:position w:val="1"/>
                <w:sz w:val="20"/>
                <w:szCs w:val="20"/>
              </w:rPr>
              <w:t> </w:t>
            </w:r>
            <w:r>
              <w:rPr>
                <w:rFonts w:ascii="Arial" w:hAnsi="Arial" w:cs="Arial" w:eastAsia="Arial" w:hint="default"/>
                <w:spacing w:val="25"/>
                <w:sz w:val="20"/>
                <w:szCs w:val="20"/>
              </w:rPr>
            </w:r>
            <w:r>
              <w:rPr>
                <w:rFonts w:ascii="Arial" w:hAnsi="Arial" w:cs="Arial" w:eastAsia="Arial" w:hint="default"/>
                <w:spacing w:val="25"/>
                <w:sz w:val="20"/>
                <w:szCs w:val="20"/>
                <w:u w:val="single" w:color="000000"/>
              </w:rPr>
              <w:t> </w:t>
            </w:r>
            <w:r>
              <w:rPr>
                <w:rFonts w:ascii="Arial" w:hAnsi="Arial" w:cs="Arial" w:eastAsia="Arial" w:hint="default"/>
                <w:sz w:val="20"/>
                <w:szCs w:val="20"/>
                <w:u w:val="single" w:color="000000"/>
              </w:rPr>
              <w:t>2,572,252</w:t>
              <w:tab/>
              <w:t>99.5%</w:t>
              <w:tab/>
            </w:r>
            <w:r>
              <w:rPr>
                <w:rFonts w:ascii="Arial" w:hAnsi="Arial" w:cs="Arial" w:eastAsia="Arial" w:hint="default"/>
                <w:sz w:val="20"/>
                <w:szCs w:val="20"/>
              </w:rPr>
            </w:r>
          </w:p>
        </w:tc>
        <w:tc>
          <w:tcPr>
            <w:tcW w:w="236" w:type="dxa"/>
            <w:tcBorders>
              <w:top w:val="nil" w:sz="6" w:space="0" w:color="auto"/>
              <w:left w:val="nil" w:sz="6" w:space="0" w:color="auto"/>
              <w:bottom w:val="nil" w:sz="6" w:space="0" w:color="auto"/>
              <w:right w:val="nil" w:sz="6" w:space="0" w:color="auto"/>
            </w:tcBorders>
          </w:tcPr>
          <w:p>
            <w:pPr/>
          </w:p>
        </w:tc>
        <w:tc>
          <w:tcPr>
            <w:tcW w:w="1568" w:type="dxa"/>
            <w:gridSpan w:val="2"/>
            <w:tcBorders>
              <w:top w:val="nil" w:sz="6" w:space="0" w:color="auto"/>
              <w:left w:val="nil" w:sz="6" w:space="0" w:color="auto"/>
              <w:bottom w:val="nil" w:sz="6" w:space="0" w:color="auto"/>
              <w:right w:val="nil" w:sz="6" w:space="0" w:color="auto"/>
            </w:tcBorders>
          </w:tcPr>
          <w:p>
            <w:pPr>
              <w:pStyle w:val="TableParagraph"/>
              <w:tabs>
                <w:tab w:pos="1568" w:val="left" w:leader="none"/>
              </w:tabs>
              <w:spacing w:line="228" w:lineRule="exact"/>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4"/>
                <w:sz w:val="20"/>
                <w:u w:val="single" w:color="000000"/>
              </w:rPr>
              <w:t> </w:t>
            </w:r>
            <w:r>
              <w:rPr>
                <w:rFonts w:ascii="Arial"/>
                <w:sz w:val="20"/>
                <w:u w:val="single" w:color="000000"/>
              </w:rPr>
              <w:t>(5,096)  </w:t>
            </w:r>
            <w:r>
              <w:rPr>
                <w:rFonts w:ascii="Arial"/>
                <w:spacing w:val="21"/>
                <w:sz w:val="20"/>
                <w:u w:val="single" w:color="000000"/>
              </w:rPr>
              <w:t> </w:t>
            </w:r>
            <w:r>
              <w:rPr>
                <w:rFonts w:ascii="Arial"/>
                <w:sz w:val="20"/>
                <w:u w:val="single" w:color="000000"/>
              </w:rPr>
              <w:t>0.2%</w:t>
              <w:tab/>
            </w:r>
            <w:r>
              <w:rPr>
                <w:rFonts w:ascii="Arial"/>
                <w:sz w:val="20"/>
              </w:rPr>
            </w:r>
          </w:p>
        </w:tc>
        <w:tc>
          <w:tcPr>
            <w:tcW w:w="236" w:type="dxa"/>
            <w:tcBorders>
              <w:top w:val="nil" w:sz="6" w:space="0" w:color="auto"/>
              <w:left w:val="nil" w:sz="6" w:space="0" w:color="auto"/>
              <w:bottom w:val="nil" w:sz="6" w:space="0" w:color="auto"/>
              <w:right w:val="nil" w:sz="6" w:space="0" w:color="auto"/>
            </w:tcBorders>
          </w:tcPr>
          <w:p>
            <w:pPr/>
          </w:p>
        </w:tc>
        <w:tc>
          <w:tcPr>
            <w:tcW w:w="1764" w:type="dxa"/>
            <w:gridSpan w:val="2"/>
            <w:tcBorders>
              <w:top w:val="nil" w:sz="6" w:space="0" w:color="auto"/>
              <w:left w:val="nil" w:sz="6" w:space="0" w:color="auto"/>
              <w:bottom w:val="nil" w:sz="6" w:space="0" w:color="auto"/>
              <w:right w:val="nil" w:sz="6" w:space="0" w:color="auto"/>
            </w:tcBorders>
          </w:tcPr>
          <w:p>
            <w:pPr>
              <w:pStyle w:val="TableParagraph"/>
              <w:spacing w:line="228" w:lineRule="exact"/>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25"/>
                <w:sz w:val="20"/>
                <w:u w:val="single" w:color="000000"/>
              </w:rPr>
              <w:t> </w:t>
            </w:r>
            <w:r>
              <w:rPr>
                <w:rFonts w:ascii="Arial"/>
                <w:sz w:val="20"/>
                <w:u w:val="single" w:color="000000"/>
              </w:rPr>
              <w:t>1,413,897  </w:t>
            </w:r>
            <w:r>
              <w:rPr>
                <w:rFonts w:ascii="Arial"/>
                <w:spacing w:val="2"/>
                <w:sz w:val="20"/>
                <w:u w:val="single" w:color="000000"/>
              </w:rPr>
              <w:t> </w:t>
            </w:r>
            <w:r>
              <w:rPr>
                <w:rFonts w:ascii="Arial"/>
                <w:sz w:val="20"/>
                <w:u w:val="single" w:color="000000"/>
              </w:rPr>
              <w:t>98.6%</w:t>
            </w:r>
            <w:r>
              <w:rPr>
                <w:rFonts w:ascii="Arial"/>
                <w:sz w:val="20"/>
              </w:rPr>
            </w:r>
          </w:p>
        </w:tc>
        <w:tc>
          <w:tcPr>
            <w:tcW w:w="236" w:type="dxa"/>
            <w:tcBorders>
              <w:top w:val="nil" w:sz="6" w:space="0" w:color="auto"/>
              <w:left w:val="nil" w:sz="6" w:space="0" w:color="auto"/>
              <w:bottom w:val="nil" w:sz="6" w:space="0" w:color="auto"/>
              <w:right w:val="nil" w:sz="6" w:space="0" w:color="auto"/>
            </w:tcBorders>
          </w:tcPr>
          <w:p>
            <w:pPr/>
          </w:p>
        </w:tc>
        <w:tc>
          <w:tcPr>
            <w:tcW w:w="1554" w:type="dxa"/>
            <w:gridSpan w:val="2"/>
            <w:tcBorders>
              <w:top w:val="nil" w:sz="6" w:space="0" w:color="auto"/>
              <w:left w:val="nil" w:sz="6" w:space="0" w:color="auto"/>
              <w:bottom w:val="nil" w:sz="6" w:space="0" w:color="auto"/>
              <w:right w:val="nil" w:sz="6" w:space="0" w:color="auto"/>
            </w:tcBorders>
          </w:tcPr>
          <w:p>
            <w:pPr>
              <w:pStyle w:val="TableParagraph"/>
              <w:tabs>
                <w:tab w:pos="1519" w:val="left" w:leader="none"/>
              </w:tabs>
              <w:spacing w:line="228" w:lineRule="exact"/>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5"/>
                <w:sz w:val="20"/>
                <w:u w:val="single" w:color="000000"/>
              </w:rPr>
              <w:t> </w:t>
            </w:r>
            <w:r>
              <w:rPr>
                <w:rFonts w:ascii="Arial"/>
                <w:sz w:val="20"/>
                <w:u w:val="single" w:color="000000"/>
              </w:rPr>
              <w:t>(2,991) </w:t>
            </w:r>
            <w:r>
              <w:rPr>
                <w:rFonts w:ascii="Arial"/>
                <w:spacing w:val="12"/>
                <w:sz w:val="20"/>
                <w:u w:val="single" w:color="000000"/>
              </w:rPr>
              <w:t> </w:t>
            </w:r>
            <w:r>
              <w:rPr>
                <w:rFonts w:ascii="Arial"/>
                <w:sz w:val="20"/>
                <w:u w:val="single" w:color="000000"/>
              </w:rPr>
              <w:t>0.2%</w:t>
              <w:tab/>
            </w:r>
            <w:r>
              <w:rPr>
                <w:rFonts w:ascii="Arial"/>
                <w:sz w:val="20"/>
              </w:rPr>
            </w:r>
          </w:p>
        </w:tc>
      </w:tr>
      <w:tr>
        <w:trPr>
          <w:trHeight w:val="248" w:hRule="exact"/>
        </w:trPr>
        <w:tc>
          <w:tcPr>
            <w:tcW w:w="3817" w:type="dxa"/>
            <w:gridSpan w:val="3"/>
            <w:tcBorders>
              <w:top w:val="nil" w:sz="6" w:space="0" w:color="auto"/>
              <w:left w:val="nil" w:sz="6" w:space="0" w:color="auto"/>
              <w:bottom w:val="nil" w:sz="6" w:space="0" w:color="auto"/>
              <w:right w:val="nil" w:sz="6" w:space="0" w:color="auto"/>
            </w:tcBorders>
          </w:tcPr>
          <w:p>
            <w:pPr>
              <w:pStyle w:val="TableParagraph"/>
              <w:tabs>
                <w:tab w:pos="3204" w:val="left" w:leader="none"/>
              </w:tabs>
              <w:spacing w:line="240" w:lineRule="auto"/>
              <w:ind w:left="1934" w:right="0"/>
              <w:jc w:val="left"/>
              <w:rPr>
                <w:rFonts w:ascii="Arial" w:hAnsi="Arial" w:cs="Arial" w:eastAsia="Arial" w:hint="default"/>
                <w:sz w:val="20"/>
                <w:szCs w:val="20"/>
              </w:rPr>
            </w:pPr>
            <w:r>
              <w:rPr>
                <w:rFonts w:ascii="Arial"/>
                <w:spacing w:val="-1"/>
                <w:sz w:val="20"/>
              </w:rPr>
              <w:t>2,583,983</w:t>
              <w:tab/>
            </w:r>
            <w:r>
              <w:rPr>
                <w:rFonts w:ascii="Arial"/>
                <w:sz w:val="20"/>
              </w:rPr>
              <w:t>100%</w:t>
            </w:r>
          </w:p>
        </w:tc>
        <w:tc>
          <w:tcPr>
            <w:tcW w:w="236" w:type="dxa"/>
            <w:tcBorders>
              <w:top w:val="nil" w:sz="6" w:space="0" w:color="auto"/>
              <w:left w:val="nil" w:sz="6" w:space="0" w:color="auto"/>
              <w:bottom w:val="nil" w:sz="6" w:space="0" w:color="auto"/>
              <w:right w:val="nil" w:sz="6" w:space="0" w:color="auto"/>
            </w:tcBorders>
          </w:tcPr>
          <w:p>
            <w:pPr/>
          </w:p>
        </w:tc>
        <w:tc>
          <w:tcPr>
            <w:tcW w:w="1568"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ind w:left="181" w:right="0"/>
              <w:jc w:val="left"/>
              <w:rPr>
                <w:rFonts w:ascii="Arial" w:hAnsi="Arial" w:cs="Arial" w:eastAsia="Arial" w:hint="default"/>
                <w:sz w:val="20"/>
                <w:szCs w:val="20"/>
              </w:rPr>
            </w:pPr>
            <w:r>
              <w:rPr>
                <w:rFonts w:ascii="Arial"/>
                <w:sz w:val="20"/>
              </w:rPr>
              <w:t>(5,096)</w:t>
            </w:r>
          </w:p>
        </w:tc>
        <w:tc>
          <w:tcPr>
            <w:tcW w:w="236" w:type="dxa"/>
            <w:tcBorders>
              <w:top w:val="nil" w:sz="6" w:space="0" w:color="auto"/>
              <w:left w:val="nil" w:sz="6" w:space="0" w:color="auto"/>
              <w:bottom w:val="nil" w:sz="6" w:space="0" w:color="auto"/>
              <w:right w:val="nil" w:sz="6" w:space="0" w:color="auto"/>
            </w:tcBorders>
          </w:tcPr>
          <w:p>
            <w:pPr/>
          </w:p>
        </w:tc>
        <w:tc>
          <w:tcPr>
            <w:tcW w:w="1764" w:type="dxa"/>
            <w:gridSpan w:val="2"/>
            <w:tcBorders>
              <w:top w:val="nil" w:sz="6" w:space="0" w:color="auto"/>
              <w:left w:val="nil" w:sz="6" w:space="0" w:color="auto"/>
              <w:bottom w:val="single" w:sz="12" w:space="0" w:color="000000"/>
              <w:right w:val="nil" w:sz="6" w:space="0" w:color="auto"/>
            </w:tcBorders>
          </w:tcPr>
          <w:p>
            <w:pPr>
              <w:pStyle w:val="TableParagraph"/>
              <w:tabs>
                <w:tab w:pos="1213" w:val="left" w:leader="none"/>
              </w:tabs>
              <w:spacing w:line="240" w:lineRule="auto"/>
              <w:ind w:left="87" w:right="0"/>
              <w:jc w:val="left"/>
              <w:rPr>
                <w:rFonts w:ascii="Arial" w:hAnsi="Arial" w:cs="Arial" w:eastAsia="Arial" w:hint="default"/>
                <w:sz w:val="20"/>
                <w:szCs w:val="20"/>
              </w:rPr>
            </w:pPr>
            <w:r>
              <w:rPr>
                <w:rFonts w:ascii="Arial"/>
                <w:spacing w:val="-1"/>
                <w:sz w:val="20"/>
              </w:rPr>
              <w:t>1,433,644</w:t>
              <w:tab/>
            </w:r>
            <w:r>
              <w:rPr>
                <w:rFonts w:ascii="Arial"/>
                <w:sz w:val="20"/>
              </w:rPr>
              <w:t>100%</w:t>
            </w:r>
          </w:p>
        </w:tc>
        <w:tc>
          <w:tcPr>
            <w:tcW w:w="236" w:type="dxa"/>
            <w:tcBorders>
              <w:top w:val="nil" w:sz="6" w:space="0" w:color="auto"/>
              <w:left w:val="nil" w:sz="6" w:space="0" w:color="auto"/>
              <w:bottom w:val="nil" w:sz="6" w:space="0" w:color="auto"/>
              <w:right w:val="nil" w:sz="6" w:space="0" w:color="auto"/>
            </w:tcBorders>
          </w:tcPr>
          <w:p>
            <w:pPr/>
          </w:p>
        </w:tc>
        <w:tc>
          <w:tcPr>
            <w:tcW w:w="1554"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ind w:left="198" w:right="0"/>
              <w:jc w:val="left"/>
              <w:rPr>
                <w:rFonts w:ascii="Arial" w:hAnsi="Arial" w:cs="Arial" w:eastAsia="Arial" w:hint="default"/>
                <w:sz w:val="20"/>
                <w:szCs w:val="20"/>
              </w:rPr>
            </w:pPr>
            <w:r>
              <w:rPr>
                <w:rFonts w:ascii="Arial"/>
                <w:sz w:val="20"/>
              </w:rPr>
              <w:t>(2,991)</w:t>
            </w:r>
          </w:p>
        </w:tc>
      </w:tr>
    </w:tbl>
    <w:p>
      <w:pPr>
        <w:spacing w:after="0" w:line="240" w:lineRule="auto"/>
        <w:jc w:val="left"/>
        <w:rPr>
          <w:rFonts w:ascii="Arial" w:hAnsi="Arial" w:cs="Arial" w:eastAsia="Arial" w:hint="default"/>
          <w:sz w:val="20"/>
          <w:szCs w:val="20"/>
        </w:rPr>
        <w:sectPr>
          <w:pgSz w:w="11910" w:h="16840"/>
          <w:pgMar w:header="755" w:footer="947" w:top="2300" w:bottom="1140" w:left="980" w:right="580"/>
        </w:sectPr>
      </w:pPr>
    </w:p>
    <w:p>
      <w:pPr>
        <w:spacing w:line="240" w:lineRule="auto" w:before="6"/>
        <w:rPr>
          <w:rFonts w:ascii="宋体" w:hAnsi="宋体" w:cs="宋体" w:eastAsia="宋体" w:hint="default"/>
          <w:sz w:val="13"/>
          <w:szCs w:val="13"/>
        </w:rPr>
      </w:pPr>
    </w:p>
    <w:p>
      <w:pPr>
        <w:pStyle w:val="Heading2"/>
        <w:tabs>
          <w:tab w:pos="849" w:val="left" w:leader="none"/>
        </w:tabs>
        <w:spacing w:line="240" w:lineRule="auto"/>
        <w:ind w:left="143" w:right="523"/>
        <w:jc w:val="left"/>
        <w:rPr>
          <w:rFonts w:ascii="Arial" w:hAnsi="Arial" w:cs="Arial" w:eastAsia="Arial" w:hint="default"/>
          <w:b w:val="0"/>
          <w:bCs w:val="0"/>
        </w:rPr>
      </w:pPr>
      <w:r>
        <w:rPr>
          <w:w w:val="95"/>
        </w:rPr>
        <w:t>十三</w:t>
        <w:tab/>
      </w:r>
      <w:r>
        <w:rPr/>
        <w:t>公司财务报表附注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49" w:val="left" w:leader="none"/>
        </w:tabs>
        <w:spacing w:before="0"/>
        <w:ind w:left="143" w:right="523" w:firstLine="0"/>
        <w:jc w:val="left"/>
        <w:rPr>
          <w:rFonts w:ascii="Arial" w:hAnsi="Arial" w:cs="Arial" w:eastAsia="Arial" w:hint="default"/>
          <w:sz w:val="24"/>
          <w:szCs w:val="24"/>
        </w:rPr>
      </w:pPr>
      <w:r>
        <w:rPr>
          <w:rFonts w:ascii="Arial" w:hAnsi="Arial" w:cs="Arial" w:eastAsia="Arial" w:hint="default"/>
          <w:w w:val="95"/>
          <w:position w:val="2"/>
          <w:sz w:val="24"/>
          <w:szCs w:val="24"/>
        </w:rPr>
        <w:t>(1)</w:t>
        <w:tab/>
      </w:r>
      <w:r>
        <w:rPr>
          <w:rFonts w:ascii="宋体" w:hAnsi="宋体" w:cs="宋体" w:eastAsia="宋体" w:hint="default"/>
          <w:b/>
          <w:bCs/>
          <w:sz w:val="24"/>
          <w:szCs w:val="24"/>
        </w:rPr>
        <w:t>应收账款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49" w:val="left" w:leader="none"/>
        </w:tabs>
        <w:spacing w:line="240" w:lineRule="auto"/>
        <w:ind w:left="143" w:right="523"/>
        <w:jc w:val="left"/>
      </w:pPr>
      <w:r>
        <w:rPr>
          <w:rFonts w:ascii="Arial" w:hAnsi="Arial" w:cs="Arial" w:eastAsia="Arial" w:hint="default"/>
          <w:position w:val="2"/>
        </w:rPr>
        <w:t>(c)</w:t>
        <w:tab/>
      </w:r>
      <w:r>
        <w:rPr/>
        <w:t>按组合计提坏账准备的应收账款中，采用账龄分析法的组合分析如下：</w:t>
      </w:r>
    </w:p>
    <w:p>
      <w:pPr>
        <w:spacing w:line="240" w:lineRule="auto" w:before="13"/>
        <w:rPr>
          <w:rFonts w:ascii="宋体" w:hAnsi="宋体" w:cs="宋体" w:eastAsia="宋体" w:hint="default"/>
          <w:sz w:val="17"/>
          <w:szCs w:val="17"/>
        </w:rPr>
      </w:pPr>
    </w:p>
    <w:p>
      <w:pPr>
        <w:tabs>
          <w:tab w:pos="6099" w:val="left" w:leader="none"/>
        </w:tabs>
        <w:spacing w:before="0"/>
        <w:ind w:left="1784" w:right="0" w:firstLine="0"/>
        <w:jc w:val="center"/>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tabs>
          <w:tab w:pos="4038" w:val="left" w:leader="none"/>
          <w:tab w:pos="6167" w:val="left" w:leader="none"/>
          <w:tab w:pos="8362" w:val="left" w:leader="none"/>
        </w:tabs>
        <w:spacing w:before="14"/>
        <w:ind w:left="1924" w:right="0" w:firstLine="0"/>
        <w:jc w:val="center"/>
        <w:rPr>
          <w:rFonts w:ascii="宋体" w:hAnsi="宋体" w:cs="宋体" w:eastAsia="宋体" w:hint="default"/>
          <w:sz w:val="20"/>
          <w:szCs w:val="20"/>
        </w:rPr>
      </w:pPr>
      <w:r>
        <w:rPr/>
        <w:pict>
          <v:group style="position:absolute;margin-left:148.679993pt;margin-top:1.550352pt;width:199.7pt;height:.1pt;mso-position-horizontal-relative:page;mso-position-vertical-relative:paragraph;z-index:-1001584" coordorigin="2974,31" coordsize="3994,2">
            <v:shape style="position:absolute;left:2974;top:31;width:3994;height:2" coordorigin="2974,31" coordsize="3994,0" path="m2974,31l6967,31e" filled="false" stroked="true" strokeweight="1.5pt" strokecolor="#000000">
              <v:path arrowok="t"/>
            </v:shape>
            <w10:wrap type="none"/>
          </v:group>
        </w:pict>
      </w:r>
      <w:r>
        <w:rPr/>
        <w:pict>
          <v:group style="position:absolute;margin-left:360.420013pt;margin-top:1.550352pt;width:207.7pt;height:.1pt;mso-position-horizontal-relative:page;mso-position-vertical-relative:paragraph;z-index:-1001560" coordorigin="7208,31" coordsize="4154,2">
            <v:shape style="position:absolute;left:7208;top:31;width:4154;height:2" coordorigin="7208,31" coordsize="4154,0" path="m7208,31l11362,31e" filled="false" stroked="true" strokeweight="1.5pt" strokecolor="#000000">
              <v:path arrowok="t"/>
            </v:shape>
            <w10:wrap type="none"/>
          </v:group>
        </w:pict>
      </w:r>
      <w:r>
        <w:rPr/>
        <w:pict>
          <v:group style="position:absolute;margin-left:148.679993pt;margin-top:16.010351pt;width:100.5pt;height:.1pt;mso-position-horizontal-relative:page;mso-position-vertical-relative:paragraph;z-index:-1001536" coordorigin="2974,320" coordsize="2010,2">
            <v:shape style="position:absolute;left:2974;top:320;width:2010;height:2" coordorigin="2974,320" coordsize="2010,0" path="m2974,320l4984,320e" filled="false" stroked="true" strokeweight="1.5pt" strokecolor="#000000">
              <v:path arrowok="t"/>
            </v:shape>
            <w10:wrap type="none"/>
          </v:group>
        </w:pict>
      </w:r>
      <w:r>
        <w:rPr/>
        <w:pict>
          <v:group style="position:absolute;margin-left:260.940002pt;margin-top:16.010351pt;width:87.45pt;height:.1pt;mso-position-horizontal-relative:page;mso-position-vertical-relative:paragraph;z-index:-1001512" coordorigin="5219,320" coordsize="1749,2">
            <v:shape style="position:absolute;left:5219;top:320;width:1749;height:2" coordorigin="5219,320" coordsize="1749,0" path="m5219,320l6967,320e" filled="false" stroked="true" strokeweight="1.5pt" strokecolor="#000000">
              <v:path arrowok="t"/>
            </v:shape>
            <w10:wrap type="none"/>
          </v:group>
        </w:pict>
      </w:r>
      <w:r>
        <w:rPr/>
        <w:pict>
          <v:group style="position:absolute;margin-left:360.420013pt;margin-top:16.010351pt;width:101.35pt;height:.1pt;mso-position-horizontal-relative:page;mso-position-vertical-relative:paragraph;z-index:-1001488" coordorigin="7208,320" coordsize="2027,2">
            <v:shape style="position:absolute;left:7208;top:320;width:2027;height:2" coordorigin="7208,320" coordsize="2027,0" path="m7208,320l9235,320e" filled="false" stroked="true" strokeweight="1.5pt" strokecolor="#000000">
              <v:path arrowok="t"/>
            </v:shape>
            <w10:wrap type="none"/>
          </v:group>
        </w:pict>
      </w:r>
      <w:r>
        <w:rPr/>
        <w:pict>
          <v:group style="position:absolute;margin-left:473.640015pt;margin-top:16.010351pt;width:94.45pt;height:.1pt;mso-position-horizontal-relative:page;mso-position-vertical-relative:paragraph;z-index:-1001464" coordorigin="9473,320" coordsize="1889,2">
            <v:shape style="position:absolute;left:9473;top:320;width:1889;height:2" coordorigin="9473,320" coordsize="1889,0" path="m9473,320l11362,320e" filled="false" stroked="true" strokeweight="1.5pt" strokecolor="#000000">
              <v:path arrowok="t"/>
            </v:shape>
            <w10:wrap type="none"/>
          </v:group>
        </w:pict>
      </w:r>
      <w:r>
        <w:rPr>
          <w:rFonts w:ascii="宋体" w:hAnsi="宋体" w:cs="宋体" w:eastAsia="宋体" w:hint="default"/>
          <w:sz w:val="20"/>
          <w:szCs w:val="20"/>
        </w:rPr>
        <w:t>账面余额</w:t>
        <w:tab/>
        <w:t>坏账准备</w:t>
        <w:tab/>
        <w:t>账面余额</w:t>
        <w:tab/>
        <w:t>坏账准备</w:t>
      </w:r>
    </w:p>
    <w:p>
      <w:pPr>
        <w:spacing w:after="0"/>
        <w:jc w:val="center"/>
        <w:rPr>
          <w:rFonts w:ascii="宋体" w:hAnsi="宋体" w:cs="宋体" w:eastAsia="宋体" w:hint="default"/>
          <w:sz w:val="20"/>
          <w:szCs w:val="20"/>
        </w:rPr>
        <w:sectPr>
          <w:pgSz w:w="11910" w:h="16840"/>
          <w:pgMar w:header="755" w:footer="947" w:top="2300" w:bottom="1140" w:left="980" w:right="400"/>
        </w:sectPr>
      </w:pPr>
    </w:p>
    <w:p>
      <w:pPr>
        <w:tabs>
          <w:tab w:pos="3383" w:val="left" w:leader="none"/>
          <w:tab w:pos="4523" w:val="left" w:leader="none"/>
          <w:tab w:pos="5397" w:val="left" w:leader="none"/>
        </w:tabs>
        <w:spacing w:before="27"/>
        <w:ind w:left="5396" w:right="0" w:hanging="3017"/>
        <w:jc w:val="right"/>
        <w:rPr>
          <w:rFonts w:ascii="宋体" w:hAnsi="宋体" w:cs="宋体" w:eastAsia="宋体" w:hint="default"/>
          <w:sz w:val="20"/>
          <w:szCs w:val="20"/>
        </w:rPr>
      </w:pPr>
      <w:r>
        <w:rPr>
          <w:rFonts w:ascii="宋体" w:hAnsi="宋体" w:cs="宋体" w:eastAsia="宋体" w:hint="default"/>
          <w:sz w:val="20"/>
          <w:szCs w:val="20"/>
        </w:rPr>
        <w:t>金额</w:t>
        <w:tab/>
        <w:t>比例</w:t>
        <w:tab/>
        <w:t>金额</w:t>
        <w:tab/>
        <w:tab/>
        <w:t>计提</w:t>
      </w:r>
      <w:r>
        <w:rPr>
          <w:rFonts w:ascii="宋体" w:hAnsi="宋体" w:cs="宋体" w:eastAsia="宋体" w:hint="default"/>
          <w:w w:val="100"/>
          <w:sz w:val="20"/>
          <w:szCs w:val="20"/>
        </w:rPr>
        <w:t> </w:t>
      </w:r>
      <w:r>
        <w:rPr>
          <w:rFonts w:ascii="宋体" w:hAnsi="宋体" w:cs="宋体" w:eastAsia="宋体" w:hint="default"/>
          <w:sz w:val="20"/>
          <w:szCs w:val="20"/>
        </w:rPr>
        <w:t>比例</w:t>
      </w:r>
    </w:p>
    <w:p>
      <w:pPr>
        <w:tabs>
          <w:tab w:pos="1798" w:val="left" w:leader="none"/>
          <w:tab w:pos="2987" w:val="left" w:leader="none"/>
          <w:tab w:pos="3931" w:val="left" w:leader="none"/>
        </w:tabs>
        <w:spacing w:before="27"/>
        <w:ind w:left="3932" w:right="350" w:hanging="3148"/>
        <w:jc w:val="right"/>
        <w:rPr>
          <w:rFonts w:ascii="宋体" w:hAnsi="宋体" w:cs="宋体" w:eastAsia="宋体" w:hint="default"/>
          <w:sz w:val="20"/>
          <w:szCs w:val="20"/>
        </w:rPr>
      </w:pPr>
      <w:r>
        <w:rPr/>
        <w:br w:type="column"/>
      </w:r>
      <w:r>
        <w:rPr>
          <w:rFonts w:ascii="宋体" w:hAnsi="宋体" w:cs="宋体" w:eastAsia="宋体" w:hint="default"/>
          <w:sz w:val="20"/>
          <w:szCs w:val="20"/>
        </w:rPr>
        <w:t>金额</w:t>
        <w:tab/>
        <w:t>比例</w:t>
        <w:tab/>
        <w:t>金额</w:t>
        <w:tab/>
        <w:t>计提</w:t>
      </w:r>
      <w:r>
        <w:rPr>
          <w:rFonts w:ascii="宋体" w:hAnsi="宋体" w:cs="宋体" w:eastAsia="宋体" w:hint="default"/>
          <w:w w:val="100"/>
          <w:sz w:val="20"/>
          <w:szCs w:val="20"/>
        </w:rPr>
        <w:t> </w:t>
      </w:r>
      <w:r>
        <w:rPr>
          <w:rFonts w:ascii="宋体" w:hAnsi="宋体" w:cs="宋体" w:eastAsia="宋体" w:hint="default"/>
          <w:sz w:val="20"/>
          <w:szCs w:val="20"/>
        </w:rPr>
        <w:t>比例</w:t>
      </w:r>
    </w:p>
    <w:p>
      <w:pPr>
        <w:spacing w:after="0"/>
        <w:jc w:val="right"/>
        <w:rPr>
          <w:rFonts w:ascii="宋体" w:hAnsi="宋体" w:cs="宋体" w:eastAsia="宋体" w:hint="default"/>
          <w:sz w:val="20"/>
          <w:szCs w:val="20"/>
        </w:rPr>
        <w:sectPr>
          <w:type w:val="continuous"/>
          <w:pgSz w:w="11910" w:h="16840"/>
          <w:pgMar w:top="920" w:bottom="900" w:left="980" w:right="400"/>
          <w:cols w:num="2" w:equalWidth="0">
            <w:col w:w="5799" w:space="40"/>
            <w:col w:w="4691"/>
          </w:cols>
        </w:sectPr>
      </w:pPr>
    </w:p>
    <w:p>
      <w:pPr>
        <w:spacing w:line="240" w:lineRule="auto" w:before="6"/>
        <w:rPr>
          <w:rFonts w:ascii="宋体" w:hAnsi="宋体" w:cs="宋体" w:eastAsia="宋体" w:hint="default"/>
          <w:sz w:val="14"/>
          <w:szCs w:val="14"/>
        </w:rPr>
      </w:pPr>
    </w:p>
    <w:tbl>
      <w:tblPr>
        <w:tblW w:w="0" w:type="auto"/>
        <w:jc w:val="left"/>
        <w:tblInd w:w="815" w:type="dxa"/>
        <w:tblLayout w:type="fixed"/>
        <w:tblCellMar>
          <w:top w:w="0" w:type="dxa"/>
          <w:left w:w="0" w:type="dxa"/>
          <w:bottom w:w="0" w:type="dxa"/>
          <w:right w:w="0" w:type="dxa"/>
        </w:tblCellMar>
        <w:tblLook w:val="01E0"/>
      </w:tblPr>
      <w:tblGrid>
        <w:gridCol w:w="1179"/>
        <w:gridCol w:w="1199"/>
        <w:gridCol w:w="811"/>
        <w:gridCol w:w="235"/>
        <w:gridCol w:w="1023"/>
        <w:gridCol w:w="726"/>
        <w:gridCol w:w="241"/>
        <w:gridCol w:w="1217"/>
        <w:gridCol w:w="810"/>
        <w:gridCol w:w="238"/>
        <w:gridCol w:w="1142"/>
        <w:gridCol w:w="782"/>
      </w:tblGrid>
      <w:tr>
        <w:trPr>
          <w:trHeight w:val="342"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一年以内</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9"/>
              <w:jc w:val="right"/>
              <w:rPr>
                <w:rFonts w:ascii="Arial" w:hAnsi="Arial" w:cs="Arial" w:eastAsia="Arial" w:hint="default"/>
                <w:sz w:val="20"/>
                <w:szCs w:val="20"/>
              </w:rPr>
            </w:pPr>
            <w:r>
              <w:rPr>
                <w:rFonts w:ascii="Arial"/>
                <w:spacing w:val="-1"/>
                <w:sz w:val="20"/>
              </w:rPr>
              <w:t>2,569,530</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0"/>
              <w:jc w:val="right"/>
              <w:rPr>
                <w:rFonts w:ascii="Arial" w:hAnsi="Arial" w:cs="Arial" w:eastAsia="Arial" w:hint="default"/>
                <w:sz w:val="20"/>
                <w:szCs w:val="20"/>
              </w:rPr>
            </w:pPr>
            <w:r>
              <w:rPr>
                <w:rFonts w:ascii="Arial"/>
                <w:spacing w:val="-1"/>
                <w:sz w:val="20"/>
              </w:rPr>
              <w:t>99.9%</w:t>
            </w:r>
            <w:r>
              <w:rPr>
                <w:rFonts w:ascii="Arial"/>
                <w:sz w:val="20"/>
              </w:rPr>
            </w:r>
          </w:p>
        </w:tc>
        <w:tc>
          <w:tcPr>
            <w:tcW w:w="12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454" w:right="0"/>
              <w:jc w:val="left"/>
              <w:rPr>
                <w:rFonts w:ascii="Arial" w:hAnsi="Arial" w:cs="Arial" w:eastAsia="Arial" w:hint="default"/>
                <w:sz w:val="20"/>
                <w:szCs w:val="20"/>
              </w:rPr>
            </w:pPr>
            <w:r>
              <w:rPr>
                <w:rFonts w:ascii="Arial"/>
                <w:sz w:val="20"/>
              </w:rPr>
              <w:t>(4,388)</w:t>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8"/>
              <w:jc w:val="right"/>
              <w:rPr>
                <w:rFonts w:ascii="Arial" w:hAnsi="Arial" w:cs="Arial" w:eastAsia="Arial" w:hint="default"/>
                <w:sz w:val="20"/>
                <w:szCs w:val="20"/>
              </w:rPr>
            </w:pPr>
            <w:r>
              <w:rPr>
                <w:rFonts w:ascii="Arial"/>
                <w:spacing w:val="-1"/>
                <w:sz w:val="20"/>
              </w:rPr>
              <w:t>0.2%</w:t>
            </w:r>
            <w:r>
              <w:rPr>
                <w:rFonts w:ascii="Arial"/>
                <w:sz w:val="20"/>
              </w:rPr>
            </w:r>
          </w:p>
        </w:tc>
        <w:tc>
          <w:tcPr>
            <w:tcW w:w="14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426" w:right="0"/>
              <w:jc w:val="left"/>
              <w:rPr>
                <w:rFonts w:ascii="Arial" w:hAnsi="Arial" w:cs="Arial" w:eastAsia="Arial" w:hint="default"/>
                <w:sz w:val="20"/>
                <w:szCs w:val="20"/>
              </w:rPr>
            </w:pPr>
            <w:r>
              <w:rPr>
                <w:rFonts w:ascii="Arial"/>
                <w:sz w:val="20"/>
              </w:rPr>
              <w:t>1,404,720</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8"/>
              <w:jc w:val="right"/>
              <w:rPr>
                <w:rFonts w:ascii="Arial" w:hAnsi="Arial" w:cs="Arial" w:eastAsia="Arial" w:hint="default"/>
                <w:sz w:val="20"/>
                <w:szCs w:val="20"/>
              </w:rPr>
            </w:pPr>
            <w:r>
              <w:rPr>
                <w:rFonts w:ascii="Arial"/>
                <w:spacing w:val="-1"/>
                <w:sz w:val="20"/>
              </w:rPr>
              <w:t>99.4%</w:t>
            </w:r>
            <w:r>
              <w:rPr>
                <w:rFonts w:ascii="Arial"/>
                <w:sz w:val="20"/>
              </w:rPr>
            </w:r>
          </w:p>
        </w:tc>
        <w:tc>
          <w:tcPr>
            <w:tcW w:w="13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556" w:right="0"/>
              <w:jc w:val="left"/>
              <w:rPr>
                <w:rFonts w:ascii="Arial" w:hAnsi="Arial" w:cs="Arial" w:eastAsia="Arial" w:hint="default"/>
                <w:sz w:val="20"/>
                <w:szCs w:val="20"/>
              </w:rPr>
            </w:pPr>
            <w:r>
              <w:rPr>
                <w:rFonts w:ascii="Arial"/>
                <w:sz w:val="20"/>
              </w:rPr>
              <w:t>(1,187)</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4"/>
              <w:jc w:val="right"/>
              <w:rPr>
                <w:rFonts w:ascii="Arial" w:hAnsi="Arial" w:cs="Arial" w:eastAsia="Arial" w:hint="default"/>
                <w:sz w:val="20"/>
                <w:szCs w:val="20"/>
              </w:rPr>
            </w:pPr>
            <w:r>
              <w:rPr>
                <w:rFonts w:ascii="Arial"/>
                <w:spacing w:val="-1"/>
                <w:sz w:val="20"/>
              </w:rPr>
              <w:t>0.1%</w:t>
            </w:r>
            <w:r>
              <w:rPr>
                <w:rFonts w:ascii="Arial"/>
                <w:sz w:val="20"/>
              </w:rPr>
            </w:r>
          </w:p>
        </w:tc>
      </w:tr>
      <w:tr>
        <w:trPr>
          <w:trHeight w:val="260"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一到二年</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9"/>
              <w:jc w:val="right"/>
              <w:rPr>
                <w:rFonts w:ascii="Arial" w:hAnsi="Arial" w:cs="Arial" w:eastAsia="Arial" w:hint="default"/>
                <w:sz w:val="20"/>
                <w:szCs w:val="20"/>
              </w:rPr>
            </w:pPr>
            <w:r>
              <w:rPr>
                <w:rFonts w:ascii="Arial"/>
                <w:sz w:val="20"/>
              </w:rPr>
              <w:t>676</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Arial" w:hAnsi="Arial" w:cs="Arial" w:eastAsia="Arial" w:hint="default"/>
                <w:sz w:val="20"/>
                <w:szCs w:val="20"/>
              </w:rPr>
            </w:pPr>
            <w:r>
              <w:rPr>
                <w:rFonts w:ascii="Arial"/>
                <w:sz w:val="20"/>
              </w:rPr>
              <w:t>0.0%</w:t>
            </w:r>
          </w:p>
        </w:tc>
        <w:tc>
          <w:tcPr>
            <w:tcW w:w="12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733" w:right="0"/>
              <w:jc w:val="left"/>
              <w:rPr>
                <w:rFonts w:ascii="Arial" w:hAnsi="Arial" w:cs="Arial" w:eastAsia="Arial" w:hint="default"/>
                <w:sz w:val="20"/>
                <w:szCs w:val="20"/>
              </w:rPr>
            </w:pPr>
            <w:r>
              <w:rPr>
                <w:rFonts w:ascii="Arial"/>
                <w:sz w:val="20"/>
              </w:rPr>
              <w:t>(68)</w:t>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z w:val="20"/>
              </w:rPr>
              <w:t>10%</w:t>
            </w:r>
          </w:p>
        </w:tc>
        <w:tc>
          <w:tcPr>
            <w:tcW w:w="14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815" w:right="0"/>
              <w:jc w:val="left"/>
              <w:rPr>
                <w:rFonts w:ascii="Arial" w:hAnsi="Arial" w:cs="Arial" w:eastAsia="Arial" w:hint="default"/>
                <w:sz w:val="20"/>
                <w:szCs w:val="20"/>
              </w:rPr>
            </w:pPr>
            <w:r>
              <w:rPr>
                <w:rFonts w:ascii="Arial"/>
                <w:sz w:val="20"/>
              </w:rPr>
              <w:t>1,480</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z w:val="20"/>
              </w:rPr>
              <w:t>0.1%</w:t>
            </w:r>
          </w:p>
        </w:tc>
        <w:tc>
          <w:tcPr>
            <w:tcW w:w="13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724" w:right="0"/>
              <w:jc w:val="left"/>
              <w:rPr>
                <w:rFonts w:ascii="Arial" w:hAnsi="Arial" w:cs="Arial" w:eastAsia="Arial" w:hint="default"/>
                <w:sz w:val="20"/>
                <w:szCs w:val="20"/>
              </w:rPr>
            </w:pPr>
            <w:r>
              <w:rPr>
                <w:rFonts w:ascii="Arial"/>
                <w:sz w:val="20"/>
              </w:rPr>
              <w:t>(148)</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4"/>
              <w:jc w:val="right"/>
              <w:rPr>
                <w:rFonts w:ascii="Arial" w:hAnsi="Arial" w:cs="Arial" w:eastAsia="Arial" w:hint="default"/>
                <w:sz w:val="20"/>
                <w:szCs w:val="20"/>
              </w:rPr>
            </w:pPr>
            <w:r>
              <w:rPr>
                <w:rFonts w:ascii="Arial"/>
                <w:sz w:val="20"/>
              </w:rPr>
              <w:t>10%</w:t>
            </w:r>
          </w:p>
        </w:tc>
      </w:tr>
      <w:tr>
        <w:trPr>
          <w:trHeight w:val="260"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二到三年</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8"/>
              <w:jc w:val="right"/>
              <w:rPr>
                <w:rFonts w:ascii="Arial" w:hAnsi="Arial" w:cs="Arial" w:eastAsia="Arial" w:hint="default"/>
                <w:sz w:val="20"/>
                <w:szCs w:val="20"/>
              </w:rPr>
            </w:pPr>
            <w:r>
              <w:rPr>
                <w:rFonts w:ascii="Arial"/>
                <w:sz w:val="20"/>
              </w:rPr>
              <w:t>1,350</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Arial" w:hAnsi="Arial" w:cs="Arial" w:eastAsia="Arial" w:hint="default"/>
                <w:sz w:val="20"/>
                <w:szCs w:val="20"/>
              </w:rPr>
            </w:pPr>
            <w:r>
              <w:rPr>
                <w:rFonts w:ascii="Arial"/>
                <w:sz w:val="20"/>
              </w:rPr>
              <w:t>0.1%</w:t>
            </w:r>
          </w:p>
        </w:tc>
        <w:tc>
          <w:tcPr>
            <w:tcW w:w="12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622" w:right="0"/>
              <w:jc w:val="left"/>
              <w:rPr>
                <w:rFonts w:ascii="Arial" w:hAnsi="Arial" w:cs="Arial" w:eastAsia="Arial" w:hint="default"/>
                <w:sz w:val="20"/>
                <w:szCs w:val="20"/>
              </w:rPr>
            </w:pPr>
            <w:r>
              <w:rPr>
                <w:rFonts w:ascii="Arial"/>
                <w:sz w:val="20"/>
              </w:rPr>
              <w:t>(270)</w:t>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z w:val="20"/>
              </w:rPr>
              <w:t>20%</w:t>
            </w:r>
          </w:p>
        </w:tc>
        <w:tc>
          <w:tcPr>
            <w:tcW w:w="14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815" w:right="0"/>
              <w:jc w:val="left"/>
              <w:rPr>
                <w:rFonts w:ascii="Arial" w:hAnsi="Arial" w:cs="Arial" w:eastAsia="Arial" w:hint="default"/>
                <w:sz w:val="20"/>
                <w:szCs w:val="20"/>
              </w:rPr>
            </w:pPr>
            <w:r>
              <w:rPr>
                <w:rFonts w:ascii="Arial"/>
                <w:sz w:val="20"/>
              </w:rPr>
              <w:t>6,530</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z w:val="20"/>
              </w:rPr>
              <w:t>0.4%</w:t>
            </w:r>
          </w:p>
        </w:tc>
        <w:tc>
          <w:tcPr>
            <w:tcW w:w="13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557" w:right="0"/>
              <w:jc w:val="left"/>
              <w:rPr>
                <w:rFonts w:ascii="Arial" w:hAnsi="Arial" w:cs="Arial" w:eastAsia="Arial" w:hint="default"/>
                <w:sz w:val="20"/>
                <w:szCs w:val="20"/>
              </w:rPr>
            </w:pPr>
            <w:r>
              <w:rPr>
                <w:rFonts w:ascii="Arial"/>
                <w:sz w:val="20"/>
              </w:rPr>
              <w:t>(1,306)</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4"/>
              <w:jc w:val="right"/>
              <w:rPr>
                <w:rFonts w:ascii="Arial" w:hAnsi="Arial" w:cs="Arial" w:eastAsia="Arial" w:hint="default"/>
                <w:sz w:val="20"/>
                <w:szCs w:val="20"/>
              </w:rPr>
            </w:pPr>
            <w:r>
              <w:rPr>
                <w:rFonts w:ascii="Arial"/>
                <w:sz w:val="20"/>
              </w:rPr>
              <w:t>20%</w:t>
            </w:r>
          </w:p>
        </w:tc>
      </w:tr>
      <w:tr>
        <w:trPr>
          <w:trHeight w:val="260"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20"/>
                <w:szCs w:val="20"/>
              </w:rPr>
            </w:pPr>
            <w:r>
              <w:rPr>
                <w:rFonts w:ascii="宋体" w:hAnsi="宋体" w:cs="宋体" w:eastAsia="宋体" w:hint="default"/>
                <w:sz w:val="20"/>
                <w:szCs w:val="20"/>
              </w:rPr>
              <w:t>三到四年</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9"/>
              <w:jc w:val="right"/>
              <w:rPr>
                <w:rFonts w:ascii="Arial" w:hAnsi="Arial" w:cs="Arial" w:eastAsia="Arial" w:hint="default"/>
                <w:sz w:val="20"/>
                <w:szCs w:val="20"/>
              </w:rPr>
            </w:pPr>
            <w:r>
              <w:rPr>
                <w:rFonts w:ascii="Arial"/>
                <w:sz w:val="20"/>
              </w:rPr>
              <w:t>159</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right"/>
              <w:rPr>
                <w:rFonts w:ascii="Arial" w:hAnsi="Arial" w:cs="Arial" w:eastAsia="Arial" w:hint="default"/>
                <w:sz w:val="20"/>
                <w:szCs w:val="20"/>
              </w:rPr>
            </w:pPr>
            <w:r>
              <w:rPr>
                <w:rFonts w:ascii="Arial"/>
                <w:sz w:val="20"/>
              </w:rPr>
              <w:t>0.0%</w:t>
            </w:r>
          </w:p>
        </w:tc>
        <w:tc>
          <w:tcPr>
            <w:tcW w:w="12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33" w:right="0"/>
              <w:jc w:val="left"/>
              <w:rPr>
                <w:rFonts w:ascii="Arial" w:hAnsi="Arial" w:cs="Arial" w:eastAsia="Arial" w:hint="default"/>
                <w:sz w:val="20"/>
                <w:szCs w:val="20"/>
              </w:rPr>
            </w:pPr>
            <w:r>
              <w:rPr>
                <w:rFonts w:ascii="Arial"/>
                <w:sz w:val="20"/>
              </w:rPr>
              <w:t>(48)</w:t>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8"/>
              <w:jc w:val="right"/>
              <w:rPr>
                <w:rFonts w:ascii="Arial" w:hAnsi="Arial" w:cs="Arial" w:eastAsia="Arial" w:hint="default"/>
                <w:sz w:val="20"/>
                <w:szCs w:val="20"/>
              </w:rPr>
            </w:pPr>
            <w:r>
              <w:rPr>
                <w:rFonts w:ascii="Arial"/>
                <w:sz w:val="20"/>
              </w:rPr>
              <w:t>30%</w:t>
            </w:r>
          </w:p>
        </w:tc>
        <w:tc>
          <w:tcPr>
            <w:tcW w:w="14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815" w:right="0"/>
              <w:jc w:val="left"/>
              <w:rPr>
                <w:rFonts w:ascii="Arial" w:hAnsi="Arial" w:cs="Arial" w:eastAsia="Arial" w:hint="default"/>
                <w:sz w:val="20"/>
                <w:szCs w:val="20"/>
              </w:rPr>
            </w:pPr>
            <w:r>
              <w:rPr>
                <w:rFonts w:ascii="Arial"/>
                <w:sz w:val="20"/>
              </w:rPr>
              <w:t>1,167</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8"/>
              <w:jc w:val="right"/>
              <w:rPr>
                <w:rFonts w:ascii="Arial" w:hAnsi="Arial" w:cs="Arial" w:eastAsia="Arial" w:hint="default"/>
                <w:sz w:val="20"/>
                <w:szCs w:val="20"/>
              </w:rPr>
            </w:pPr>
            <w:r>
              <w:rPr>
                <w:rFonts w:ascii="Arial"/>
                <w:sz w:val="20"/>
              </w:rPr>
              <w:t>0.1%</w:t>
            </w:r>
          </w:p>
        </w:tc>
        <w:tc>
          <w:tcPr>
            <w:tcW w:w="13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24" w:right="0"/>
              <w:jc w:val="left"/>
              <w:rPr>
                <w:rFonts w:ascii="Arial" w:hAnsi="Arial" w:cs="Arial" w:eastAsia="Arial" w:hint="default"/>
                <w:sz w:val="20"/>
                <w:szCs w:val="20"/>
              </w:rPr>
            </w:pPr>
            <w:r>
              <w:rPr>
                <w:rFonts w:ascii="Arial"/>
                <w:sz w:val="20"/>
              </w:rPr>
              <w:t>(350)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4"/>
              <w:jc w:val="right"/>
              <w:rPr>
                <w:rFonts w:ascii="Arial" w:hAnsi="Arial" w:cs="Arial" w:eastAsia="Arial" w:hint="default"/>
                <w:sz w:val="20"/>
                <w:szCs w:val="20"/>
              </w:rPr>
            </w:pPr>
            <w:r>
              <w:rPr>
                <w:rFonts w:ascii="Arial"/>
                <w:sz w:val="20"/>
              </w:rPr>
              <w:t>30%</w:t>
            </w:r>
          </w:p>
        </w:tc>
      </w:tr>
      <w:tr>
        <w:trPr>
          <w:trHeight w:val="260"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四到五年</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9"/>
              <w:jc w:val="right"/>
              <w:rPr>
                <w:rFonts w:ascii="Arial" w:hAnsi="Arial" w:cs="Arial" w:eastAsia="Arial" w:hint="default"/>
                <w:sz w:val="20"/>
                <w:szCs w:val="20"/>
              </w:rPr>
            </w:pPr>
            <w:r>
              <w:rPr>
                <w:rFonts w:ascii="Arial"/>
                <w:sz w:val="20"/>
              </w:rPr>
              <w:t>537</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Arial" w:hAnsi="Arial" w:cs="Arial" w:eastAsia="Arial" w:hint="default"/>
                <w:sz w:val="20"/>
                <w:szCs w:val="20"/>
              </w:rPr>
            </w:pPr>
            <w:r>
              <w:rPr>
                <w:rFonts w:ascii="Arial"/>
                <w:sz w:val="20"/>
              </w:rPr>
              <w:t>0.0%</w:t>
            </w:r>
          </w:p>
        </w:tc>
        <w:tc>
          <w:tcPr>
            <w:tcW w:w="12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621" w:right="0"/>
              <w:jc w:val="left"/>
              <w:rPr>
                <w:rFonts w:ascii="Arial" w:hAnsi="Arial" w:cs="Arial" w:eastAsia="Arial" w:hint="default"/>
                <w:sz w:val="20"/>
                <w:szCs w:val="20"/>
              </w:rPr>
            </w:pPr>
            <w:r>
              <w:rPr>
                <w:rFonts w:ascii="Arial"/>
                <w:sz w:val="20"/>
              </w:rPr>
              <w:t>(322)</w:t>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z w:val="20"/>
              </w:rPr>
              <w:t>60%</w:t>
            </w:r>
          </w:p>
        </w:tc>
        <w:tc>
          <w:tcPr>
            <w:tcW w:w="14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right="139"/>
              <w:jc w:val="right"/>
              <w:rPr>
                <w:rFonts w:ascii="Arial" w:hAnsi="Arial" w:cs="Arial" w:eastAsia="Arial" w:hint="default"/>
                <w:sz w:val="20"/>
                <w:szCs w:val="20"/>
              </w:rPr>
            </w:pPr>
            <w:r>
              <w:rPr>
                <w:rFonts w:ascii="Arial"/>
                <w:w w:val="100"/>
                <w:sz w:val="20"/>
              </w:rPr>
              <w:t>-</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z w:val="20"/>
              </w:rPr>
              <w:t>0.0%</w:t>
            </w:r>
          </w:p>
        </w:tc>
        <w:tc>
          <w:tcPr>
            <w:tcW w:w="13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right="186"/>
              <w:jc w:val="right"/>
              <w:rPr>
                <w:rFonts w:ascii="Arial" w:hAnsi="Arial" w:cs="Arial" w:eastAsia="Arial" w:hint="default"/>
                <w:sz w:val="20"/>
                <w:szCs w:val="20"/>
              </w:rPr>
            </w:pPr>
            <w:r>
              <w:rPr>
                <w:rFonts w:ascii="Arial"/>
                <w:w w:val="100"/>
                <w:sz w:val="20"/>
              </w:rPr>
              <w:t>-</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4"/>
              <w:jc w:val="right"/>
              <w:rPr>
                <w:rFonts w:ascii="Arial" w:hAnsi="Arial" w:cs="Arial" w:eastAsia="Arial" w:hint="default"/>
                <w:sz w:val="20"/>
                <w:szCs w:val="20"/>
              </w:rPr>
            </w:pPr>
            <w:r>
              <w:rPr>
                <w:rFonts w:ascii="Arial"/>
                <w:sz w:val="20"/>
              </w:rPr>
              <w:t>60%</w:t>
            </w:r>
          </w:p>
        </w:tc>
      </w:tr>
      <w:tr>
        <w:trPr>
          <w:trHeight w:val="261"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五年以上</w:t>
            </w:r>
          </w:p>
        </w:tc>
        <w:tc>
          <w:tcPr>
            <w:tcW w:w="2010" w:type="dxa"/>
            <w:gridSpan w:val="2"/>
            <w:tcBorders>
              <w:top w:val="nil" w:sz="6" w:space="0" w:color="auto"/>
              <w:left w:val="nil" w:sz="6" w:space="0" w:color="auto"/>
              <w:bottom w:val="nil" w:sz="6" w:space="0" w:color="auto"/>
              <w:right w:val="nil" w:sz="6" w:space="0" w:color="auto"/>
            </w:tcBorders>
          </w:tcPr>
          <w:p>
            <w:pPr>
              <w:pStyle w:val="TableParagraph"/>
              <w:tabs>
                <w:tab w:pos="991" w:val="left" w:leader="none"/>
                <w:tab w:pos="2009" w:val="left" w:leader="none"/>
              </w:tabs>
              <w:spacing w:line="228" w:lineRule="exact"/>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748" w:type="dxa"/>
            <w:gridSpan w:val="2"/>
            <w:tcBorders>
              <w:top w:val="nil" w:sz="6" w:space="0" w:color="auto"/>
              <w:left w:val="nil" w:sz="6" w:space="0" w:color="auto"/>
              <w:bottom w:val="nil" w:sz="6" w:space="0" w:color="auto"/>
              <w:right w:val="nil" w:sz="6" w:space="0" w:color="auto"/>
            </w:tcBorders>
          </w:tcPr>
          <w:p>
            <w:pPr>
              <w:pStyle w:val="TableParagraph"/>
              <w:tabs>
                <w:tab w:pos="786" w:val="left" w:leader="none"/>
                <w:tab w:pos="1134" w:val="left" w:leader="none"/>
                <w:tab w:pos="1748" w:val="left" w:leader="none"/>
              </w:tabs>
              <w:spacing w:line="228" w:lineRule="exact"/>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t>100%</w:t>
              <w:tab/>
            </w:r>
            <w:r>
              <w:rPr>
                <w:rFonts w:ascii="Arial"/>
                <w:sz w:val="20"/>
              </w:rPr>
            </w:r>
          </w:p>
        </w:tc>
        <w:tc>
          <w:tcPr>
            <w:tcW w:w="241" w:type="dxa"/>
            <w:tcBorders>
              <w:top w:val="nil" w:sz="6" w:space="0" w:color="auto"/>
              <w:left w:val="nil" w:sz="6" w:space="0" w:color="auto"/>
              <w:bottom w:val="nil" w:sz="6" w:space="0" w:color="auto"/>
              <w:right w:val="nil" w:sz="6" w:space="0" w:color="auto"/>
            </w:tcBorders>
          </w:tcPr>
          <w:p>
            <w:pPr/>
          </w:p>
        </w:tc>
        <w:tc>
          <w:tcPr>
            <w:tcW w:w="2027" w:type="dxa"/>
            <w:gridSpan w:val="2"/>
            <w:tcBorders>
              <w:top w:val="nil" w:sz="6" w:space="0" w:color="auto"/>
              <w:left w:val="nil" w:sz="6" w:space="0" w:color="auto"/>
              <w:bottom w:val="nil" w:sz="6" w:space="0" w:color="auto"/>
              <w:right w:val="nil" w:sz="6" w:space="0" w:color="auto"/>
            </w:tcBorders>
          </w:tcPr>
          <w:p>
            <w:pPr>
              <w:pStyle w:val="TableParagraph"/>
              <w:tabs>
                <w:tab w:pos="1008" w:val="left" w:leader="none"/>
                <w:tab w:pos="1758" w:val="left" w:leader="none"/>
                <w:tab w:pos="2026" w:val="left" w:leader="none"/>
              </w:tabs>
              <w:spacing w:line="228" w:lineRule="exact"/>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t>-</w:t>
              <w:tab/>
            </w:r>
            <w:r>
              <w:rPr>
                <w:rFonts w:ascii="Arial"/>
                <w:sz w:val="20"/>
              </w:rPr>
            </w:r>
          </w:p>
        </w:tc>
        <w:tc>
          <w:tcPr>
            <w:tcW w:w="238" w:type="dxa"/>
            <w:tcBorders>
              <w:top w:val="nil" w:sz="6" w:space="0" w:color="auto"/>
              <w:left w:val="nil" w:sz="6" w:space="0" w:color="auto"/>
              <w:bottom w:val="nil" w:sz="6" w:space="0" w:color="auto"/>
              <w:right w:val="nil" w:sz="6" w:space="0" w:color="auto"/>
            </w:tcBorders>
          </w:tcPr>
          <w:p>
            <w:pPr/>
          </w:p>
        </w:tc>
        <w:tc>
          <w:tcPr>
            <w:tcW w:w="1924" w:type="dxa"/>
            <w:gridSpan w:val="2"/>
            <w:tcBorders>
              <w:top w:val="nil" w:sz="6" w:space="0" w:color="auto"/>
              <w:left w:val="nil" w:sz="6" w:space="0" w:color="auto"/>
              <w:bottom w:val="nil" w:sz="6" w:space="0" w:color="auto"/>
              <w:right w:val="nil" w:sz="6" w:space="0" w:color="auto"/>
            </w:tcBorders>
          </w:tcPr>
          <w:p>
            <w:pPr>
              <w:pStyle w:val="TableParagraph"/>
              <w:tabs>
                <w:tab w:pos="886" w:val="left" w:leader="none"/>
                <w:tab w:pos="1274" w:val="left" w:leader="none"/>
                <w:tab w:pos="1888" w:val="left" w:leader="none"/>
              </w:tabs>
              <w:spacing w:line="228" w:lineRule="exact"/>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t>100%</w:t>
              <w:tab/>
            </w:r>
            <w:r>
              <w:rPr>
                <w:rFonts w:ascii="Arial"/>
                <w:sz w:val="20"/>
              </w:rPr>
            </w:r>
          </w:p>
        </w:tc>
      </w:tr>
      <w:tr>
        <w:trPr>
          <w:trHeight w:val="242" w:hRule="exact"/>
        </w:trPr>
        <w:tc>
          <w:tcPr>
            <w:tcW w:w="1179" w:type="dxa"/>
            <w:tcBorders>
              <w:top w:val="nil" w:sz="6" w:space="0" w:color="auto"/>
              <w:left w:val="nil" w:sz="6" w:space="0" w:color="auto"/>
              <w:bottom w:val="nil" w:sz="6" w:space="0" w:color="auto"/>
              <w:right w:val="nil" w:sz="6" w:space="0" w:color="auto"/>
            </w:tcBorders>
          </w:tcPr>
          <w:p>
            <w:pPr/>
          </w:p>
        </w:tc>
        <w:tc>
          <w:tcPr>
            <w:tcW w:w="2010" w:type="dxa"/>
            <w:gridSpan w:val="2"/>
            <w:tcBorders>
              <w:top w:val="nil" w:sz="6" w:space="0" w:color="auto"/>
              <w:left w:val="nil" w:sz="6" w:space="0" w:color="auto"/>
              <w:bottom w:val="single" w:sz="12" w:space="0" w:color="000000"/>
              <w:right w:val="nil" w:sz="6" w:space="0" w:color="auto"/>
            </w:tcBorders>
          </w:tcPr>
          <w:p>
            <w:pPr>
              <w:pStyle w:val="TableParagraph"/>
              <w:spacing w:line="224" w:lineRule="exact"/>
              <w:ind w:left="168" w:right="0"/>
              <w:jc w:val="left"/>
              <w:rPr>
                <w:rFonts w:ascii="Arial" w:hAnsi="Arial" w:cs="Arial" w:eastAsia="Arial" w:hint="default"/>
                <w:sz w:val="20"/>
                <w:szCs w:val="20"/>
              </w:rPr>
            </w:pPr>
            <w:r>
              <w:rPr>
                <w:rFonts w:ascii="Arial"/>
                <w:sz w:val="20"/>
              </w:rPr>
              <w:t>2,572,252 </w:t>
            </w:r>
            <w:r>
              <w:rPr>
                <w:rFonts w:ascii="Arial"/>
                <w:spacing w:val="46"/>
                <w:sz w:val="20"/>
              </w:rPr>
              <w:t> </w:t>
            </w:r>
            <w:r>
              <w:rPr>
                <w:rFonts w:ascii="Arial"/>
                <w:sz w:val="20"/>
              </w:rPr>
              <w:t>100.0%</w:t>
            </w:r>
          </w:p>
        </w:tc>
        <w:tc>
          <w:tcPr>
            <w:tcW w:w="235" w:type="dxa"/>
            <w:tcBorders>
              <w:top w:val="nil" w:sz="6" w:space="0" w:color="auto"/>
              <w:left w:val="nil" w:sz="6" w:space="0" w:color="auto"/>
              <w:bottom w:val="nil" w:sz="6" w:space="0" w:color="auto"/>
              <w:right w:val="nil" w:sz="6" w:space="0" w:color="auto"/>
            </w:tcBorders>
          </w:tcPr>
          <w:p>
            <w:pPr/>
          </w:p>
        </w:tc>
        <w:tc>
          <w:tcPr>
            <w:tcW w:w="1748" w:type="dxa"/>
            <w:gridSpan w:val="2"/>
            <w:tcBorders>
              <w:top w:val="nil" w:sz="6" w:space="0" w:color="auto"/>
              <w:left w:val="nil" w:sz="6" w:space="0" w:color="auto"/>
              <w:bottom w:val="single" w:sz="12" w:space="0" w:color="000000"/>
              <w:right w:val="nil" w:sz="6" w:space="0" w:color="auto"/>
            </w:tcBorders>
          </w:tcPr>
          <w:p>
            <w:pPr>
              <w:pStyle w:val="TableParagraph"/>
              <w:spacing w:line="224" w:lineRule="exact"/>
              <w:ind w:left="219" w:right="0"/>
              <w:jc w:val="left"/>
              <w:rPr>
                <w:rFonts w:ascii="Arial" w:hAnsi="Arial" w:cs="Arial" w:eastAsia="Arial" w:hint="default"/>
                <w:sz w:val="20"/>
                <w:szCs w:val="20"/>
              </w:rPr>
            </w:pPr>
            <w:r>
              <w:rPr>
                <w:rFonts w:ascii="Arial"/>
                <w:sz w:val="20"/>
              </w:rPr>
              <w:t>(5,096)</w:t>
            </w:r>
          </w:p>
        </w:tc>
        <w:tc>
          <w:tcPr>
            <w:tcW w:w="241" w:type="dxa"/>
            <w:tcBorders>
              <w:top w:val="nil" w:sz="6" w:space="0" w:color="auto"/>
              <w:left w:val="nil" w:sz="6" w:space="0" w:color="auto"/>
              <w:bottom w:val="nil" w:sz="6" w:space="0" w:color="auto"/>
              <w:right w:val="nil" w:sz="6" w:space="0" w:color="auto"/>
            </w:tcBorders>
          </w:tcPr>
          <w:p>
            <w:pPr/>
          </w:p>
        </w:tc>
        <w:tc>
          <w:tcPr>
            <w:tcW w:w="2027" w:type="dxa"/>
            <w:gridSpan w:val="2"/>
            <w:tcBorders>
              <w:top w:val="nil" w:sz="6" w:space="0" w:color="auto"/>
              <w:left w:val="nil" w:sz="6" w:space="0" w:color="auto"/>
              <w:bottom w:val="single" w:sz="12" w:space="0" w:color="000000"/>
              <w:right w:val="nil" w:sz="6" w:space="0" w:color="auto"/>
            </w:tcBorders>
          </w:tcPr>
          <w:p>
            <w:pPr>
              <w:pStyle w:val="TableParagraph"/>
              <w:spacing w:line="224" w:lineRule="exact"/>
              <w:ind w:left="185" w:right="0"/>
              <w:jc w:val="left"/>
              <w:rPr>
                <w:rFonts w:ascii="Arial" w:hAnsi="Arial" w:cs="Arial" w:eastAsia="Arial" w:hint="default"/>
                <w:sz w:val="20"/>
                <w:szCs w:val="20"/>
              </w:rPr>
            </w:pPr>
            <w:r>
              <w:rPr>
                <w:rFonts w:ascii="Arial"/>
                <w:sz w:val="20"/>
              </w:rPr>
              <w:t>1,413,897 </w:t>
            </w:r>
            <w:r>
              <w:rPr>
                <w:rFonts w:ascii="Arial"/>
                <w:spacing w:val="47"/>
                <w:sz w:val="20"/>
              </w:rPr>
              <w:t> </w:t>
            </w:r>
            <w:r>
              <w:rPr>
                <w:rFonts w:ascii="Arial"/>
                <w:sz w:val="20"/>
              </w:rPr>
              <w:t>100.0%</w:t>
            </w:r>
          </w:p>
        </w:tc>
        <w:tc>
          <w:tcPr>
            <w:tcW w:w="238" w:type="dxa"/>
            <w:tcBorders>
              <w:top w:val="nil" w:sz="6" w:space="0" w:color="auto"/>
              <w:left w:val="nil" w:sz="6" w:space="0" w:color="auto"/>
              <w:bottom w:val="nil" w:sz="6" w:space="0" w:color="auto"/>
              <w:right w:val="nil" w:sz="6" w:space="0" w:color="auto"/>
            </w:tcBorders>
          </w:tcPr>
          <w:p>
            <w:pPr/>
          </w:p>
        </w:tc>
        <w:tc>
          <w:tcPr>
            <w:tcW w:w="1924" w:type="dxa"/>
            <w:gridSpan w:val="2"/>
            <w:tcBorders>
              <w:top w:val="nil" w:sz="6" w:space="0" w:color="auto"/>
              <w:left w:val="nil" w:sz="6" w:space="0" w:color="auto"/>
              <w:bottom w:val="single" w:sz="12" w:space="0" w:color="000000"/>
              <w:right w:val="nil" w:sz="6" w:space="0" w:color="auto"/>
            </w:tcBorders>
          </w:tcPr>
          <w:p>
            <w:pPr>
              <w:pStyle w:val="TableParagraph"/>
              <w:spacing w:line="224" w:lineRule="exact"/>
              <w:ind w:left="319" w:right="0"/>
              <w:jc w:val="left"/>
              <w:rPr>
                <w:rFonts w:ascii="Arial" w:hAnsi="Arial" w:cs="Arial" w:eastAsia="Arial" w:hint="default"/>
                <w:sz w:val="20"/>
                <w:szCs w:val="20"/>
              </w:rPr>
            </w:pPr>
            <w:r>
              <w:rPr>
                <w:rFonts w:ascii="Arial"/>
                <w:sz w:val="20"/>
              </w:rPr>
              <w:t>(2,991)</w:t>
            </w:r>
          </w:p>
        </w:tc>
      </w:tr>
    </w:tbl>
    <w:p>
      <w:pPr>
        <w:spacing w:line="240" w:lineRule="auto" w:before="7"/>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535"/>
        <w:gridCol w:w="4847"/>
        <w:gridCol w:w="1208"/>
        <w:gridCol w:w="2198"/>
        <w:gridCol w:w="1410"/>
      </w:tblGrid>
      <w:tr>
        <w:trPr>
          <w:trHeight w:val="970"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Arial" w:hAnsi="Arial" w:cs="Arial" w:eastAsia="Arial" w:hint="default"/>
                <w:sz w:val="24"/>
                <w:szCs w:val="24"/>
              </w:rPr>
            </w:pPr>
            <w:r>
              <w:rPr>
                <w:rFonts w:ascii="Arial"/>
                <w:sz w:val="24"/>
              </w:rPr>
              <w:t>(d)</w:t>
            </w:r>
          </w:p>
        </w:tc>
        <w:tc>
          <w:tcPr>
            <w:tcW w:w="484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06" w:right="0"/>
              <w:jc w:val="left"/>
              <w:rPr>
                <w:rFonts w:ascii="宋体" w:hAnsi="宋体" w:cs="宋体" w:eastAsia="宋体" w:hint="default"/>
                <w:sz w:val="24"/>
                <w:szCs w:val="24"/>
              </w:rPr>
            </w:pPr>
            <w:r>
              <w:rPr>
                <w:rFonts w:ascii="宋体" w:hAnsi="宋体" w:cs="宋体" w:eastAsia="宋体" w:hint="default"/>
                <w:sz w:val="24"/>
                <w:szCs w:val="24"/>
              </w:rPr>
              <w:t>本年度实际核销的应收账款分析如下：</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77" w:right="0"/>
              <w:jc w:val="center"/>
              <w:rPr>
                <w:rFonts w:ascii="宋体" w:hAnsi="宋体" w:cs="宋体" w:eastAsia="宋体" w:hint="default"/>
                <w:sz w:val="24"/>
                <w:szCs w:val="24"/>
              </w:rPr>
            </w:pPr>
            <w:r>
              <w:rPr>
                <w:rFonts w:ascii="宋体" w:hAnsi="宋体" w:cs="宋体" w:eastAsia="宋体" w:hint="default"/>
                <w:sz w:val="24"/>
                <w:szCs w:val="24"/>
              </w:rPr>
              <w:t>核销</w:t>
            </w:r>
          </w:p>
        </w:tc>
        <w:tc>
          <w:tcPr>
            <w:tcW w:w="2198"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33"/>
              <w:jc w:val="right"/>
              <w:rPr>
                <w:rFonts w:ascii="宋体" w:hAnsi="宋体" w:cs="宋体" w:eastAsia="宋体" w:hint="default"/>
                <w:sz w:val="24"/>
                <w:szCs w:val="24"/>
              </w:rPr>
            </w:pPr>
            <w:r>
              <w:rPr>
                <w:rFonts w:ascii="宋体" w:hAnsi="宋体" w:cs="宋体" w:eastAsia="宋体" w:hint="default"/>
                <w:sz w:val="24"/>
                <w:szCs w:val="24"/>
              </w:rPr>
              <w:t>是否因关联</w:t>
            </w:r>
          </w:p>
        </w:tc>
      </w:tr>
      <w:tr>
        <w:trPr>
          <w:trHeight w:val="450" w:hRule="exact"/>
        </w:trPr>
        <w:tc>
          <w:tcPr>
            <w:tcW w:w="535" w:type="dxa"/>
            <w:tcBorders>
              <w:top w:val="nil" w:sz="6" w:space="0" w:color="auto"/>
              <w:left w:val="nil" w:sz="6" w:space="0" w:color="auto"/>
              <w:bottom w:val="nil" w:sz="6" w:space="0" w:color="auto"/>
              <w:right w:val="nil" w:sz="6" w:space="0" w:color="auto"/>
            </w:tcBorders>
          </w:tcPr>
          <w:p>
            <w:pPr/>
          </w:p>
        </w:tc>
        <w:tc>
          <w:tcPr>
            <w:tcW w:w="4847" w:type="dxa"/>
            <w:tcBorders>
              <w:top w:val="nil" w:sz="6" w:space="0" w:color="auto"/>
              <w:left w:val="nil" w:sz="6" w:space="0" w:color="auto"/>
              <w:bottom w:val="nil" w:sz="6" w:space="0" w:color="auto"/>
              <w:right w:val="nil" w:sz="6" w:space="0" w:color="auto"/>
            </w:tcBorders>
          </w:tcPr>
          <w:p>
            <w:pPr>
              <w:pStyle w:val="TableParagraph"/>
              <w:spacing w:line="276" w:lineRule="exact"/>
              <w:ind w:right="55"/>
              <w:jc w:val="right"/>
              <w:rPr>
                <w:rFonts w:ascii="宋体" w:hAnsi="宋体" w:cs="宋体" w:eastAsia="宋体" w:hint="default"/>
                <w:sz w:val="24"/>
                <w:szCs w:val="24"/>
              </w:rPr>
            </w:pPr>
            <w:r>
              <w:rPr>
                <w:rFonts w:ascii="宋体" w:hAnsi="宋体" w:cs="宋体" w:eastAsia="宋体" w:hint="default"/>
                <w:sz w:val="24"/>
                <w:szCs w:val="24"/>
              </w:rPr>
              <w:t>应收账款性质</w:t>
            </w:r>
          </w:p>
        </w:tc>
        <w:tc>
          <w:tcPr>
            <w:tcW w:w="1208" w:type="dxa"/>
            <w:tcBorders>
              <w:top w:val="nil" w:sz="6" w:space="0" w:color="auto"/>
              <w:left w:val="nil" w:sz="6" w:space="0" w:color="auto"/>
              <w:bottom w:val="nil" w:sz="6" w:space="0" w:color="auto"/>
              <w:right w:val="nil" w:sz="6" w:space="0" w:color="auto"/>
            </w:tcBorders>
          </w:tcPr>
          <w:p>
            <w:pPr>
              <w:pStyle w:val="TableParagraph"/>
              <w:spacing w:line="276" w:lineRule="exact"/>
              <w:ind w:left="77"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2198" w:type="dxa"/>
            <w:tcBorders>
              <w:top w:val="nil" w:sz="6" w:space="0" w:color="auto"/>
              <w:left w:val="nil" w:sz="6" w:space="0" w:color="auto"/>
              <w:bottom w:val="nil" w:sz="6" w:space="0" w:color="auto"/>
              <w:right w:val="nil" w:sz="6" w:space="0" w:color="auto"/>
            </w:tcBorders>
          </w:tcPr>
          <w:p>
            <w:pPr>
              <w:pStyle w:val="TableParagraph"/>
              <w:spacing w:line="276" w:lineRule="exact"/>
              <w:ind w:right="173"/>
              <w:jc w:val="right"/>
              <w:rPr>
                <w:rFonts w:ascii="宋体" w:hAnsi="宋体" w:cs="宋体" w:eastAsia="宋体" w:hint="default"/>
                <w:sz w:val="24"/>
                <w:szCs w:val="24"/>
              </w:rPr>
            </w:pPr>
            <w:r>
              <w:rPr>
                <w:rFonts w:ascii="宋体" w:hAnsi="宋体" w:cs="宋体" w:eastAsia="宋体" w:hint="default"/>
                <w:sz w:val="24"/>
                <w:szCs w:val="24"/>
              </w:rPr>
              <w:t>核销原因</w:t>
            </w:r>
          </w:p>
        </w:tc>
        <w:tc>
          <w:tcPr>
            <w:tcW w:w="1410" w:type="dxa"/>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宋体" w:hAnsi="宋体" w:cs="宋体" w:eastAsia="宋体" w:hint="default"/>
                <w:sz w:val="24"/>
                <w:szCs w:val="24"/>
              </w:rPr>
            </w:pPr>
            <w:r>
              <w:rPr>
                <w:rFonts w:ascii="宋体" w:hAnsi="宋体" w:cs="宋体" w:eastAsia="宋体" w:hint="default"/>
                <w:sz w:val="24"/>
                <w:szCs w:val="24"/>
              </w:rPr>
              <w:t>交易产生</w:t>
            </w:r>
          </w:p>
        </w:tc>
      </w:tr>
      <w:tr>
        <w:trPr>
          <w:trHeight w:val="544" w:hRule="exact"/>
        </w:trPr>
        <w:tc>
          <w:tcPr>
            <w:tcW w:w="535" w:type="dxa"/>
            <w:tcBorders>
              <w:top w:val="nil" w:sz="6" w:space="0" w:color="auto"/>
              <w:left w:val="nil" w:sz="6" w:space="0" w:color="auto"/>
              <w:bottom w:val="nil" w:sz="6" w:space="0" w:color="auto"/>
              <w:right w:val="nil" w:sz="6" w:space="0" w:color="auto"/>
            </w:tcBorders>
          </w:tcPr>
          <w:p>
            <w:pPr/>
          </w:p>
        </w:tc>
        <w:tc>
          <w:tcPr>
            <w:tcW w:w="4847" w:type="dxa"/>
            <w:tcBorders>
              <w:top w:val="nil" w:sz="6" w:space="0" w:color="auto"/>
              <w:left w:val="nil" w:sz="6" w:space="0" w:color="auto"/>
              <w:bottom w:val="nil" w:sz="6" w:space="0" w:color="auto"/>
              <w:right w:val="nil" w:sz="6" w:space="0" w:color="auto"/>
            </w:tcBorders>
          </w:tcPr>
          <w:p>
            <w:pPr>
              <w:pStyle w:val="TableParagraph"/>
              <w:tabs>
                <w:tab w:pos="3622" w:val="left" w:leader="none"/>
              </w:tabs>
              <w:spacing w:line="240" w:lineRule="auto" w:before="100"/>
              <w:ind w:right="55"/>
              <w:jc w:val="right"/>
              <w:rPr>
                <w:rFonts w:ascii="宋体" w:hAnsi="宋体" w:cs="宋体" w:eastAsia="宋体" w:hint="default"/>
                <w:sz w:val="24"/>
                <w:szCs w:val="24"/>
              </w:rPr>
            </w:pPr>
            <w:r>
              <w:rPr>
                <w:rFonts w:ascii="宋体" w:hAnsi="宋体" w:cs="宋体" w:eastAsia="宋体" w:hint="default"/>
                <w:sz w:val="24"/>
                <w:szCs w:val="24"/>
              </w:rPr>
              <w:t>其他</w:t>
            </w:r>
            <w:r>
              <w:rPr>
                <w:rFonts w:ascii="Arial" w:hAnsi="Arial" w:cs="Arial" w:eastAsia="Arial" w:hint="default"/>
                <w:sz w:val="24"/>
                <w:szCs w:val="24"/>
              </w:rPr>
              <w:t>(</w:t>
            </w:r>
            <w:r>
              <w:rPr>
                <w:rFonts w:ascii="宋体" w:hAnsi="宋体" w:cs="宋体" w:eastAsia="宋体" w:hint="default"/>
                <w:sz w:val="24"/>
                <w:szCs w:val="24"/>
              </w:rPr>
              <w:t>单笔金额较小</w:t>
            </w:r>
            <w:r>
              <w:rPr>
                <w:rFonts w:ascii="Arial" w:hAnsi="Arial" w:cs="Arial" w:eastAsia="Arial" w:hint="default"/>
                <w:sz w:val="24"/>
                <w:szCs w:val="24"/>
              </w:rPr>
              <w:t>)</w:t>
              <w:tab/>
            </w:r>
            <w:r>
              <w:rPr>
                <w:rFonts w:ascii="宋体" w:hAnsi="宋体" w:cs="宋体" w:eastAsia="宋体" w:hint="default"/>
                <w:sz w:val="24"/>
                <w:szCs w:val="24"/>
              </w:rPr>
              <w:t>应收货款</w:t>
            </w:r>
          </w:p>
        </w:tc>
        <w:tc>
          <w:tcPr>
            <w:tcW w:w="1208" w:type="dxa"/>
            <w:tcBorders>
              <w:top w:val="nil" w:sz="6" w:space="0" w:color="auto"/>
              <w:left w:val="nil" w:sz="6" w:space="0" w:color="auto"/>
              <w:bottom w:val="nil" w:sz="6" w:space="0" w:color="auto"/>
              <w:right w:val="nil" w:sz="6" w:space="0" w:color="auto"/>
            </w:tcBorders>
          </w:tcPr>
          <w:p>
            <w:pPr>
              <w:pStyle w:val="TableParagraph"/>
              <w:tabs>
                <w:tab w:pos="679" w:val="left" w:leader="none"/>
                <w:tab w:pos="1047" w:val="left" w:leader="none"/>
              </w:tabs>
              <w:spacing w:line="240" w:lineRule="auto" w:before="173"/>
              <w:ind w:right="43"/>
              <w:jc w:val="center"/>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w:t>
              <w:tab/>
            </w:r>
            <w:r>
              <w:rPr>
                <w:rFonts w:ascii="Arial"/>
                <w:sz w:val="24"/>
              </w:rPr>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73"/>
              <w:jc w:val="right"/>
              <w:rPr>
                <w:rFonts w:ascii="宋体" w:hAnsi="宋体" w:cs="宋体" w:eastAsia="宋体" w:hint="default"/>
                <w:sz w:val="24"/>
                <w:szCs w:val="24"/>
              </w:rPr>
            </w:pPr>
            <w:r>
              <w:rPr>
                <w:rFonts w:ascii="宋体" w:hAnsi="宋体" w:cs="宋体" w:eastAsia="宋体" w:hint="default"/>
                <w:sz w:val="24"/>
                <w:szCs w:val="24"/>
              </w:rPr>
              <w:t>长时间催讨无结果</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3"/>
        <w:rPr>
          <w:rFonts w:ascii="宋体" w:hAnsi="宋体" w:cs="宋体" w:eastAsia="宋体" w:hint="default"/>
          <w:sz w:val="8"/>
          <w:szCs w:val="8"/>
        </w:rPr>
      </w:pPr>
    </w:p>
    <w:p>
      <w:pPr>
        <w:pStyle w:val="BodyText"/>
        <w:tabs>
          <w:tab w:pos="848" w:val="left" w:leader="none"/>
        </w:tabs>
        <w:spacing w:line="312" w:lineRule="exact" w:before="63"/>
        <w:ind w:left="848" w:right="523" w:hanging="706"/>
        <w:jc w:val="left"/>
      </w:pPr>
      <w:r>
        <w:rPr>
          <w:rFonts w:ascii="Arial" w:hAnsi="Arial" w:cs="Arial" w:eastAsia="Arial" w:hint="default"/>
          <w:w w:val="95"/>
          <w:position w:val="2"/>
        </w:rPr>
        <w:t>(e)</w:t>
        <w:tab/>
      </w:r>
      <w:r>
        <w:rPr/>
        <w:t>于</w:t>
      </w:r>
      <w:r>
        <w:rPr>
          <w:spacing w:val="-2"/>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49"/>
        </w:rPr>
        <w:t> </w:t>
      </w:r>
      <w:r>
        <w:rPr/>
        <w:t>月</w:t>
      </w:r>
      <w:r>
        <w:rPr>
          <w:spacing w:val="-61"/>
        </w:rPr>
        <w:t> </w:t>
      </w:r>
      <w:r>
        <w:rPr>
          <w:rFonts w:ascii="Arial" w:hAnsi="Arial" w:cs="Arial" w:eastAsia="Arial" w:hint="default"/>
        </w:rPr>
        <w:t>31</w:t>
      </w:r>
      <w:r>
        <w:rPr>
          <w:rFonts w:ascii="Arial" w:hAnsi="Arial" w:cs="Arial" w:eastAsia="Arial" w:hint="default"/>
          <w:spacing w:val="49"/>
        </w:rPr>
        <w:t> </w:t>
      </w:r>
      <w:r>
        <w:rPr/>
        <w:t>日及</w:t>
      </w:r>
      <w:r>
        <w:rPr>
          <w:spacing w:val="-61"/>
        </w:rPr>
        <w:t> </w:t>
      </w:r>
      <w:r>
        <w:rPr>
          <w:rFonts w:ascii="Arial" w:hAnsi="Arial" w:cs="Arial" w:eastAsia="Arial" w:hint="default"/>
        </w:rPr>
        <w:t>2009</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49"/>
        </w:rPr>
        <w:t> </w:t>
      </w:r>
      <w:r>
        <w:rPr/>
        <w:t>月</w:t>
      </w:r>
      <w:r>
        <w:rPr>
          <w:spacing w:val="-61"/>
        </w:rPr>
        <w:t> </w:t>
      </w:r>
      <w:r>
        <w:rPr>
          <w:rFonts w:ascii="Arial" w:hAnsi="Arial" w:cs="Arial" w:eastAsia="Arial" w:hint="default"/>
        </w:rPr>
        <w:t>31</w:t>
      </w:r>
      <w:r>
        <w:rPr>
          <w:rFonts w:ascii="Arial" w:hAnsi="Arial" w:cs="Arial" w:eastAsia="Arial" w:hint="default"/>
          <w:spacing w:val="49"/>
        </w:rPr>
        <w:t> </w:t>
      </w:r>
      <w:r>
        <w:rPr/>
        <w:t>日，应收账款中无应收持有本公司</w:t>
      </w:r>
      <w:r>
        <w:rPr>
          <w:spacing w:val="-61"/>
        </w:rPr>
        <w:t> </w:t>
      </w:r>
      <w:r>
        <w:rPr>
          <w:rFonts w:ascii="Arial" w:hAnsi="Arial" w:cs="Arial" w:eastAsia="Arial" w:hint="default"/>
        </w:rPr>
        <w:t>5%(</w:t>
      </w:r>
      <w:r>
        <w:rPr/>
        <w:t>含 </w:t>
      </w:r>
      <w:r>
        <w:rPr>
          <w:rFonts w:ascii="Arial" w:hAnsi="Arial" w:cs="Arial" w:eastAsia="Arial" w:hint="default"/>
        </w:rPr>
        <w:t>5%)</w:t>
      </w:r>
      <w:r>
        <w:rPr/>
        <w:t>以上表决权股份的股东的款项。</w:t>
      </w:r>
    </w:p>
    <w:p>
      <w:pPr>
        <w:spacing w:line="240" w:lineRule="auto" w:before="10"/>
        <w:rPr>
          <w:rFonts w:ascii="宋体" w:hAnsi="宋体" w:cs="宋体" w:eastAsia="宋体" w:hint="default"/>
          <w:sz w:val="18"/>
          <w:szCs w:val="18"/>
        </w:rPr>
      </w:pPr>
    </w:p>
    <w:p>
      <w:pPr>
        <w:pStyle w:val="BodyText"/>
        <w:tabs>
          <w:tab w:pos="848" w:val="left" w:leader="none"/>
        </w:tabs>
        <w:spacing w:line="240" w:lineRule="auto"/>
        <w:ind w:left="143" w:right="523"/>
        <w:jc w:val="left"/>
      </w:pPr>
      <w:r>
        <w:rPr>
          <w:rFonts w:ascii="Arial" w:hAnsi="Arial" w:cs="Arial" w:eastAsia="Arial" w:hint="default"/>
          <w:position w:val="2"/>
        </w:rPr>
        <w:t>(f)</w:t>
        <w:tab/>
      </w:r>
      <w:r>
        <w:rPr/>
        <w:t>于</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日，余额前五名的应收账款分析如下：</w:t>
      </w:r>
    </w:p>
    <w:p>
      <w:pPr>
        <w:spacing w:line="240" w:lineRule="auto" w:before="8"/>
        <w:rPr>
          <w:rFonts w:ascii="宋体" w:hAnsi="宋体" w:cs="宋体" w:eastAsia="宋体" w:hint="default"/>
          <w:sz w:val="17"/>
          <w:szCs w:val="17"/>
        </w:rPr>
      </w:pPr>
    </w:p>
    <w:tbl>
      <w:tblPr>
        <w:tblW w:w="0" w:type="auto"/>
        <w:jc w:val="left"/>
        <w:tblInd w:w="813" w:type="dxa"/>
        <w:tblLayout w:type="fixed"/>
        <w:tblCellMar>
          <w:top w:w="0" w:type="dxa"/>
          <w:left w:w="0" w:type="dxa"/>
          <w:bottom w:w="0" w:type="dxa"/>
          <w:right w:w="0" w:type="dxa"/>
        </w:tblCellMar>
        <w:tblLook w:val="01E0"/>
      </w:tblPr>
      <w:tblGrid>
        <w:gridCol w:w="3061"/>
        <w:gridCol w:w="1637"/>
        <w:gridCol w:w="1858"/>
        <w:gridCol w:w="1259"/>
        <w:gridCol w:w="1504"/>
      </w:tblGrid>
      <w:tr>
        <w:trPr>
          <w:trHeight w:val="826" w:hRule="exact"/>
        </w:trPr>
        <w:tc>
          <w:tcPr>
            <w:tcW w:w="3061"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48"/>
              <w:jc w:val="right"/>
              <w:rPr>
                <w:rFonts w:ascii="宋体" w:hAnsi="宋体" w:cs="宋体" w:eastAsia="宋体" w:hint="default"/>
                <w:sz w:val="24"/>
                <w:szCs w:val="24"/>
              </w:rPr>
            </w:pPr>
            <w:r>
              <w:rPr>
                <w:rFonts w:ascii="宋体" w:hAnsi="宋体" w:cs="宋体" w:eastAsia="宋体" w:hint="default"/>
                <w:sz w:val="24"/>
                <w:szCs w:val="24"/>
              </w:rPr>
              <w:t>与本公司关系</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347"/>
              <w:jc w:val="right"/>
              <w:rPr>
                <w:rFonts w:ascii="宋体" w:hAnsi="宋体" w:cs="宋体" w:eastAsia="宋体" w:hint="default"/>
                <w:sz w:val="24"/>
                <w:szCs w:val="24"/>
              </w:rPr>
            </w:pPr>
            <w:r>
              <w:rPr>
                <w:rFonts w:ascii="宋体" w:hAnsi="宋体" w:cs="宋体" w:eastAsia="宋体" w:hint="default"/>
                <w:sz w:val="24"/>
                <w:szCs w:val="24"/>
              </w:rPr>
              <w:t>金额</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48"/>
              <w:jc w:val="right"/>
              <w:rPr>
                <w:rFonts w:ascii="宋体" w:hAnsi="宋体" w:cs="宋体" w:eastAsia="宋体" w:hint="default"/>
                <w:sz w:val="24"/>
                <w:szCs w:val="24"/>
              </w:rPr>
            </w:pPr>
            <w:r>
              <w:rPr>
                <w:rFonts w:ascii="宋体" w:hAnsi="宋体" w:cs="宋体" w:eastAsia="宋体" w:hint="default"/>
                <w:sz w:val="24"/>
                <w:szCs w:val="24"/>
              </w:rPr>
              <w:t>年限</w:t>
            </w:r>
          </w:p>
        </w:tc>
        <w:tc>
          <w:tcPr>
            <w:tcW w:w="1504"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407" w:right="133" w:hanging="240"/>
              <w:jc w:val="left"/>
              <w:rPr>
                <w:rFonts w:ascii="宋体" w:hAnsi="宋体" w:cs="宋体" w:eastAsia="宋体" w:hint="default"/>
                <w:sz w:val="24"/>
                <w:szCs w:val="24"/>
              </w:rPr>
            </w:pPr>
            <w:r>
              <w:rPr>
                <w:rFonts w:ascii="宋体" w:hAnsi="宋体" w:cs="宋体" w:eastAsia="宋体" w:hint="default"/>
                <w:sz w:val="24"/>
                <w:szCs w:val="24"/>
              </w:rPr>
              <w:t>占应收账款 总额比例</w:t>
            </w:r>
          </w:p>
        </w:tc>
      </w:tr>
      <w:tr>
        <w:trPr>
          <w:trHeight w:val="465"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24"/>
                <w:szCs w:val="24"/>
              </w:rPr>
            </w:pPr>
            <w:r>
              <w:rPr>
                <w:rFonts w:ascii="宋体" w:hAnsi="宋体" w:cs="宋体" w:eastAsia="宋体" w:hint="default"/>
                <w:sz w:val="24"/>
                <w:szCs w:val="24"/>
              </w:rPr>
              <w:t>重庆渝宁苏宁电器有限公司</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48"/>
              <w:jc w:val="right"/>
              <w:rPr>
                <w:rFonts w:ascii="宋体" w:hAnsi="宋体" w:cs="宋体" w:eastAsia="宋体" w:hint="default"/>
                <w:sz w:val="24"/>
                <w:szCs w:val="24"/>
              </w:rPr>
            </w:pPr>
            <w:r>
              <w:rPr>
                <w:rFonts w:ascii="宋体" w:hAnsi="宋体" w:cs="宋体" w:eastAsia="宋体" w:hint="default"/>
                <w:sz w:val="24"/>
                <w:szCs w:val="24"/>
              </w:rPr>
              <w:t>子公司</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48"/>
              <w:jc w:val="right"/>
              <w:rPr>
                <w:rFonts w:ascii="Arial" w:hAnsi="Arial" w:cs="Arial" w:eastAsia="Arial" w:hint="default"/>
                <w:sz w:val="24"/>
                <w:szCs w:val="24"/>
              </w:rPr>
            </w:pPr>
            <w:r>
              <w:rPr>
                <w:rFonts w:ascii="Arial"/>
                <w:spacing w:val="-1"/>
                <w:w w:val="95"/>
                <w:sz w:val="24"/>
              </w:rPr>
              <w:t>544,766</w:t>
            </w:r>
            <w:r>
              <w:rPr>
                <w:rFonts w:ascii="Arial"/>
                <w:sz w:val="24"/>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48"/>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34"/>
              <w:jc w:val="right"/>
              <w:rPr>
                <w:rFonts w:ascii="Arial" w:hAnsi="Arial" w:cs="Arial" w:eastAsia="Arial" w:hint="default"/>
                <w:sz w:val="24"/>
                <w:szCs w:val="24"/>
              </w:rPr>
            </w:pPr>
            <w:r>
              <w:rPr>
                <w:rFonts w:ascii="Arial"/>
                <w:spacing w:val="-1"/>
                <w:w w:val="95"/>
                <w:sz w:val="24"/>
              </w:rPr>
              <w:t>21.1%</w:t>
            </w:r>
            <w:r>
              <w:rPr>
                <w:rFonts w:ascii="Arial"/>
                <w:sz w:val="24"/>
              </w:rPr>
            </w:r>
          </w:p>
        </w:tc>
      </w:tr>
      <w:tr>
        <w:trPr>
          <w:trHeight w:val="312"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北京苏宁电器有限公司</w:t>
            </w:r>
          </w:p>
        </w:tc>
        <w:tc>
          <w:tcPr>
            <w:tcW w:w="1637" w:type="dxa"/>
            <w:tcBorders>
              <w:top w:val="nil" w:sz="6" w:space="0" w:color="auto"/>
              <w:left w:val="nil" w:sz="6" w:space="0" w:color="auto"/>
              <w:bottom w:val="nil" w:sz="6" w:space="0" w:color="auto"/>
              <w:right w:val="nil" w:sz="6" w:space="0" w:color="auto"/>
            </w:tcBorders>
          </w:tcPr>
          <w:p>
            <w:pPr>
              <w:pStyle w:val="TableParagraph"/>
              <w:spacing w:line="261" w:lineRule="exact"/>
              <w:ind w:right="48"/>
              <w:jc w:val="right"/>
              <w:rPr>
                <w:rFonts w:ascii="宋体" w:hAnsi="宋体" w:cs="宋体" w:eastAsia="宋体" w:hint="default"/>
                <w:sz w:val="24"/>
                <w:szCs w:val="24"/>
              </w:rPr>
            </w:pPr>
            <w:r>
              <w:rPr>
                <w:rFonts w:ascii="宋体" w:hAnsi="宋体" w:cs="宋体" w:eastAsia="宋体" w:hint="default"/>
                <w:sz w:val="24"/>
                <w:szCs w:val="24"/>
              </w:rPr>
              <w:t>子公司</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8"/>
              <w:jc w:val="right"/>
              <w:rPr>
                <w:rFonts w:ascii="Arial" w:hAnsi="Arial" w:cs="Arial" w:eastAsia="Arial" w:hint="default"/>
                <w:sz w:val="24"/>
                <w:szCs w:val="24"/>
              </w:rPr>
            </w:pPr>
            <w:r>
              <w:rPr>
                <w:rFonts w:ascii="Arial"/>
                <w:spacing w:val="-1"/>
                <w:w w:val="95"/>
                <w:sz w:val="24"/>
              </w:rPr>
              <w:t>312,594</w:t>
            </w:r>
            <w:r>
              <w:rPr>
                <w:rFonts w:ascii="Arial"/>
                <w:sz w:val="24"/>
              </w:rPr>
            </w:r>
          </w:p>
        </w:tc>
        <w:tc>
          <w:tcPr>
            <w:tcW w:w="1259" w:type="dxa"/>
            <w:tcBorders>
              <w:top w:val="nil" w:sz="6" w:space="0" w:color="auto"/>
              <w:left w:val="nil" w:sz="6" w:space="0" w:color="auto"/>
              <w:bottom w:val="nil" w:sz="6" w:space="0" w:color="auto"/>
              <w:right w:val="nil" w:sz="6" w:space="0" w:color="auto"/>
            </w:tcBorders>
          </w:tcPr>
          <w:p>
            <w:pPr>
              <w:pStyle w:val="TableParagraph"/>
              <w:spacing w:line="261" w:lineRule="exact"/>
              <w:ind w:right="48"/>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12.1%</w:t>
            </w:r>
            <w:r>
              <w:rPr>
                <w:rFonts w:ascii="Arial"/>
                <w:sz w:val="24"/>
              </w:rPr>
            </w:r>
          </w:p>
        </w:tc>
      </w:tr>
      <w:tr>
        <w:trPr>
          <w:trHeight w:val="312"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四川苏宁电器有限公司</w:t>
            </w:r>
          </w:p>
        </w:tc>
        <w:tc>
          <w:tcPr>
            <w:tcW w:w="1637" w:type="dxa"/>
            <w:tcBorders>
              <w:top w:val="nil" w:sz="6" w:space="0" w:color="auto"/>
              <w:left w:val="nil" w:sz="6" w:space="0" w:color="auto"/>
              <w:bottom w:val="nil" w:sz="6" w:space="0" w:color="auto"/>
              <w:right w:val="nil" w:sz="6" w:space="0" w:color="auto"/>
            </w:tcBorders>
          </w:tcPr>
          <w:p>
            <w:pPr>
              <w:pStyle w:val="TableParagraph"/>
              <w:spacing w:line="261" w:lineRule="exact"/>
              <w:ind w:right="48"/>
              <w:jc w:val="right"/>
              <w:rPr>
                <w:rFonts w:ascii="宋体" w:hAnsi="宋体" w:cs="宋体" w:eastAsia="宋体" w:hint="default"/>
                <w:sz w:val="24"/>
                <w:szCs w:val="24"/>
              </w:rPr>
            </w:pPr>
            <w:r>
              <w:rPr>
                <w:rFonts w:ascii="宋体" w:hAnsi="宋体" w:cs="宋体" w:eastAsia="宋体" w:hint="default"/>
                <w:sz w:val="24"/>
                <w:szCs w:val="24"/>
              </w:rPr>
              <w:t>子公司</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8"/>
              <w:jc w:val="right"/>
              <w:rPr>
                <w:rFonts w:ascii="Arial" w:hAnsi="Arial" w:cs="Arial" w:eastAsia="Arial" w:hint="default"/>
                <w:sz w:val="24"/>
                <w:szCs w:val="24"/>
              </w:rPr>
            </w:pPr>
            <w:r>
              <w:rPr>
                <w:rFonts w:ascii="Arial"/>
                <w:spacing w:val="-1"/>
                <w:w w:val="95"/>
                <w:sz w:val="24"/>
              </w:rPr>
              <w:t>259,284</w:t>
            </w:r>
            <w:r>
              <w:rPr>
                <w:rFonts w:ascii="Arial"/>
                <w:sz w:val="24"/>
              </w:rPr>
            </w:r>
          </w:p>
        </w:tc>
        <w:tc>
          <w:tcPr>
            <w:tcW w:w="1259" w:type="dxa"/>
            <w:tcBorders>
              <w:top w:val="nil" w:sz="6" w:space="0" w:color="auto"/>
              <w:left w:val="nil" w:sz="6" w:space="0" w:color="auto"/>
              <w:bottom w:val="nil" w:sz="6" w:space="0" w:color="auto"/>
              <w:right w:val="nil" w:sz="6" w:space="0" w:color="auto"/>
            </w:tcBorders>
          </w:tcPr>
          <w:p>
            <w:pPr>
              <w:pStyle w:val="TableParagraph"/>
              <w:spacing w:line="261" w:lineRule="exact"/>
              <w:ind w:right="48"/>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10.0%</w:t>
            </w:r>
            <w:r>
              <w:rPr>
                <w:rFonts w:ascii="Arial"/>
                <w:sz w:val="24"/>
              </w:rPr>
            </w:r>
          </w:p>
        </w:tc>
      </w:tr>
      <w:tr>
        <w:trPr>
          <w:trHeight w:val="312"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威海苏宁电器有限公司</w:t>
            </w:r>
          </w:p>
        </w:tc>
        <w:tc>
          <w:tcPr>
            <w:tcW w:w="1637" w:type="dxa"/>
            <w:tcBorders>
              <w:top w:val="nil" w:sz="6" w:space="0" w:color="auto"/>
              <w:left w:val="nil" w:sz="6" w:space="0" w:color="auto"/>
              <w:bottom w:val="nil" w:sz="6" w:space="0" w:color="auto"/>
              <w:right w:val="nil" w:sz="6" w:space="0" w:color="auto"/>
            </w:tcBorders>
          </w:tcPr>
          <w:p>
            <w:pPr>
              <w:pStyle w:val="TableParagraph"/>
              <w:spacing w:line="261" w:lineRule="exact"/>
              <w:ind w:right="48"/>
              <w:jc w:val="right"/>
              <w:rPr>
                <w:rFonts w:ascii="宋体" w:hAnsi="宋体" w:cs="宋体" w:eastAsia="宋体" w:hint="default"/>
                <w:sz w:val="24"/>
                <w:szCs w:val="24"/>
              </w:rPr>
            </w:pPr>
            <w:r>
              <w:rPr>
                <w:rFonts w:ascii="宋体" w:hAnsi="宋体" w:cs="宋体" w:eastAsia="宋体" w:hint="default"/>
                <w:sz w:val="24"/>
                <w:szCs w:val="24"/>
              </w:rPr>
              <w:t>子公司</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8"/>
              <w:jc w:val="right"/>
              <w:rPr>
                <w:rFonts w:ascii="Arial" w:hAnsi="Arial" w:cs="Arial" w:eastAsia="Arial" w:hint="default"/>
                <w:sz w:val="24"/>
                <w:szCs w:val="24"/>
              </w:rPr>
            </w:pPr>
            <w:r>
              <w:rPr>
                <w:rFonts w:ascii="Arial"/>
                <w:spacing w:val="-1"/>
                <w:w w:val="95"/>
                <w:sz w:val="24"/>
              </w:rPr>
              <w:t>253,822</w:t>
            </w:r>
            <w:r>
              <w:rPr>
                <w:rFonts w:ascii="Arial"/>
                <w:sz w:val="24"/>
              </w:rPr>
            </w:r>
          </w:p>
        </w:tc>
        <w:tc>
          <w:tcPr>
            <w:tcW w:w="1259" w:type="dxa"/>
            <w:tcBorders>
              <w:top w:val="nil" w:sz="6" w:space="0" w:color="auto"/>
              <w:left w:val="nil" w:sz="6" w:space="0" w:color="auto"/>
              <w:bottom w:val="nil" w:sz="6" w:space="0" w:color="auto"/>
              <w:right w:val="nil" w:sz="6" w:space="0" w:color="auto"/>
            </w:tcBorders>
          </w:tcPr>
          <w:p>
            <w:pPr>
              <w:pStyle w:val="TableParagraph"/>
              <w:spacing w:line="261" w:lineRule="exact"/>
              <w:ind w:right="48"/>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9.8%</w:t>
            </w:r>
            <w:r>
              <w:rPr>
                <w:rFonts w:ascii="Arial"/>
                <w:sz w:val="24"/>
              </w:rPr>
            </w:r>
          </w:p>
        </w:tc>
      </w:tr>
      <w:tr>
        <w:trPr>
          <w:trHeight w:val="314"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天津天宁苏宁电器有限公司</w:t>
            </w:r>
          </w:p>
        </w:tc>
        <w:tc>
          <w:tcPr>
            <w:tcW w:w="1637" w:type="dxa"/>
            <w:tcBorders>
              <w:top w:val="nil" w:sz="6" w:space="0" w:color="auto"/>
              <w:left w:val="nil" w:sz="6" w:space="0" w:color="auto"/>
              <w:bottom w:val="nil" w:sz="6" w:space="0" w:color="auto"/>
              <w:right w:val="nil" w:sz="6" w:space="0" w:color="auto"/>
            </w:tcBorders>
          </w:tcPr>
          <w:p>
            <w:pPr>
              <w:pStyle w:val="TableParagraph"/>
              <w:spacing w:line="261" w:lineRule="exact"/>
              <w:ind w:right="48"/>
              <w:jc w:val="right"/>
              <w:rPr>
                <w:rFonts w:ascii="宋体" w:hAnsi="宋体" w:cs="宋体" w:eastAsia="宋体" w:hint="default"/>
                <w:sz w:val="24"/>
                <w:szCs w:val="24"/>
              </w:rPr>
            </w:pPr>
            <w:r>
              <w:rPr>
                <w:rFonts w:ascii="宋体" w:hAnsi="宋体" w:cs="宋体" w:eastAsia="宋体" w:hint="default"/>
                <w:sz w:val="24"/>
                <w:szCs w:val="24"/>
              </w:rPr>
              <w:t>子公司</w:t>
            </w:r>
          </w:p>
        </w:tc>
        <w:tc>
          <w:tcPr>
            <w:tcW w:w="1858" w:type="dxa"/>
            <w:tcBorders>
              <w:top w:val="nil" w:sz="6" w:space="0" w:color="auto"/>
              <w:left w:val="nil" w:sz="6" w:space="0" w:color="auto"/>
              <w:bottom w:val="nil" w:sz="6" w:space="0" w:color="auto"/>
              <w:right w:val="nil" w:sz="6" w:space="0" w:color="auto"/>
            </w:tcBorders>
          </w:tcPr>
          <w:p>
            <w:pPr>
              <w:pStyle w:val="TableParagraph"/>
              <w:tabs>
                <w:tab w:pos="591" w:val="left" w:leader="none"/>
                <w:tab w:pos="1558" w:val="left" w:leader="none"/>
              </w:tabs>
              <w:spacing w:line="240" w:lineRule="auto" w:before="20"/>
              <w:ind w:right="24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236,993</w:t>
              <w:tab/>
            </w:r>
            <w:r>
              <w:rPr>
                <w:rFonts w:ascii="Arial"/>
                <w:spacing w:val="-1"/>
                <w:sz w:val="24"/>
              </w:rPr>
            </w:r>
          </w:p>
        </w:tc>
        <w:tc>
          <w:tcPr>
            <w:tcW w:w="1259" w:type="dxa"/>
            <w:tcBorders>
              <w:top w:val="nil" w:sz="6" w:space="0" w:color="auto"/>
              <w:left w:val="nil" w:sz="6" w:space="0" w:color="auto"/>
              <w:bottom w:val="nil" w:sz="6" w:space="0" w:color="auto"/>
              <w:right w:val="nil" w:sz="6" w:space="0" w:color="auto"/>
            </w:tcBorders>
          </w:tcPr>
          <w:p>
            <w:pPr>
              <w:pStyle w:val="TableParagraph"/>
              <w:spacing w:line="261" w:lineRule="exact"/>
              <w:ind w:right="48"/>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504" w:type="dxa"/>
            <w:tcBorders>
              <w:top w:val="nil" w:sz="6" w:space="0" w:color="auto"/>
              <w:left w:val="nil" w:sz="6" w:space="0" w:color="auto"/>
              <w:bottom w:val="nil" w:sz="6" w:space="0" w:color="auto"/>
              <w:right w:val="nil" w:sz="6" w:space="0" w:color="auto"/>
            </w:tcBorders>
          </w:tcPr>
          <w:p>
            <w:pPr>
              <w:pStyle w:val="TableParagraph"/>
              <w:tabs>
                <w:tab w:pos="770" w:val="left" w:leader="none"/>
                <w:tab w:pos="1418" w:val="left" w:leader="none"/>
              </w:tabs>
              <w:spacing w:line="240" w:lineRule="auto" w:before="2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9.2%</w:t>
              <w:tab/>
            </w:r>
            <w:r>
              <w:rPr>
                <w:rFonts w:ascii="Arial"/>
                <w:spacing w:val="-1"/>
                <w:sz w:val="24"/>
              </w:rPr>
            </w:r>
          </w:p>
        </w:tc>
      </w:tr>
      <w:tr>
        <w:trPr>
          <w:trHeight w:val="363" w:hRule="exact"/>
        </w:trPr>
        <w:tc>
          <w:tcPr>
            <w:tcW w:w="3061"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tabs>
                <w:tab w:pos="389" w:val="left" w:leader="none"/>
                <w:tab w:pos="1558" w:val="left" w:leader="none"/>
              </w:tabs>
              <w:spacing w:line="268" w:lineRule="exact"/>
              <w:ind w:right="247"/>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1,607,459</w:t>
              <w:tab/>
            </w:r>
            <w:r>
              <w:rPr>
                <w:rFonts w:ascii="Arial"/>
                <w:spacing w:val="-1"/>
                <w:sz w:val="24"/>
              </w:rPr>
            </w:r>
          </w:p>
        </w:tc>
        <w:tc>
          <w:tcPr>
            <w:tcW w:w="1259"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tabs>
                <w:tab w:pos="636" w:val="left" w:leader="none"/>
                <w:tab w:pos="1418"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62.2%</w:t>
              <w:tab/>
            </w:r>
            <w:r>
              <w:rPr>
                <w:rFonts w:ascii="Arial"/>
                <w:spacing w:val="-1"/>
                <w:sz w:val="24"/>
              </w:rPr>
            </w:r>
          </w:p>
        </w:tc>
      </w:tr>
    </w:tbl>
    <w:p>
      <w:pPr>
        <w:spacing w:line="240" w:lineRule="auto" w:before="9"/>
        <w:rPr>
          <w:rFonts w:ascii="宋体" w:hAnsi="宋体" w:cs="宋体" w:eastAsia="宋体" w:hint="default"/>
          <w:sz w:val="13"/>
          <w:szCs w:val="13"/>
        </w:rPr>
      </w:pPr>
    </w:p>
    <w:p>
      <w:pPr>
        <w:pStyle w:val="BodyText"/>
        <w:tabs>
          <w:tab w:pos="848" w:val="left" w:leader="none"/>
        </w:tabs>
        <w:spacing w:line="240" w:lineRule="auto" w:before="32"/>
        <w:ind w:left="143" w:right="523"/>
        <w:jc w:val="left"/>
      </w:pPr>
      <w:r>
        <w:rPr>
          <w:rFonts w:ascii="Arial" w:hAnsi="Arial" w:cs="Arial" w:eastAsia="Arial" w:hint="default"/>
          <w:w w:val="95"/>
          <w:position w:val="2"/>
        </w:rPr>
        <w:t>(g)</w:t>
        <w:tab/>
      </w:r>
      <w:r>
        <w:rPr/>
        <w:t>于</w:t>
      </w:r>
      <w:r>
        <w:rPr>
          <w:spacing w:val="-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51"/>
        </w:rPr>
        <w:t> </w:t>
      </w:r>
      <w:r>
        <w:rPr/>
        <w:t>月</w:t>
      </w:r>
      <w:r>
        <w:rPr>
          <w:spacing w:val="-61"/>
        </w:rPr>
        <w:t> </w:t>
      </w:r>
      <w:r>
        <w:rPr>
          <w:rFonts w:ascii="Arial" w:hAnsi="Arial" w:cs="Arial" w:eastAsia="Arial" w:hint="default"/>
        </w:rPr>
        <w:t>31</w:t>
      </w:r>
      <w:r>
        <w:rPr>
          <w:rFonts w:ascii="Arial" w:hAnsi="Arial" w:cs="Arial" w:eastAsia="Arial" w:hint="default"/>
          <w:spacing w:val="52"/>
        </w:rPr>
        <w:t> </w:t>
      </w:r>
      <w:r>
        <w:rPr/>
        <w:t>日及</w:t>
      </w:r>
      <w:r>
        <w:rPr>
          <w:spacing w:val="-61"/>
        </w:rPr>
        <w:t> </w:t>
      </w:r>
      <w:r>
        <w:rPr>
          <w:rFonts w:ascii="Arial" w:hAnsi="Arial" w:cs="Arial" w:eastAsia="Arial" w:hint="default"/>
        </w:rPr>
        <w:t>2009</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51"/>
        </w:rPr>
        <w:t> </w:t>
      </w:r>
      <w:r>
        <w:rPr/>
        <w:t>月</w:t>
      </w:r>
      <w:r>
        <w:rPr>
          <w:spacing w:val="-60"/>
        </w:rPr>
        <w:t> </w:t>
      </w:r>
      <w:r>
        <w:rPr>
          <w:rFonts w:ascii="Arial" w:hAnsi="Arial" w:cs="Arial" w:eastAsia="Arial" w:hint="default"/>
        </w:rPr>
        <w:t>31</w:t>
      </w:r>
      <w:r>
        <w:rPr>
          <w:rFonts w:ascii="Arial" w:hAnsi="Arial" w:cs="Arial" w:eastAsia="Arial" w:hint="default"/>
          <w:spacing w:val="51"/>
        </w:rPr>
        <w:t> </w:t>
      </w:r>
      <w:r>
        <w:rPr/>
        <w:t>日，应收账款中无应收关联方账款。</w:t>
      </w:r>
    </w:p>
    <w:p>
      <w:pPr>
        <w:spacing w:after="0" w:line="240" w:lineRule="auto"/>
        <w:jc w:val="left"/>
        <w:sectPr>
          <w:type w:val="continuous"/>
          <w:pgSz w:w="11910" w:h="16840"/>
          <w:pgMar w:top="920" w:bottom="900" w:left="980" w:right="400"/>
        </w:sectPr>
      </w:pPr>
    </w:p>
    <w:p>
      <w:pPr>
        <w:spacing w:line="240" w:lineRule="auto" w:before="4"/>
        <w:rPr>
          <w:rFonts w:ascii="Times New Roman" w:hAnsi="Times New Roman" w:cs="Times New Roman" w:eastAsia="Times New Roman" w:hint="default"/>
          <w:sz w:val="15"/>
          <w:szCs w:val="15"/>
        </w:rPr>
      </w:pPr>
    </w:p>
    <w:tbl>
      <w:tblPr>
        <w:tblW w:w="0" w:type="auto"/>
        <w:jc w:val="left"/>
        <w:tblInd w:w="108" w:type="dxa"/>
        <w:tblLayout w:type="fixed"/>
        <w:tblCellMar>
          <w:top w:w="0" w:type="dxa"/>
          <w:left w:w="0" w:type="dxa"/>
          <w:bottom w:w="0" w:type="dxa"/>
          <w:right w:w="0" w:type="dxa"/>
        </w:tblCellMar>
        <w:tblLook w:val="01E0"/>
      </w:tblPr>
      <w:tblGrid>
        <w:gridCol w:w="628"/>
        <w:gridCol w:w="3337"/>
        <w:gridCol w:w="3187"/>
        <w:gridCol w:w="2881"/>
      </w:tblGrid>
      <w:tr>
        <w:trPr>
          <w:trHeight w:val="1102" w:hRule="exact"/>
        </w:trPr>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(2)</w:t>
            </w:r>
          </w:p>
        </w:tc>
        <w:tc>
          <w:tcPr>
            <w:tcW w:w="3337"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12" w:right="899"/>
              <w:jc w:val="left"/>
              <w:rPr>
                <w:rFonts w:ascii="宋体" w:hAnsi="宋体" w:cs="宋体" w:eastAsia="宋体" w:hint="default"/>
                <w:sz w:val="24"/>
                <w:szCs w:val="24"/>
              </w:rPr>
            </w:pPr>
            <w:r>
              <w:rPr>
                <w:rFonts w:ascii="宋体" w:hAnsi="宋体" w:cs="宋体" w:eastAsia="宋体" w:hint="default"/>
                <w:b/>
                <w:bCs/>
                <w:w w:val="95"/>
                <w:sz w:val="24"/>
                <w:szCs w:val="24"/>
              </w:rPr>
              <w:t>公司财务报表附注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44"/>
                <w:w w:val="95"/>
                <w:sz w:val="24"/>
                <w:szCs w:val="24"/>
              </w:rPr>
              <w:t> </w:t>
            </w:r>
            <w:r>
              <w:rPr>
                <w:rFonts w:ascii="宋体" w:hAnsi="宋体" w:cs="宋体" w:eastAsia="宋体" w:hint="default"/>
                <w:b/>
                <w:bCs/>
                <w:sz w:val="24"/>
                <w:szCs w:val="24"/>
              </w:rPr>
              <w:t>其他应收款</w:t>
            </w:r>
            <w:r>
              <w:rPr>
                <w:rFonts w:ascii="宋体" w:hAnsi="宋体" w:cs="宋体" w:eastAsia="宋体" w:hint="default"/>
                <w:sz w:val="24"/>
                <w:szCs w:val="24"/>
              </w:rPr>
            </w:r>
          </w:p>
        </w:tc>
        <w:tc>
          <w:tcPr>
            <w:tcW w:w="6068" w:type="dxa"/>
            <w:gridSpan w:val="2"/>
            <w:tcBorders>
              <w:top w:val="nil" w:sz="6" w:space="0" w:color="auto"/>
              <w:left w:val="nil" w:sz="6" w:space="0" w:color="auto"/>
              <w:bottom w:val="nil" w:sz="6" w:space="0" w:color="auto"/>
              <w:right w:val="nil" w:sz="6" w:space="0" w:color="auto"/>
            </w:tcBorders>
          </w:tcPr>
          <w:p>
            <w:pPr/>
          </w:p>
        </w:tc>
      </w:tr>
      <w:tr>
        <w:trPr>
          <w:trHeight w:val="594" w:hRule="exact"/>
        </w:trPr>
        <w:tc>
          <w:tcPr>
            <w:tcW w:w="628"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
        </w:tc>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6"/>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42"/>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9" w:hRule="exact"/>
        </w:trPr>
        <w:tc>
          <w:tcPr>
            <w:tcW w:w="628"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2" w:right="0"/>
              <w:jc w:val="left"/>
              <w:rPr>
                <w:rFonts w:ascii="宋体" w:hAnsi="宋体" w:cs="宋体" w:eastAsia="宋体" w:hint="default"/>
                <w:sz w:val="24"/>
                <w:szCs w:val="24"/>
              </w:rPr>
            </w:pPr>
            <w:r>
              <w:rPr>
                <w:rFonts w:ascii="宋体" w:hAnsi="宋体" w:cs="宋体" w:eastAsia="宋体" w:hint="default"/>
                <w:sz w:val="24"/>
                <w:szCs w:val="24"/>
              </w:rPr>
              <w:t>集团内部往来款项</w:t>
            </w:r>
          </w:p>
        </w:tc>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420"/>
              <w:jc w:val="right"/>
              <w:rPr>
                <w:rFonts w:ascii="Arial" w:hAnsi="Arial" w:cs="Arial" w:eastAsia="Arial" w:hint="default"/>
                <w:sz w:val="24"/>
                <w:szCs w:val="24"/>
              </w:rPr>
            </w:pPr>
            <w:r>
              <w:rPr>
                <w:rFonts w:ascii="Arial"/>
                <w:spacing w:val="-1"/>
                <w:w w:val="95"/>
                <w:sz w:val="24"/>
              </w:rPr>
              <w:t>327,262</w:t>
            </w:r>
            <w:r>
              <w:rPr>
                <w:rFonts w:ascii="Arial"/>
                <w:sz w:val="24"/>
              </w:rPr>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41"/>
              <w:jc w:val="right"/>
              <w:rPr>
                <w:rFonts w:ascii="Arial" w:hAnsi="Arial" w:cs="Arial" w:eastAsia="Arial" w:hint="default"/>
                <w:sz w:val="24"/>
                <w:szCs w:val="24"/>
              </w:rPr>
            </w:pPr>
            <w:r>
              <w:rPr>
                <w:rFonts w:ascii="Arial"/>
                <w:spacing w:val="-1"/>
                <w:w w:val="95"/>
                <w:sz w:val="24"/>
              </w:rPr>
              <w:t>159,381</w:t>
            </w:r>
            <w:r>
              <w:rPr>
                <w:rFonts w:ascii="Arial"/>
                <w:sz w:val="24"/>
              </w:rPr>
            </w:r>
          </w:p>
        </w:tc>
      </w:tr>
      <w:tr>
        <w:trPr>
          <w:trHeight w:val="312" w:hRule="exact"/>
        </w:trPr>
        <w:tc>
          <w:tcPr>
            <w:tcW w:w="628"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Style w:val="TableParagraph"/>
              <w:spacing w:line="261" w:lineRule="exact"/>
              <w:ind w:left="112" w:right="0"/>
              <w:jc w:val="left"/>
              <w:rPr>
                <w:rFonts w:ascii="宋体" w:hAnsi="宋体" w:cs="宋体" w:eastAsia="宋体" w:hint="default"/>
                <w:sz w:val="24"/>
                <w:szCs w:val="24"/>
              </w:rPr>
            </w:pPr>
            <w:r>
              <w:rPr>
                <w:rFonts w:ascii="宋体" w:hAnsi="宋体" w:cs="宋体" w:eastAsia="宋体" w:hint="default"/>
                <w:sz w:val="24"/>
                <w:szCs w:val="24"/>
              </w:rPr>
              <w:t>押金及保证金</w:t>
            </w:r>
          </w:p>
        </w:tc>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19"/>
              <w:jc w:val="right"/>
              <w:rPr>
                <w:rFonts w:ascii="Arial" w:hAnsi="Arial" w:cs="Arial" w:eastAsia="Arial" w:hint="default"/>
                <w:sz w:val="24"/>
                <w:szCs w:val="24"/>
              </w:rPr>
            </w:pPr>
            <w:r>
              <w:rPr>
                <w:rFonts w:ascii="Arial"/>
                <w:spacing w:val="-1"/>
                <w:w w:val="95"/>
                <w:sz w:val="24"/>
              </w:rPr>
              <w:t>36,334</w:t>
            </w:r>
            <w:r>
              <w:rPr>
                <w:rFonts w:ascii="Arial"/>
                <w:sz w:val="24"/>
              </w:rPr>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1"/>
              <w:jc w:val="right"/>
              <w:rPr>
                <w:rFonts w:ascii="Arial" w:hAnsi="Arial" w:cs="Arial" w:eastAsia="Arial" w:hint="default"/>
                <w:sz w:val="24"/>
                <w:szCs w:val="24"/>
              </w:rPr>
            </w:pPr>
            <w:r>
              <w:rPr>
                <w:rFonts w:ascii="Arial"/>
                <w:spacing w:val="-1"/>
                <w:w w:val="95"/>
                <w:sz w:val="24"/>
              </w:rPr>
              <w:t>28,643</w:t>
            </w:r>
            <w:r>
              <w:rPr>
                <w:rFonts w:ascii="Arial"/>
                <w:sz w:val="24"/>
              </w:rPr>
            </w:r>
          </w:p>
        </w:tc>
      </w:tr>
      <w:tr>
        <w:trPr>
          <w:trHeight w:val="312" w:hRule="exact"/>
        </w:trPr>
        <w:tc>
          <w:tcPr>
            <w:tcW w:w="628"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Style w:val="TableParagraph"/>
              <w:spacing w:line="261" w:lineRule="exact"/>
              <w:ind w:left="112" w:right="0"/>
              <w:jc w:val="left"/>
              <w:rPr>
                <w:rFonts w:ascii="宋体" w:hAnsi="宋体" w:cs="宋体" w:eastAsia="宋体" w:hint="default"/>
                <w:sz w:val="24"/>
                <w:szCs w:val="24"/>
              </w:rPr>
            </w:pPr>
            <w:r>
              <w:rPr>
                <w:rFonts w:ascii="宋体" w:hAnsi="宋体" w:cs="宋体" w:eastAsia="宋体" w:hint="default"/>
                <w:sz w:val="24"/>
                <w:szCs w:val="24"/>
              </w:rPr>
              <w:t>员工借款</w:t>
            </w:r>
          </w:p>
        </w:tc>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19"/>
              <w:jc w:val="right"/>
              <w:rPr>
                <w:rFonts w:ascii="Arial" w:hAnsi="Arial" w:cs="Arial" w:eastAsia="Arial" w:hint="default"/>
                <w:sz w:val="24"/>
                <w:szCs w:val="24"/>
              </w:rPr>
            </w:pPr>
            <w:r>
              <w:rPr>
                <w:rFonts w:ascii="Arial"/>
                <w:spacing w:val="-1"/>
                <w:w w:val="95"/>
                <w:sz w:val="24"/>
              </w:rPr>
              <w:t>6,422</w:t>
            </w:r>
            <w:r>
              <w:rPr>
                <w:rFonts w:ascii="Arial"/>
                <w:sz w:val="24"/>
              </w:rPr>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1"/>
              <w:jc w:val="right"/>
              <w:rPr>
                <w:rFonts w:ascii="Arial" w:hAnsi="Arial" w:cs="Arial" w:eastAsia="Arial" w:hint="default"/>
                <w:sz w:val="24"/>
                <w:szCs w:val="24"/>
              </w:rPr>
            </w:pPr>
            <w:r>
              <w:rPr>
                <w:rFonts w:ascii="Arial"/>
                <w:spacing w:val="-1"/>
                <w:w w:val="95"/>
                <w:sz w:val="24"/>
              </w:rPr>
              <w:t>1,400</w:t>
            </w:r>
            <w:r>
              <w:rPr>
                <w:rFonts w:ascii="Arial"/>
                <w:sz w:val="24"/>
              </w:rPr>
            </w:r>
          </w:p>
        </w:tc>
      </w:tr>
      <w:tr>
        <w:trPr>
          <w:trHeight w:val="314" w:hRule="exact"/>
        </w:trPr>
        <w:tc>
          <w:tcPr>
            <w:tcW w:w="628"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Style w:val="TableParagraph"/>
              <w:spacing w:line="278" w:lineRule="exact"/>
              <w:ind w:left="112" w:right="0"/>
              <w:jc w:val="left"/>
              <w:rPr>
                <w:rFonts w:ascii="Arial" w:hAnsi="Arial" w:cs="Arial" w:eastAsia="Arial" w:hint="default"/>
                <w:sz w:val="24"/>
                <w:szCs w:val="24"/>
              </w:rPr>
            </w:pPr>
            <w:r>
              <w:rPr>
                <w:rFonts w:ascii="宋体" w:hAnsi="宋体" w:cs="宋体" w:eastAsia="宋体" w:hint="default"/>
                <w:sz w:val="24"/>
                <w:szCs w:val="24"/>
              </w:rPr>
              <w:t>其它</w:t>
            </w:r>
            <w:r>
              <w:rPr>
                <w:rFonts w:ascii="Arial" w:hAnsi="Arial" w:cs="Arial" w:eastAsia="Arial" w:hint="default"/>
                <w:sz w:val="24"/>
                <w:szCs w:val="24"/>
              </w:rPr>
              <w:t>(c)</w:t>
            </w:r>
          </w:p>
        </w:tc>
        <w:tc>
          <w:tcPr>
            <w:tcW w:w="3187" w:type="dxa"/>
            <w:tcBorders>
              <w:top w:val="nil" w:sz="6" w:space="0" w:color="auto"/>
              <w:left w:val="nil" w:sz="6" w:space="0" w:color="auto"/>
              <w:bottom w:val="nil" w:sz="6" w:space="0" w:color="auto"/>
              <w:right w:val="nil" w:sz="6" w:space="0" w:color="auto"/>
            </w:tcBorders>
          </w:tcPr>
          <w:p>
            <w:pPr>
              <w:pStyle w:val="TableParagraph"/>
              <w:tabs>
                <w:tab w:pos="1547" w:val="left" w:leader="none"/>
                <w:tab w:pos="2549" w:val="left" w:leader="none"/>
              </w:tabs>
              <w:spacing w:line="240" w:lineRule="auto" w:before="20"/>
              <w:ind w:right="28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721,315</w:t>
              <w:tab/>
            </w:r>
            <w:r>
              <w:rPr>
                <w:rFonts w:ascii="Arial"/>
                <w:spacing w:val="-1"/>
                <w:sz w:val="24"/>
              </w:rPr>
            </w:r>
          </w:p>
        </w:tc>
        <w:tc>
          <w:tcPr>
            <w:tcW w:w="2881" w:type="dxa"/>
            <w:tcBorders>
              <w:top w:val="nil" w:sz="6" w:space="0" w:color="auto"/>
              <w:left w:val="nil" w:sz="6" w:space="0" w:color="auto"/>
              <w:bottom w:val="nil" w:sz="6" w:space="0" w:color="auto"/>
              <w:right w:val="nil" w:sz="6" w:space="0" w:color="auto"/>
            </w:tcBorders>
          </w:tcPr>
          <w:p>
            <w:pPr>
              <w:pStyle w:val="TableParagraph"/>
              <w:tabs>
                <w:tab w:pos="1718" w:val="left" w:leader="none"/>
                <w:tab w:pos="2552" w:val="left" w:leader="none"/>
              </w:tabs>
              <w:spacing w:line="240" w:lineRule="auto" w:before="20"/>
              <w:ind w:right="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20,730</w:t>
              <w:tab/>
            </w:r>
            <w:r>
              <w:rPr>
                <w:rFonts w:ascii="Arial"/>
                <w:spacing w:val="-1"/>
                <w:sz w:val="24"/>
              </w:rPr>
            </w:r>
          </w:p>
        </w:tc>
      </w:tr>
      <w:tr>
        <w:trPr>
          <w:trHeight w:val="423" w:hRule="exact"/>
        </w:trPr>
        <w:tc>
          <w:tcPr>
            <w:tcW w:w="628"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
        </w:tc>
        <w:tc>
          <w:tcPr>
            <w:tcW w:w="3187" w:type="dxa"/>
            <w:tcBorders>
              <w:top w:val="nil" w:sz="6" w:space="0" w:color="auto"/>
              <w:left w:val="nil" w:sz="6" w:space="0" w:color="auto"/>
              <w:bottom w:val="nil" w:sz="6" w:space="0" w:color="auto"/>
              <w:right w:val="nil" w:sz="6" w:space="0" w:color="auto"/>
            </w:tcBorders>
          </w:tcPr>
          <w:p>
            <w:pPr>
              <w:pStyle w:val="TableParagraph"/>
              <w:spacing w:line="268" w:lineRule="exact"/>
              <w:ind w:right="421"/>
              <w:jc w:val="right"/>
              <w:rPr>
                <w:rFonts w:ascii="Arial" w:hAnsi="Arial" w:cs="Arial" w:eastAsia="Arial" w:hint="default"/>
                <w:sz w:val="24"/>
                <w:szCs w:val="24"/>
              </w:rPr>
            </w:pPr>
            <w:r>
              <w:rPr>
                <w:rFonts w:ascii="Arial"/>
                <w:spacing w:val="-1"/>
                <w:w w:val="95"/>
                <w:sz w:val="24"/>
              </w:rPr>
              <w:t>1,091,333</w:t>
            </w:r>
            <w:r>
              <w:rPr>
                <w:rFonts w:ascii="Arial"/>
                <w:sz w:val="24"/>
              </w:rPr>
            </w:r>
          </w:p>
        </w:tc>
        <w:tc>
          <w:tcPr>
            <w:tcW w:w="2881" w:type="dxa"/>
            <w:tcBorders>
              <w:top w:val="nil" w:sz="6" w:space="0" w:color="auto"/>
              <w:left w:val="nil" w:sz="6" w:space="0" w:color="auto"/>
              <w:bottom w:val="nil" w:sz="6" w:space="0" w:color="auto"/>
              <w:right w:val="nil" w:sz="6" w:space="0" w:color="auto"/>
            </w:tcBorders>
          </w:tcPr>
          <w:p>
            <w:pPr>
              <w:pStyle w:val="TableParagraph"/>
              <w:spacing w:line="268" w:lineRule="exact"/>
              <w:ind w:right="141"/>
              <w:jc w:val="right"/>
              <w:rPr>
                <w:rFonts w:ascii="Arial" w:hAnsi="Arial" w:cs="Arial" w:eastAsia="Arial" w:hint="default"/>
                <w:sz w:val="24"/>
                <w:szCs w:val="24"/>
              </w:rPr>
            </w:pPr>
            <w:r>
              <w:rPr>
                <w:rFonts w:ascii="Arial"/>
                <w:spacing w:val="-1"/>
                <w:w w:val="95"/>
                <w:sz w:val="24"/>
              </w:rPr>
              <w:t>210,154</w:t>
            </w:r>
            <w:r>
              <w:rPr>
                <w:rFonts w:ascii="Arial"/>
                <w:sz w:val="24"/>
              </w:rPr>
            </w:r>
          </w:p>
        </w:tc>
      </w:tr>
      <w:tr>
        <w:trPr>
          <w:trHeight w:val="452" w:hRule="exact"/>
        </w:trPr>
        <w:tc>
          <w:tcPr>
            <w:tcW w:w="628"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2"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3187" w:type="dxa"/>
            <w:tcBorders>
              <w:top w:val="nil" w:sz="6" w:space="0" w:color="auto"/>
              <w:left w:val="nil" w:sz="6" w:space="0" w:color="auto"/>
              <w:bottom w:val="nil" w:sz="6" w:space="0" w:color="auto"/>
              <w:right w:val="nil" w:sz="6" w:space="0" w:color="auto"/>
            </w:tcBorders>
          </w:tcPr>
          <w:p>
            <w:pPr>
              <w:pStyle w:val="TableParagraph"/>
              <w:tabs>
                <w:tab w:pos="1687" w:val="left" w:leader="none"/>
                <w:tab w:pos="2549" w:val="left" w:leader="none"/>
              </w:tabs>
              <w:spacing w:line="240" w:lineRule="auto" w:before="159"/>
              <w:ind w:right="28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(7,142)</w:t>
              <w:tab/>
            </w:r>
            <w:r>
              <w:rPr>
                <w:rFonts w:ascii="Arial"/>
                <w:spacing w:val="-1"/>
                <w:sz w:val="24"/>
              </w:rPr>
            </w:r>
          </w:p>
        </w:tc>
        <w:tc>
          <w:tcPr>
            <w:tcW w:w="2881" w:type="dxa"/>
            <w:tcBorders>
              <w:top w:val="nil" w:sz="6" w:space="0" w:color="auto"/>
              <w:left w:val="nil" w:sz="6" w:space="0" w:color="auto"/>
              <w:bottom w:val="nil" w:sz="6" w:space="0" w:color="auto"/>
              <w:right w:val="nil" w:sz="6" w:space="0" w:color="auto"/>
            </w:tcBorders>
          </w:tcPr>
          <w:p>
            <w:pPr>
              <w:pStyle w:val="TableParagraph"/>
              <w:tabs>
                <w:tab w:pos="1690" w:val="left" w:leader="none"/>
                <w:tab w:pos="2552" w:val="left" w:leader="none"/>
              </w:tabs>
              <w:spacing w:line="240" w:lineRule="auto" w:before="159"/>
              <w:ind w:right="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(3,413)</w:t>
              <w:tab/>
            </w:r>
            <w:r>
              <w:rPr>
                <w:rFonts w:ascii="Arial"/>
                <w:spacing w:val="-1"/>
                <w:sz w:val="24"/>
              </w:rPr>
            </w:r>
          </w:p>
        </w:tc>
      </w:tr>
      <w:tr>
        <w:trPr>
          <w:trHeight w:val="434" w:hRule="exact"/>
        </w:trPr>
        <w:tc>
          <w:tcPr>
            <w:tcW w:w="628"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
        </w:tc>
        <w:tc>
          <w:tcPr>
            <w:tcW w:w="3187" w:type="dxa"/>
            <w:tcBorders>
              <w:top w:val="nil" w:sz="6" w:space="0" w:color="auto"/>
              <w:left w:val="nil" w:sz="6" w:space="0" w:color="auto"/>
              <w:bottom w:val="nil" w:sz="6" w:space="0" w:color="auto"/>
              <w:right w:val="nil" w:sz="6" w:space="0" w:color="auto"/>
            </w:tcBorders>
          </w:tcPr>
          <w:p>
            <w:pPr>
              <w:pStyle w:val="TableParagraph"/>
              <w:tabs>
                <w:tab w:pos="1346" w:val="left" w:leader="none"/>
                <w:tab w:pos="2549" w:val="left" w:leader="none"/>
              </w:tabs>
              <w:spacing w:line="268" w:lineRule="exact"/>
              <w:ind w:right="28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1,084,191</w:t>
              <w:tab/>
            </w:r>
            <w:r>
              <w:rPr>
                <w:rFonts w:ascii="Arial"/>
                <w:spacing w:val="-1"/>
                <w:sz w:val="24"/>
              </w:rPr>
            </w:r>
          </w:p>
        </w:tc>
        <w:tc>
          <w:tcPr>
            <w:tcW w:w="2881" w:type="dxa"/>
            <w:tcBorders>
              <w:top w:val="nil" w:sz="6" w:space="0" w:color="auto"/>
              <w:left w:val="nil" w:sz="6" w:space="0" w:color="auto"/>
              <w:bottom w:val="nil" w:sz="6" w:space="0" w:color="auto"/>
              <w:right w:val="nil" w:sz="6" w:space="0" w:color="auto"/>
            </w:tcBorders>
          </w:tcPr>
          <w:p>
            <w:pPr>
              <w:pStyle w:val="TableParagraph"/>
              <w:tabs>
                <w:tab w:pos="1584" w:val="left" w:leader="none"/>
                <w:tab w:pos="2552" w:val="left" w:leader="none"/>
              </w:tabs>
              <w:spacing w:line="268" w:lineRule="exact"/>
              <w:ind w:right="4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206,741</w:t>
              <w:tab/>
            </w:r>
            <w:r>
              <w:rPr>
                <w:rFonts w:ascii="Arial"/>
                <w:spacing w:val="-1"/>
                <w:sz w:val="24"/>
              </w:rPr>
            </w:r>
          </w:p>
        </w:tc>
      </w:tr>
      <w:tr>
        <w:trPr>
          <w:trHeight w:val="591" w:hRule="exact"/>
        </w:trPr>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(a)</w:t>
            </w: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2" w:right="0"/>
              <w:jc w:val="left"/>
              <w:rPr>
                <w:rFonts w:ascii="宋体" w:hAnsi="宋体" w:cs="宋体" w:eastAsia="宋体" w:hint="default"/>
                <w:sz w:val="24"/>
                <w:szCs w:val="24"/>
              </w:rPr>
            </w:pPr>
            <w:r>
              <w:rPr>
                <w:rFonts w:ascii="宋体" w:hAnsi="宋体" w:cs="宋体" w:eastAsia="宋体" w:hint="default"/>
                <w:sz w:val="24"/>
                <w:szCs w:val="24"/>
              </w:rPr>
              <w:t>其他应收款账龄分析如下：</w:t>
            </w:r>
          </w:p>
        </w:tc>
        <w:tc>
          <w:tcPr>
            <w:tcW w:w="3187" w:type="dxa"/>
            <w:tcBorders>
              <w:top w:val="nil" w:sz="6" w:space="0" w:color="auto"/>
              <w:left w:val="nil" w:sz="6" w:space="0" w:color="auto"/>
              <w:bottom w:val="nil" w:sz="6" w:space="0" w:color="auto"/>
              <w:right w:val="nil" w:sz="6" w:space="0" w:color="auto"/>
            </w:tcBorders>
          </w:tcPr>
          <w:p>
            <w:pPr/>
          </w:p>
        </w:tc>
        <w:tc>
          <w:tcPr>
            <w:tcW w:w="2881" w:type="dxa"/>
            <w:tcBorders>
              <w:top w:val="nil" w:sz="6" w:space="0" w:color="auto"/>
              <w:left w:val="nil" w:sz="6" w:space="0" w:color="auto"/>
              <w:bottom w:val="nil" w:sz="6" w:space="0" w:color="auto"/>
              <w:right w:val="nil" w:sz="6" w:space="0" w:color="auto"/>
            </w:tcBorders>
          </w:tcPr>
          <w:p>
            <w:pPr/>
          </w:p>
        </w:tc>
      </w:tr>
      <w:tr>
        <w:trPr>
          <w:trHeight w:val="594" w:hRule="exact"/>
        </w:trPr>
        <w:tc>
          <w:tcPr>
            <w:tcW w:w="628"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
        </w:tc>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6"/>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42"/>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9" w:hRule="exact"/>
        </w:trPr>
        <w:tc>
          <w:tcPr>
            <w:tcW w:w="628"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2"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421"/>
              <w:jc w:val="right"/>
              <w:rPr>
                <w:rFonts w:ascii="Arial" w:hAnsi="Arial" w:cs="Arial" w:eastAsia="Arial" w:hint="default"/>
                <w:sz w:val="24"/>
                <w:szCs w:val="24"/>
              </w:rPr>
            </w:pPr>
            <w:r>
              <w:rPr>
                <w:rFonts w:ascii="Arial"/>
                <w:spacing w:val="-1"/>
                <w:w w:val="95"/>
                <w:sz w:val="24"/>
              </w:rPr>
              <w:t>1,057,584</w:t>
            </w:r>
            <w:r>
              <w:rPr>
                <w:rFonts w:ascii="Arial"/>
                <w:sz w:val="24"/>
              </w:rPr>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78"/>
              <w:jc w:val="right"/>
              <w:rPr>
                <w:rFonts w:ascii="Arial" w:hAnsi="Arial" w:cs="Arial" w:eastAsia="Arial" w:hint="default"/>
                <w:sz w:val="24"/>
                <w:szCs w:val="24"/>
              </w:rPr>
            </w:pPr>
            <w:r>
              <w:rPr>
                <w:rFonts w:ascii="Arial"/>
                <w:spacing w:val="-1"/>
                <w:w w:val="95"/>
                <w:sz w:val="24"/>
              </w:rPr>
              <w:t>204,751</w:t>
            </w:r>
            <w:r>
              <w:rPr>
                <w:rFonts w:ascii="Arial"/>
                <w:sz w:val="24"/>
              </w:rPr>
            </w:r>
          </w:p>
        </w:tc>
      </w:tr>
      <w:tr>
        <w:trPr>
          <w:trHeight w:val="312" w:hRule="exact"/>
        </w:trPr>
        <w:tc>
          <w:tcPr>
            <w:tcW w:w="628"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Style w:val="TableParagraph"/>
              <w:spacing w:line="261" w:lineRule="exact"/>
              <w:ind w:left="112"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19"/>
              <w:jc w:val="right"/>
              <w:rPr>
                <w:rFonts w:ascii="Arial" w:hAnsi="Arial" w:cs="Arial" w:eastAsia="Arial" w:hint="default"/>
                <w:sz w:val="24"/>
                <w:szCs w:val="24"/>
              </w:rPr>
            </w:pPr>
            <w:r>
              <w:rPr>
                <w:rFonts w:ascii="Arial"/>
                <w:spacing w:val="-1"/>
                <w:w w:val="95"/>
                <w:sz w:val="24"/>
              </w:rPr>
              <w:t>30,305</w:t>
            </w:r>
            <w:r>
              <w:rPr>
                <w:rFonts w:ascii="Arial"/>
                <w:sz w:val="24"/>
              </w:rPr>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8"/>
              <w:jc w:val="right"/>
              <w:rPr>
                <w:rFonts w:ascii="Arial" w:hAnsi="Arial" w:cs="Arial" w:eastAsia="Arial" w:hint="default"/>
                <w:sz w:val="24"/>
                <w:szCs w:val="24"/>
              </w:rPr>
            </w:pPr>
            <w:r>
              <w:rPr>
                <w:rFonts w:ascii="Arial"/>
                <w:spacing w:val="-1"/>
                <w:w w:val="95"/>
                <w:sz w:val="24"/>
              </w:rPr>
              <w:t>3,146</w:t>
            </w:r>
            <w:r>
              <w:rPr>
                <w:rFonts w:ascii="Arial"/>
                <w:sz w:val="24"/>
              </w:rPr>
            </w:r>
          </w:p>
        </w:tc>
      </w:tr>
      <w:tr>
        <w:trPr>
          <w:trHeight w:val="312" w:hRule="exact"/>
        </w:trPr>
        <w:tc>
          <w:tcPr>
            <w:tcW w:w="628"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Style w:val="TableParagraph"/>
              <w:spacing w:line="261" w:lineRule="exact"/>
              <w:ind w:left="112"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19"/>
              <w:jc w:val="right"/>
              <w:rPr>
                <w:rFonts w:ascii="Arial" w:hAnsi="Arial" w:cs="Arial" w:eastAsia="Arial" w:hint="default"/>
                <w:sz w:val="24"/>
                <w:szCs w:val="24"/>
              </w:rPr>
            </w:pPr>
            <w:r>
              <w:rPr>
                <w:rFonts w:ascii="Arial"/>
                <w:spacing w:val="-1"/>
                <w:w w:val="95"/>
                <w:sz w:val="24"/>
              </w:rPr>
              <w:t>1,522</w:t>
            </w:r>
            <w:r>
              <w:rPr>
                <w:rFonts w:ascii="Arial"/>
                <w:sz w:val="24"/>
              </w:rPr>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8"/>
              <w:jc w:val="right"/>
              <w:rPr>
                <w:rFonts w:ascii="Arial" w:hAnsi="Arial" w:cs="Arial" w:eastAsia="Arial" w:hint="default"/>
                <w:sz w:val="24"/>
                <w:szCs w:val="24"/>
              </w:rPr>
            </w:pPr>
            <w:r>
              <w:rPr>
                <w:rFonts w:ascii="Arial"/>
                <w:spacing w:val="-1"/>
                <w:w w:val="95"/>
                <w:sz w:val="24"/>
              </w:rPr>
              <w:t>2,158</w:t>
            </w:r>
            <w:r>
              <w:rPr>
                <w:rFonts w:ascii="Arial"/>
                <w:sz w:val="24"/>
              </w:rPr>
            </w:r>
          </w:p>
        </w:tc>
      </w:tr>
      <w:tr>
        <w:trPr>
          <w:trHeight w:val="312" w:hRule="exact"/>
        </w:trPr>
        <w:tc>
          <w:tcPr>
            <w:tcW w:w="628"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Style w:val="TableParagraph"/>
              <w:spacing w:line="261" w:lineRule="exact"/>
              <w:ind w:left="112"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19"/>
              <w:jc w:val="right"/>
              <w:rPr>
                <w:rFonts w:ascii="Arial" w:hAnsi="Arial" w:cs="Arial" w:eastAsia="Arial" w:hint="default"/>
                <w:sz w:val="24"/>
                <w:szCs w:val="24"/>
              </w:rPr>
            </w:pPr>
            <w:r>
              <w:rPr>
                <w:rFonts w:ascii="Arial"/>
                <w:spacing w:val="-1"/>
                <w:w w:val="95"/>
                <w:sz w:val="24"/>
              </w:rPr>
              <w:t>1,914</w:t>
            </w:r>
            <w:r>
              <w:rPr>
                <w:rFonts w:ascii="Arial"/>
                <w:sz w:val="24"/>
              </w:rPr>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8"/>
              <w:jc w:val="right"/>
              <w:rPr>
                <w:rFonts w:ascii="Arial" w:hAnsi="Arial" w:cs="Arial" w:eastAsia="Arial" w:hint="default"/>
                <w:sz w:val="24"/>
                <w:szCs w:val="24"/>
              </w:rPr>
            </w:pPr>
            <w:r>
              <w:rPr>
                <w:rFonts w:ascii="Arial"/>
                <w:w w:val="99"/>
                <w:sz w:val="24"/>
              </w:rPr>
              <w:t>5</w:t>
            </w:r>
            <w:r>
              <w:rPr>
                <w:rFonts w:ascii="Arial"/>
                <w:sz w:val="24"/>
              </w:rPr>
            </w:r>
          </w:p>
        </w:tc>
      </w:tr>
      <w:tr>
        <w:trPr>
          <w:trHeight w:val="626" w:hRule="exact"/>
        </w:trPr>
        <w:tc>
          <w:tcPr>
            <w:tcW w:w="628"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Style w:val="TableParagraph"/>
              <w:spacing w:line="260" w:lineRule="exact"/>
              <w:ind w:left="112" w:right="0"/>
              <w:jc w:val="left"/>
              <w:rPr>
                <w:rFonts w:ascii="宋体" w:hAnsi="宋体" w:cs="宋体" w:eastAsia="宋体" w:hint="default"/>
                <w:sz w:val="24"/>
                <w:szCs w:val="24"/>
              </w:rPr>
            </w:pPr>
            <w:r>
              <w:rPr>
                <w:rFonts w:ascii="宋体" w:hAnsi="宋体" w:cs="宋体" w:eastAsia="宋体" w:hint="default"/>
                <w:sz w:val="24"/>
                <w:szCs w:val="24"/>
              </w:rPr>
              <w:t>四到五年</w:t>
            </w:r>
          </w:p>
          <w:p>
            <w:pPr>
              <w:pStyle w:val="TableParagraph"/>
              <w:spacing w:line="313" w:lineRule="exact"/>
              <w:ind w:left="112"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20"/>
              <w:jc w:val="right"/>
              <w:rPr>
                <w:rFonts w:ascii="Arial" w:hAnsi="Arial" w:cs="Arial" w:eastAsia="Arial" w:hint="default"/>
                <w:sz w:val="24"/>
                <w:szCs w:val="24"/>
              </w:rPr>
            </w:pPr>
            <w:r>
              <w:rPr>
                <w:rFonts w:ascii="Arial"/>
                <w:w w:val="99"/>
                <w:sz w:val="24"/>
              </w:rPr>
              <w:t>-</w:t>
            </w:r>
            <w:r>
              <w:rPr>
                <w:rFonts w:ascii="Arial"/>
                <w:sz w:val="24"/>
              </w:rPr>
            </w:r>
          </w:p>
          <w:p>
            <w:pPr>
              <w:pStyle w:val="TableParagraph"/>
              <w:tabs>
                <w:tab w:pos="2632" w:val="left" w:leader="none"/>
                <w:tab w:pos="2900" w:val="left" w:leader="none"/>
              </w:tabs>
              <w:spacing w:line="240" w:lineRule="auto" w:before="36"/>
              <w:ind w:left="350"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8</w:t>
              <w:tab/>
            </w:r>
            <w:r>
              <w:rPr>
                <w:rFonts w:ascii="Arial"/>
                <w:sz w:val="24"/>
              </w:rPr>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7"/>
              <w:jc w:val="right"/>
              <w:rPr>
                <w:rFonts w:ascii="Arial" w:hAnsi="Arial" w:cs="Arial" w:eastAsia="Arial" w:hint="default"/>
                <w:sz w:val="24"/>
                <w:szCs w:val="24"/>
              </w:rPr>
            </w:pPr>
            <w:r>
              <w:rPr>
                <w:rFonts w:ascii="Arial"/>
                <w:spacing w:val="-1"/>
                <w:sz w:val="24"/>
              </w:rPr>
              <w:t>94</w:t>
            </w:r>
          </w:p>
          <w:p>
            <w:pPr>
              <w:pStyle w:val="TableParagraph"/>
              <w:tabs>
                <w:tab w:pos="2620" w:val="left" w:leader="none"/>
                <w:tab w:pos="2838" w:val="left" w:leader="none"/>
              </w:tabs>
              <w:spacing w:line="240" w:lineRule="auto" w:before="36"/>
              <w:ind w:left="286"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363" w:hRule="exact"/>
        </w:trPr>
        <w:tc>
          <w:tcPr>
            <w:tcW w:w="628"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
        </w:tc>
        <w:tc>
          <w:tcPr>
            <w:tcW w:w="3187" w:type="dxa"/>
            <w:tcBorders>
              <w:top w:val="nil" w:sz="6" w:space="0" w:color="auto"/>
              <w:left w:val="nil" w:sz="6" w:space="0" w:color="auto"/>
              <w:bottom w:val="nil" w:sz="6" w:space="0" w:color="auto"/>
              <w:right w:val="nil" w:sz="6" w:space="0" w:color="auto"/>
            </w:tcBorders>
          </w:tcPr>
          <w:p>
            <w:pPr>
              <w:pStyle w:val="TableParagraph"/>
              <w:tabs>
                <w:tab w:pos="1353" w:val="left" w:leader="none"/>
                <w:tab w:pos="2564" w:val="left" w:leader="none"/>
              </w:tabs>
              <w:spacing w:line="268" w:lineRule="exact"/>
              <w:ind w:right="277"/>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1,091,333</w:t>
              <w:tab/>
            </w:r>
            <w:r>
              <w:rPr>
                <w:rFonts w:ascii="Arial"/>
                <w:spacing w:val="-1"/>
                <w:sz w:val="24"/>
              </w:rPr>
            </w:r>
          </w:p>
        </w:tc>
        <w:tc>
          <w:tcPr>
            <w:tcW w:w="2881" w:type="dxa"/>
            <w:tcBorders>
              <w:top w:val="nil" w:sz="6" w:space="0" w:color="auto"/>
              <w:left w:val="nil" w:sz="6" w:space="0" w:color="auto"/>
              <w:bottom w:val="nil" w:sz="6" w:space="0" w:color="auto"/>
              <w:right w:val="nil" w:sz="6" w:space="0" w:color="auto"/>
            </w:tcBorders>
          </w:tcPr>
          <w:p>
            <w:pPr>
              <w:pStyle w:val="TableParagraph"/>
              <w:tabs>
                <w:tab w:pos="1554" w:val="left" w:leader="none"/>
                <w:tab w:pos="2566"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210,154</w:t>
              <w:tab/>
            </w:r>
            <w:r>
              <w:rPr>
                <w:rFonts w:ascii="Arial"/>
                <w:spacing w:val="-1"/>
                <w:sz w:val="24"/>
              </w:rPr>
            </w:r>
          </w:p>
        </w:tc>
      </w:tr>
    </w:tbl>
    <w:p>
      <w:pPr>
        <w:spacing w:after="0" w:line="268" w:lineRule="exact"/>
        <w:jc w:val="right"/>
        <w:rPr>
          <w:rFonts w:ascii="Arial" w:hAnsi="Arial" w:cs="Arial" w:eastAsia="Arial" w:hint="default"/>
          <w:sz w:val="24"/>
          <w:szCs w:val="24"/>
        </w:rPr>
        <w:sectPr>
          <w:pgSz w:w="11910" w:h="16840"/>
          <w:pgMar w:header="755" w:footer="947" w:top="2300" w:bottom="1140" w:left="980" w:right="680"/>
        </w:sectPr>
      </w:pPr>
    </w:p>
    <w:p>
      <w:pPr>
        <w:spacing w:line="240" w:lineRule="auto" w:before="4"/>
        <w:rPr>
          <w:rFonts w:ascii="Times New Roman" w:hAnsi="Times New Roman" w:cs="Times New Roman" w:eastAsia="Times New Roman" w:hint="default"/>
          <w:sz w:val="15"/>
          <w:szCs w:val="15"/>
        </w:rPr>
      </w:pPr>
    </w:p>
    <w:p>
      <w:pPr>
        <w:pStyle w:val="Heading2"/>
        <w:tabs>
          <w:tab w:pos="808" w:val="left" w:leader="none"/>
        </w:tabs>
        <w:spacing w:line="240" w:lineRule="auto"/>
        <w:ind w:left="103" w:right="0"/>
        <w:jc w:val="left"/>
        <w:rPr>
          <w:rFonts w:ascii="Arial" w:hAnsi="Arial" w:cs="Arial" w:eastAsia="Arial" w:hint="default"/>
          <w:b w:val="0"/>
          <w:bCs w:val="0"/>
        </w:rPr>
      </w:pPr>
      <w:r>
        <w:rPr>
          <w:w w:val="95"/>
        </w:rPr>
        <w:t>十三</w:t>
        <w:tab/>
      </w:r>
      <w:r>
        <w:rPr/>
        <w:t>公司财务报表附注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08" w:val="left" w:leader="none"/>
        </w:tabs>
        <w:spacing w:before="0"/>
        <w:ind w:left="103" w:right="0" w:firstLine="0"/>
        <w:jc w:val="left"/>
        <w:rPr>
          <w:rFonts w:ascii="Arial" w:hAnsi="Arial" w:cs="Arial" w:eastAsia="Arial" w:hint="default"/>
          <w:sz w:val="24"/>
          <w:szCs w:val="24"/>
        </w:rPr>
      </w:pPr>
      <w:r>
        <w:rPr>
          <w:rFonts w:ascii="Arial" w:hAnsi="Arial" w:cs="Arial" w:eastAsia="Arial" w:hint="default"/>
          <w:w w:val="95"/>
          <w:position w:val="2"/>
          <w:sz w:val="24"/>
          <w:szCs w:val="24"/>
        </w:rPr>
        <w:t>(2)</w:t>
        <w:tab/>
      </w:r>
      <w:r>
        <w:rPr>
          <w:rFonts w:ascii="宋体" w:hAnsi="宋体" w:cs="宋体" w:eastAsia="宋体" w:hint="default"/>
          <w:b/>
          <w:bCs/>
          <w:sz w:val="24"/>
          <w:szCs w:val="24"/>
        </w:rPr>
        <w:t>其他应收款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BodyText"/>
        <w:tabs>
          <w:tab w:pos="814" w:val="left" w:leader="none"/>
        </w:tabs>
        <w:spacing w:line="240" w:lineRule="auto" w:before="222"/>
        <w:ind w:left="103" w:right="0"/>
        <w:jc w:val="left"/>
      </w:pPr>
      <w:r>
        <w:rPr>
          <w:rFonts w:ascii="Arial" w:hAnsi="Arial" w:cs="Arial" w:eastAsia="Arial" w:hint="default"/>
          <w:w w:val="95"/>
          <w:position w:val="2"/>
        </w:rPr>
        <w:t>(b)</w:t>
        <w:tab/>
      </w:r>
      <w:r>
        <w:rPr/>
        <w:t>其他应收账按类别分析如下：</w:t>
      </w:r>
    </w:p>
    <w:p>
      <w:pPr>
        <w:spacing w:line="240" w:lineRule="auto" w:before="11"/>
        <w:rPr>
          <w:rFonts w:ascii="宋体" w:hAnsi="宋体" w:cs="宋体" w:eastAsia="宋体" w:hint="default"/>
          <w:sz w:val="18"/>
          <w:szCs w:val="18"/>
        </w:rPr>
      </w:pPr>
    </w:p>
    <w:p>
      <w:pPr>
        <w:tabs>
          <w:tab w:pos="7528" w:val="left" w:leader="none"/>
        </w:tabs>
        <w:spacing w:before="0"/>
        <w:ind w:left="3646" w:right="0" w:firstLine="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tabs>
          <w:tab w:pos="5443" w:val="left" w:leader="none"/>
          <w:tab w:pos="7324" w:val="left" w:leader="none"/>
          <w:tab w:pos="9154" w:val="left" w:leader="none"/>
        </w:tabs>
        <w:spacing w:before="14"/>
        <w:ind w:left="3665" w:right="0" w:firstLine="0"/>
        <w:jc w:val="left"/>
        <w:rPr>
          <w:rFonts w:ascii="宋体" w:hAnsi="宋体" w:cs="宋体" w:eastAsia="宋体" w:hint="default"/>
          <w:sz w:val="20"/>
          <w:szCs w:val="20"/>
        </w:rPr>
      </w:pPr>
      <w:r>
        <w:rPr/>
        <w:pict>
          <v:group style="position:absolute;margin-left:181.320007pt;margin-top:1.550242pt;width:190.35pt;height:.1pt;mso-position-horizontal-relative:page;mso-position-vertical-relative:paragraph;z-index:-1001440" coordorigin="3626,31" coordsize="3807,2">
            <v:shape style="position:absolute;left:3626;top:31;width:3807;height:2" coordorigin="3626,31" coordsize="3807,0" path="m3626,31l7433,31e" filled="false" stroked="true" strokeweight="1.5pt" strokecolor="#000000">
              <v:path arrowok="t"/>
            </v:shape>
            <w10:wrap type="none"/>
          </v:group>
        </w:pict>
      </w:r>
      <w:r>
        <w:rPr/>
        <w:pict>
          <v:group style="position:absolute;margin-left:383.820007pt;margin-top:1.550242pt;width:173.65pt;height:.1pt;mso-position-horizontal-relative:page;mso-position-vertical-relative:paragraph;z-index:-1001416" coordorigin="7676,31" coordsize="3473,2">
            <v:shape style="position:absolute;left:7676;top:31;width:3473;height:2" coordorigin="7676,31" coordsize="3473,0" path="m7676,31l11149,31e" filled="false" stroked="true" strokeweight="1.5pt" strokecolor="#000000">
              <v:path arrowok="t"/>
            </v:shape>
            <w10:wrap type="none"/>
          </v:group>
        </w:pict>
      </w:r>
      <w:r>
        <w:rPr>
          <w:rFonts w:ascii="宋体" w:hAnsi="宋体" w:cs="宋体" w:eastAsia="宋体" w:hint="default"/>
          <w:sz w:val="20"/>
          <w:szCs w:val="20"/>
        </w:rPr>
        <w:t>账面余额</w:t>
        <w:tab/>
        <w:t>坏账准备</w:t>
        <w:tab/>
        <w:t>账面余额</w:t>
        <w:tab/>
        <w:t>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237" w:lineRule="auto" w:before="41"/>
        <w:ind w:left="1031" w:right="7962" w:hanging="218"/>
        <w:jc w:val="both"/>
        <w:rPr>
          <w:rFonts w:ascii="Arial" w:hAnsi="Arial" w:cs="Arial" w:eastAsia="Arial" w:hint="default"/>
          <w:sz w:val="20"/>
          <w:szCs w:val="20"/>
        </w:rPr>
      </w:pPr>
      <w:r>
        <w:rPr/>
        <w:pict>
          <v:shape style="position:absolute;margin-left:180.960007pt;margin-top:-34.716698pt;width:385.1pt;height:128.0500pt;mso-position-horizontal-relative:page;mso-position-vertical-relative:paragraph;z-index:5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1"/>
                    <w:gridCol w:w="832"/>
                    <w:gridCol w:w="246"/>
                    <w:gridCol w:w="929"/>
                    <w:gridCol w:w="671"/>
                    <w:gridCol w:w="242"/>
                    <w:gridCol w:w="887"/>
                    <w:gridCol w:w="789"/>
                    <w:gridCol w:w="238"/>
                    <w:gridCol w:w="908"/>
                    <w:gridCol w:w="658"/>
                  </w:tblGrid>
                  <w:tr>
                    <w:trPr>
                      <w:trHeight w:val="920" w:hRule="exact"/>
                    </w:trPr>
                    <w:tc>
                      <w:tcPr>
                        <w:tcW w:w="1301" w:type="dxa"/>
                        <w:tcBorders>
                          <w:top w:val="single" w:sz="12" w:space="0" w:color="000000"/>
                          <w:left w:val="nil" w:sz="6" w:space="0" w:color="auto"/>
                          <w:bottom w:val="nil" w:sz="6" w:space="0" w:color="auto"/>
                          <w:right w:val="nil" w:sz="6" w:space="0" w:color="auto"/>
                        </w:tcBorders>
                      </w:tcPr>
                      <w:p>
                        <w:pPr>
                          <w:pStyle w:val="TableParagraph"/>
                          <w:spacing w:line="230" w:lineRule="exact"/>
                          <w:ind w:right="179"/>
                          <w:jc w:val="right"/>
                          <w:rPr>
                            <w:rFonts w:ascii="宋体" w:hAnsi="宋体" w:cs="宋体" w:eastAsia="宋体" w:hint="default"/>
                            <w:sz w:val="20"/>
                            <w:szCs w:val="20"/>
                          </w:rPr>
                        </w:pPr>
                        <w:r>
                          <w:rPr>
                            <w:rFonts w:ascii="宋体" w:hAnsi="宋体" w:cs="宋体" w:eastAsia="宋体" w:hint="default"/>
                            <w:sz w:val="20"/>
                            <w:szCs w:val="20"/>
                          </w:rPr>
                          <w:t>金额</w:t>
                        </w:r>
                      </w:p>
                    </w:tc>
                    <w:tc>
                      <w:tcPr>
                        <w:tcW w:w="832" w:type="dxa"/>
                        <w:tcBorders>
                          <w:top w:val="single" w:sz="12" w:space="0" w:color="000000"/>
                          <w:left w:val="nil" w:sz="6" w:space="0" w:color="auto"/>
                          <w:bottom w:val="nil" w:sz="6" w:space="0" w:color="auto"/>
                          <w:right w:val="nil" w:sz="6" w:space="0" w:color="auto"/>
                        </w:tcBorders>
                      </w:tcPr>
                      <w:p>
                        <w:pPr>
                          <w:pStyle w:val="TableParagraph"/>
                          <w:spacing w:line="228" w:lineRule="exact"/>
                          <w:ind w:left="379" w:right="0" w:hanging="200"/>
                          <w:jc w:val="left"/>
                          <w:rPr>
                            <w:rFonts w:ascii="宋体" w:hAnsi="宋体" w:cs="宋体" w:eastAsia="宋体" w:hint="default"/>
                            <w:sz w:val="20"/>
                            <w:szCs w:val="20"/>
                          </w:rPr>
                        </w:pPr>
                        <w:r>
                          <w:rPr>
                            <w:rFonts w:ascii="宋体" w:hAnsi="宋体" w:cs="宋体" w:eastAsia="宋体" w:hint="default"/>
                            <w:sz w:val="20"/>
                            <w:szCs w:val="20"/>
                          </w:rPr>
                          <w:t>占总额</w:t>
                        </w:r>
                      </w:p>
                      <w:p>
                        <w:pPr>
                          <w:pStyle w:val="TableParagraph"/>
                          <w:spacing w:line="260" w:lineRule="exact"/>
                          <w:ind w:left="379"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246" w:type="dxa"/>
                        <w:tcBorders>
                          <w:top w:val="nil" w:sz="6" w:space="0" w:color="auto"/>
                          <w:left w:val="nil" w:sz="6" w:space="0" w:color="auto"/>
                          <w:bottom w:val="nil" w:sz="6" w:space="0" w:color="auto"/>
                          <w:right w:val="nil" w:sz="6" w:space="0" w:color="auto"/>
                        </w:tcBorders>
                      </w:tcPr>
                      <w:p>
                        <w:pPr/>
                      </w:p>
                    </w:tc>
                    <w:tc>
                      <w:tcPr>
                        <w:tcW w:w="929" w:type="dxa"/>
                        <w:tcBorders>
                          <w:top w:val="single" w:sz="12" w:space="0" w:color="000000"/>
                          <w:left w:val="nil" w:sz="6" w:space="0" w:color="auto"/>
                          <w:bottom w:val="nil" w:sz="6" w:space="0" w:color="auto"/>
                          <w:right w:val="nil" w:sz="6" w:space="0" w:color="auto"/>
                        </w:tcBorders>
                      </w:tcPr>
                      <w:p>
                        <w:pPr>
                          <w:pStyle w:val="TableParagraph"/>
                          <w:spacing w:line="230" w:lineRule="exact"/>
                          <w:ind w:right="128"/>
                          <w:jc w:val="right"/>
                          <w:rPr>
                            <w:rFonts w:ascii="宋体" w:hAnsi="宋体" w:cs="宋体" w:eastAsia="宋体" w:hint="default"/>
                            <w:sz w:val="20"/>
                            <w:szCs w:val="20"/>
                          </w:rPr>
                        </w:pPr>
                        <w:r>
                          <w:rPr>
                            <w:rFonts w:ascii="宋体" w:hAnsi="宋体" w:cs="宋体" w:eastAsia="宋体" w:hint="default"/>
                            <w:sz w:val="20"/>
                            <w:szCs w:val="20"/>
                          </w:rPr>
                          <w:t>金额</w:t>
                        </w:r>
                      </w:p>
                    </w:tc>
                    <w:tc>
                      <w:tcPr>
                        <w:tcW w:w="671" w:type="dxa"/>
                        <w:tcBorders>
                          <w:top w:val="single" w:sz="12" w:space="0" w:color="000000"/>
                          <w:left w:val="nil" w:sz="6" w:space="0" w:color="auto"/>
                          <w:bottom w:val="nil" w:sz="6" w:space="0" w:color="auto"/>
                          <w:right w:val="nil" w:sz="6" w:space="0" w:color="auto"/>
                        </w:tcBorders>
                      </w:tcPr>
                      <w:p>
                        <w:pPr>
                          <w:pStyle w:val="TableParagraph"/>
                          <w:spacing w:line="228" w:lineRule="exact"/>
                          <w:ind w:left="128" w:right="0"/>
                          <w:jc w:val="left"/>
                          <w:rPr>
                            <w:rFonts w:ascii="宋体" w:hAnsi="宋体" w:cs="宋体" w:eastAsia="宋体" w:hint="default"/>
                            <w:sz w:val="20"/>
                            <w:szCs w:val="20"/>
                          </w:rPr>
                        </w:pPr>
                        <w:r>
                          <w:rPr>
                            <w:rFonts w:ascii="宋体" w:hAnsi="宋体" w:cs="宋体" w:eastAsia="宋体" w:hint="default"/>
                            <w:sz w:val="20"/>
                            <w:szCs w:val="20"/>
                          </w:rPr>
                          <w:t>计提</w:t>
                        </w:r>
                      </w:p>
                      <w:p>
                        <w:pPr>
                          <w:pStyle w:val="TableParagraph"/>
                          <w:spacing w:line="260" w:lineRule="exact"/>
                          <w:ind w:left="128"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242" w:type="dxa"/>
                        <w:tcBorders>
                          <w:top w:val="nil" w:sz="6" w:space="0" w:color="auto"/>
                          <w:left w:val="nil" w:sz="6" w:space="0" w:color="auto"/>
                          <w:bottom w:val="nil" w:sz="6" w:space="0" w:color="auto"/>
                          <w:right w:val="nil" w:sz="6" w:space="0" w:color="auto"/>
                        </w:tcBorders>
                      </w:tcPr>
                      <w:p>
                        <w:pPr/>
                      </w:p>
                    </w:tc>
                    <w:tc>
                      <w:tcPr>
                        <w:tcW w:w="887" w:type="dxa"/>
                        <w:tcBorders>
                          <w:top w:val="single" w:sz="12" w:space="0" w:color="000000"/>
                          <w:left w:val="nil" w:sz="6" w:space="0" w:color="auto"/>
                          <w:bottom w:val="nil" w:sz="6" w:space="0" w:color="auto"/>
                          <w:right w:val="nil" w:sz="6" w:space="0" w:color="auto"/>
                        </w:tcBorders>
                      </w:tcPr>
                      <w:p>
                        <w:pPr>
                          <w:pStyle w:val="TableParagraph"/>
                          <w:spacing w:line="230" w:lineRule="exact"/>
                          <w:ind w:right="169"/>
                          <w:jc w:val="right"/>
                          <w:rPr>
                            <w:rFonts w:ascii="宋体" w:hAnsi="宋体" w:cs="宋体" w:eastAsia="宋体" w:hint="default"/>
                            <w:sz w:val="20"/>
                            <w:szCs w:val="20"/>
                          </w:rPr>
                        </w:pPr>
                        <w:r>
                          <w:rPr>
                            <w:rFonts w:ascii="宋体" w:hAnsi="宋体" w:cs="宋体" w:eastAsia="宋体" w:hint="default"/>
                            <w:sz w:val="20"/>
                            <w:szCs w:val="20"/>
                          </w:rPr>
                          <w:t>金额</w:t>
                        </w:r>
                      </w:p>
                    </w:tc>
                    <w:tc>
                      <w:tcPr>
                        <w:tcW w:w="789" w:type="dxa"/>
                        <w:tcBorders>
                          <w:top w:val="single" w:sz="12" w:space="0" w:color="000000"/>
                          <w:left w:val="nil" w:sz="6" w:space="0" w:color="auto"/>
                          <w:bottom w:val="nil" w:sz="6" w:space="0" w:color="auto"/>
                          <w:right w:val="nil" w:sz="6" w:space="0" w:color="auto"/>
                        </w:tcBorders>
                      </w:tcPr>
                      <w:p>
                        <w:pPr>
                          <w:pStyle w:val="TableParagraph"/>
                          <w:spacing w:line="228" w:lineRule="exact"/>
                          <w:ind w:left="338" w:right="0" w:hanging="200"/>
                          <w:jc w:val="left"/>
                          <w:rPr>
                            <w:rFonts w:ascii="宋体" w:hAnsi="宋体" w:cs="宋体" w:eastAsia="宋体" w:hint="default"/>
                            <w:sz w:val="20"/>
                            <w:szCs w:val="20"/>
                          </w:rPr>
                        </w:pPr>
                        <w:r>
                          <w:rPr>
                            <w:rFonts w:ascii="宋体" w:hAnsi="宋体" w:cs="宋体" w:eastAsia="宋体" w:hint="default"/>
                            <w:sz w:val="20"/>
                            <w:szCs w:val="20"/>
                          </w:rPr>
                          <w:t>占总额</w:t>
                        </w:r>
                      </w:p>
                      <w:p>
                        <w:pPr>
                          <w:pStyle w:val="TableParagraph"/>
                          <w:spacing w:line="260" w:lineRule="exact"/>
                          <w:ind w:left="338"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238" w:type="dxa"/>
                        <w:tcBorders>
                          <w:top w:val="nil" w:sz="6" w:space="0" w:color="auto"/>
                          <w:left w:val="nil" w:sz="6" w:space="0" w:color="auto"/>
                          <w:bottom w:val="nil" w:sz="6" w:space="0" w:color="auto"/>
                          <w:right w:val="nil" w:sz="6" w:space="0" w:color="auto"/>
                        </w:tcBorders>
                      </w:tcPr>
                      <w:p>
                        <w:pPr/>
                      </w:p>
                    </w:tc>
                    <w:tc>
                      <w:tcPr>
                        <w:tcW w:w="908" w:type="dxa"/>
                        <w:tcBorders>
                          <w:top w:val="single" w:sz="12" w:space="0" w:color="000000"/>
                          <w:left w:val="nil" w:sz="6" w:space="0" w:color="auto"/>
                          <w:bottom w:val="nil" w:sz="6" w:space="0" w:color="auto"/>
                          <w:right w:val="nil" w:sz="6" w:space="0" w:color="auto"/>
                        </w:tcBorders>
                      </w:tcPr>
                      <w:p>
                        <w:pPr>
                          <w:pStyle w:val="TableParagraph"/>
                          <w:spacing w:line="230" w:lineRule="exact"/>
                          <w:ind w:right="89"/>
                          <w:jc w:val="right"/>
                          <w:rPr>
                            <w:rFonts w:ascii="宋体" w:hAnsi="宋体" w:cs="宋体" w:eastAsia="宋体" w:hint="default"/>
                            <w:sz w:val="20"/>
                            <w:szCs w:val="20"/>
                          </w:rPr>
                        </w:pPr>
                        <w:r>
                          <w:rPr>
                            <w:rFonts w:ascii="宋体" w:hAnsi="宋体" w:cs="宋体" w:eastAsia="宋体" w:hint="default"/>
                            <w:sz w:val="20"/>
                            <w:szCs w:val="20"/>
                          </w:rPr>
                          <w:t>金额</w:t>
                        </w:r>
                      </w:p>
                    </w:tc>
                    <w:tc>
                      <w:tcPr>
                        <w:tcW w:w="658" w:type="dxa"/>
                        <w:tcBorders>
                          <w:top w:val="single" w:sz="12" w:space="0" w:color="000000"/>
                          <w:left w:val="nil" w:sz="6" w:space="0" w:color="auto"/>
                          <w:bottom w:val="nil" w:sz="6" w:space="0" w:color="auto"/>
                          <w:right w:val="nil" w:sz="6" w:space="0" w:color="auto"/>
                        </w:tcBorders>
                      </w:tcPr>
                      <w:p>
                        <w:pPr>
                          <w:pStyle w:val="TableParagraph"/>
                          <w:spacing w:line="228" w:lineRule="exact"/>
                          <w:ind w:left="91" w:right="0" w:firstLine="1"/>
                          <w:jc w:val="left"/>
                          <w:rPr>
                            <w:rFonts w:ascii="宋体" w:hAnsi="宋体" w:cs="宋体" w:eastAsia="宋体" w:hint="default"/>
                            <w:sz w:val="20"/>
                            <w:szCs w:val="20"/>
                          </w:rPr>
                        </w:pPr>
                        <w:r>
                          <w:rPr>
                            <w:rFonts w:ascii="宋体" w:hAnsi="宋体" w:cs="宋体" w:eastAsia="宋体" w:hint="default"/>
                            <w:sz w:val="20"/>
                            <w:szCs w:val="20"/>
                          </w:rPr>
                          <w:t>计提</w:t>
                        </w:r>
                      </w:p>
                      <w:p>
                        <w:pPr>
                          <w:pStyle w:val="TableParagraph"/>
                          <w:spacing w:line="260" w:lineRule="exact"/>
                          <w:ind w:left="91"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877" w:hRule="exact"/>
                    </w:trPr>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78"/>
                          <w:jc w:val="right"/>
                          <w:rPr>
                            <w:rFonts w:ascii="Arial" w:hAnsi="Arial" w:cs="Arial" w:eastAsia="Arial" w:hint="default"/>
                            <w:sz w:val="20"/>
                            <w:szCs w:val="20"/>
                          </w:rPr>
                        </w:pPr>
                        <w:r>
                          <w:rPr>
                            <w:rFonts w:ascii="Arial"/>
                            <w:spacing w:val="-1"/>
                            <w:sz w:val="20"/>
                          </w:rPr>
                          <w:t>700,000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530" w:right="0"/>
                          <w:jc w:val="left"/>
                          <w:rPr>
                            <w:rFonts w:ascii="Arial" w:hAnsi="Arial" w:cs="Arial" w:eastAsia="Arial" w:hint="default"/>
                            <w:sz w:val="20"/>
                            <w:szCs w:val="20"/>
                          </w:rPr>
                        </w:pPr>
                        <w:r>
                          <w:rPr>
                            <w:rFonts w:ascii="Arial"/>
                            <w:sz w:val="20"/>
                          </w:rPr>
                          <w:t>64</w:t>
                        </w:r>
                      </w:p>
                    </w:tc>
                    <w:tc>
                      <w:tcPr>
                        <w:tcW w:w="246"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77"/>
                          <w:jc w:val="right"/>
                          <w:rPr>
                            <w:rFonts w:ascii="Arial" w:hAnsi="Arial" w:cs="Arial" w:eastAsia="Arial" w:hint="default"/>
                            <w:sz w:val="20"/>
                            <w:szCs w:val="20"/>
                          </w:rPr>
                        </w:pPr>
                        <w:r>
                          <w:rPr>
                            <w:rFonts w:ascii="Arial"/>
                            <w:w w:val="100"/>
                            <w:sz w:val="20"/>
                          </w:rPr>
                          <w:t>-</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99"/>
                          <w:jc w:val="right"/>
                          <w:rPr>
                            <w:rFonts w:ascii="Arial" w:hAnsi="Arial" w:cs="Arial" w:eastAsia="Arial" w:hint="default"/>
                            <w:sz w:val="20"/>
                            <w:szCs w:val="20"/>
                          </w:rPr>
                        </w:pPr>
                        <w:r>
                          <w:rPr>
                            <w:rFonts w:ascii="Arial"/>
                            <w:w w:val="100"/>
                            <w:sz w:val="20"/>
                          </w:rPr>
                          <w:t>-</w:t>
                        </w:r>
                      </w:p>
                    </w:tc>
                    <w:tc>
                      <w:tcPr>
                        <w:tcW w:w="242" w:type="dxa"/>
                        <w:tcBorders>
                          <w:top w:val="nil" w:sz="6" w:space="0" w:color="auto"/>
                          <w:left w:val="nil" w:sz="6" w:space="0" w:color="auto"/>
                          <w:bottom w:val="nil" w:sz="6" w:space="0" w:color="auto"/>
                          <w:right w:val="nil" w:sz="6" w:space="0" w:color="auto"/>
                        </w:tcBorders>
                      </w:tcPr>
                      <w:p>
                        <w:pP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36"/>
                          <w:jc w:val="right"/>
                          <w:rPr>
                            <w:rFonts w:ascii="Arial" w:hAnsi="Arial" w:cs="Arial" w:eastAsia="Arial" w:hint="default"/>
                            <w:sz w:val="20"/>
                            <w:szCs w:val="20"/>
                          </w:rPr>
                        </w:pPr>
                        <w:r>
                          <w:rPr>
                            <w:rFonts w:ascii="Arial"/>
                            <w:w w:val="100"/>
                            <w:sz w:val="20"/>
                          </w:rPr>
                          <w:t>-</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99"/>
                          <w:jc w:val="right"/>
                          <w:rPr>
                            <w:rFonts w:ascii="Arial" w:hAnsi="Arial" w:cs="Arial" w:eastAsia="Arial" w:hint="default"/>
                            <w:sz w:val="20"/>
                            <w:szCs w:val="20"/>
                          </w:rPr>
                        </w:pPr>
                        <w:r>
                          <w:rPr>
                            <w:rFonts w:ascii="Arial"/>
                            <w:w w:val="100"/>
                            <w:sz w:val="20"/>
                          </w:rPr>
                          <w:t>-</w:t>
                        </w:r>
                      </w:p>
                    </w:tc>
                    <w:tc>
                      <w:tcPr>
                        <w:tcW w:w="238"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39"/>
                          <w:jc w:val="right"/>
                          <w:rPr>
                            <w:rFonts w:ascii="Arial" w:hAnsi="Arial" w:cs="Arial" w:eastAsia="Arial" w:hint="default"/>
                            <w:sz w:val="20"/>
                            <w:szCs w:val="20"/>
                          </w:rPr>
                        </w:pPr>
                        <w:r>
                          <w:rPr>
                            <w:rFonts w:ascii="Arial"/>
                            <w:w w:val="100"/>
                            <w:sz w:val="20"/>
                          </w:rPr>
                          <w:t>-</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05"/>
                          <w:jc w:val="right"/>
                          <w:rPr>
                            <w:rFonts w:ascii="Arial" w:hAnsi="Arial" w:cs="Arial" w:eastAsia="Arial" w:hint="default"/>
                            <w:sz w:val="20"/>
                            <w:szCs w:val="20"/>
                          </w:rPr>
                        </w:pPr>
                        <w:r>
                          <w:rPr>
                            <w:rFonts w:ascii="Arial"/>
                            <w:w w:val="100"/>
                            <w:sz w:val="20"/>
                          </w:rPr>
                          <w:t>-</w:t>
                        </w:r>
                      </w:p>
                    </w:tc>
                  </w:tr>
                  <w:tr>
                    <w:trPr>
                      <w:trHeight w:val="486" w:hRule="exact"/>
                    </w:trPr>
                    <w:tc>
                      <w:tcPr>
                        <w:tcW w:w="21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tabs>
                            <w:tab w:pos="407" w:val="left" w:leader="none"/>
                            <w:tab w:pos="1629" w:val="left" w:leader="none"/>
                            <w:tab w:pos="2132" w:val="left" w:leader="none"/>
                          </w:tabs>
                          <w:spacing w:line="240" w:lineRule="auto"/>
                          <w:ind w:left="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391,333</w:t>
                          <w:tab/>
                        </w:r>
                        <w:r>
                          <w:rPr>
                            <w:rFonts w:ascii="Arial"/>
                            <w:sz w:val="20"/>
                            <w:u w:val="single" w:color="000000"/>
                          </w:rPr>
                          <w:t>36%</w:t>
                          <w:tab/>
                        </w:r>
                        <w:r>
                          <w:rPr>
                            <w:rFonts w:ascii="Arial"/>
                            <w:sz w:val="20"/>
                          </w:rPr>
                        </w:r>
                      </w:p>
                    </w:tc>
                    <w:tc>
                      <w:tcPr>
                        <w:tcW w:w="246" w:type="dxa"/>
                        <w:tcBorders>
                          <w:top w:val="nil" w:sz="6" w:space="0" w:color="auto"/>
                          <w:left w:val="nil" w:sz="6" w:space="0" w:color="auto"/>
                          <w:bottom w:val="nil" w:sz="6" w:space="0" w:color="auto"/>
                          <w:right w:val="nil" w:sz="6" w:space="0" w:color="auto"/>
                        </w:tcBorders>
                      </w:tcPr>
                      <w:p>
                        <w:pPr/>
                      </w:p>
                    </w:tc>
                    <w:tc>
                      <w:tcPr>
                        <w:tcW w:w="16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tabs>
                            <w:tab w:pos="1600" w:val="left" w:leader="none"/>
                          </w:tabs>
                          <w:spacing w:line="240" w:lineRule="auto"/>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6"/>
                            <w:sz w:val="20"/>
                            <w:u w:val="single" w:color="000000"/>
                          </w:rPr>
                          <w:t> </w:t>
                        </w:r>
                        <w:r>
                          <w:rPr>
                            <w:rFonts w:ascii="Arial"/>
                            <w:sz w:val="20"/>
                            <w:u w:val="single" w:color="000000"/>
                          </w:rPr>
                          <w:t>(7,142)</w:t>
                        </w:r>
                        <w:r>
                          <w:rPr>
                            <w:rFonts w:ascii="Arial"/>
                            <w:spacing w:val="44"/>
                            <w:sz w:val="20"/>
                            <w:u w:val="single" w:color="000000"/>
                          </w:rPr>
                          <w:t> </w:t>
                        </w:r>
                        <w:r>
                          <w:rPr>
                            <w:rFonts w:ascii="Arial"/>
                            <w:sz w:val="20"/>
                            <w:u w:val="single" w:color="000000"/>
                          </w:rPr>
                          <w:t>1.8%</w:t>
                          <w:tab/>
                        </w:r>
                        <w:r>
                          <w:rPr>
                            <w:rFonts w:ascii="Arial"/>
                            <w:sz w:val="20"/>
                          </w:rPr>
                        </w:r>
                      </w:p>
                    </w:tc>
                    <w:tc>
                      <w:tcPr>
                        <w:tcW w:w="242" w:type="dxa"/>
                        <w:tcBorders>
                          <w:top w:val="nil" w:sz="6" w:space="0" w:color="auto"/>
                          <w:left w:val="nil" w:sz="6" w:space="0" w:color="auto"/>
                          <w:bottom w:val="nil" w:sz="6" w:space="0" w:color="auto"/>
                          <w:right w:val="nil" w:sz="6" w:space="0" w:color="auto"/>
                        </w:tcBorders>
                      </w:tcPr>
                      <w:p>
                        <w:pPr/>
                      </w:p>
                    </w:tc>
                    <w:tc>
                      <w:tcPr>
                        <w:tcW w:w="16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tabs>
                            <w:tab w:pos="1063" w:val="left" w:leader="none"/>
                            <w:tab w:pos="1676" w:val="left" w:leader="none"/>
                          </w:tabs>
                          <w:spacing w:line="240" w:lineRule="auto"/>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4"/>
                            <w:sz w:val="20"/>
                            <w:u w:val="single" w:color="000000"/>
                          </w:rPr>
                          <w:t> </w:t>
                        </w:r>
                        <w:r>
                          <w:rPr>
                            <w:rFonts w:ascii="Arial"/>
                            <w:spacing w:val="-1"/>
                            <w:sz w:val="20"/>
                            <w:u w:val="single" w:color="000000"/>
                          </w:rPr>
                          <w:t>210,154</w:t>
                          <w:tab/>
                          <w:t>100%</w:t>
                          <w:tab/>
                        </w:r>
                        <w:r>
                          <w:rPr>
                            <w:rFonts w:ascii="Arial"/>
                            <w:spacing w:val="-1"/>
                            <w:sz w:val="20"/>
                          </w:rPr>
                        </w:r>
                      </w:p>
                    </w:tc>
                    <w:tc>
                      <w:tcPr>
                        <w:tcW w:w="238" w:type="dxa"/>
                        <w:tcBorders>
                          <w:top w:val="nil" w:sz="6" w:space="0" w:color="auto"/>
                          <w:left w:val="nil" w:sz="6" w:space="0" w:color="auto"/>
                          <w:bottom w:val="nil" w:sz="6" w:space="0" w:color="auto"/>
                          <w:right w:val="nil" w:sz="6" w:space="0" w:color="auto"/>
                        </w:tcBorders>
                      </w:tcPr>
                      <w:p>
                        <w:pPr/>
                      </w:p>
                    </w:tc>
                    <w:tc>
                      <w:tcPr>
                        <w:tcW w:w="15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tabs>
                            <w:tab w:pos="1558" w:val="left" w:leader="none"/>
                          </w:tabs>
                          <w:spacing w:line="240" w:lineRule="auto"/>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4"/>
                            <w:sz w:val="20"/>
                            <w:u w:val="single" w:color="000000"/>
                          </w:rPr>
                          <w:t> </w:t>
                        </w:r>
                        <w:r>
                          <w:rPr>
                            <w:rFonts w:ascii="Arial"/>
                            <w:sz w:val="20"/>
                            <w:u w:val="single" w:color="000000"/>
                          </w:rPr>
                          <w:t>(3,413)  </w:t>
                        </w:r>
                        <w:r>
                          <w:rPr>
                            <w:rFonts w:ascii="Arial"/>
                            <w:spacing w:val="14"/>
                            <w:sz w:val="20"/>
                            <w:u w:val="single" w:color="000000"/>
                          </w:rPr>
                          <w:t> </w:t>
                        </w:r>
                        <w:r>
                          <w:rPr>
                            <w:rFonts w:ascii="Arial"/>
                            <w:sz w:val="20"/>
                            <w:u w:val="single" w:color="000000"/>
                          </w:rPr>
                          <w:t>1.6%</w:t>
                          <w:tab/>
                        </w:r>
                        <w:r>
                          <w:rPr>
                            <w:rFonts w:ascii="Arial"/>
                            <w:sz w:val="20"/>
                          </w:rPr>
                        </w:r>
                      </w:p>
                    </w:tc>
                  </w:tr>
                  <w:tr>
                    <w:trPr>
                      <w:trHeight w:val="248" w:hRule="exact"/>
                    </w:trPr>
                    <w:tc>
                      <w:tcPr>
                        <w:tcW w:w="2132" w:type="dxa"/>
                        <w:gridSpan w:val="2"/>
                        <w:tcBorders>
                          <w:top w:val="nil" w:sz="6" w:space="0" w:color="auto"/>
                          <w:left w:val="nil" w:sz="6" w:space="0" w:color="auto"/>
                          <w:bottom w:val="single" w:sz="12" w:space="0" w:color="000000"/>
                          <w:right w:val="nil" w:sz="6" w:space="0" w:color="auto"/>
                        </w:tcBorders>
                      </w:tcPr>
                      <w:p>
                        <w:pPr>
                          <w:pStyle w:val="TableParagraph"/>
                          <w:tabs>
                            <w:tab w:pos="1518" w:val="left" w:leader="none"/>
                          </w:tabs>
                          <w:spacing w:line="240" w:lineRule="auto"/>
                          <w:ind w:left="230" w:right="0"/>
                          <w:jc w:val="left"/>
                          <w:rPr>
                            <w:rFonts w:ascii="Arial" w:hAnsi="Arial" w:cs="Arial" w:eastAsia="Arial" w:hint="default"/>
                            <w:sz w:val="20"/>
                            <w:szCs w:val="20"/>
                          </w:rPr>
                        </w:pPr>
                        <w:r>
                          <w:rPr>
                            <w:rFonts w:ascii="Arial"/>
                            <w:spacing w:val="-1"/>
                            <w:sz w:val="20"/>
                          </w:rPr>
                          <w:t>1,091,333</w:t>
                          <w:tab/>
                        </w:r>
                        <w:r>
                          <w:rPr>
                            <w:rFonts w:ascii="Arial"/>
                            <w:sz w:val="20"/>
                          </w:rPr>
                          <w:t>100%</w:t>
                        </w:r>
                      </w:p>
                    </w:tc>
                    <w:tc>
                      <w:tcPr>
                        <w:tcW w:w="246" w:type="dxa"/>
                        <w:tcBorders>
                          <w:top w:val="nil" w:sz="6" w:space="0" w:color="auto"/>
                          <w:left w:val="nil" w:sz="6" w:space="0" w:color="auto"/>
                          <w:bottom w:val="nil" w:sz="6" w:space="0" w:color="auto"/>
                          <w:right w:val="nil" w:sz="6" w:space="0" w:color="auto"/>
                        </w:tcBorders>
                      </w:tcPr>
                      <w:p>
                        <w:pPr/>
                      </w:p>
                    </w:tc>
                    <w:tc>
                      <w:tcPr>
                        <w:tcW w:w="1601"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ind w:left="229" w:right="0"/>
                          <w:jc w:val="left"/>
                          <w:rPr>
                            <w:rFonts w:ascii="Arial" w:hAnsi="Arial" w:cs="Arial" w:eastAsia="Arial" w:hint="default"/>
                            <w:sz w:val="20"/>
                            <w:szCs w:val="20"/>
                          </w:rPr>
                        </w:pPr>
                        <w:r>
                          <w:rPr>
                            <w:rFonts w:ascii="Arial"/>
                            <w:sz w:val="20"/>
                          </w:rPr>
                          <w:t>(7,142)</w:t>
                        </w:r>
                      </w:p>
                    </w:tc>
                    <w:tc>
                      <w:tcPr>
                        <w:tcW w:w="242" w:type="dxa"/>
                        <w:tcBorders>
                          <w:top w:val="nil" w:sz="6" w:space="0" w:color="auto"/>
                          <w:left w:val="nil" w:sz="6" w:space="0" w:color="auto"/>
                          <w:bottom w:val="nil" w:sz="6" w:space="0" w:color="auto"/>
                          <w:right w:val="nil" w:sz="6" w:space="0" w:color="auto"/>
                        </w:tcBorders>
                      </w:tcPr>
                      <w:p>
                        <w:pPr/>
                      </w:p>
                    </w:tc>
                    <w:tc>
                      <w:tcPr>
                        <w:tcW w:w="1676" w:type="dxa"/>
                        <w:gridSpan w:val="2"/>
                        <w:tcBorders>
                          <w:top w:val="nil" w:sz="6" w:space="0" w:color="auto"/>
                          <w:left w:val="nil" w:sz="6" w:space="0" w:color="auto"/>
                          <w:bottom w:val="single" w:sz="12" w:space="0" w:color="000000"/>
                          <w:right w:val="nil" w:sz="6" w:space="0" w:color="auto"/>
                        </w:tcBorders>
                      </w:tcPr>
                      <w:p>
                        <w:pPr>
                          <w:pStyle w:val="TableParagraph"/>
                          <w:tabs>
                            <w:tab w:pos="1062" w:val="left" w:leader="none"/>
                          </w:tabs>
                          <w:spacing w:line="240" w:lineRule="auto"/>
                          <w:ind w:left="114" w:right="0"/>
                          <w:jc w:val="left"/>
                          <w:rPr>
                            <w:rFonts w:ascii="Arial" w:hAnsi="Arial" w:cs="Arial" w:eastAsia="Arial" w:hint="default"/>
                            <w:sz w:val="20"/>
                            <w:szCs w:val="20"/>
                          </w:rPr>
                        </w:pPr>
                        <w:r>
                          <w:rPr>
                            <w:rFonts w:ascii="Arial"/>
                            <w:spacing w:val="-1"/>
                            <w:sz w:val="20"/>
                          </w:rPr>
                          <w:t>210,154</w:t>
                          <w:tab/>
                        </w:r>
                        <w:r>
                          <w:rPr>
                            <w:rFonts w:ascii="Arial"/>
                            <w:sz w:val="20"/>
                          </w:rPr>
                          <w:t>100%</w:t>
                        </w:r>
                      </w:p>
                    </w:tc>
                    <w:tc>
                      <w:tcPr>
                        <w:tcW w:w="238" w:type="dxa"/>
                        <w:tcBorders>
                          <w:top w:val="nil" w:sz="6" w:space="0" w:color="auto"/>
                          <w:left w:val="nil" w:sz="6" w:space="0" w:color="auto"/>
                          <w:bottom w:val="nil" w:sz="6" w:space="0" w:color="auto"/>
                          <w:right w:val="nil" w:sz="6" w:space="0" w:color="auto"/>
                        </w:tcBorders>
                      </w:tcPr>
                      <w:p>
                        <w:pPr/>
                      </w:p>
                    </w:tc>
                    <w:tc>
                      <w:tcPr>
                        <w:tcW w:w="1566"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ind w:left="181" w:right="0"/>
                          <w:jc w:val="left"/>
                          <w:rPr>
                            <w:rFonts w:ascii="Arial" w:hAnsi="Arial" w:cs="Arial" w:eastAsia="Arial" w:hint="default"/>
                            <w:sz w:val="20"/>
                            <w:szCs w:val="20"/>
                          </w:rPr>
                        </w:pPr>
                        <w:r>
                          <w:rPr>
                            <w:rFonts w:ascii="Arial"/>
                            <w:sz w:val="20"/>
                          </w:rPr>
                          <w:t>(3,413)</w:t>
                        </w:r>
                      </w:p>
                    </w:tc>
                  </w:tr>
                </w:tbl>
                <w:p>
                  <w:pPr/>
                </w:p>
              </w:txbxContent>
            </v:textbox>
            <w10:wrap type="none"/>
          </v:shape>
        </w:pict>
      </w:r>
      <w:r>
        <w:rPr>
          <w:rFonts w:ascii="宋体" w:hAnsi="宋体" w:cs="宋体" w:eastAsia="宋体" w:hint="default"/>
          <w:spacing w:val="11"/>
          <w:sz w:val="20"/>
          <w:szCs w:val="20"/>
        </w:rPr>
        <w:t>单项金额重大并单</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11"/>
          <w:sz w:val="20"/>
          <w:szCs w:val="20"/>
        </w:rPr>
        <w:t>独计提坏账准备</w:t>
      </w:r>
      <w:r>
        <w:rPr>
          <w:rFonts w:ascii="宋体" w:hAnsi="宋体" w:cs="宋体" w:eastAsia="宋体" w:hint="default"/>
          <w:spacing w:val="12"/>
          <w:w w:val="100"/>
          <w:sz w:val="20"/>
          <w:szCs w:val="20"/>
        </w:rPr>
        <w:t> </w:t>
      </w:r>
      <w:r>
        <w:rPr>
          <w:rFonts w:ascii="宋体" w:hAnsi="宋体" w:cs="宋体" w:eastAsia="宋体" w:hint="default"/>
          <w:sz w:val="20"/>
          <w:szCs w:val="20"/>
        </w:rPr>
        <w:t>的应收款项</w:t>
      </w:r>
      <w:r>
        <w:rPr>
          <w:rFonts w:ascii="Arial" w:hAnsi="Arial" w:cs="Arial" w:eastAsia="Arial" w:hint="default"/>
          <w:sz w:val="20"/>
          <w:szCs w:val="20"/>
        </w:rPr>
        <w:t>(c)</w:t>
      </w:r>
    </w:p>
    <w:p>
      <w:pPr>
        <w:spacing w:line="260" w:lineRule="exact" w:before="10"/>
        <w:ind w:left="914" w:right="7850" w:hanging="100"/>
        <w:jc w:val="left"/>
        <w:rPr>
          <w:rFonts w:ascii="宋体" w:hAnsi="宋体" w:cs="宋体" w:eastAsia="宋体" w:hint="default"/>
          <w:sz w:val="20"/>
          <w:szCs w:val="20"/>
        </w:rPr>
      </w:pPr>
      <w:r>
        <w:rPr>
          <w:rFonts w:ascii="宋体" w:hAnsi="宋体" w:cs="宋体" w:eastAsia="宋体" w:hint="default"/>
          <w:sz w:val="20"/>
          <w:szCs w:val="20"/>
        </w:rPr>
        <w:t>按组合计提坏账准备</w:t>
      </w:r>
      <w:r>
        <w:rPr>
          <w:rFonts w:ascii="宋体" w:hAnsi="宋体" w:cs="宋体" w:eastAsia="宋体" w:hint="default"/>
          <w:w w:val="100"/>
          <w:sz w:val="20"/>
          <w:szCs w:val="20"/>
        </w:rPr>
        <w:t> </w:t>
      </w:r>
      <w:r>
        <w:rPr>
          <w:rFonts w:ascii="宋体" w:hAnsi="宋体" w:cs="宋体" w:eastAsia="宋体" w:hint="default"/>
          <w:sz w:val="20"/>
          <w:szCs w:val="20"/>
        </w:rPr>
        <w:t>应收其他款项组合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2" w:lineRule="exact" w:before="197"/>
        <w:ind w:left="814" w:right="242" w:hanging="712"/>
        <w:jc w:val="both"/>
      </w:pPr>
      <w:r>
        <w:rPr>
          <w:rFonts w:ascii="Arial" w:hAnsi="Arial" w:cs="Arial" w:eastAsia="Arial" w:hint="default"/>
          <w:position w:val="2"/>
        </w:rPr>
        <w:t>(c) </w:t>
      </w:r>
      <w:r>
        <w:rPr/>
        <w:t>单项金额重大并单独计提坏账准备的应收款项系本集团于 </w:t>
      </w:r>
      <w:r>
        <w:rPr>
          <w:rFonts w:ascii="Arial" w:hAnsi="Arial" w:cs="Arial" w:eastAsia="Arial" w:hint="default"/>
        </w:rPr>
        <w:t>2010</w:t>
      </w:r>
      <w:r>
        <w:rPr>
          <w:rFonts w:ascii="Arial" w:hAnsi="Arial" w:cs="Arial" w:eastAsia="Arial" w:hint="default"/>
          <w:spacing w:val="15"/>
        </w:rPr>
        <w:t> </w:t>
      </w:r>
      <w:r>
        <w:rPr/>
        <w:t>年向中国农业银行购买的 截止</w:t>
      </w:r>
      <w:r>
        <w:rPr>
          <w:spacing w:val="-58"/>
        </w:rPr>
        <w:t> </w:t>
      </w:r>
      <w:r>
        <w:rPr>
          <w:rFonts w:ascii="Arial" w:hAnsi="Arial" w:cs="Arial" w:eastAsia="Arial" w:hint="default"/>
        </w:rPr>
        <w:t>2010</w:t>
      </w:r>
      <w:r>
        <w:rPr>
          <w:rFonts w:ascii="Arial" w:hAnsi="Arial" w:cs="Arial" w:eastAsia="Arial" w:hint="default"/>
          <w:spacing w:val="-5"/>
        </w:rPr>
        <w:t> </w:t>
      </w:r>
      <w:r>
        <w:rPr/>
        <w:t>年</w:t>
      </w:r>
      <w:r>
        <w:rPr>
          <w:spacing w:val="-58"/>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t>日尚未到期的保本保收益的理财产品人民币</w:t>
      </w:r>
      <w:r>
        <w:rPr>
          <w:spacing w:val="-58"/>
        </w:rPr>
        <w:t> </w:t>
      </w:r>
      <w:r>
        <w:rPr>
          <w:rFonts w:ascii="Arial" w:hAnsi="Arial" w:cs="Arial" w:eastAsia="Arial" w:hint="default"/>
        </w:rPr>
        <w:t>7</w:t>
      </w:r>
      <w:r>
        <w:rPr>
          <w:rFonts w:ascii="Arial" w:hAnsi="Arial" w:cs="Arial" w:eastAsia="Arial" w:hint="default"/>
          <w:spacing w:val="-5"/>
        </w:rPr>
        <w:t> </w:t>
      </w:r>
      <w:r>
        <w:rPr/>
        <w:t>亿元</w:t>
      </w:r>
      <w:r>
        <w:rPr>
          <w:rFonts w:ascii="Arial" w:hAnsi="Arial" w:cs="Arial" w:eastAsia="Arial" w:hint="default"/>
        </w:rPr>
        <w:t>(2009</w:t>
      </w:r>
      <w:r>
        <w:rPr>
          <w:rFonts w:ascii="Arial" w:hAnsi="Arial" w:cs="Arial" w:eastAsia="Arial" w:hint="default"/>
          <w:spacing w:val="-4"/>
        </w:rPr>
        <w:t> </w:t>
      </w:r>
      <w:r>
        <w:rPr/>
        <w:t>年：无</w:t>
      </w:r>
      <w:r>
        <w:rPr>
          <w:rFonts w:ascii="Arial" w:hAnsi="Arial" w:cs="Arial" w:eastAsia="Arial" w:hint="default"/>
        </w:rPr>
        <w:t>)</w:t>
      </w:r>
      <w:r>
        <w:rPr/>
        <w:t>。 截至财务报告批准报出日止，该理财产品的相关款项已经全部收回，因此无坏账风险，无</w:t>
      </w:r>
      <w:r>
        <w:rPr>
          <w:spacing w:val="1"/>
        </w:rPr>
        <w:t> </w:t>
      </w:r>
      <w:r>
        <w:rPr/>
        <w:t>需计提坏账准备。请参见资产负债表日后事项</w:t>
      </w:r>
      <w:r>
        <w:rPr>
          <w:rFonts w:ascii="Arial" w:hAnsi="Arial" w:cs="Arial" w:eastAsia="Arial" w:hint="default"/>
        </w:rPr>
        <w:t>(</w:t>
      </w:r>
      <w:r>
        <w:rPr/>
        <w:t>附注九</w:t>
      </w:r>
      <w:r>
        <w:rPr>
          <w:rFonts w:ascii="Arial" w:hAnsi="Arial" w:cs="Arial" w:eastAsia="Arial" w:hint="default"/>
        </w:rPr>
        <w:t>(1))</w:t>
      </w:r>
      <w:r>
        <w:rPr/>
        <w:t>。</w:t>
      </w:r>
    </w:p>
    <w:p>
      <w:pPr>
        <w:spacing w:line="240" w:lineRule="auto" w:before="10"/>
        <w:rPr>
          <w:rFonts w:ascii="宋体" w:hAnsi="宋体" w:cs="宋体" w:eastAsia="宋体" w:hint="default"/>
          <w:sz w:val="18"/>
          <w:szCs w:val="18"/>
        </w:rPr>
      </w:pPr>
    </w:p>
    <w:p>
      <w:pPr>
        <w:pStyle w:val="BodyText"/>
        <w:tabs>
          <w:tab w:pos="814" w:val="left" w:leader="none"/>
        </w:tabs>
        <w:spacing w:line="240" w:lineRule="auto"/>
        <w:ind w:left="103" w:right="0"/>
        <w:jc w:val="left"/>
      </w:pPr>
      <w:r>
        <w:rPr>
          <w:rFonts w:ascii="Arial" w:hAnsi="Arial" w:cs="Arial" w:eastAsia="Arial" w:hint="default"/>
          <w:w w:val="95"/>
          <w:position w:val="2"/>
        </w:rPr>
        <w:t>(d)</w:t>
        <w:tab/>
      </w:r>
      <w:r>
        <w:rPr/>
        <w:t>按组合计提坏账准备的其他应收款中，采用账龄分析法的组合分析如下：</w:t>
      </w:r>
    </w:p>
    <w:p>
      <w:pPr>
        <w:spacing w:line="240" w:lineRule="auto" w:before="12"/>
        <w:rPr>
          <w:rFonts w:ascii="宋体" w:hAnsi="宋体" w:cs="宋体" w:eastAsia="宋体" w:hint="default"/>
          <w:sz w:val="18"/>
          <w:szCs w:val="18"/>
        </w:rPr>
      </w:pPr>
    </w:p>
    <w:p>
      <w:pPr>
        <w:tabs>
          <w:tab w:pos="6201" w:val="left" w:leader="none"/>
        </w:tabs>
        <w:spacing w:before="0"/>
        <w:ind w:left="1890" w:right="0" w:firstLine="0"/>
        <w:jc w:val="center"/>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tabs>
          <w:tab w:pos="4069" w:val="left" w:leader="none"/>
          <w:tab w:pos="6197" w:val="left" w:leader="none"/>
          <w:tab w:pos="8321" w:val="left" w:leader="none"/>
        </w:tabs>
        <w:spacing w:before="13"/>
        <w:ind w:left="1887" w:right="0" w:firstLine="0"/>
        <w:jc w:val="center"/>
        <w:rPr>
          <w:rFonts w:ascii="宋体" w:hAnsi="宋体" w:cs="宋体" w:eastAsia="宋体" w:hint="default"/>
          <w:sz w:val="20"/>
          <w:szCs w:val="20"/>
        </w:rPr>
      </w:pPr>
      <w:r>
        <w:rPr/>
        <w:pict>
          <v:group style="position:absolute;margin-left:149.039993pt;margin-top:1.500547pt;width:206.4pt;height:.1pt;mso-position-horizontal-relative:page;mso-position-vertical-relative:paragraph;z-index:-1001392" coordorigin="2981,30" coordsize="4128,2">
            <v:shape style="position:absolute;left:2981;top:30;width:4128;height:2" coordorigin="2981,30" coordsize="4128,0" path="m2981,30l7109,30e" filled="false" stroked="true" strokeweight="1.5pt" strokecolor="#000000">
              <v:path arrowok="t"/>
            </v:shape>
            <w10:wrap type="none"/>
          </v:group>
        </w:pict>
      </w:r>
      <w:r>
        <w:rPr/>
        <w:pict>
          <v:group style="position:absolute;margin-left:366.75pt;margin-top:.750547pt;width:202.1pt;height:1.5pt;mso-position-horizontal-relative:page;mso-position-vertical-relative:paragraph;z-index:-1001368" coordorigin="7335,15" coordsize="4042,30">
            <v:group style="position:absolute;left:7350;top:30;width:1886;height:2" coordorigin="7350,30" coordsize="1886,2">
              <v:shape style="position:absolute;left:7350;top:30;width:1886;height:2" coordorigin="7350,30" coordsize="1886,0" path="m7350,30l9235,30e" filled="false" stroked="true" strokeweight="1.5pt" strokecolor="#000000">
                <v:path arrowok="t"/>
              </v:shape>
            </v:group>
            <v:group style="position:absolute;left:9235;top:30;width:2127;height:2" coordorigin="9235,30" coordsize="2127,2">
              <v:shape style="position:absolute;left:9235;top:30;width:2127;height:2" coordorigin="9235,30" coordsize="2127,0" path="m9235,30l11362,30e" filled="false" stroked="true" strokeweight="1.5pt" strokecolor="#000000">
                <v:path arrowok="t"/>
              </v:shape>
            </v:group>
            <w10:wrap type="none"/>
          </v:group>
        </w:pict>
      </w:r>
      <w:r>
        <w:rPr/>
        <w:pict>
          <v:group style="position:absolute;margin-left:149.039993pt;margin-top:16.020546pt;width:100.15pt;height:.1pt;mso-position-horizontal-relative:page;mso-position-vertical-relative:paragraph;z-index:-1001344" coordorigin="2981,320" coordsize="2003,2">
            <v:shape style="position:absolute;left:2981;top:320;width:2003;height:2" coordorigin="2981,320" coordsize="2003,0" path="m2981,320l4984,320e" filled="false" stroked="true" strokeweight="1.5pt" strokecolor="#000000">
              <v:path arrowok="t"/>
            </v:shape>
            <w10:wrap type="none"/>
          </v:group>
        </w:pict>
      </w:r>
      <w:r>
        <w:rPr/>
        <w:pict>
          <v:group style="position:absolute;margin-left:260.940002pt;margin-top:16.020546pt;width:94.5pt;height:.1pt;mso-position-horizontal-relative:page;mso-position-vertical-relative:paragraph;z-index:-1001320" coordorigin="5219,320" coordsize="1890,2">
            <v:shape style="position:absolute;left:5219;top:320;width:1890;height:2" coordorigin="5219,320" coordsize="1890,0" path="m5219,320l7109,320e" filled="false" stroked="true" strokeweight="1.5pt" strokecolor="#000000">
              <v:path arrowok="t"/>
            </v:shape>
            <w10:wrap type="none"/>
          </v:group>
        </w:pict>
      </w:r>
      <w:r>
        <w:rPr/>
        <w:pict>
          <v:group style="position:absolute;margin-left:367.5pt;margin-top:16.020546pt;width:94.3pt;height:.1pt;mso-position-horizontal-relative:page;mso-position-vertical-relative:paragraph;z-index:-1001296" coordorigin="7350,320" coordsize="1886,2">
            <v:shape style="position:absolute;left:7350;top:320;width:1886;height:2" coordorigin="7350,320" coordsize="1886,0" path="m7350,320l9235,320e" filled="false" stroked="true" strokeweight="1.5pt" strokecolor="#000000">
              <v:path arrowok="t"/>
            </v:shape>
            <w10:wrap type="none"/>
          </v:group>
        </w:pict>
      </w:r>
      <w:r>
        <w:rPr/>
        <w:pict>
          <v:group style="position:absolute;margin-left:473.640015pt;margin-top:16.020546pt;width:94.45pt;height:.1pt;mso-position-horizontal-relative:page;mso-position-vertical-relative:paragraph;z-index:-1001272" coordorigin="9473,320" coordsize="1889,2">
            <v:shape style="position:absolute;left:9473;top:320;width:1889;height:2" coordorigin="9473,320" coordsize="1889,0" path="m9473,320l11362,320e" filled="false" stroked="true" strokeweight="1.5pt" strokecolor="#000000">
              <v:path arrowok="t"/>
            </v:shape>
            <w10:wrap type="none"/>
          </v:group>
        </w:pict>
      </w:r>
      <w:r>
        <w:rPr>
          <w:rFonts w:ascii="宋体" w:hAnsi="宋体" w:cs="宋体" w:eastAsia="宋体" w:hint="default"/>
          <w:sz w:val="20"/>
          <w:szCs w:val="20"/>
        </w:rPr>
        <w:t>账面余额</w:t>
        <w:tab/>
        <w:t>坏账准备</w:t>
        <w:tab/>
        <w:t>账面余额</w:t>
        <w:tab/>
        <w:t>坏账准备</w:t>
      </w:r>
    </w:p>
    <w:p>
      <w:pPr>
        <w:spacing w:after="0"/>
        <w:jc w:val="center"/>
        <w:rPr>
          <w:rFonts w:ascii="宋体" w:hAnsi="宋体" w:cs="宋体" w:eastAsia="宋体" w:hint="default"/>
          <w:sz w:val="20"/>
          <w:szCs w:val="20"/>
        </w:rPr>
        <w:sectPr>
          <w:pgSz w:w="11910" w:h="16840"/>
          <w:pgMar w:header="755" w:footer="947" w:top="2300" w:bottom="1140" w:left="1020" w:right="400"/>
        </w:sectPr>
      </w:pPr>
    </w:p>
    <w:p>
      <w:pPr>
        <w:tabs>
          <w:tab w:pos="3343" w:val="left" w:leader="none"/>
          <w:tab w:pos="4549" w:val="left" w:leader="none"/>
          <w:tab w:pos="5494" w:val="left" w:leader="none"/>
        </w:tabs>
        <w:spacing w:before="28"/>
        <w:ind w:left="5493" w:right="0" w:hanging="3152"/>
        <w:jc w:val="right"/>
        <w:rPr>
          <w:rFonts w:ascii="宋体" w:hAnsi="宋体" w:cs="宋体" w:eastAsia="宋体" w:hint="default"/>
          <w:sz w:val="20"/>
          <w:szCs w:val="20"/>
        </w:rPr>
      </w:pPr>
      <w:r>
        <w:rPr>
          <w:rFonts w:ascii="宋体" w:hAnsi="宋体" w:cs="宋体" w:eastAsia="宋体" w:hint="default"/>
          <w:sz w:val="20"/>
          <w:szCs w:val="20"/>
        </w:rPr>
        <w:t>金额</w:t>
        <w:tab/>
        <w:t>比例</w:t>
        <w:tab/>
        <w:t>金额</w:t>
        <w:tab/>
        <w:tab/>
        <w:t>计提</w:t>
      </w:r>
      <w:r>
        <w:rPr>
          <w:rFonts w:ascii="宋体" w:hAnsi="宋体" w:cs="宋体" w:eastAsia="宋体" w:hint="default"/>
          <w:w w:val="100"/>
          <w:sz w:val="20"/>
          <w:szCs w:val="20"/>
        </w:rPr>
        <w:t> </w:t>
      </w:r>
      <w:r>
        <w:rPr>
          <w:rFonts w:ascii="宋体" w:hAnsi="宋体" w:cs="宋体" w:eastAsia="宋体" w:hint="default"/>
          <w:sz w:val="20"/>
          <w:szCs w:val="20"/>
        </w:rPr>
        <w:t>比例</w:t>
      </w:r>
    </w:p>
    <w:p>
      <w:pPr>
        <w:tabs>
          <w:tab w:pos="1659" w:val="left" w:leader="none"/>
          <w:tab w:pos="2851" w:val="left" w:leader="none"/>
          <w:tab w:pos="3795" w:val="left" w:leader="none"/>
        </w:tabs>
        <w:spacing w:before="28"/>
        <w:ind w:left="3795" w:right="350" w:hanging="3080"/>
        <w:jc w:val="right"/>
        <w:rPr>
          <w:rFonts w:ascii="宋体" w:hAnsi="宋体" w:cs="宋体" w:eastAsia="宋体" w:hint="default"/>
          <w:sz w:val="20"/>
          <w:szCs w:val="20"/>
        </w:rPr>
      </w:pPr>
      <w:r>
        <w:rPr/>
        <w:br w:type="column"/>
      </w:r>
      <w:r>
        <w:rPr>
          <w:rFonts w:ascii="宋体" w:hAnsi="宋体" w:cs="宋体" w:eastAsia="宋体" w:hint="default"/>
          <w:sz w:val="20"/>
          <w:szCs w:val="20"/>
        </w:rPr>
        <w:t>金额</w:t>
        <w:tab/>
        <w:t>比例</w:t>
        <w:tab/>
        <w:t>金额</w:t>
        <w:tab/>
        <w:t>计提</w:t>
      </w:r>
      <w:r>
        <w:rPr>
          <w:rFonts w:ascii="宋体" w:hAnsi="宋体" w:cs="宋体" w:eastAsia="宋体" w:hint="default"/>
          <w:w w:val="100"/>
          <w:sz w:val="20"/>
          <w:szCs w:val="20"/>
        </w:rPr>
        <w:t> </w:t>
      </w:r>
      <w:r>
        <w:rPr>
          <w:rFonts w:ascii="宋体" w:hAnsi="宋体" w:cs="宋体" w:eastAsia="宋体" w:hint="default"/>
          <w:sz w:val="20"/>
          <w:szCs w:val="20"/>
        </w:rPr>
        <w:t>比例</w:t>
      </w:r>
    </w:p>
    <w:p>
      <w:pPr>
        <w:spacing w:after="0"/>
        <w:jc w:val="right"/>
        <w:rPr>
          <w:rFonts w:ascii="宋体" w:hAnsi="宋体" w:cs="宋体" w:eastAsia="宋体" w:hint="default"/>
          <w:sz w:val="20"/>
          <w:szCs w:val="20"/>
        </w:rPr>
        <w:sectPr>
          <w:type w:val="continuous"/>
          <w:pgSz w:w="11910" w:h="16840"/>
          <w:pgMar w:top="920" w:bottom="900" w:left="1020" w:right="400"/>
          <w:cols w:num="2" w:equalWidth="0">
            <w:col w:w="5896" w:space="40"/>
            <w:col w:w="4554"/>
          </w:cols>
        </w:sectPr>
      </w:pPr>
    </w:p>
    <w:p>
      <w:pPr>
        <w:spacing w:line="240" w:lineRule="auto" w:before="6"/>
        <w:rPr>
          <w:rFonts w:ascii="宋体" w:hAnsi="宋体" w:cs="宋体" w:eastAsia="宋体" w:hint="default"/>
          <w:sz w:val="14"/>
          <w:szCs w:val="14"/>
        </w:rPr>
      </w:pPr>
    </w:p>
    <w:tbl>
      <w:tblPr>
        <w:tblW w:w="0" w:type="auto"/>
        <w:jc w:val="left"/>
        <w:tblInd w:w="779" w:type="dxa"/>
        <w:tblLayout w:type="fixed"/>
        <w:tblCellMar>
          <w:top w:w="0" w:type="dxa"/>
          <w:left w:w="0" w:type="dxa"/>
          <w:bottom w:w="0" w:type="dxa"/>
          <w:right w:w="0" w:type="dxa"/>
        </w:tblCellMar>
        <w:tblLook w:val="01E0"/>
      </w:tblPr>
      <w:tblGrid>
        <w:gridCol w:w="1181"/>
        <w:gridCol w:w="1191"/>
        <w:gridCol w:w="812"/>
        <w:gridCol w:w="235"/>
        <w:gridCol w:w="1159"/>
        <w:gridCol w:w="731"/>
        <w:gridCol w:w="241"/>
        <w:gridCol w:w="1073"/>
        <w:gridCol w:w="812"/>
        <w:gridCol w:w="238"/>
        <w:gridCol w:w="1143"/>
        <w:gridCol w:w="781"/>
      </w:tblGrid>
      <w:tr>
        <w:trPr>
          <w:trHeight w:val="342" w:hRule="exact"/>
        </w:trPr>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一年以内</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9"/>
              <w:jc w:val="right"/>
              <w:rPr>
                <w:rFonts w:ascii="Arial" w:hAnsi="Arial" w:cs="Arial" w:eastAsia="Arial" w:hint="default"/>
                <w:sz w:val="20"/>
                <w:szCs w:val="20"/>
              </w:rPr>
            </w:pPr>
            <w:r>
              <w:rPr>
                <w:rFonts w:ascii="Arial"/>
                <w:spacing w:val="-1"/>
                <w:sz w:val="20"/>
              </w:rPr>
              <w:t>357,584</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0"/>
              <w:jc w:val="right"/>
              <w:rPr>
                <w:rFonts w:ascii="Arial" w:hAnsi="Arial" w:cs="Arial" w:eastAsia="Arial" w:hint="default"/>
                <w:sz w:val="20"/>
                <w:szCs w:val="20"/>
              </w:rPr>
            </w:pPr>
            <w:r>
              <w:rPr>
                <w:rFonts w:ascii="Arial"/>
                <w:spacing w:val="-1"/>
                <w:sz w:val="20"/>
              </w:rPr>
              <w:t>91.4%</w:t>
            </w:r>
            <w:r>
              <w:rPr>
                <w:rFonts w:ascii="Arial"/>
                <w:sz w:val="20"/>
              </w:rPr>
            </w:r>
          </w:p>
        </w:tc>
        <w:tc>
          <w:tcPr>
            <w:tcW w:w="13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586" w:right="0"/>
              <w:jc w:val="left"/>
              <w:rPr>
                <w:rFonts w:ascii="Arial" w:hAnsi="Arial" w:cs="Arial" w:eastAsia="Arial" w:hint="default"/>
                <w:sz w:val="20"/>
                <w:szCs w:val="20"/>
              </w:rPr>
            </w:pPr>
            <w:r>
              <w:rPr>
                <w:rFonts w:ascii="Arial"/>
                <w:sz w:val="20"/>
              </w:rPr>
              <w:t>(3,226)</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8"/>
              <w:jc w:val="right"/>
              <w:rPr>
                <w:rFonts w:ascii="Arial" w:hAnsi="Arial" w:cs="Arial" w:eastAsia="Arial" w:hint="default"/>
                <w:sz w:val="20"/>
                <w:szCs w:val="20"/>
              </w:rPr>
            </w:pPr>
            <w:r>
              <w:rPr>
                <w:rFonts w:ascii="Arial"/>
                <w:spacing w:val="-1"/>
                <w:sz w:val="20"/>
              </w:rPr>
              <w:t>0.9%</w:t>
            </w:r>
            <w:r>
              <w:rPr>
                <w:rFonts w:ascii="Arial"/>
                <w:sz w:val="20"/>
              </w:rPr>
            </w:r>
          </w:p>
        </w:tc>
        <w:tc>
          <w:tcPr>
            <w:tcW w:w="13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447" w:right="0"/>
              <w:jc w:val="left"/>
              <w:rPr>
                <w:rFonts w:ascii="Arial" w:hAnsi="Arial" w:cs="Arial" w:eastAsia="Arial" w:hint="default"/>
                <w:sz w:val="20"/>
                <w:szCs w:val="20"/>
              </w:rPr>
            </w:pPr>
            <w:r>
              <w:rPr>
                <w:rFonts w:ascii="Arial"/>
                <w:sz w:val="20"/>
              </w:rPr>
              <w:t>204,751</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9"/>
              <w:jc w:val="right"/>
              <w:rPr>
                <w:rFonts w:ascii="Arial" w:hAnsi="Arial" w:cs="Arial" w:eastAsia="Arial" w:hint="default"/>
                <w:sz w:val="20"/>
                <w:szCs w:val="20"/>
              </w:rPr>
            </w:pPr>
            <w:r>
              <w:rPr>
                <w:rFonts w:ascii="Arial"/>
                <w:spacing w:val="-1"/>
                <w:sz w:val="20"/>
              </w:rPr>
              <w:t>97.4%</w:t>
            </w:r>
            <w:r>
              <w:rPr>
                <w:rFonts w:ascii="Arial"/>
                <w:sz w:val="20"/>
              </w:rPr>
            </w:r>
          </w:p>
        </w:tc>
        <w:tc>
          <w:tcPr>
            <w:tcW w:w="13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557" w:right="0"/>
              <w:jc w:val="left"/>
              <w:rPr>
                <w:rFonts w:ascii="Arial" w:hAnsi="Arial" w:cs="Arial" w:eastAsia="Arial" w:hint="default"/>
                <w:sz w:val="20"/>
                <w:szCs w:val="20"/>
              </w:rPr>
            </w:pPr>
            <w:r>
              <w:rPr>
                <w:rFonts w:ascii="Arial"/>
                <w:sz w:val="20"/>
              </w:rPr>
              <w:t>(2,608)</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4"/>
              <w:jc w:val="right"/>
              <w:rPr>
                <w:rFonts w:ascii="Arial" w:hAnsi="Arial" w:cs="Arial" w:eastAsia="Arial" w:hint="default"/>
                <w:sz w:val="20"/>
                <w:szCs w:val="20"/>
              </w:rPr>
            </w:pPr>
            <w:r>
              <w:rPr>
                <w:rFonts w:ascii="Arial"/>
                <w:spacing w:val="-1"/>
                <w:sz w:val="20"/>
              </w:rPr>
              <w:t>1.3%</w:t>
            </w:r>
            <w:r>
              <w:rPr>
                <w:rFonts w:ascii="Arial"/>
                <w:sz w:val="20"/>
              </w:rPr>
            </w:r>
          </w:p>
        </w:tc>
      </w:tr>
      <w:tr>
        <w:trPr>
          <w:trHeight w:val="260" w:hRule="exact"/>
        </w:trPr>
        <w:tc>
          <w:tcPr>
            <w:tcW w:w="1181"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一到二年</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9"/>
              <w:jc w:val="right"/>
              <w:rPr>
                <w:rFonts w:ascii="Arial" w:hAnsi="Arial" w:cs="Arial" w:eastAsia="Arial" w:hint="default"/>
                <w:sz w:val="20"/>
                <w:szCs w:val="20"/>
              </w:rPr>
            </w:pPr>
            <w:r>
              <w:rPr>
                <w:rFonts w:ascii="Arial"/>
                <w:sz w:val="20"/>
              </w:rPr>
              <w:t>30,305</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Arial" w:hAnsi="Arial" w:cs="Arial" w:eastAsia="Arial" w:hint="default"/>
                <w:sz w:val="20"/>
                <w:szCs w:val="20"/>
              </w:rPr>
            </w:pPr>
            <w:r>
              <w:rPr>
                <w:rFonts w:ascii="Arial"/>
                <w:sz w:val="20"/>
              </w:rPr>
              <w:t>7.7%</w:t>
            </w:r>
          </w:p>
        </w:tc>
        <w:tc>
          <w:tcPr>
            <w:tcW w:w="13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587" w:right="0"/>
              <w:jc w:val="left"/>
              <w:rPr>
                <w:rFonts w:ascii="Arial" w:hAnsi="Arial" w:cs="Arial" w:eastAsia="Arial" w:hint="default"/>
                <w:sz w:val="20"/>
                <w:szCs w:val="20"/>
              </w:rPr>
            </w:pPr>
            <w:r>
              <w:rPr>
                <w:rFonts w:ascii="Arial"/>
                <w:sz w:val="20"/>
              </w:rPr>
              <w:t>(3,030)</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z w:val="20"/>
              </w:rPr>
              <w:t>10%</w:t>
            </w:r>
          </w:p>
        </w:tc>
        <w:tc>
          <w:tcPr>
            <w:tcW w:w="13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669" w:right="0"/>
              <w:jc w:val="left"/>
              <w:rPr>
                <w:rFonts w:ascii="Arial" w:hAnsi="Arial" w:cs="Arial" w:eastAsia="Arial" w:hint="default"/>
                <w:sz w:val="20"/>
                <w:szCs w:val="20"/>
              </w:rPr>
            </w:pPr>
            <w:r>
              <w:rPr>
                <w:rFonts w:ascii="Arial"/>
                <w:sz w:val="20"/>
              </w:rPr>
              <w:t>3,146</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z w:val="20"/>
              </w:rPr>
              <w:t>1.5%</w:t>
            </w:r>
          </w:p>
        </w:tc>
        <w:tc>
          <w:tcPr>
            <w:tcW w:w="13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725" w:right="0"/>
              <w:jc w:val="left"/>
              <w:rPr>
                <w:rFonts w:ascii="Arial" w:hAnsi="Arial" w:cs="Arial" w:eastAsia="Arial" w:hint="default"/>
                <w:sz w:val="20"/>
                <w:szCs w:val="20"/>
              </w:rPr>
            </w:pPr>
            <w:r>
              <w:rPr>
                <w:rFonts w:ascii="Arial"/>
                <w:sz w:val="20"/>
              </w:rPr>
              <w:t>(315)</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4"/>
              <w:jc w:val="right"/>
              <w:rPr>
                <w:rFonts w:ascii="Arial" w:hAnsi="Arial" w:cs="Arial" w:eastAsia="Arial" w:hint="default"/>
                <w:sz w:val="20"/>
                <w:szCs w:val="20"/>
              </w:rPr>
            </w:pPr>
            <w:r>
              <w:rPr>
                <w:rFonts w:ascii="Arial"/>
                <w:sz w:val="20"/>
              </w:rPr>
              <w:t>10%</w:t>
            </w:r>
          </w:p>
        </w:tc>
      </w:tr>
      <w:tr>
        <w:trPr>
          <w:trHeight w:val="260" w:hRule="exact"/>
        </w:trPr>
        <w:tc>
          <w:tcPr>
            <w:tcW w:w="1181"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20"/>
                <w:szCs w:val="20"/>
              </w:rPr>
            </w:pPr>
            <w:r>
              <w:rPr>
                <w:rFonts w:ascii="宋体" w:hAnsi="宋体" w:cs="宋体" w:eastAsia="宋体" w:hint="default"/>
                <w:sz w:val="20"/>
                <w:szCs w:val="20"/>
              </w:rPr>
              <w:t>二到三年</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9"/>
              <w:jc w:val="right"/>
              <w:rPr>
                <w:rFonts w:ascii="Arial" w:hAnsi="Arial" w:cs="Arial" w:eastAsia="Arial" w:hint="default"/>
                <w:sz w:val="20"/>
                <w:szCs w:val="20"/>
              </w:rPr>
            </w:pPr>
            <w:r>
              <w:rPr>
                <w:rFonts w:ascii="Arial"/>
                <w:sz w:val="20"/>
              </w:rPr>
              <w:t>1,522</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right"/>
              <w:rPr>
                <w:rFonts w:ascii="Arial" w:hAnsi="Arial" w:cs="Arial" w:eastAsia="Arial" w:hint="default"/>
                <w:sz w:val="20"/>
                <w:szCs w:val="20"/>
              </w:rPr>
            </w:pPr>
            <w:r>
              <w:rPr>
                <w:rFonts w:ascii="Arial"/>
                <w:sz w:val="20"/>
              </w:rPr>
              <w:t>0.4%</w:t>
            </w:r>
          </w:p>
        </w:tc>
        <w:tc>
          <w:tcPr>
            <w:tcW w:w="13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54" w:right="0"/>
              <w:jc w:val="left"/>
              <w:rPr>
                <w:rFonts w:ascii="Arial" w:hAnsi="Arial" w:cs="Arial" w:eastAsia="Arial" w:hint="default"/>
                <w:sz w:val="20"/>
                <w:szCs w:val="20"/>
              </w:rPr>
            </w:pPr>
            <w:r>
              <w:rPr>
                <w:rFonts w:ascii="Arial"/>
                <w:sz w:val="20"/>
              </w:rPr>
              <w:t>(304)</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8"/>
              <w:jc w:val="right"/>
              <w:rPr>
                <w:rFonts w:ascii="Arial" w:hAnsi="Arial" w:cs="Arial" w:eastAsia="Arial" w:hint="default"/>
                <w:sz w:val="20"/>
                <w:szCs w:val="20"/>
              </w:rPr>
            </w:pPr>
            <w:r>
              <w:rPr>
                <w:rFonts w:ascii="Arial"/>
                <w:sz w:val="20"/>
              </w:rPr>
              <w:t>20%</w:t>
            </w:r>
          </w:p>
        </w:tc>
        <w:tc>
          <w:tcPr>
            <w:tcW w:w="13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669" w:right="0"/>
              <w:jc w:val="left"/>
              <w:rPr>
                <w:rFonts w:ascii="Arial" w:hAnsi="Arial" w:cs="Arial" w:eastAsia="Arial" w:hint="default"/>
                <w:sz w:val="20"/>
                <w:szCs w:val="20"/>
              </w:rPr>
            </w:pPr>
            <w:r>
              <w:rPr>
                <w:rFonts w:ascii="Arial"/>
                <w:sz w:val="20"/>
              </w:rPr>
              <w:t>2,158</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8"/>
              <w:jc w:val="right"/>
              <w:rPr>
                <w:rFonts w:ascii="Arial" w:hAnsi="Arial" w:cs="Arial" w:eastAsia="Arial" w:hint="default"/>
                <w:sz w:val="20"/>
                <w:szCs w:val="20"/>
              </w:rPr>
            </w:pPr>
            <w:r>
              <w:rPr>
                <w:rFonts w:ascii="Arial"/>
                <w:sz w:val="20"/>
              </w:rPr>
              <w:t>1.0%</w:t>
            </w:r>
          </w:p>
        </w:tc>
        <w:tc>
          <w:tcPr>
            <w:tcW w:w="13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725" w:right="0"/>
              <w:jc w:val="left"/>
              <w:rPr>
                <w:rFonts w:ascii="Arial" w:hAnsi="Arial" w:cs="Arial" w:eastAsia="Arial" w:hint="default"/>
                <w:sz w:val="20"/>
                <w:szCs w:val="20"/>
              </w:rPr>
            </w:pPr>
            <w:r>
              <w:rPr>
                <w:rFonts w:ascii="Arial"/>
                <w:sz w:val="20"/>
              </w:rPr>
              <w:t>(432)</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4"/>
              <w:jc w:val="right"/>
              <w:rPr>
                <w:rFonts w:ascii="Arial" w:hAnsi="Arial" w:cs="Arial" w:eastAsia="Arial" w:hint="default"/>
                <w:sz w:val="20"/>
                <w:szCs w:val="20"/>
              </w:rPr>
            </w:pPr>
            <w:r>
              <w:rPr>
                <w:rFonts w:ascii="Arial"/>
                <w:sz w:val="20"/>
              </w:rPr>
              <w:t>20%</w:t>
            </w:r>
          </w:p>
        </w:tc>
      </w:tr>
      <w:tr>
        <w:trPr>
          <w:trHeight w:val="260" w:hRule="exact"/>
        </w:trPr>
        <w:tc>
          <w:tcPr>
            <w:tcW w:w="1181"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三到四年</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9"/>
              <w:jc w:val="right"/>
              <w:rPr>
                <w:rFonts w:ascii="Arial" w:hAnsi="Arial" w:cs="Arial" w:eastAsia="Arial" w:hint="default"/>
                <w:sz w:val="20"/>
                <w:szCs w:val="20"/>
              </w:rPr>
            </w:pPr>
            <w:r>
              <w:rPr>
                <w:rFonts w:ascii="Arial"/>
                <w:sz w:val="20"/>
              </w:rPr>
              <w:t>1,914</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Arial" w:hAnsi="Arial" w:cs="Arial" w:eastAsia="Arial" w:hint="default"/>
                <w:sz w:val="20"/>
                <w:szCs w:val="20"/>
              </w:rPr>
            </w:pPr>
            <w:r>
              <w:rPr>
                <w:rFonts w:ascii="Arial"/>
                <w:sz w:val="20"/>
              </w:rPr>
              <w:t>0.5%</w:t>
            </w:r>
          </w:p>
        </w:tc>
        <w:tc>
          <w:tcPr>
            <w:tcW w:w="13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754" w:right="0"/>
              <w:jc w:val="left"/>
              <w:rPr>
                <w:rFonts w:ascii="Arial" w:hAnsi="Arial" w:cs="Arial" w:eastAsia="Arial" w:hint="default"/>
                <w:sz w:val="20"/>
                <w:szCs w:val="20"/>
              </w:rPr>
            </w:pPr>
            <w:r>
              <w:rPr>
                <w:rFonts w:ascii="Arial"/>
                <w:sz w:val="20"/>
              </w:rPr>
              <w:t>(574)</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z w:val="20"/>
              </w:rPr>
              <w:t>30%</w:t>
            </w:r>
          </w:p>
        </w:tc>
        <w:tc>
          <w:tcPr>
            <w:tcW w:w="13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right="141"/>
              <w:jc w:val="right"/>
              <w:rPr>
                <w:rFonts w:ascii="Arial" w:hAnsi="Arial" w:cs="Arial" w:eastAsia="Arial" w:hint="default"/>
                <w:sz w:val="20"/>
                <w:szCs w:val="20"/>
              </w:rPr>
            </w:pPr>
            <w:r>
              <w:rPr>
                <w:rFonts w:ascii="Arial"/>
                <w:w w:val="100"/>
                <w:sz w:val="20"/>
              </w:rPr>
              <w:t>5</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z w:val="20"/>
              </w:rPr>
              <w:t>0.0%</w:t>
            </w:r>
          </w:p>
        </w:tc>
        <w:tc>
          <w:tcPr>
            <w:tcW w:w="13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right="186"/>
              <w:jc w:val="right"/>
              <w:rPr>
                <w:rFonts w:ascii="Arial" w:hAnsi="Arial" w:cs="Arial" w:eastAsia="Arial" w:hint="default"/>
                <w:sz w:val="20"/>
                <w:szCs w:val="20"/>
              </w:rPr>
            </w:pPr>
            <w:r>
              <w:rPr>
                <w:rFonts w:ascii="Arial"/>
                <w:sz w:val="20"/>
              </w:rPr>
              <w:t>(2)</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5"/>
              <w:jc w:val="right"/>
              <w:rPr>
                <w:rFonts w:ascii="Arial" w:hAnsi="Arial" w:cs="Arial" w:eastAsia="Arial" w:hint="default"/>
                <w:sz w:val="20"/>
                <w:szCs w:val="20"/>
              </w:rPr>
            </w:pPr>
            <w:r>
              <w:rPr>
                <w:rFonts w:ascii="Arial"/>
                <w:sz w:val="20"/>
              </w:rPr>
              <w:t>30%</w:t>
            </w:r>
          </w:p>
        </w:tc>
      </w:tr>
      <w:tr>
        <w:trPr>
          <w:trHeight w:val="260" w:hRule="exact"/>
        </w:trPr>
        <w:tc>
          <w:tcPr>
            <w:tcW w:w="1181"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四到五年</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9"/>
              <w:jc w:val="right"/>
              <w:rPr>
                <w:rFonts w:ascii="Arial" w:hAnsi="Arial" w:cs="Arial" w:eastAsia="Arial" w:hint="default"/>
                <w:sz w:val="20"/>
                <w:szCs w:val="20"/>
              </w:rPr>
            </w:pPr>
            <w:r>
              <w:rPr>
                <w:rFonts w:ascii="Arial"/>
                <w:w w:val="100"/>
                <w:sz w:val="20"/>
              </w:rPr>
              <w:t>-</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Arial" w:hAnsi="Arial" w:cs="Arial" w:eastAsia="Arial" w:hint="default"/>
                <w:sz w:val="20"/>
                <w:szCs w:val="20"/>
              </w:rPr>
            </w:pPr>
            <w:r>
              <w:rPr>
                <w:rFonts w:ascii="Arial"/>
                <w:sz w:val="20"/>
              </w:rPr>
              <w:t>0.0%</w:t>
            </w:r>
          </w:p>
        </w:tc>
        <w:tc>
          <w:tcPr>
            <w:tcW w:w="13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right="270"/>
              <w:jc w:val="right"/>
              <w:rPr>
                <w:rFonts w:ascii="Arial" w:hAnsi="Arial" w:cs="Arial" w:eastAsia="Arial" w:hint="default"/>
                <w:sz w:val="20"/>
                <w:szCs w:val="20"/>
              </w:rPr>
            </w:pPr>
            <w:r>
              <w:rPr>
                <w:rFonts w:ascii="Arial"/>
                <w:w w:val="100"/>
                <w:sz w:val="20"/>
              </w:rPr>
              <w:t>-</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Arial" w:hAnsi="Arial" w:cs="Arial" w:eastAsia="Arial" w:hint="default"/>
                <w:sz w:val="20"/>
                <w:szCs w:val="20"/>
              </w:rPr>
            </w:pPr>
            <w:r>
              <w:rPr>
                <w:rFonts w:ascii="Arial"/>
                <w:sz w:val="20"/>
              </w:rPr>
              <w:t>60%</w:t>
            </w:r>
          </w:p>
        </w:tc>
        <w:tc>
          <w:tcPr>
            <w:tcW w:w="13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right="141"/>
              <w:jc w:val="right"/>
              <w:rPr>
                <w:rFonts w:ascii="Arial" w:hAnsi="Arial" w:cs="Arial" w:eastAsia="Arial" w:hint="default"/>
                <w:sz w:val="20"/>
                <w:szCs w:val="20"/>
              </w:rPr>
            </w:pPr>
            <w:r>
              <w:rPr>
                <w:rFonts w:ascii="Arial"/>
                <w:sz w:val="20"/>
              </w:rPr>
              <w:t>94</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Arial" w:hAnsi="Arial" w:cs="Arial" w:eastAsia="Arial" w:hint="default"/>
                <w:sz w:val="20"/>
                <w:szCs w:val="20"/>
              </w:rPr>
            </w:pPr>
            <w:r>
              <w:rPr>
                <w:rFonts w:ascii="Arial"/>
                <w:sz w:val="20"/>
              </w:rPr>
              <w:t>0.1%</w:t>
            </w:r>
          </w:p>
        </w:tc>
        <w:tc>
          <w:tcPr>
            <w:tcW w:w="13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837" w:right="0"/>
              <w:jc w:val="left"/>
              <w:rPr>
                <w:rFonts w:ascii="Arial" w:hAnsi="Arial" w:cs="Arial" w:eastAsia="Arial" w:hint="default"/>
                <w:sz w:val="20"/>
                <w:szCs w:val="20"/>
              </w:rPr>
            </w:pPr>
            <w:r>
              <w:rPr>
                <w:rFonts w:ascii="Arial"/>
                <w:sz w:val="20"/>
              </w:rPr>
              <w:t>(56)</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Arial" w:hAnsi="Arial" w:cs="Arial" w:eastAsia="Arial" w:hint="default"/>
                <w:sz w:val="20"/>
                <w:szCs w:val="20"/>
              </w:rPr>
            </w:pPr>
            <w:r>
              <w:rPr>
                <w:rFonts w:ascii="Arial"/>
                <w:sz w:val="20"/>
              </w:rPr>
              <w:t>60%</w:t>
            </w:r>
          </w:p>
        </w:tc>
      </w:tr>
      <w:tr>
        <w:trPr>
          <w:trHeight w:val="261" w:hRule="exact"/>
        </w:trPr>
        <w:tc>
          <w:tcPr>
            <w:tcW w:w="1181"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五年以上</w:t>
            </w:r>
          </w:p>
        </w:tc>
        <w:tc>
          <w:tcPr>
            <w:tcW w:w="2003" w:type="dxa"/>
            <w:gridSpan w:val="2"/>
            <w:tcBorders>
              <w:top w:val="nil" w:sz="6" w:space="0" w:color="auto"/>
              <w:left w:val="nil" w:sz="6" w:space="0" w:color="auto"/>
              <w:bottom w:val="nil" w:sz="6" w:space="0" w:color="auto"/>
              <w:right w:val="nil" w:sz="6" w:space="0" w:color="auto"/>
            </w:tcBorders>
          </w:tcPr>
          <w:p>
            <w:pPr>
              <w:pStyle w:val="TableParagraph"/>
              <w:tabs>
                <w:tab w:pos="938" w:val="left" w:leader="none"/>
                <w:tab w:pos="1444" w:val="left" w:leader="none"/>
                <w:tab w:pos="2002" w:val="left" w:leader="none"/>
              </w:tabs>
              <w:spacing w:line="228" w:lineRule="exact"/>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8</w:t>
              <w:tab/>
              <w:t>0.0%</w:t>
              <w:tab/>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890" w:type="dxa"/>
            <w:gridSpan w:val="2"/>
            <w:tcBorders>
              <w:top w:val="nil" w:sz="6" w:space="0" w:color="auto"/>
              <w:left w:val="nil" w:sz="6" w:space="0" w:color="auto"/>
              <w:bottom w:val="nil" w:sz="6" w:space="0" w:color="auto"/>
              <w:right w:val="nil" w:sz="6" w:space="0" w:color="auto"/>
            </w:tcBorders>
          </w:tcPr>
          <w:p>
            <w:pPr>
              <w:pStyle w:val="TableParagraph"/>
              <w:tabs>
                <w:tab w:pos="741" w:val="left" w:leader="none"/>
                <w:tab w:pos="1276" w:val="left" w:leader="none"/>
                <w:tab w:pos="1889" w:val="left" w:leader="none"/>
              </w:tabs>
              <w:spacing w:line="228" w:lineRule="exact"/>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(8)</w:t>
              <w:tab/>
              <w:t>100%</w:t>
              <w:tab/>
            </w:r>
            <w:r>
              <w:rPr>
                <w:rFonts w:ascii="Arial"/>
                <w:sz w:val="20"/>
              </w:rPr>
            </w:r>
          </w:p>
        </w:tc>
        <w:tc>
          <w:tcPr>
            <w:tcW w:w="241" w:type="dxa"/>
            <w:tcBorders>
              <w:top w:val="nil" w:sz="6" w:space="0" w:color="auto"/>
              <w:left w:val="nil" w:sz="6" w:space="0" w:color="auto"/>
              <w:bottom w:val="nil" w:sz="6" w:space="0" w:color="auto"/>
              <w:right w:val="nil" w:sz="6" w:space="0" w:color="auto"/>
            </w:tcBorders>
          </w:tcPr>
          <w:p>
            <w:pPr/>
          </w:p>
        </w:tc>
        <w:tc>
          <w:tcPr>
            <w:tcW w:w="1885" w:type="dxa"/>
            <w:gridSpan w:val="2"/>
            <w:tcBorders>
              <w:top w:val="nil" w:sz="6" w:space="0" w:color="auto"/>
              <w:left w:val="nil" w:sz="6" w:space="0" w:color="auto"/>
              <w:bottom w:val="nil" w:sz="6" w:space="0" w:color="auto"/>
              <w:right w:val="nil" w:sz="6" w:space="0" w:color="auto"/>
            </w:tcBorders>
          </w:tcPr>
          <w:p>
            <w:pPr>
              <w:pStyle w:val="TableParagraph"/>
              <w:tabs>
                <w:tab w:pos="862" w:val="left" w:leader="none"/>
                <w:tab w:pos="1327" w:val="left" w:leader="none"/>
                <w:tab w:pos="1885" w:val="left" w:leader="none"/>
              </w:tabs>
              <w:spacing w:line="228" w:lineRule="exact"/>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t>0.0%</w:t>
              <w:tab/>
            </w:r>
            <w:r>
              <w:rPr>
                <w:rFonts w:ascii="Arial"/>
                <w:sz w:val="20"/>
              </w:rPr>
            </w:r>
          </w:p>
        </w:tc>
        <w:tc>
          <w:tcPr>
            <w:tcW w:w="238" w:type="dxa"/>
            <w:tcBorders>
              <w:top w:val="nil" w:sz="6" w:space="0" w:color="auto"/>
              <w:left w:val="nil" w:sz="6" w:space="0" w:color="auto"/>
              <w:bottom w:val="nil" w:sz="6" w:space="0" w:color="auto"/>
              <w:right w:val="nil" w:sz="6" w:space="0" w:color="auto"/>
            </w:tcBorders>
          </w:tcPr>
          <w:p>
            <w:pPr/>
          </w:p>
        </w:tc>
        <w:tc>
          <w:tcPr>
            <w:tcW w:w="1924" w:type="dxa"/>
            <w:gridSpan w:val="2"/>
            <w:tcBorders>
              <w:top w:val="nil" w:sz="6" w:space="0" w:color="auto"/>
              <w:left w:val="nil" w:sz="6" w:space="0" w:color="auto"/>
              <w:bottom w:val="nil" w:sz="6" w:space="0" w:color="auto"/>
              <w:right w:val="nil" w:sz="6" w:space="0" w:color="auto"/>
            </w:tcBorders>
          </w:tcPr>
          <w:p>
            <w:pPr>
              <w:pStyle w:val="TableParagraph"/>
              <w:tabs>
                <w:tab w:pos="888" w:val="left" w:leader="none"/>
                <w:tab w:pos="1274" w:val="left" w:leader="none"/>
                <w:tab w:pos="1888" w:val="left" w:leader="none"/>
              </w:tabs>
              <w:spacing w:line="228" w:lineRule="exact"/>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t>100%</w:t>
              <w:tab/>
            </w:r>
            <w:r>
              <w:rPr>
                <w:rFonts w:ascii="Arial"/>
                <w:sz w:val="20"/>
              </w:rPr>
            </w:r>
          </w:p>
        </w:tc>
      </w:tr>
      <w:tr>
        <w:trPr>
          <w:trHeight w:val="243" w:hRule="exact"/>
        </w:trPr>
        <w:tc>
          <w:tcPr>
            <w:tcW w:w="1181" w:type="dxa"/>
            <w:tcBorders>
              <w:top w:val="nil" w:sz="6" w:space="0" w:color="auto"/>
              <w:left w:val="nil" w:sz="6" w:space="0" w:color="auto"/>
              <w:bottom w:val="nil" w:sz="6" w:space="0" w:color="auto"/>
              <w:right w:val="nil" w:sz="6" w:space="0" w:color="auto"/>
            </w:tcBorders>
          </w:tcPr>
          <w:p>
            <w:pPr/>
          </w:p>
        </w:tc>
        <w:tc>
          <w:tcPr>
            <w:tcW w:w="2003" w:type="dxa"/>
            <w:gridSpan w:val="2"/>
            <w:tcBorders>
              <w:top w:val="nil" w:sz="6" w:space="0" w:color="auto"/>
              <w:left w:val="nil" w:sz="6" w:space="0" w:color="auto"/>
              <w:bottom w:val="single" w:sz="12" w:space="0" w:color="000000"/>
              <w:right w:val="nil" w:sz="6" w:space="0" w:color="auto"/>
            </w:tcBorders>
          </w:tcPr>
          <w:p>
            <w:pPr>
              <w:pStyle w:val="TableParagraph"/>
              <w:spacing w:line="225" w:lineRule="exact"/>
              <w:ind w:left="326" w:right="0"/>
              <w:jc w:val="left"/>
              <w:rPr>
                <w:rFonts w:ascii="Arial" w:hAnsi="Arial" w:cs="Arial" w:eastAsia="Arial" w:hint="default"/>
                <w:sz w:val="20"/>
                <w:szCs w:val="20"/>
              </w:rPr>
            </w:pPr>
            <w:r>
              <w:rPr>
                <w:rFonts w:ascii="Arial"/>
                <w:sz w:val="20"/>
              </w:rPr>
              <w:t>391,333  </w:t>
            </w:r>
            <w:r>
              <w:rPr>
                <w:rFonts w:ascii="Arial"/>
                <w:spacing w:val="4"/>
                <w:sz w:val="20"/>
              </w:rPr>
              <w:t> </w:t>
            </w:r>
            <w:r>
              <w:rPr>
                <w:rFonts w:ascii="Arial"/>
                <w:sz w:val="20"/>
              </w:rPr>
              <w:t>100.0%</w:t>
            </w:r>
          </w:p>
        </w:tc>
        <w:tc>
          <w:tcPr>
            <w:tcW w:w="235" w:type="dxa"/>
            <w:tcBorders>
              <w:top w:val="nil" w:sz="6" w:space="0" w:color="auto"/>
              <w:left w:val="nil" w:sz="6" w:space="0" w:color="auto"/>
              <w:bottom w:val="nil" w:sz="6" w:space="0" w:color="auto"/>
              <w:right w:val="nil" w:sz="6" w:space="0" w:color="auto"/>
            </w:tcBorders>
          </w:tcPr>
          <w:p>
            <w:pPr/>
          </w:p>
        </w:tc>
        <w:tc>
          <w:tcPr>
            <w:tcW w:w="1890" w:type="dxa"/>
            <w:gridSpan w:val="2"/>
            <w:tcBorders>
              <w:top w:val="nil" w:sz="6" w:space="0" w:color="auto"/>
              <w:left w:val="nil" w:sz="6" w:space="0" w:color="auto"/>
              <w:bottom w:val="single" w:sz="12" w:space="0" w:color="000000"/>
              <w:right w:val="nil" w:sz="6" w:space="0" w:color="auto"/>
            </w:tcBorders>
          </w:tcPr>
          <w:p>
            <w:pPr>
              <w:pStyle w:val="TableParagraph"/>
              <w:spacing w:line="225" w:lineRule="exact"/>
              <w:ind w:left="351" w:right="0"/>
              <w:jc w:val="left"/>
              <w:rPr>
                <w:rFonts w:ascii="Arial" w:hAnsi="Arial" w:cs="Arial" w:eastAsia="Arial" w:hint="default"/>
                <w:sz w:val="20"/>
                <w:szCs w:val="20"/>
              </w:rPr>
            </w:pPr>
            <w:r>
              <w:rPr>
                <w:rFonts w:ascii="Arial"/>
                <w:sz w:val="20"/>
              </w:rPr>
              <w:t>(7,142)</w:t>
            </w:r>
          </w:p>
        </w:tc>
        <w:tc>
          <w:tcPr>
            <w:tcW w:w="241" w:type="dxa"/>
            <w:tcBorders>
              <w:top w:val="nil" w:sz="6" w:space="0" w:color="auto"/>
              <w:left w:val="nil" w:sz="6" w:space="0" w:color="auto"/>
              <w:bottom w:val="nil" w:sz="6" w:space="0" w:color="auto"/>
              <w:right w:val="nil" w:sz="6" w:space="0" w:color="auto"/>
            </w:tcBorders>
          </w:tcPr>
          <w:p>
            <w:pPr/>
          </w:p>
        </w:tc>
        <w:tc>
          <w:tcPr>
            <w:tcW w:w="1885" w:type="dxa"/>
            <w:gridSpan w:val="2"/>
            <w:tcBorders>
              <w:top w:val="nil" w:sz="6" w:space="0" w:color="auto"/>
              <w:left w:val="nil" w:sz="6" w:space="0" w:color="auto"/>
              <w:bottom w:val="single" w:sz="12" w:space="0" w:color="000000"/>
              <w:right w:val="nil" w:sz="6" w:space="0" w:color="auto"/>
            </w:tcBorders>
          </w:tcPr>
          <w:p>
            <w:pPr>
              <w:pStyle w:val="TableParagraph"/>
              <w:spacing w:line="225" w:lineRule="exact"/>
              <w:ind w:left="206" w:right="0"/>
              <w:jc w:val="left"/>
              <w:rPr>
                <w:rFonts w:ascii="Arial" w:hAnsi="Arial" w:cs="Arial" w:eastAsia="Arial" w:hint="default"/>
                <w:sz w:val="20"/>
                <w:szCs w:val="20"/>
              </w:rPr>
            </w:pPr>
            <w:r>
              <w:rPr>
                <w:rFonts w:ascii="Arial"/>
                <w:sz w:val="20"/>
              </w:rPr>
              <w:t>210,154  </w:t>
            </w:r>
            <w:r>
              <w:rPr>
                <w:rFonts w:ascii="Arial"/>
                <w:spacing w:val="8"/>
                <w:sz w:val="20"/>
              </w:rPr>
              <w:t> </w:t>
            </w:r>
            <w:r>
              <w:rPr>
                <w:rFonts w:ascii="Arial"/>
                <w:sz w:val="20"/>
              </w:rPr>
              <w:t>100.0%</w:t>
            </w:r>
          </w:p>
        </w:tc>
        <w:tc>
          <w:tcPr>
            <w:tcW w:w="238" w:type="dxa"/>
            <w:tcBorders>
              <w:top w:val="nil" w:sz="6" w:space="0" w:color="auto"/>
              <w:left w:val="nil" w:sz="6" w:space="0" w:color="auto"/>
              <w:bottom w:val="nil" w:sz="6" w:space="0" w:color="auto"/>
              <w:right w:val="nil" w:sz="6" w:space="0" w:color="auto"/>
            </w:tcBorders>
          </w:tcPr>
          <w:p>
            <w:pPr/>
          </w:p>
        </w:tc>
        <w:tc>
          <w:tcPr>
            <w:tcW w:w="1924" w:type="dxa"/>
            <w:gridSpan w:val="2"/>
            <w:tcBorders>
              <w:top w:val="nil" w:sz="6" w:space="0" w:color="auto"/>
              <w:left w:val="nil" w:sz="6" w:space="0" w:color="auto"/>
              <w:bottom w:val="single" w:sz="12" w:space="0" w:color="000000"/>
              <w:right w:val="nil" w:sz="6" w:space="0" w:color="auto"/>
            </w:tcBorders>
          </w:tcPr>
          <w:p>
            <w:pPr>
              <w:pStyle w:val="TableParagraph"/>
              <w:spacing w:line="225" w:lineRule="exact"/>
              <w:ind w:left="320" w:right="0"/>
              <w:jc w:val="left"/>
              <w:rPr>
                <w:rFonts w:ascii="Arial" w:hAnsi="Arial" w:cs="Arial" w:eastAsia="Arial" w:hint="default"/>
                <w:sz w:val="20"/>
                <w:szCs w:val="20"/>
              </w:rPr>
            </w:pPr>
            <w:r>
              <w:rPr>
                <w:rFonts w:ascii="Arial"/>
                <w:sz w:val="20"/>
              </w:rPr>
              <w:t>(3,413)</w:t>
            </w:r>
          </w:p>
        </w:tc>
      </w:tr>
    </w:tbl>
    <w:p>
      <w:pPr>
        <w:spacing w:after="0" w:line="225" w:lineRule="exact"/>
        <w:jc w:val="left"/>
        <w:rPr>
          <w:rFonts w:ascii="Arial" w:hAnsi="Arial" w:cs="Arial" w:eastAsia="Arial" w:hint="default"/>
          <w:sz w:val="20"/>
          <w:szCs w:val="20"/>
        </w:rPr>
        <w:sectPr>
          <w:type w:val="continuous"/>
          <w:pgSz w:w="11910" w:h="16840"/>
          <w:pgMar w:top="920" w:bottom="900" w:left="1020" w:right="400"/>
        </w:sectPr>
      </w:pPr>
    </w:p>
    <w:p>
      <w:pPr>
        <w:spacing w:line="240" w:lineRule="auto" w:before="6"/>
        <w:rPr>
          <w:rFonts w:ascii="宋体" w:hAnsi="宋体" w:cs="宋体" w:eastAsia="宋体" w:hint="default"/>
          <w:sz w:val="13"/>
          <w:szCs w:val="13"/>
        </w:rPr>
      </w:pPr>
    </w:p>
    <w:p>
      <w:pPr>
        <w:pStyle w:val="Heading2"/>
        <w:tabs>
          <w:tab w:pos="842" w:val="left" w:leader="none"/>
        </w:tabs>
        <w:spacing w:line="240" w:lineRule="auto"/>
        <w:ind w:left="143" w:right="0"/>
        <w:jc w:val="left"/>
        <w:rPr>
          <w:rFonts w:ascii="Arial" w:hAnsi="Arial" w:cs="Arial" w:eastAsia="Arial" w:hint="default"/>
          <w:b w:val="0"/>
          <w:bCs w:val="0"/>
        </w:rPr>
      </w:pPr>
      <w:r>
        <w:rPr>
          <w:w w:val="95"/>
        </w:rPr>
        <w:t>十三</w:t>
        <w:tab/>
      </w:r>
      <w:r>
        <w:rPr/>
        <w:t>公司财务报表附注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19"/>
          <w:szCs w:val="19"/>
        </w:rPr>
      </w:pPr>
    </w:p>
    <w:p>
      <w:pPr>
        <w:tabs>
          <w:tab w:pos="848" w:val="left" w:leader="none"/>
        </w:tabs>
        <w:spacing w:before="0"/>
        <w:ind w:left="143" w:right="0" w:firstLine="0"/>
        <w:jc w:val="left"/>
        <w:rPr>
          <w:rFonts w:ascii="Arial" w:hAnsi="Arial" w:cs="Arial" w:eastAsia="Arial" w:hint="default"/>
          <w:sz w:val="24"/>
          <w:szCs w:val="24"/>
        </w:rPr>
      </w:pPr>
      <w:r>
        <w:rPr>
          <w:rFonts w:ascii="Arial" w:hAnsi="Arial" w:cs="Arial" w:eastAsia="Arial" w:hint="default"/>
          <w:w w:val="95"/>
          <w:position w:val="2"/>
          <w:sz w:val="24"/>
          <w:szCs w:val="24"/>
        </w:rPr>
        <w:t>(2)</w:t>
        <w:tab/>
      </w:r>
      <w:r>
        <w:rPr>
          <w:rFonts w:ascii="宋体" w:hAnsi="宋体" w:cs="宋体" w:eastAsia="宋体" w:hint="default"/>
          <w:b/>
          <w:bCs/>
          <w:sz w:val="24"/>
          <w:szCs w:val="24"/>
        </w:rPr>
        <w:t>其他应收款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BodyText"/>
        <w:tabs>
          <w:tab w:pos="857" w:val="left" w:leader="none"/>
        </w:tabs>
        <w:spacing w:line="240" w:lineRule="auto" w:before="222"/>
        <w:ind w:left="143" w:right="0"/>
        <w:jc w:val="left"/>
      </w:pPr>
      <w:r>
        <w:rPr>
          <w:rFonts w:ascii="Arial" w:hAnsi="Arial" w:cs="Arial" w:eastAsia="Arial" w:hint="default"/>
          <w:w w:val="95"/>
          <w:position w:val="2"/>
        </w:rPr>
        <w:t>(e)</w:t>
        <w:tab/>
      </w:r>
      <w:r>
        <w:rPr/>
        <w:t>本年度实际核销的其他应收款分析如下：</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55" w:footer="947" w:top="2300" w:bottom="1140" w:left="980" w:right="680"/>
        </w:sectPr>
      </w:pPr>
    </w:p>
    <w:p>
      <w:pPr>
        <w:spacing w:line="240" w:lineRule="auto" w:before="11"/>
        <w:rPr>
          <w:rFonts w:ascii="宋体" w:hAnsi="宋体" w:cs="宋体" w:eastAsia="宋体" w:hint="default"/>
          <w:sz w:val="25"/>
          <w:szCs w:val="25"/>
        </w:rPr>
      </w:pPr>
    </w:p>
    <w:p>
      <w:pPr>
        <w:pStyle w:val="BodyText"/>
        <w:tabs>
          <w:tab w:pos="7619" w:val="left" w:leader="none"/>
        </w:tabs>
        <w:spacing w:line="240" w:lineRule="auto"/>
        <w:ind w:left="3623" w:right="-20"/>
        <w:jc w:val="left"/>
      </w:pPr>
      <w:r>
        <w:rPr/>
        <w:t>其他应收款性质</w:t>
      </w:r>
      <w:r>
        <w:rPr>
          <w:spacing w:val="69"/>
        </w:rPr>
        <w:t> </w:t>
      </w:r>
      <w:r>
        <w:rPr/>
        <w:t>核销金额</w:t>
        <w:tab/>
        <w:t>核销原因</w:t>
      </w:r>
    </w:p>
    <w:p>
      <w:pPr>
        <w:pStyle w:val="BodyText"/>
        <w:spacing w:line="312" w:lineRule="exact" w:before="56"/>
        <w:ind w:left="426" w:right="219" w:hanging="240"/>
        <w:jc w:val="left"/>
      </w:pPr>
      <w:r>
        <w:rPr/>
        <w:br w:type="column"/>
      </w:r>
      <w:r>
        <w:rPr/>
        <w:t>是否因关联 交易产生</w:t>
      </w:r>
    </w:p>
    <w:p>
      <w:pPr>
        <w:spacing w:after="0" w:line="312" w:lineRule="exact"/>
        <w:jc w:val="left"/>
        <w:sectPr>
          <w:type w:val="continuous"/>
          <w:pgSz w:w="11910" w:h="16840"/>
          <w:pgMar w:top="920" w:bottom="900" w:left="980" w:right="680"/>
          <w:cols w:num="2" w:equalWidth="0">
            <w:col w:w="8580" w:space="40"/>
            <w:col w:w="1630"/>
          </w:cols>
        </w:sectPr>
      </w:pPr>
    </w:p>
    <w:p>
      <w:pPr>
        <w:spacing w:line="240" w:lineRule="auto" w:before="10"/>
        <w:rPr>
          <w:rFonts w:ascii="宋体" w:hAnsi="宋体" w:cs="宋体" w:eastAsia="宋体" w:hint="default"/>
          <w:sz w:val="16"/>
          <w:szCs w:val="16"/>
        </w:rPr>
      </w:pPr>
    </w:p>
    <w:p>
      <w:pPr>
        <w:pStyle w:val="BodyText"/>
        <w:spacing w:line="312" w:lineRule="exact" w:before="26"/>
        <w:ind w:left="857" w:right="0"/>
        <w:jc w:val="left"/>
      </w:pPr>
      <w:r>
        <w:rPr/>
        <w:t>沈阳桑菲消费通讯有限</w:t>
      </w:r>
    </w:p>
    <w:p>
      <w:pPr>
        <w:pStyle w:val="BodyText"/>
        <w:tabs>
          <w:tab w:pos="4343" w:val="left" w:leader="none"/>
          <w:tab w:pos="6186" w:val="left" w:leader="none"/>
          <w:tab w:pos="6659" w:val="left" w:leader="none"/>
          <w:tab w:pos="9722" w:val="left" w:leader="none"/>
        </w:tabs>
        <w:spacing w:line="294" w:lineRule="exact" w:before="63"/>
        <w:ind w:left="857" w:right="279" w:firstLine="480"/>
        <w:jc w:val="left"/>
      </w:pPr>
      <w:r>
        <w:rPr>
          <w:position w:val="2"/>
        </w:rPr>
        <w:t>公司</w:t>
        <w:tab/>
        <w:t>应收货款</w:t>
        <w:tab/>
      </w:r>
      <w:r>
        <w:rPr>
          <w:rFonts w:ascii="Arial" w:hAnsi="Arial" w:cs="Arial" w:eastAsia="Arial" w:hint="default"/>
          <w:spacing w:val="-1"/>
        </w:rPr>
        <w:t>81</w:t>
        <w:tab/>
      </w:r>
      <w:r>
        <w:rPr>
          <w:position w:val="2"/>
        </w:rPr>
        <w:t>长时间催讨无结果</w:t>
        <w:tab/>
        <w:t>否 </w:t>
      </w:r>
      <w:r>
        <w:rPr/>
        <w:t>浙江金元家电有限公司</w:t>
      </w:r>
    </w:p>
    <w:p>
      <w:pPr>
        <w:pStyle w:val="BodyText"/>
        <w:tabs>
          <w:tab w:pos="4343" w:val="left" w:leader="none"/>
          <w:tab w:pos="5403" w:val="left" w:leader="none"/>
          <w:tab w:pos="6053" w:val="left" w:leader="none"/>
          <w:tab w:pos="6553" w:val="left" w:leader="none"/>
          <w:tab w:pos="6659" w:val="left" w:leader="none"/>
          <w:tab w:pos="9722" w:val="left" w:leader="none"/>
        </w:tabs>
        <w:spacing w:line="312" w:lineRule="exact" w:before="21"/>
        <w:ind w:left="857" w:right="279" w:firstLine="480"/>
        <w:jc w:val="left"/>
        <w:rPr>
          <w:rFonts w:ascii="Arial" w:hAnsi="Arial" w:cs="Arial" w:eastAsia="Arial" w:hint="default"/>
        </w:rPr>
      </w:pPr>
      <w:r>
        <w:rPr>
          <w:position w:val="2"/>
        </w:rPr>
        <w:t>温州分公司</w:t>
        <w:tab/>
        <w:t>应收货款</w:t>
        <w:tab/>
        <w:tab/>
      </w:r>
      <w:r>
        <w:rPr>
          <w:rFonts w:ascii="Arial" w:hAnsi="Arial" w:cs="Arial" w:eastAsia="Arial" w:hint="default"/>
          <w:spacing w:val="-1"/>
        </w:rPr>
        <w:t>30</w:t>
        <w:tab/>
        <w:tab/>
      </w:r>
      <w:r>
        <w:rPr>
          <w:position w:val="2"/>
        </w:rPr>
        <w:t>长时间催讨无结果</w:t>
        <w:tab/>
        <w:t>否 其他</w:t>
      </w:r>
      <w:r>
        <w:rPr>
          <w:rFonts w:ascii="Arial" w:hAnsi="Arial" w:cs="Arial" w:eastAsia="Arial" w:hint="default"/>
          <w:position w:val="2"/>
        </w:rPr>
        <w:t>(</w:t>
      </w:r>
      <w:r>
        <w:rPr>
          <w:position w:val="2"/>
        </w:rPr>
        <w:t>单笔金额较小</w:t>
      </w:r>
      <w:r>
        <w:rPr>
          <w:rFonts w:ascii="Arial" w:hAnsi="Arial" w:cs="Arial" w:eastAsia="Arial" w:hint="default"/>
          <w:position w:val="2"/>
        </w:rPr>
        <w:t>)</w:t>
        <w:tab/>
        <w:tab/>
      </w:r>
      <w:r>
        <w:rPr>
          <w:rFonts w:ascii="Arial" w:hAnsi="Arial" w:cs="Arial" w:eastAsia="Arial" w:hint="default"/>
        </w:rPr>
      </w:r>
      <w:r>
        <w:rPr>
          <w:rFonts w:ascii="Arial" w:hAnsi="Arial" w:cs="Arial" w:eastAsia="Arial" w:hint="default"/>
          <w:u w:val="single" w:color="000000"/>
        </w:rPr>
        <w:t> </w:t>
        <w:tab/>
        <w:t>104</w:t>
        <w:tab/>
      </w:r>
      <w:r>
        <w:rPr>
          <w:rFonts w:ascii="Arial" w:hAnsi="Arial" w:cs="Arial" w:eastAsia="Arial" w:hint="default"/>
        </w:rPr>
      </w:r>
    </w:p>
    <w:p>
      <w:pPr>
        <w:pStyle w:val="BodyText"/>
        <w:tabs>
          <w:tab w:pos="2362" w:val="left" w:leader="none"/>
          <w:tab w:pos="2862" w:val="left" w:leader="none"/>
        </w:tabs>
        <w:spacing w:line="274" w:lineRule="exact"/>
        <w:ind w:left="1713" w:right="0"/>
        <w:jc w:val="center"/>
        <w:rPr>
          <w:rFonts w:ascii="Arial" w:hAnsi="Arial" w:cs="Arial" w:eastAsia="Arial" w:hint="default"/>
        </w:rPr>
      </w:pPr>
      <w:r>
        <w:rPr>
          <w:rFonts w:ascii="Arial"/>
          <w:w w:val="100"/>
        </w:rPr>
      </w:r>
      <w:r>
        <w:rPr>
          <w:rFonts w:ascii="Arial"/>
          <w:w w:val="100"/>
          <w:u w:val="thick" w:color="000000"/>
        </w:rPr>
        <w:t> </w:t>
      </w:r>
      <w:r>
        <w:rPr>
          <w:rFonts w:ascii="Arial"/>
          <w:u w:val="thick" w:color="000000"/>
        </w:rPr>
        <w:tab/>
        <w:t>215</w:t>
        <w:tab/>
      </w:r>
      <w:r>
        <w:rPr>
          <w:rFonts w:ascii="Arial"/>
        </w:rPr>
      </w:r>
    </w:p>
    <w:p>
      <w:pPr>
        <w:spacing w:line="240" w:lineRule="auto" w:before="8"/>
        <w:rPr>
          <w:rFonts w:ascii="Arial" w:hAnsi="Arial" w:cs="Arial" w:eastAsia="Arial" w:hint="default"/>
          <w:sz w:val="20"/>
          <w:szCs w:val="20"/>
        </w:rPr>
      </w:pPr>
    </w:p>
    <w:p>
      <w:pPr>
        <w:pStyle w:val="BodyText"/>
        <w:tabs>
          <w:tab w:pos="842" w:val="left" w:leader="none"/>
        </w:tabs>
        <w:spacing w:line="312" w:lineRule="exact" w:before="63"/>
        <w:ind w:left="842" w:right="244" w:hanging="700"/>
        <w:jc w:val="left"/>
      </w:pPr>
      <w:r>
        <w:rPr>
          <w:rFonts w:ascii="Arial" w:hAnsi="Arial" w:cs="Arial" w:eastAsia="Arial" w:hint="default"/>
          <w:position w:val="2"/>
        </w:rPr>
        <w:t>(f)</w:t>
        <w:tab/>
      </w:r>
      <w:r>
        <w:rPr/>
        <w:t>于</w:t>
      </w:r>
      <w:r>
        <w:rPr>
          <w:spacing w:val="-58"/>
        </w:rPr>
        <w:t> </w:t>
      </w:r>
      <w:r>
        <w:rPr>
          <w:rFonts w:ascii="Arial" w:hAnsi="Arial" w:cs="Arial" w:eastAsia="Arial" w:hint="default"/>
        </w:rPr>
        <w:t>2010</w:t>
      </w:r>
      <w:r>
        <w:rPr>
          <w:rFonts w:ascii="Arial" w:hAnsi="Arial" w:cs="Arial" w:eastAsia="Arial" w:hint="default"/>
          <w:spacing w:val="-5"/>
        </w:rPr>
        <w:t> </w:t>
      </w:r>
      <w:r>
        <w:rPr/>
        <w:t>年</w:t>
      </w:r>
      <w:r>
        <w:rPr>
          <w:spacing w:val="-57"/>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t>日及</w:t>
      </w:r>
      <w:r>
        <w:rPr>
          <w:spacing w:val="-58"/>
        </w:rPr>
        <w:t> </w:t>
      </w:r>
      <w:r>
        <w:rPr>
          <w:rFonts w:ascii="Arial" w:hAnsi="Arial" w:cs="Arial" w:eastAsia="Arial" w:hint="default"/>
        </w:rPr>
        <w:t>2009</w:t>
      </w:r>
      <w:r>
        <w:rPr>
          <w:rFonts w:ascii="Arial" w:hAnsi="Arial" w:cs="Arial" w:eastAsia="Arial" w:hint="default"/>
          <w:spacing w:val="-5"/>
        </w:rPr>
        <w:t> </w:t>
      </w:r>
      <w:r>
        <w:rPr/>
        <w:t>年</w:t>
      </w:r>
      <w:r>
        <w:rPr>
          <w:spacing w:val="-57"/>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5"/>
        </w:rPr>
        <w:t> </w:t>
      </w:r>
      <w:r>
        <w:rPr/>
        <w:t>日，其他应收款中无应收持有本公司</w:t>
      </w:r>
      <w:r>
        <w:rPr>
          <w:spacing w:val="-58"/>
        </w:rPr>
        <w:t> </w:t>
      </w:r>
      <w:r>
        <w:rPr>
          <w:rFonts w:ascii="Arial" w:hAnsi="Arial" w:cs="Arial" w:eastAsia="Arial" w:hint="default"/>
        </w:rPr>
        <w:t>5%(</w:t>
      </w:r>
      <w:r>
        <w:rPr/>
        <w:t>含 </w:t>
      </w:r>
      <w:r>
        <w:rPr>
          <w:rFonts w:ascii="Arial" w:hAnsi="Arial" w:cs="Arial" w:eastAsia="Arial" w:hint="default"/>
        </w:rPr>
        <w:t>5%)</w:t>
      </w:r>
      <w:r>
        <w:rPr/>
        <w:t>以上表决权股份的股东的款项。</w:t>
      </w:r>
    </w:p>
    <w:p>
      <w:pPr>
        <w:spacing w:line="240" w:lineRule="auto" w:before="10"/>
        <w:rPr>
          <w:rFonts w:ascii="宋体" w:hAnsi="宋体" w:cs="宋体" w:eastAsia="宋体" w:hint="default"/>
          <w:sz w:val="18"/>
          <w:szCs w:val="18"/>
        </w:rPr>
      </w:pPr>
    </w:p>
    <w:p>
      <w:pPr>
        <w:pStyle w:val="BodyText"/>
        <w:tabs>
          <w:tab w:pos="842" w:val="left" w:leader="none"/>
        </w:tabs>
        <w:spacing w:line="240" w:lineRule="auto"/>
        <w:ind w:left="143" w:right="0"/>
        <w:jc w:val="left"/>
      </w:pPr>
      <w:r>
        <w:rPr>
          <w:rFonts w:ascii="Arial" w:hAnsi="Arial" w:cs="Arial" w:eastAsia="Arial" w:hint="default"/>
          <w:w w:val="95"/>
          <w:position w:val="2"/>
        </w:rPr>
        <w:t>(g)</w:t>
        <w:tab/>
      </w:r>
      <w:r>
        <w:rPr/>
        <w:t>于</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日，余额前五名的其他应收款分析如下：</w:t>
      </w:r>
    </w:p>
    <w:p>
      <w:pPr>
        <w:spacing w:line="240" w:lineRule="auto" w:before="8"/>
        <w:rPr>
          <w:rFonts w:ascii="宋体" w:hAnsi="宋体" w:cs="宋体" w:eastAsia="宋体" w:hint="default"/>
          <w:sz w:val="17"/>
          <w:szCs w:val="17"/>
        </w:rPr>
      </w:pPr>
    </w:p>
    <w:tbl>
      <w:tblPr>
        <w:tblW w:w="0" w:type="auto"/>
        <w:jc w:val="left"/>
        <w:tblInd w:w="807" w:type="dxa"/>
        <w:tblLayout w:type="fixed"/>
        <w:tblCellMar>
          <w:top w:w="0" w:type="dxa"/>
          <w:left w:w="0" w:type="dxa"/>
          <w:bottom w:w="0" w:type="dxa"/>
          <w:right w:w="0" w:type="dxa"/>
        </w:tblCellMar>
        <w:tblLook w:val="01E0"/>
      </w:tblPr>
      <w:tblGrid>
        <w:gridCol w:w="3879"/>
        <w:gridCol w:w="1255"/>
        <w:gridCol w:w="1339"/>
        <w:gridCol w:w="1082"/>
        <w:gridCol w:w="1771"/>
      </w:tblGrid>
      <w:tr>
        <w:trPr>
          <w:trHeight w:val="826" w:hRule="exact"/>
        </w:trPr>
        <w:tc>
          <w:tcPr>
            <w:tcW w:w="3879"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313" w:lineRule="exact" w:before="26"/>
              <w:ind w:left="244" w:right="0"/>
              <w:jc w:val="left"/>
              <w:rPr>
                <w:rFonts w:ascii="宋体" w:hAnsi="宋体" w:cs="宋体" w:eastAsia="宋体" w:hint="default"/>
                <w:sz w:val="24"/>
                <w:szCs w:val="24"/>
              </w:rPr>
            </w:pPr>
            <w:r>
              <w:rPr>
                <w:rFonts w:ascii="宋体" w:hAnsi="宋体" w:cs="宋体" w:eastAsia="宋体" w:hint="default"/>
                <w:sz w:val="24"/>
                <w:szCs w:val="24"/>
              </w:rPr>
              <w:t>与本公司</w:t>
            </w:r>
          </w:p>
          <w:p>
            <w:pPr>
              <w:pStyle w:val="TableParagraph"/>
              <w:spacing w:line="313" w:lineRule="exact"/>
              <w:ind w:left="724" w:right="0"/>
              <w:jc w:val="left"/>
              <w:rPr>
                <w:rFonts w:ascii="宋体" w:hAnsi="宋体" w:cs="宋体" w:eastAsia="宋体" w:hint="default"/>
                <w:sz w:val="24"/>
                <w:szCs w:val="24"/>
              </w:rPr>
            </w:pPr>
            <w:r>
              <w:rPr>
                <w:rFonts w:ascii="宋体" w:hAnsi="宋体" w:cs="宋体" w:eastAsia="宋体" w:hint="default"/>
                <w:sz w:val="24"/>
                <w:szCs w:val="24"/>
              </w:rPr>
              <w:t>关系</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70"/>
              <w:jc w:val="right"/>
              <w:rPr>
                <w:rFonts w:ascii="宋体" w:hAnsi="宋体" w:cs="宋体" w:eastAsia="宋体" w:hint="default"/>
                <w:sz w:val="24"/>
                <w:szCs w:val="24"/>
              </w:rPr>
            </w:pPr>
            <w:r>
              <w:rPr>
                <w:rFonts w:ascii="宋体" w:hAnsi="宋体" w:cs="宋体" w:eastAsia="宋体" w:hint="default"/>
                <w:sz w:val="24"/>
                <w:szCs w:val="24"/>
              </w:rPr>
              <w:t>金额</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49"/>
              <w:jc w:val="right"/>
              <w:rPr>
                <w:rFonts w:ascii="宋体" w:hAnsi="宋体" w:cs="宋体" w:eastAsia="宋体" w:hint="default"/>
                <w:sz w:val="24"/>
                <w:szCs w:val="24"/>
              </w:rPr>
            </w:pPr>
            <w:r>
              <w:rPr>
                <w:rFonts w:ascii="宋体" w:hAnsi="宋体" w:cs="宋体" w:eastAsia="宋体" w:hint="default"/>
                <w:sz w:val="24"/>
                <w:szCs w:val="24"/>
              </w:rPr>
              <w:t>年限</w:t>
            </w:r>
          </w:p>
        </w:tc>
        <w:tc>
          <w:tcPr>
            <w:tcW w:w="1771" w:type="dxa"/>
            <w:tcBorders>
              <w:top w:val="nil" w:sz="6" w:space="0" w:color="auto"/>
              <w:left w:val="nil" w:sz="6" w:space="0" w:color="auto"/>
              <w:bottom w:val="nil" w:sz="6" w:space="0" w:color="auto"/>
              <w:right w:val="nil" w:sz="6" w:space="0" w:color="auto"/>
            </w:tcBorders>
          </w:tcPr>
          <w:p>
            <w:pPr>
              <w:pStyle w:val="TableParagraph"/>
              <w:spacing w:line="313" w:lineRule="exact" w:before="26"/>
              <w:ind w:left="194" w:right="0"/>
              <w:jc w:val="left"/>
              <w:rPr>
                <w:rFonts w:ascii="宋体" w:hAnsi="宋体" w:cs="宋体" w:eastAsia="宋体" w:hint="default"/>
                <w:sz w:val="24"/>
                <w:szCs w:val="24"/>
              </w:rPr>
            </w:pPr>
            <w:r>
              <w:rPr>
                <w:rFonts w:ascii="宋体" w:hAnsi="宋体" w:cs="宋体" w:eastAsia="宋体" w:hint="default"/>
                <w:sz w:val="24"/>
                <w:szCs w:val="24"/>
              </w:rPr>
              <w:t>占其他应收款</w:t>
            </w:r>
          </w:p>
          <w:p>
            <w:pPr>
              <w:pStyle w:val="TableParagraph"/>
              <w:spacing w:line="313" w:lineRule="exact"/>
              <w:ind w:left="674" w:right="0"/>
              <w:jc w:val="left"/>
              <w:rPr>
                <w:rFonts w:ascii="宋体" w:hAnsi="宋体" w:cs="宋体" w:eastAsia="宋体" w:hint="default"/>
                <w:sz w:val="24"/>
                <w:szCs w:val="24"/>
              </w:rPr>
            </w:pPr>
            <w:r>
              <w:rPr>
                <w:rFonts w:ascii="宋体" w:hAnsi="宋体" w:cs="宋体" w:eastAsia="宋体" w:hint="default"/>
                <w:sz w:val="24"/>
                <w:szCs w:val="24"/>
              </w:rPr>
              <w:t>总额比例</w:t>
            </w:r>
          </w:p>
        </w:tc>
      </w:tr>
      <w:tr>
        <w:trPr>
          <w:trHeight w:val="465" w:hRule="exact"/>
        </w:trPr>
        <w:tc>
          <w:tcPr>
            <w:tcW w:w="387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24"/>
                <w:szCs w:val="24"/>
              </w:rPr>
            </w:pPr>
            <w:r>
              <w:rPr>
                <w:rFonts w:ascii="宋体" w:hAnsi="宋体" w:cs="宋体" w:eastAsia="宋体" w:hint="default"/>
                <w:sz w:val="24"/>
                <w:szCs w:val="24"/>
              </w:rPr>
              <w:t>江苏苏宁地铁商业管理有限公司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48"/>
              <w:jc w:val="right"/>
              <w:rPr>
                <w:rFonts w:ascii="宋体" w:hAnsi="宋体" w:cs="宋体" w:eastAsia="宋体" w:hint="default"/>
                <w:sz w:val="24"/>
                <w:szCs w:val="24"/>
              </w:rPr>
            </w:pPr>
            <w:r>
              <w:rPr>
                <w:rFonts w:ascii="宋体" w:hAnsi="宋体" w:cs="宋体" w:eastAsia="宋体" w:hint="default"/>
                <w:sz w:val="24"/>
                <w:szCs w:val="24"/>
              </w:rPr>
              <w:t>子公司</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99" w:right="0"/>
              <w:jc w:val="left"/>
              <w:rPr>
                <w:rFonts w:ascii="Arial" w:hAnsi="Arial" w:cs="Arial" w:eastAsia="Arial" w:hint="default"/>
                <w:sz w:val="24"/>
                <w:szCs w:val="24"/>
              </w:rPr>
            </w:pPr>
            <w:r>
              <w:rPr>
                <w:rFonts w:ascii="Arial"/>
                <w:sz w:val="24"/>
              </w:rPr>
              <w:t>198,913</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0"/>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34"/>
              <w:jc w:val="right"/>
              <w:rPr>
                <w:rFonts w:ascii="Arial" w:hAnsi="Arial" w:cs="Arial" w:eastAsia="Arial" w:hint="default"/>
                <w:sz w:val="24"/>
                <w:szCs w:val="24"/>
              </w:rPr>
            </w:pPr>
            <w:r>
              <w:rPr>
                <w:rFonts w:ascii="Arial"/>
                <w:spacing w:val="-1"/>
                <w:w w:val="95"/>
                <w:sz w:val="24"/>
              </w:rPr>
              <w:t>18.2%</w:t>
            </w:r>
            <w:r>
              <w:rPr>
                <w:rFonts w:ascii="Arial"/>
                <w:sz w:val="24"/>
              </w:rPr>
            </w:r>
          </w:p>
        </w:tc>
      </w:tr>
      <w:tr>
        <w:trPr>
          <w:trHeight w:val="312" w:hRule="exact"/>
        </w:trPr>
        <w:tc>
          <w:tcPr>
            <w:tcW w:w="387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哈尔滨苏宁电器采购中心有限公司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61" w:lineRule="exact"/>
              <w:ind w:right="48"/>
              <w:jc w:val="right"/>
              <w:rPr>
                <w:rFonts w:ascii="宋体" w:hAnsi="宋体" w:cs="宋体" w:eastAsia="宋体" w:hint="default"/>
                <w:sz w:val="24"/>
                <w:szCs w:val="24"/>
              </w:rPr>
            </w:pPr>
            <w:r>
              <w:rPr>
                <w:rFonts w:ascii="宋体" w:hAnsi="宋体" w:cs="宋体" w:eastAsia="宋体" w:hint="default"/>
                <w:sz w:val="24"/>
                <w:szCs w:val="24"/>
              </w:rPr>
              <w:t>子公司</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33" w:right="0"/>
              <w:jc w:val="left"/>
              <w:rPr>
                <w:rFonts w:ascii="Arial" w:hAnsi="Arial" w:cs="Arial" w:eastAsia="Arial" w:hint="default"/>
                <w:sz w:val="24"/>
                <w:szCs w:val="24"/>
              </w:rPr>
            </w:pPr>
            <w:r>
              <w:rPr>
                <w:rFonts w:ascii="Arial"/>
                <w:sz w:val="24"/>
              </w:rPr>
              <w:t>47,757</w:t>
            </w:r>
          </w:p>
        </w:tc>
        <w:tc>
          <w:tcPr>
            <w:tcW w:w="1082" w:type="dxa"/>
            <w:tcBorders>
              <w:top w:val="nil" w:sz="6" w:space="0" w:color="auto"/>
              <w:left w:val="nil" w:sz="6" w:space="0" w:color="auto"/>
              <w:bottom w:val="nil" w:sz="6" w:space="0" w:color="auto"/>
              <w:right w:val="nil" w:sz="6" w:space="0" w:color="auto"/>
            </w:tcBorders>
          </w:tcPr>
          <w:p>
            <w:pPr>
              <w:pStyle w:val="TableParagraph"/>
              <w:spacing w:line="261" w:lineRule="exact"/>
              <w:ind w:right="50"/>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4.4%</w:t>
            </w:r>
            <w:r>
              <w:rPr>
                <w:rFonts w:ascii="Arial"/>
                <w:sz w:val="24"/>
              </w:rPr>
            </w:r>
          </w:p>
        </w:tc>
      </w:tr>
      <w:tr>
        <w:trPr>
          <w:trHeight w:val="312" w:hRule="exact"/>
        </w:trPr>
        <w:tc>
          <w:tcPr>
            <w:tcW w:w="387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山东渤宁苏宁电器有限公司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61" w:lineRule="exact"/>
              <w:ind w:right="48"/>
              <w:jc w:val="right"/>
              <w:rPr>
                <w:rFonts w:ascii="宋体" w:hAnsi="宋体" w:cs="宋体" w:eastAsia="宋体" w:hint="default"/>
                <w:sz w:val="24"/>
                <w:szCs w:val="24"/>
              </w:rPr>
            </w:pPr>
            <w:r>
              <w:rPr>
                <w:rFonts w:ascii="宋体" w:hAnsi="宋体" w:cs="宋体" w:eastAsia="宋体" w:hint="default"/>
                <w:sz w:val="24"/>
                <w:szCs w:val="24"/>
              </w:rPr>
              <w:t>子公司</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33" w:right="0"/>
              <w:jc w:val="left"/>
              <w:rPr>
                <w:rFonts w:ascii="Arial" w:hAnsi="Arial" w:cs="Arial" w:eastAsia="Arial" w:hint="default"/>
                <w:sz w:val="24"/>
                <w:szCs w:val="24"/>
              </w:rPr>
            </w:pPr>
            <w:r>
              <w:rPr>
                <w:rFonts w:ascii="Arial"/>
                <w:sz w:val="24"/>
              </w:rPr>
              <w:t>27,441</w:t>
            </w:r>
          </w:p>
        </w:tc>
        <w:tc>
          <w:tcPr>
            <w:tcW w:w="1082" w:type="dxa"/>
            <w:tcBorders>
              <w:top w:val="nil" w:sz="6" w:space="0" w:color="auto"/>
              <w:left w:val="nil" w:sz="6" w:space="0" w:color="auto"/>
              <w:bottom w:val="nil" w:sz="6" w:space="0" w:color="auto"/>
              <w:right w:val="nil" w:sz="6" w:space="0" w:color="auto"/>
            </w:tcBorders>
          </w:tcPr>
          <w:p>
            <w:pPr>
              <w:pStyle w:val="TableParagraph"/>
              <w:spacing w:line="261" w:lineRule="exact"/>
              <w:ind w:right="50"/>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2.5%</w:t>
            </w:r>
            <w:r>
              <w:rPr>
                <w:rFonts w:ascii="Arial"/>
                <w:sz w:val="24"/>
              </w:rPr>
            </w:r>
          </w:p>
        </w:tc>
      </w:tr>
      <w:tr>
        <w:trPr>
          <w:trHeight w:val="312" w:hRule="exact"/>
        </w:trPr>
        <w:tc>
          <w:tcPr>
            <w:tcW w:w="387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南京政治学院上海分院</w:t>
            </w:r>
          </w:p>
        </w:tc>
        <w:tc>
          <w:tcPr>
            <w:tcW w:w="1255" w:type="dxa"/>
            <w:tcBorders>
              <w:top w:val="nil" w:sz="6" w:space="0" w:color="auto"/>
              <w:left w:val="nil" w:sz="6" w:space="0" w:color="auto"/>
              <w:bottom w:val="nil" w:sz="6" w:space="0" w:color="auto"/>
              <w:right w:val="nil" w:sz="6" w:space="0" w:color="auto"/>
            </w:tcBorders>
          </w:tcPr>
          <w:p>
            <w:pPr>
              <w:pStyle w:val="TableParagraph"/>
              <w:spacing w:line="261" w:lineRule="exact"/>
              <w:ind w:right="48"/>
              <w:jc w:val="right"/>
              <w:rPr>
                <w:rFonts w:ascii="宋体" w:hAnsi="宋体" w:cs="宋体" w:eastAsia="宋体" w:hint="default"/>
                <w:sz w:val="24"/>
                <w:szCs w:val="24"/>
              </w:rPr>
            </w:pPr>
            <w:r>
              <w:rPr>
                <w:rFonts w:ascii="宋体" w:hAnsi="宋体" w:cs="宋体" w:eastAsia="宋体" w:hint="default"/>
                <w:sz w:val="24"/>
                <w:szCs w:val="24"/>
              </w:rPr>
              <w:t>第三方</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33" w:right="0"/>
              <w:jc w:val="left"/>
              <w:rPr>
                <w:rFonts w:ascii="Arial" w:hAnsi="Arial" w:cs="Arial" w:eastAsia="Arial" w:hint="default"/>
                <w:sz w:val="24"/>
                <w:szCs w:val="24"/>
              </w:rPr>
            </w:pPr>
            <w:r>
              <w:rPr>
                <w:rFonts w:ascii="Arial"/>
                <w:sz w:val="24"/>
              </w:rPr>
              <w:t>16,000</w:t>
            </w:r>
          </w:p>
        </w:tc>
        <w:tc>
          <w:tcPr>
            <w:tcW w:w="1082" w:type="dxa"/>
            <w:tcBorders>
              <w:top w:val="nil" w:sz="6" w:space="0" w:color="auto"/>
              <w:left w:val="nil" w:sz="6" w:space="0" w:color="auto"/>
              <w:bottom w:val="nil" w:sz="6" w:space="0" w:color="auto"/>
              <w:right w:val="nil" w:sz="6" w:space="0" w:color="auto"/>
            </w:tcBorders>
          </w:tcPr>
          <w:p>
            <w:pPr>
              <w:pStyle w:val="TableParagraph"/>
              <w:spacing w:line="261" w:lineRule="exact"/>
              <w:ind w:right="50"/>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24"/>
                <w:szCs w:val="24"/>
              </w:rPr>
            </w:pPr>
            <w:r>
              <w:rPr>
                <w:rFonts w:ascii="Arial"/>
                <w:spacing w:val="-1"/>
                <w:w w:val="95"/>
                <w:sz w:val="24"/>
              </w:rPr>
              <w:t>1.5%</w:t>
            </w:r>
            <w:r>
              <w:rPr>
                <w:rFonts w:ascii="Arial"/>
                <w:sz w:val="24"/>
              </w:rPr>
            </w:r>
          </w:p>
        </w:tc>
      </w:tr>
      <w:tr>
        <w:trPr>
          <w:trHeight w:val="314" w:hRule="exact"/>
        </w:trPr>
        <w:tc>
          <w:tcPr>
            <w:tcW w:w="387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青岛胶宁苏宁电器有限公司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61" w:lineRule="exact"/>
              <w:ind w:right="48"/>
              <w:jc w:val="right"/>
              <w:rPr>
                <w:rFonts w:ascii="宋体" w:hAnsi="宋体" w:cs="宋体" w:eastAsia="宋体" w:hint="default"/>
                <w:sz w:val="24"/>
                <w:szCs w:val="24"/>
              </w:rPr>
            </w:pPr>
            <w:r>
              <w:rPr>
                <w:rFonts w:ascii="宋体" w:hAnsi="宋体" w:cs="宋体" w:eastAsia="宋体" w:hint="default"/>
                <w:sz w:val="24"/>
                <w:szCs w:val="24"/>
              </w:rPr>
              <w:t>子公司</w:t>
            </w:r>
          </w:p>
        </w:tc>
        <w:tc>
          <w:tcPr>
            <w:tcW w:w="1339" w:type="dxa"/>
            <w:tcBorders>
              <w:top w:val="nil" w:sz="6" w:space="0" w:color="auto"/>
              <w:left w:val="nil" w:sz="6" w:space="0" w:color="auto"/>
              <w:bottom w:val="nil" w:sz="6" w:space="0" w:color="auto"/>
              <w:right w:val="nil" w:sz="6" w:space="0" w:color="auto"/>
            </w:tcBorders>
          </w:tcPr>
          <w:p>
            <w:pPr>
              <w:pStyle w:val="TableParagraph"/>
              <w:tabs>
                <w:tab w:pos="382" w:val="left" w:leader="none"/>
                <w:tab w:pos="1216" w:val="left" w:leader="none"/>
              </w:tabs>
              <w:spacing w:line="240" w:lineRule="auto" w:before="20"/>
              <w:ind w:right="69"/>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12,951</w:t>
              <w:tab/>
            </w:r>
            <w:r>
              <w:rPr>
                <w:rFonts w:ascii="Arial"/>
                <w:spacing w:val="-1"/>
                <w:sz w:val="24"/>
              </w:rPr>
            </w:r>
          </w:p>
        </w:tc>
        <w:tc>
          <w:tcPr>
            <w:tcW w:w="1082" w:type="dxa"/>
            <w:tcBorders>
              <w:top w:val="nil" w:sz="6" w:space="0" w:color="auto"/>
              <w:left w:val="nil" w:sz="6" w:space="0" w:color="auto"/>
              <w:bottom w:val="nil" w:sz="6" w:space="0" w:color="auto"/>
              <w:right w:val="nil" w:sz="6" w:space="0" w:color="auto"/>
            </w:tcBorders>
          </w:tcPr>
          <w:p>
            <w:pPr>
              <w:pStyle w:val="TableParagraph"/>
              <w:spacing w:line="261" w:lineRule="exact"/>
              <w:ind w:right="50"/>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771" w:type="dxa"/>
            <w:tcBorders>
              <w:top w:val="nil" w:sz="6" w:space="0" w:color="auto"/>
              <w:left w:val="nil" w:sz="6" w:space="0" w:color="auto"/>
              <w:bottom w:val="nil" w:sz="6" w:space="0" w:color="auto"/>
              <w:right w:val="nil" w:sz="6" w:space="0" w:color="auto"/>
            </w:tcBorders>
          </w:tcPr>
          <w:p>
            <w:pPr>
              <w:pStyle w:val="TableParagraph"/>
              <w:tabs>
                <w:tab w:pos="1036" w:val="left" w:leader="none"/>
                <w:tab w:pos="1684" w:val="left" w:leader="none"/>
              </w:tabs>
              <w:spacing w:line="240" w:lineRule="auto" w:before="2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1.2%</w:t>
              <w:tab/>
            </w:r>
            <w:r>
              <w:rPr>
                <w:rFonts w:ascii="Arial"/>
                <w:spacing w:val="-1"/>
                <w:sz w:val="24"/>
              </w:rPr>
            </w:r>
          </w:p>
        </w:tc>
      </w:tr>
      <w:tr>
        <w:trPr>
          <w:trHeight w:val="363" w:hRule="exact"/>
        </w:trPr>
        <w:tc>
          <w:tcPr>
            <w:tcW w:w="3879"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tabs>
                <w:tab w:pos="1216" w:val="left" w:leader="none"/>
              </w:tabs>
              <w:spacing w:line="268" w:lineRule="exact"/>
              <w:ind w:right="6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18"/>
                <w:sz w:val="24"/>
                <w:u w:val="thick" w:color="000000"/>
              </w:rPr>
              <w:t> </w:t>
            </w:r>
            <w:r>
              <w:rPr>
                <w:rFonts w:ascii="Arial"/>
                <w:spacing w:val="-1"/>
                <w:sz w:val="24"/>
                <w:u w:val="thick" w:color="000000"/>
              </w:rPr>
              <w:t>303,062</w:t>
              <w:tab/>
            </w:r>
            <w:r>
              <w:rPr>
                <w:rFonts w:ascii="Arial"/>
                <w:spacing w:val="-1"/>
                <w:sz w:val="24"/>
              </w:rPr>
            </w:r>
          </w:p>
        </w:tc>
        <w:tc>
          <w:tcPr>
            <w:tcW w:w="1082"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tabs>
                <w:tab w:pos="903" w:val="left" w:leader="none"/>
                <w:tab w:pos="1684"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27.8%</w:t>
              <w:tab/>
            </w:r>
            <w:r>
              <w:rPr>
                <w:rFonts w:ascii="Arial"/>
                <w:spacing w:val="-1"/>
                <w:sz w:val="24"/>
              </w:rPr>
            </w:r>
          </w:p>
        </w:tc>
      </w:tr>
    </w:tbl>
    <w:p>
      <w:pPr>
        <w:spacing w:line="240" w:lineRule="auto" w:before="8"/>
        <w:rPr>
          <w:rFonts w:ascii="宋体" w:hAnsi="宋体" w:cs="宋体" w:eastAsia="宋体" w:hint="default"/>
          <w:sz w:val="13"/>
          <w:szCs w:val="13"/>
        </w:rPr>
      </w:pPr>
    </w:p>
    <w:p>
      <w:pPr>
        <w:pStyle w:val="BodyText"/>
        <w:tabs>
          <w:tab w:pos="842" w:val="left" w:leader="none"/>
        </w:tabs>
        <w:spacing w:line="240" w:lineRule="auto" w:before="32"/>
        <w:ind w:left="143" w:right="0"/>
        <w:jc w:val="left"/>
      </w:pPr>
      <w:r>
        <w:rPr>
          <w:rFonts w:ascii="Arial" w:hAnsi="Arial" w:cs="Arial" w:eastAsia="Arial" w:hint="default"/>
          <w:w w:val="95"/>
          <w:position w:val="2"/>
        </w:rPr>
        <w:t>(h)</w:t>
        <w:tab/>
      </w:r>
      <w:r>
        <w:rPr/>
        <w:t>于</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日及</w:t>
      </w:r>
      <w:r>
        <w:rPr>
          <w:spacing w:val="-61"/>
        </w:rPr>
        <w:t> </w:t>
      </w:r>
      <w:r>
        <w:rPr>
          <w:rFonts w:ascii="Arial" w:hAnsi="Arial" w:cs="Arial" w:eastAsia="Arial" w:hint="default"/>
        </w:rPr>
        <w:t>2009</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日，其他应收款中无应收关联方款项。</w:t>
      </w:r>
    </w:p>
    <w:p>
      <w:pPr>
        <w:spacing w:line="240" w:lineRule="auto" w:before="7"/>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532"/>
        <w:gridCol w:w="3068"/>
        <w:gridCol w:w="3423"/>
        <w:gridCol w:w="3003"/>
      </w:tblGrid>
      <w:tr>
        <w:trPr>
          <w:trHeight w:val="838" w:hRule="exact"/>
        </w:trPr>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Arial" w:hAnsi="Arial" w:cs="Arial" w:eastAsia="Arial" w:hint="default"/>
                <w:sz w:val="24"/>
                <w:szCs w:val="24"/>
              </w:rPr>
            </w:pPr>
            <w:r>
              <w:rPr>
                <w:rFonts w:ascii="Arial"/>
                <w:sz w:val="24"/>
              </w:rPr>
              <w:t>(3)</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02" w:right="0"/>
              <w:jc w:val="left"/>
              <w:rPr>
                <w:rFonts w:ascii="宋体" w:hAnsi="宋体" w:cs="宋体" w:eastAsia="宋体" w:hint="default"/>
                <w:sz w:val="24"/>
                <w:szCs w:val="24"/>
              </w:rPr>
            </w:pPr>
            <w:r>
              <w:rPr>
                <w:rFonts w:ascii="宋体" w:hAnsi="宋体" w:cs="宋体" w:eastAsia="宋体" w:hint="default"/>
                <w:b/>
                <w:bCs/>
                <w:sz w:val="24"/>
                <w:szCs w:val="24"/>
              </w:rPr>
              <w:t>长期股权投资</w:t>
            </w:r>
            <w:r>
              <w:rPr>
                <w:rFonts w:ascii="宋体" w:hAnsi="宋体" w:cs="宋体" w:eastAsia="宋体" w:hint="default"/>
                <w:sz w:val="24"/>
                <w:szCs w:val="24"/>
              </w:rPr>
            </w: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386"/>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33"/>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9" w:hRule="exact"/>
        </w:trPr>
        <w:tc>
          <w:tcPr>
            <w:tcW w:w="532" w:type="dxa"/>
            <w:tcBorders>
              <w:top w:val="nil" w:sz="6" w:space="0" w:color="auto"/>
              <w:left w:val="nil" w:sz="6" w:space="0" w:color="auto"/>
              <w:bottom w:val="nil" w:sz="6" w:space="0" w:color="auto"/>
              <w:right w:val="nil" w:sz="6" w:space="0" w:color="auto"/>
            </w:tcBorders>
          </w:tcPr>
          <w:p>
            <w:pP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8"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(a)</w:t>
            </w: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922" w:right="0"/>
              <w:jc w:val="left"/>
              <w:rPr>
                <w:rFonts w:ascii="Arial" w:hAnsi="Arial" w:cs="Arial" w:eastAsia="Arial" w:hint="default"/>
                <w:sz w:val="24"/>
                <w:szCs w:val="24"/>
              </w:rPr>
            </w:pPr>
            <w:r>
              <w:rPr>
                <w:rFonts w:ascii="Arial"/>
                <w:sz w:val="24"/>
              </w:rPr>
              <w:t>5,945,793</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72"/>
              <w:jc w:val="right"/>
              <w:rPr>
                <w:rFonts w:ascii="Arial" w:hAnsi="Arial" w:cs="Arial" w:eastAsia="Arial" w:hint="default"/>
                <w:sz w:val="24"/>
                <w:szCs w:val="24"/>
              </w:rPr>
            </w:pPr>
            <w:r>
              <w:rPr>
                <w:rFonts w:ascii="Arial"/>
                <w:spacing w:val="-1"/>
                <w:w w:val="95"/>
                <w:sz w:val="24"/>
              </w:rPr>
              <w:t>4,163,381</w:t>
            </w:r>
            <w:r>
              <w:rPr>
                <w:rFonts w:ascii="Arial"/>
                <w:sz w:val="24"/>
              </w:rPr>
            </w:r>
          </w:p>
        </w:tc>
      </w:tr>
      <w:tr>
        <w:trPr>
          <w:trHeight w:val="314" w:hRule="exact"/>
        </w:trPr>
        <w:tc>
          <w:tcPr>
            <w:tcW w:w="532" w:type="dxa"/>
            <w:tcBorders>
              <w:top w:val="nil" w:sz="6" w:space="0" w:color="auto"/>
              <w:left w:val="nil" w:sz="6" w:space="0" w:color="auto"/>
              <w:bottom w:val="nil" w:sz="6" w:space="0" w:color="auto"/>
              <w:right w:val="nil" w:sz="6" w:space="0" w:color="auto"/>
            </w:tcBorders>
          </w:tcPr>
          <w:p>
            <w:pPr/>
          </w:p>
        </w:tc>
        <w:tc>
          <w:tcPr>
            <w:tcW w:w="3068" w:type="dxa"/>
            <w:tcBorders>
              <w:top w:val="nil" w:sz="6" w:space="0" w:color="auto"/>
              <w:left w:val="nil" w:sz="6" w:space="0" w:color="auto"/>
              <w:bottom w:val="nil" w:sz="6" w:space="0" w:color="auto"/>
              <w:right w:val="nil" w:sz="6" w:space="0" w:color="auto"/>
            </w:tcBorders>
          </w:tcPr>
          <w:p>
            <w:pPr>
              <w:pStyle w:val="TableParagraph"/>
              <w:spacing w:line="278" w:lineRule="exact"/>
              <w:ind w:left="208" w:right="0"/>
              <w:jc w:val="left"/>
              <w:rPr>
                <w:rFonts w:ascii="Arial" w:hAnsi="Arial" w:cs="Arial" w:eastAsia="Arial" w:hint="default"/>
                <w:sz w:val="24"/>
                <w:szCs w:val="24"/>
              </w:rPr>
            </w:pPr>
            <w:r>
              <w:rPr>
                <w:rFonts w:ascii="宋体" w:hAnsi="宋体" w:cs="宋体" w:eastAsia="宋体" w:hint="default"/>
                <w:sz w:val="24"/>
                <w:szCs w:val="24"/>
              </w:rPr>
              <w:t>其他长期股权投资</w:t>
            </w:r>
            <w:r>
              <w:rPr>
                <w:rFonts w:ascii="Arial" w:hAnsi="Arial" w:cs="Arial" w:eastAsia="Arial" w:hint="default"/>
                <w:sz w:val="24"/>
                <w:szCs w:val="24"/>
              </w:rPr>
              <w:t>(b)</w:t>
            </w:r>
          </w:p>
        </w:tc>
        <w:tc>
          <w:tcPr>
            <w:tcW w:w="3423" w:type="dxa"/>
            <w:tcBorders>
              <w:top w:val="nil" w:sz="6" w:space="0" w:color="auto"/>
              <w:left w:val="nil" w:sz="6" w:space="0" w:color="auto"/>
              <w:bottom w:val="nil" w:sz="6" w:space="0" w:color="auto"/>
              <w:right w:val="nil" w:sz="6" w:space="0" w:color="auto"/>
            </w:tcBorders>
          </w:tcPr>
          <w:p>
            <w:pPr>
              <w:pStyle w:val="TableParagraph"/>
              <w:tabs>
                <w:tab w:pos="1478" w:val="left" w:leader="none"/>
                <w:tab w:pos="2489" w:val="left" w:leader="none"/>
              </w:tabs>
              <w:spacing w:line="240" w:lineRule="auto" w:before="20"/>
              <w:ind w:right="285"/>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540,993</w:t>
              <w:tab/>
            </w:r>
            <w:r>
              <w:rPr>
                <w:rFonts w:ascii="Arial"/>
                <w:spacing w:val="-1"/>
                <w:sz w:val="24"/>
              </w:rPr>
            </w:r>
          </w:p>
        </w:tc>
        <w:tc>
          <w:tcPr>
            <w:tcW w:w="3003" w:type="dxa"/>
            <w:tcBorders>
              <w:top w:val="nil" w:sz="6" w:space="0" w:color="auto"/>
              <w:left w:val="nil" w:sz="6" w:space="0" w:color="auto"/>
              <w:bottom w:val="nil" w:sz="6" w:space="0" w:color="auto"/>
              <w:right w:val="nil" w:sz="6" w:space="0" w:color="auto"/>
            </w:tcBorders>
          </w:tcPr>
          <w:p>
            <w:pPr>
              <w:pStyle w:val="TableParagraph"/>
              <w:tabs>
                <w:tab w:pos="1676" w:val="left" w:leader="none"/>
                <w:tab w:pos="2680" w:val="left" w:leader="none"/>
              </w:tabs>
              <w:spacing w:line="240" w:lineRule="auto" w:before="2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540,993</w:t>
              <w:tab/>
            </w:r>
            <w:r>
              <w:rPr>
                <w:rFonts w:ascii="Arial"/>
                <w:spacing w:val="-1"/>
                <w:sz w:val="24"/>
              </w:rPr>
            </w:r>
          </w:p>
        </w:tc>
      </w:tr>
      <w:tr>
        <w:trPr>
          <w:trHeight w:val="363" w:hRule="exact"/>
        </w:trPr>
        <w:tc>
          <w:tcPr>
            <w:tcW w:w="532" w:type="dxa"/>
            <w:tcBorders>
              <w:top w:val="nil" w:sz="6" w:space="0" w:color="auto"/>
              <w:left w:val="nil" w:sz="6" w:space="0" w:color="auto"/>
              <w:bottom w:val="nil" w:sz="6" w:space="0" w:color="auto"/>
              <w:right w:val="nil" w:sz="6" w:space="0" w:color="auto"/>
            </w:tcBorders>
          </w:tcPr>
          <w:p>
            <w:pPr/>
          </w:p>
        </w:tc>
        <w:tc>
          <w:tcPr>
            <w:tcW w:w="3068"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tabs>
                <w:tab w:pos="1276" w:val="left" w:leader="none"/>
                <w:tab w:pos="2489" w:val="left" w:leader="none"/>
              </w:tabs>
              <w:spacing w:line="268" w:lineRule="exact"/>
              <w:ind w:right="285"/>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6,486,786</w:t>
              <w:tab/>
            </w:r>
            <w:r>
              <w:rPr>
                <w:rFonts w:ascii="Arial"/>
                <w:spacing w:val="-1"/>
                <w:sz w:val="24"/>
              </w:rPr>
            </w:r>
          </w:p>
        </w:tc>
        <w:tc>
          <w:tcPr>
            <w:tcW w:w="3003" w:type="dxa"/>
            <w:tcBorders>
              <w:top w:val="nil" w:sz="6" w:space="0" w:color="auto"/>
              <w:left w:val="nil" w:sz="6" w:space="0" w:color="auto"/>
              <w:bottom w:val="nil" w:sz="6" w:space="0" w:color="auto"/>
              <w:right w:val="nil" w:sz="6" w:space="0" w:color="auto"/>
            </w:tcBorders>
          </w:tcPr>
          <w:p>
            <w:pPr>
              <w:pStyle w:val="TableParagraph"/>
              <w:tabs>
                <w:tab w:pos="1475" w:val="left" w:leader="none"/>
                <w:tab w:pos="2680"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4,704,374</w:t>
              <w:tab/>
            </w:r>
            <w:r>
              <w:rPr>
                <w:rFonts w:ascii="Arial"/>
                <w:spacing w:val="-1"/>
                <w:sz w:val="24"/>
              </w:rPr>
            </w:r>
          </w:p>
        </w:tc>
      </w:tr>
    </w:tbl>
    <w:p>
      <w:pPr>
        <w:spacing w:line="240" w:lineRule="auto" w:before="4"/>
        <w:rPr>
          <w:rFonts w:ascii="宋体" w:hAnsi="宋体" w:cs="宋体" w:eastAsia="宋体" w:hint="default"/>
          <w:sz w:val="11"/>
          <w:szCs w:val="11"/>
        </w:rPr>
      </w:pPr>
    </w:p>
    <w:p>
      <w:pPr>
        <w:pStyle w:val="BodyText"/>
        <w:spacing w:line="240" w:lineRule="auto" w:before="26"/>
        <w:ind w:left="848" w:right="0"/>
        <w:jc w:val="left"/>
      </w:pPr>
      <w:r>
        <w:rPr/>
        <w:t>本公司不存在长期投资变现的重大限制。</w:t>
      </w:r>
    </w:p>
    <w:p>
      <w:pPr>
        <w:spacing w:after="0" w:line="240" w:lineRule="auto"/>
        <w:jc w:val="left"/>
        <w:sectPr>
          <w:type w:val="continuous"/>
          <w:pgSz w:w="11910" w:h="16840"/>
          <w:pgMar w:top="920" w:bottom="900" w:left="980" w:right="680"/>
        </w:sectPr>
      </w:pPr>
    </w:p>
    <w:p>
      <w:pPr>
        <w:spacing w:line="240" w:lineRule="auto" w:before="4"/>
        <w:rPr>
          <w:rFonts w:ascii="Times New Roman" w:hAnsi="Times New Roman" w:cs="Times New Roman" w:eastAsia="Times New Roman" w:hint="default"/>
          <w:sz w:val="15"/>
          <w:szCs w:val="15"/>
        </w:rPr>
      </w:pPr>
    </w:p>
    <w:tbl>
      <w:tblPr>
        <w:tblW w:w="0" w:type="auto"/>
        <w:jc w:val="left"/>
        <w:tblInd w:w="114" w:type="dxa"/>
        <w:tblLayout w:type="fixed"/>
        <w:tblCellMar>
          <w:top w:w="0" w:type="dxa"/>
          <w:left w:w="0" w:type="dxa"/>
          <w:bottom w:w="0" w:type="dxa"/>
          <w:right w:w="0" w:type="dxa"/>
        </w:tblCellMar>
        <w:tblLook w:val="01E0"/>
      </w:tblPr>
      <w:tblGrid>
        <w:gridCol w:w="637"/>
        <w:gridCol w:w="2384"/>
        <w:gridCol w:w="1016"/>
        <w:gridCol w:w="1322"/>
        <w:gridCol w:w="1318"/>
        <w:gridCol w:w="1478"/>
        <w:gridCol w:w="1200"/>
        <w:gridCol w:w="558"/>
        <w:gridCol w:w="621"/>
        <w:gridCol w:w="4615"/>
      </w:tblGrid>
      <w:tr>
        <w:trPr>
          <w:trHeight w:val="1685" w:hRule="exact"/>
        </w:trPr>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(3)</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(a)</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4" w:right="0"/>
              <w:jc w:val="left"/>
              <w:rPr>
                <w:rFonts w:ascii="Arial" w:hAnsi="Arial" w:cs="Arial" w:eastAsia="Arial" w:hint="default"/>
                <w:sz w:val="24"/>
                <w:szCs w:val="24"/>
              </w:rPr>
            </w:pPr>
            <w:r>
              <w:rPr>
                <w:rFonts w:ascii="宋体" w:hAnsi="宋体" w:cs="宋体" w:eastAsia="宋体" w:hint="default"/>
                <w:b/>
                <w:bCs/>
                <w:sz w:val="24"/>
                <w:szCs w:val="24"/>
              </w:rPr>
              <w:t>公司财务报表附注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570" w:lineRule="atLeast" w:before="18"/>
              <w:ind w:left="34" w:right="504"/>
              <w:jc w:val="left"/>
              <w:rPr>
                <w:rFonts w:ascii="宋体" w:hAnsi="宋体" w:cs="宋体" w:eastAsia="宋体" w:hint="default"/>
                <w:sz w:val="24"/>
                <w:szCs w:val="24"/>
              </w:rPr>
            </w:pPr>
            <w:r>
              <w:rPr>
                <w:rFonts w:ascii="宋体" w:hAnsi="宋体" w:cs="宋体" w:eastAsia="宋体" w:hint="default"/>
                <w:b/>
                <w:bCs/>
                <w:w w:val="95"/>
                <w:sz w:val="24"/>
                <w:szCs w:val="24"/>
              </w:rPr>
              <w:t>长期股权投资</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23"/>
                <w:w w:val="95"/>
                <w:sz w:val="24"/>
                <w:szCs w:val="24"/>
              </w:rPr>
              <w:t> </w:t>
            </w:r>
            <w:r>
              <w:rPr>
                <w:rFonts w:ascii="宋体" w:hAnsi="宋体" w:cs="宋体" w:eastAsia="宋体" w:hint="default"/>
                <w:sz w:val="24"/>
                <w:szCs w:val="24"/>
              </w:rPr>
              <w:t>子公司</w:t>
            </w:r>
          </w:p>
        </w:tc>
        <w:tc>
          <w:tcPr>
            <w:tcW w:w="12127" w:type="dxa"/>
            <w:gridSpan w:val="8"/>
            <w:tcBorders>
              <w:top w:val="nil" w:sz="6" w:space="0" w:color="auto"/>
              <w:left w:val="nil" w:sz="6" w:space="0" w:color="auto"/>
              <w:bottom w:val="nil" w:sz="6" w:space="0" w:color="auto"/>
              <w:right w:val="nil" w:sz="6" w:space="0" w:color="auto"/>
            </w:tcBorders>
          </w:tcPr>
          <w:p>
            <w:pPr/>
          </w:p>
        </w:tc>
      </w:tr>
      <w:tr>
        <w:trPr>
          <w:trHeight w:val="381" w:hRule="exact"/>
        </w:trPr>
        <w:tc>
          <w:tcPr>
            <w:tcW w:w="637"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9"/>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47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50"/>
              <w:jc w:val="righ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42"/>
              <w:jc w:val="right"/>
              <w:rPr>
                <w:rFonts w:ascii="宋体" w:hAnsi="宋体" w:cs="宋体" w:eastAsia="宋体" w:hint="default"/>
                <w:sz w:val="18"/>
                <w:szCs w:val="18"/>
              </w:rPr>
            </w:pPr>
            <w:r>
              <w:rPr>
                <w:rFonts w:ascii="宋体" w:hAnsi="宋体" w:cs="宋体" w:eastAsia="宋体" w:hint="default"/>
                <w:sz w:val="18"/>
                <w:szCs w:val="18"/>
              </w:rPr>
              <w:t>持股</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4"/>
              <w:jc w:val="right"/>
              <w:rPr>
                <w:rFonts w:ascii="宋体" w:hAnsi="宋体" w:cs="宋体" w:eastAsia="宋体" w:hint="default"/>
                <w:sz w:val="18"/>
                <w:szCs w:val="18"/>
              </w:rPr>
            </w:pPr>
            <w:r>
              <w:rPr>
                <w:rFonts w:ascii="宋体" w:hAnsi="宋体" w:cs="宋体" w:eastAsia="宋体" w:hint="default"/>
                <w:sz w:val="18"/>
                <w:szCs w:val="18"/>
              </w:rPr>
              <w:t>表决权</w:t>
            </w:r>
          </w:p>
        </w:tc>
        <w:tc>
          <w:tcPr>
            <w:tcW w:w="4615" w:type="dxa"/>
            <w:tcBorders>
              <w:top w:val="nil" w:sz="6" w:space="0" w:color="auto"/>
              <w:left w:val="nil" w:sz="6" w:space="0" w:color="auto"/>
              <w:bottom w:val="nil" w:sz="6" w:space="0" w:color="auto"/>
              <w:right w:val="nil" w:sz="6" w:space="0" w:color="auto"/>
            </w:tcBorders>
          </w:tcPr>
          <w:p>
            <w:pPr>
              <w:pStyle w:val="TableParagraph"/>
              <w:tabs>
                <w:tab w:pos="2421" w:val="left" w:leader="none"/>
              </w:tabs>
              <w:spacing w:line="240" w:lineRule="auto" w:before="113"/>
              <w:ind w:right="33"/>
              <w:jc w:val="right"/>
              <w:rPr>
                <w:rFonts w:ascii="宋体" w:hAnsi="宋体" w:cs="宋体" w:eastAsia="宋体" w:hint="default"/>
                <w:sz w:val="18"/>
                <w:szCs w:val="18"/>
              </w:rPr>
            </w:pPr>
            <w:r>
              <w:rPr>
                <w:rFonts w:ascii="宋体" w:hAnsi="宋体" w:cs="宋体" w:eastAsia="宋体" w:hint="default"/>
                <w:sz w:val="18"/>
                <w:szCs w:val="18"/>
              </w:rPr>
              <w:t>持股比例与表决权</w:t>
              <w:tab/>
              <w:t>本年计提</w:t>
            </w:r>
            <w:r>
              <w:rPr>
                <w:rFonts w:ascii="宋体" w:hAnsi="宋体" w:cs="宋体" w:eastAsia="宋体" w:hint="default"/>
                <w:spacing w:val="52"/>
                <w:sz w:val="18"/>
                <w:szCs w:val="18"/>
              </w:rPr>
              <w:t> </w:t>
            </w:r>
            <w:r>
              <w:rPr>
                <w:rFonts w:ascii="宋体" w:hAnsi="宋体" w:cs="宋体" w:eastAsia="宋体" w:hint="default"/>
                <w:sz w:val="18"/>
                <w:szCs w:val="18"/>
              </w:rPr>
              <w:t>本年宣告分派的</w:t>
            </w:r>
          </w:p>
        </w:tc>
      </w:tr>
      <w:tr>
        <w:trPr>
          <w:trHeight w:val="234" w:hRule="exact"/>
        </w:trPr>
        <w:tc>
          <w:tcPr>
            <w:tcW w:w="637"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03" w:lineRule="exact"/>
              <w:ind w:right="268"/>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322" w:type="dxa"/>
            <w:tcBorders>
              <w:top w:val="nil" w:sz="6" w:space="0" w:color="auto"/>
              <w:left w:val="nil" w:sz="6" w:space="0" w:color="auto"/>
              <w:bottom w:val="nil" w:sz="6" w:space="0" w:color="auto"/>
              <w:right w:val="nil" w:sz="6" w:space="0" w:color="auto"/>
            </w:tcBorders>
          </w:tcPr>
          <w:p>
            <w:pPr>
              <w:pStyle w:val="TableParagraph"/>
              <w:spacing w:line="203" w:lineRule="exact"/>
              <w:ind w:right="329"/>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1318" w:type="dxa"/>
            <w:tcBorders>
              <w:top w:val="nil" w:sz="6" w:space="0" w:color="auto"/>
              <w:left w:val="nil" w:sz="6" w:space="0" w:color="auto"/>
              <w:bottom w:val="nil" w:sz="6" w:space="0" w:color="auto"/>
              <w:right w:val="nil" w:sz="6" w:space="0" w:color="auto"/>
            </w:tcBorders>
          </w:tcPr>
          <w:p>
            <w:pPr>
              <w:pStyle w:val="TableParagraph"/>
              <w:spacing w:line="215" w:lineRule="exact"/>
              <w:ind w:right="89"/>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78" w:type="dxa"/>
            <w:tcBorders>
              <w:top w:val="nil" w:sz="6" w:space="0" w:color="auto"/>
              <w:left w:val="nil" w:sz="6" w:space="0" w:color="auto"/>
              <w:bottom w:val="nil" w:sz="6" w:space="0" w:color="auto"/>
              <w:right w:val="nil" w:sz="6" w:space="0" w:color="auto"/>
            </w:tcBorders>
          </w:tcPr>
          <w:p>
            <w:pPr>
              <w:pStyle w:val="TableParagraph"/>
              <w:spacing w:line="203" w:lineRule="exact"/>
              <w:ind w:right="304"/>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200" w:type="dxa"/>
            <w:tcBorders>
              <w:top w:val="nil" w:sz="6" w:space="0" w:color="auto"/>
              <w:left w:val="nil" w:sz="6" w:space="0" w:color="auto"/>
              <w:bottom w:val="nil" w:sz="6" w:space="0" w:color="auto"/>
              <w:right w:val="nil" w:sz="6" w:space="0" w:color="auto"/>
            </w:tcBorders>
          </w:tcPr>
          <w:p>
            <w:pPr>
              <w:pStyle w:val="TableParagraph"/>
              <w:spacing w:line="215" w:lineRule="exact"/>
              <w:ind w:right="50"/>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558" w:type="dxa"/>
            <w:tcBorders>
              <w:top w:val="nil" w:sz="6" w:space="0" w:color="auto"/>
              <w:left w:val="nil" w:sz="6" w:space="0" w:color="auto"/>
              <w:bottom w:val="nil" w:sz="6" w:space="0" w:color="auto"/>
              <w:right w:val="nil" w:sz="6" w:space="0" w:color="auto"/>
            </w:tcBorders>
          </w:tcPr>
          <w:p>
            <w:pPr>
              <w:pStyle w:val="TableParagraph"/>
              <w:spacing w:line="203" w:lineRule="exact"/>
              <w:ind w:right="42"/>
              <w:jc w:val="right"/>
              <w:rPr>
                <w:rFonts w:ascii="宋体" w:hAnsi="宋体" w:cs="宋体" w:eastAsia="宋体" w:hint="default"/>
                <w:sz w:val="18"/>
                <w:szCs w:val="18"/>
              </w:rPr>
            </w:pPr>
            <w:r>
              <w:rPr>
                <w:rFonts w:ascii="宋体" w:hAnsi="宋体" w:cs="宋体" w:eastAsia="宋体" w:hint="default"/>
                <w:sz w:val="18"/>
                <w:szCs w:val="18"/>
              </w:rPr>
              <w:t>比例</w:t>
            </w:r>
          </w:p>
        </w:tc>
        <w:tc>
          <w:tcPr>
            <w:tcW w:w="621" w:type="dxa"/>
            <w:tcBorders>
              <w:top w:val="nil" w:sz="6" w:space="0" w:color="auto"/>
              <w:left w:val="nil" w:sz="6" w:space="0" w:color="auto"/>
              <w:bottom w:val="nil" w:sz="6" w:space="0" w:color="auto"/>
              <w:right w:val="nil" w:sz="6" w:space="0" w:color="auto"/>
            </w:tcBorders>
          </w:tcPr>
          <w:p>
            <w:pPr>
              <w:pStyle w:val="TableParagraph"/>
              <w:spacing w:line="203" w:lineRule="exact"/>
              <w:ind w:right="34"/>
              <w:jc w:val="right"/>
              <w:rPr>
                <w:rFonts w:ascii="宋体" w:hAnsi="宋体" w:cs="宋体" w:eastAsia="宋体" w:hint="default"/>
                <w:sz w:val="18"/>
                <w:szCs w:val="18"/>
              </w:rPr>
            </w:pPr>
            <w:r>
              <w:rPr>
                <w:rFonts w:ascii="宋体" w:hAnsi="宋体" w:cs="宋体" w:eastAsia="宋体" w:hint="default"/>
                <w:sz w:val="18"/>
                <w:szCs w:val="18"/>
              </w:rPr>
              <w:t>比例</w:t>
            </w:r>
          </w:p>
        </w:tc>
        <w:tc>
          <w:tcPr>
            <w:tcW w:w="4615" w:type="dxa"/>
            <w:tcBorders>
              <w:top w:val="nil" w:sz="6" w:space="0" w:color="auto"/>
              <w:left w:val="nil" w:sz="6" w:space="0" w:color="auto"/>
              <w:bottom w:val="nil" w:sz="6" w:space="0" w:color="auto"/>
              <w:right w:val="nil" w:sz="6" w:space="0" w:color="auto"/>
            </w:tcBorders>
          </w:tcPr>
          <w:p>
            <w:pPr>
              <w:pStyle w:val="TableParagraph"/>
              <w:tabs>
                <w:tab w:pos="3824" w:val="left" w:leader="none"/>
              </w:tabs>
              <w:spacing w:line="203" w:lineRule="exact"/>
              <w:ind w:right="33"/>
              <w:jc w:val="right"/>
              <w:rPr>
                <w:rFonts w:ascii="宋体" w:hAnsi="宋体" w:cs="宋体" w:eastAsia="宋体" w:hint="default"/>
                <w:sz w:val="18"/>
                <w:szCs w:val="18"/>
              </w:rPr>
            </w:pPr>
            <w:r>
              <w:rPr>
                <w:rFonts w:ascii="宋体" w:hAnsi="宋体" w:cs="宋体" w:eastAsia="宋体" w:hint="default"/>
                <w:sz w:val="18"/>
                <w:szCs w:val="18"/>
              </w:rPr>
              <w:t>比例不一致的说明 减值准备</w:t>
            </w:r>
            <w:r>
              <w:rPr>
                <w:rFonts w:ascii="宋体" w:hAnsi="宋体" w:cs="宋体" w:eastAsia="宋体" w:hint="default"/>
                <w:spacing w:val="81"/>
                <w:sz w:val="18"/>
                <w:szCs w:val="18"/>
              </w:rPr>
              <w:t> </w:t>
            </w:r>
            <w:r>
              <w:rPr>
                <w:rFonts w:ascii="宋体" w:hAnsi="宋体" w:cs="宋体" w:eastAsia="宋体" w:hint="default"/>
                <w:sz w:val="18"/>
                <w:szCs w:val="18"/>
              </w:rPr>
              <w:t>减值准备</w:t>
              <w:tab/>
              <w:t>现金股利</w:t>
            </w:r>
          </w:p>
        </w:tc>
      </w:tr>
      <w:tr>
        <w:trPr>
          <w:trHeight w:val="241" w:hRule="exact"/>
        </w:trPr>
        <w:tc>
          <w:tcPr>
            <w:tcW w:w="637"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上海长宁苏宁电器有限公司</w:t>
            </w:r>
          </w:p>
        </w:tc>
        <w:tc>
          <w:tcPr>
            <w:tcW w:w="1016" w:type="dxa"/>
            <w:tcBorders>
              <w:top w:val="nil" w:sz="6" w:space="0" w:color="auto"/>
              <w:left w:val="nil" w:sz="6" w:space="0" w:color="auto"/>
              <w:bottom w:val="nil" w:sz="6" w:space="0" w:color="auto"/>
              <w:right w:val="nil" w:sz="6" w:space="0" w:color="auto"/>
            </w:tcBorders>
          </w:tcPr>
          <w:p>
            <w:pPr>
              <w:pStyle w:val="TableParagraph"/>
              <w:spacing w:line="203"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29"/>
              <w:jc w:val="right"/>
              <w:rPr>
                <w:rFonts w:ascii="Arial" w:hAnsi="Arial" w:cs="Arial" w:eastAsia="Arial" w:hint="default"/>
                <w:sz w:val="18"/>
                <w:szCs w:val="18"/>
              </w:rPr>
            </w:pPr>
            <w:r>
              <w:rPr>
                <w:rFonts w:ascii="Arial"/>
                <w:spacing w:val="-1"/>
                <w:sz w:val="18"/>
              </w:rPr>
              <w:t>502,367</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0"/>
              <w:jc w:val="right"/>
              <w:rPr>
                <w:rFonts w:ascii="Arial" w:hAnsi="Arial" w:cs="Arial" w:eastAsia="Arial" w:hint="default"/>
                <w:sz w:val="18"/>
                <w:szCs w:val="18"/>
              </w:rPr>
            </w:pPr>
            <w:r>
              <w:rPr>
                <w:rFonts w:ascii="Arial"/>
                <w:spacing w:val="-1"/>
                <w:sz w:val="18"/>
              </w:rPr>
              <w:t>502,367</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42"/>
              <w:jc w:val="right"/>
              <w:rPr>
                <w:rFonts w:ascii="Arial" w:hAnsi="Arial" w:cs="Arial" w:eastAsia="Arial" w:hint="default"/>
                <w:sz w:val="18"/>
                <w:szCs w:val="18"/>
              </w:rPr>
            </w:pPr>
            <w:r>
              <w:rPr>
                <w:rFonts w:ascii="Arial"/>
                <w:w w:val="99"/>
                <w:sz w:val="18"/>
              </w:rPr>
              <w:t>-</w:t>
            </w:r>
            <w:r>
              <w:rPr>
                <w:rFonts w:ascii="Arial"/>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2"/>
              <w:jc w:val="right"/>
              <w:rPr>
                <w:rFonts w:ascii="Arial" w:hAnsi="Arial" w:cs="Arial" w:eastAsia="Arial" w:hint="default"/>
                <w:sz w:val="18"/>
                <w:szCs w:val="18"/>
              </w:rPr>
            </w:pPr>
            <w:r>
              <w:rPr>
                <w:rFonts w:ascii="Arial"/>
                <w:spacing w:val="-1"/>
                <w:sz w:val="18"/>
              </w:rPr>
              <w:t>502,367</w:t>
            </w:r>
            <w:r>
              <w:rPr>
                <w:rFonts w:ascii="Arial"/>
                <w:sz w:val="18"/>
              </w:rPr>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5"/>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811" w:val="left" w:leader="none"/>
                <w:tab w:pos="1693" w:val="left" w:leader="none"/>
                <w:tab w:pos="3106" w:val="left" w:leader="none"/>
              </w:tabs>
              <w:spacing w:line="240" w:lineRule="auto" w:before="23"/>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34" w:hRule="exact"/>
        </w:trPr>
        <w:tc>
          <w:tcPr>
            <w:tcW w:w="637"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重庆渝宁苏宁电器有限公司</w:t>
            </w:r>
          </w:p>
        </w:tc>
        <w:tc>
          <w:tcPr>
            <w:tcW w:w="1016" w:type="dxa"/>
            <w:tcBorders>
              <w:top w:val="nil" w:sz="6" w:space="0" w:color="auto"/>
              <w:left w:val="nil" w:sz="6" w:space="0" w:color="auto"/>
              <w:bottom w:val="nil" w:sz="6" w:space="0" w:color="auto"/>
              <w:right w:val="nil" w:sz="6" w:space="0" w:color="auto"/>
            </w:tcBorders>
          </w:tcPr>
          <w:p>
            <w:pPr>
              <w:pStyle w:val="TableParagraph"/>
              <w:spacing w:line="195"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9"/>
              <w:jc w:val="right"/>
              <w:rPr>
                <w:rFonts w:ascii="Arial" w:hAnsi="Arial" w:cs="Arial" w:eastAsia="Arial" w:hint="default"/>
                <w:sz w:val="18"/>
                <w:szCs w:val="18"/>
              </w:rPr>
            </w:pPr>
            <w:r>
              <w:rPr>
                <w:rFonts w:ascii="Arial"/>
                <w:spacing w:val="-1"/>
                <w:sz w:val="18"/>
              </w:rPr>
              <w:t>345,480</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320,000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1"/>
              <w:jc w:val="right"/>
              <w:rPr>
                <w:rFonts w:ascii="Arial" w:hAnsi="Arial" w:cs="Arial" w:eastAsia="Arial" w:hint="default"/>
                <w:sz w:val="18"/>
                <w:szCs w:val="18"/>
              </w:rPr>
            </w:pPr>
            <w:r>
              <w:rPr>
                <w:rFonts w:ascii="Arial"/>
                <w:spacing w:val="-1"/>
                <w:sz w:val="18"/>
              </w:rPr>
              <w:t>25,480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Arial" w:hAnsi="Arial" w:cs="Arial" w:eastAsia="Arial" w:hint="default"/>
                <w:sz w:val="18"/>
                <w:szCs w:val="18"/>
              </w:rPr>
            </w:pPr>
            <w:r>
              <w:rPr>
                <w:rFonts w:ascii="Arial"/>
                <w:spacing w:val="-1"/>
                <w:sz w:val="18"/>
              </w:rPr>
              <w:t>345,480</w:t>
            </w:r>
            <w:r>
              <w:rPr>
                <w:rFonts w:ascii="Arial"/>
                <w:sz w:val="18"/>
              </w:rPr>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4"/>
              <w:jc w:val="right"/>
              <w:rPr>
                <w:rFonts w:ascii="Arial" w:hAnsi="Arial" w:cs="Arial" w:eastAsia="Arial" w:hint="default"/>
                <w:sz w:val="18"/>
                <w:szCs w:val="18"/>
              </w:rPr>
            </w:pPr>
            <w:r>
              <w:rPr>
                <w:rFonts w:ascii="Arial"/>
                <w:spacing w:val="-1"/>
                <w:sz w:val="18"/>
              </w:rPr>
              <w:t>100%</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sz w:val="18"/>
              </w:rPr>
              <w:t>100%</w:t>
            </w:r>
          </w:p>
        </w:tc>
        <w:tc>
          <w:tcPr>
            <w:tcW w:w="4615" w:type="dxa"/>
            <w:tcBorders>
              <w:top w:val="nil" w:sz="6" w:space="0" w:color="auto"/>
              <w:left w:val="nil" w:sz="6" w:space="0" w:color="auto"/>
              <w:bottom w:val="nil" w:sz="6" w:space="0" w:color="auto"/>
              <w:right w:val="nil" w:sz="6" w:space="0" w:color="auto"/>
            </w:tcBorders>
          </w:tcPr>
          <w:p>
            <w:pPr>
              <w:pStyle w:val="TableParagraph"/>
              <w:tabs>
                <w:tab w:pos="811" w:val="left" w:leader="none"/>
                <w:tab w:pos="1693" w:val="left" w:leader="none"/>
                <w:tab w:pos="3106" w:val="left" w:leader="none"/>
              </w:tabs>
              <w:spacing w:line="240" w:lineRule="auto" w:before="15"/>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34" w:hRule="exact"/>
        </w:trPr>
        <w:tc>
          <w:tcPr>
            <w:tcW w:w="637"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武汉苏宁电器有限公司</w:t>
            </w:r>
          </w:p>
        </w:tc>
        <w:tc>
          <w:tcPr>
            <w:tcW w:w="1016" w:type="dxa"/>
            <w:tcBorders>
              <w:top w:val="nil" w:sz="6" w:space="0" w:color="auto"/>
              <w:left w:val="nil" w:sz="6" w:space="0" w:color="auto"/>
              <w:bottom w:val="nil" w:sz="6" w:space="0" w:color="auto"/>
              <w:right w:val="nil" w:sz="6" w:space="0" w:color="auto"/>
            </w:tcBorders>
          </w:tcPr>
          <w:p>
            <w:pPr>
              <w:pStyle w:val="TableParagraph"/>
              <w:spacing w:line="195"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9"/>
              <w:jc w:val="right"/>
              <w:rPr>
                <w:rFonts w:ascii="Arial" w:hAnsi="Arial" w:cs="Arial" w:eastAsia="Arial" w:hint="default"/>
                <w:sz w:val="18"/>
                <w:szCs w:val="18"/>
              </w:rPr>
            </w:pPr>
            <w:r>
              <w:rPr>
                <w:rFonts w:ascii="Arial"/>
                <w:spacing w:val="-1"/>
                <w:sz w:val="18"/>
              </w:rPr>
              <w:t>300,987</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297,477</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2"/>
              <w:jc w:val="right"/>
              <w:rPr>
                <w:rFonts w:ascii="Arial" w:hAnsi="Arial" w:cs="Arial" w:eastAsia="Arial" w:hint="default"/>
                <w:sz w:val="18"/>
                <w:szCs w:val="18"/>
              </w:rPr>
            </w:pPr>
            <w:r>
              <w:rPr>
                <w:rFonts w:ascii="Arial"/>
                <w:spacing w:val="-1"/>
                <w:w w:val="95"/>
                <w:sz w:val="18"/>
              </w:rPr>
              <w:t>3,510</w:t>
            </w:r>
            <w:r>
              <w:rPr>
                <w:rFonts w:ascii="Arial"/>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Arial" w:hAnsi="Arial" w:cs="Arial" w:eastAsia="Arial" w:hint="default"/>
                <w:sz w:val="18"/>
                <w:szCs w:val="18"/>
              </w:rPr>
            </w:pPr>
            <w:r>
              <w:rPr>
                <w:rFonts w:ascii="Arial"/>
                <w:spacing w:val="-1"/>
                <w:sz w:val="18"/>
              </w:rPr>
              <w:t>300,987</w:t>
            </w:r>
            <w:r>
              <w:rPr>
                <w:rFonts w:ascii="Arial"/>
                <w:sz w:val="18"/>
              </w:rPr>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811" w:val="left" w:leader="none"/>
                <w:tab w:pos="1693" w:val="left" w:leader="none"/>
                <w:tab w:pos="3106" w:val="left" w:leader="none"/>
              </w:tabs>
              <w:spacing w:line="240" w:lineRule="auto" w:before="15"/>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34" w:hRule="exact"/>
        </w:trPr>
        <w:tc>
          <w:tcPr>
            <w:tcW w:w="637"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北京苏宁电器有限公司</w:t>
            </w:r>
          </w:p>
        </w:tc>
        <w:tc>
          <w:tcPr>
            <w:tcW w:w="1016" w:type="dxa"/>
            <w:tcBorders>
              <w:top w:val="nil" w:sz="6" w:space="0" w:color="auto"/>
              <w:left w:val="nil" w:sz="6" w:space="0" w:color="auto"/>
              <w:bottom w:val="nil" w:sz="6" w:space="0" w:color="auto"/>
              <w:right w:val="nil" w:sz="6" w:space="0" w:color="auto"/>
            </w:tcBorders>
          </w:tcPr>
          <w:p>
            <w:pPr>
              <w:pStyle w:val="TableParagraph"/>
              <w:spacing w:line="195"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5"/>
              <w:jc w:val="right"/>
              <w:rPr>
                <w:rFonts w:ascii="Arial" w:hAnsi="Arial" w:cs="Arial" w:eastAsia="Arial" w:hint="default"/>
                <w:sz w:val="18"/>
                <w:szCs w:val="18"/>
              </w:rPr>
            </w:pPr>
            <w:r>
              <w:rPr>
                <w:rFonts w:ascii="Arial"/>
                <w:spacing w:val="-1"/>
                <w:sz w:val="18"/>
              </w:rPr>
              <w:t>283,533</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274,155</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2"/>
              <w:jc w:val="right"/>
              <w:rPr>
                <w:rFonts w:ascii="Arial" w:hAnsi="Arial" w:cs="Arial" w:eastAsia="Arial" w:hint="default"/>
                <w:sz w:val="18"/>
                <w:szCs w:val="18"/>
              </w:rPr>
            </w:pPr>
            <w:r>
              <w:rPr>
                <w:rFonts w:ascii="Arial"/>
                <w:spacing w:val="-1"/>
                <w:w w:val="95"/>
                <w:sz w:val="18"/>
              </w:rPr>
              <w:t>9,378</w:t>
            </w:r>
            <w:r>
              <w:rPr>
                <w:rFonts w:ascii="Arial"/>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Arial" w:hAnsi="Arial" w:cs="Arial" w:eastAsia="Arial" w:hint="default"/>
                <w:sz w:val="18"/>
                <w:szCs w:val="18"/>
              </w:rPr>
            </w:pPr>
            <w:r>
              <w:rPr>
                <w:rFonts w:ascii="Arial"/>
                <w:spacing w:val="-1"/>
                <w:sz w:val="18"/>
              </w:rPr>
              <w:t>283,533</w:t>
            </w:r>
            <w:r>
              <w:rPr>
                <w:rFonts w:ascii="Arial"/>
                <w:sz w:val="18"/>
              </w:rPr>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3"/>
              <w:jc w:val="right"/>
              <w:rPr>
                <w:rFonts w:ascii="Arial" w:hAnsi="Arial" w:cs="Arial" w:eastAsia="Arial" w:hint="default"/>
                <w:sz w:val="18"/>
                <w:szCs w:val="18"/>
              </w:rPr>
            </w:pPr>
            <w:r>
              <w:rPr>
                <w:rFonts w:ascii="Arial"/>
                <w:spacing w:val="-1"/>
                <w:w w:val="95"/>
                <w:sz w:val="18"/>
              </w:rPr>
              <w:t>89%</w:t>
            </w:r>
            <w:r>
              <w:rPr>
                <w:rFonts w:ascii="Arial"/>
                <w:sz w:val="18"/>
              </w:rPr>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89%</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811" w:val="left" w:leader="none"/>
                <w:tab w:pos="1693" w:val="left" w:leader="none"/>
                <w:tab w:pos="3106" w:val="left" w:leader="none"/>
              </w:tabs>
              <w:spacing w:line="240" w:lineRule="auto" w:before="15"/>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34" w:hRule="exact"/>
        </w:trPr>
        <w:tc>
          <w:tcPr>
            <w:tcW w:w="637"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苏宁电器江苏苏南有限公司</w:t>
            </w:r>
          </w:p>
        </w:tc>
        <w:tc>
          <w:tcPr>
            <w:tcW w:w="1016" w:type="dxa"/>
            <w:tcBorders>
              <w:top w:val="nil" w:sz="6" w:space="0" w:color="auto"/>
              <w:left w:val="nil" w:sz="6" w:space="0" w:color="auto"/>
              <w:bottom w:val="nil" w:sz="6" w:space="0" w:color="auto"/>
              <w:right w:val="nil" w:sz="6" w:space="0" w:color="auto"/>
            </w:tcBorders>
          </w:tcPr>
          <w:p>
            <w:pPr>
              <w:pStyle w:val="TableParagraph"/>
              <w:spacing w:line="195"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4"/>
              <w:jc w:val="right"/>
              <w:rPr>
                <w:rFonts w:ascii="Arial" w:hAnsi="Arial" w:cs="Arial" w:eastAsia="Arial" w:hint="default"/>
                <w:sz w:val="18"/>
                <w:szCs w:val="18"/>
              </w:rPr>
            </w:pPr>
            <w:r>
              <w:rPr>
                <w:rFonts w:ascii="Arial"/>
                <w:spacing w:val="-1"/>
                <w:sz w:val="18"/>
              </w:rPr>
              <w:t>252,000</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50,400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2"/>
              <w:jc w:val="right"/>
              <w:rPr>
                <w:rFonts w:ascii="Arial" w:hAnsi="Arial" w:cs="Arial" w:eastAsia="Arial" w:hint="default"/>
                <w:sz w:val="18"/>
                <w:szCs w:val="18"/>
              </w:rPr>
            </w:pPr>
            <w:r>
              <w:rPr>
                <w:rFonts w:ascii="Arial"/>
                <w:spacing w:val="-1"/>
                <w:sz w:val="18"/>
              </w:rPr>
              <w:t>201,600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Arial" w:hAnsi="Arial" w:cs="Arial" w:eastAsia="Arial" w:hint="default"/>
                <w:sz w:val="18"/>
                <w:szCs w:val="18"/>
              </w:rPr>
            </w:pPr>
            <w:r>
              <w:rPr>
                <w:rFonts w:ascii="Arial"/>
                <w:spacing w:val="-1"/>
                <w:sz w:val="18"/>
              </w:rPr>
              <w:t>252,000</w:t>
            </w:r>
            <w:r>
              <w:rPr>
                <w:rFonts w:ascii="Arial"/>
                <w:sz w:val="18"/>
              </w:rPr>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
        </w:tc>
      </w:tr>
      <w:tr>
        <w:trPr>
          <w:trHeight w:val="234" w:hRule="exact"/>
        </w:trPr>
        <w:tc>
          <w:tcPr>
            <w:tcW w:w="637"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沈阳苏宁电器有限公司</w:t>
            </w:r>
          </w:p>
        </w:tc>
        <w:tc>
          <w:tcPr>
            <w:tcW w:w="1016" w:type="dxa"/>
            <w:tcBorders>
              <w:top w:val="nil" w:sz="6" w:space="0" w:color="auto"/>
              <w:left w:val="nil" w:sz="6" w:space="0" w:color="auto"/>
              <w:bottom w:val="nil" w:sz="6" w:space="0" w:color="auto"/>
              <w:right w:val="nil" w:sz="6" w:space="0" w:color="auto"/>
            </w:tcBorders>
          </w:tcPr>
          <w:p>
            <w:pPr>
              <w:pStyle w:val="TableParagraph"/>
              <w:spacing w:line="195"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4"/>
              <w:jc w:val="right"/>
              <w:rPr>
                <w:rFonts w:ascii="Arial" w:hAnsi="Arial" w:cs="Arial" w:eastAsia="Arial" w:hint="default"/>
                <w:sz w:val="18"/>
                <w:szCs w:val="18"/>
              </w:rPr>
            </w:pPr>
            <w:r>
              <w:rPr>
                <w:rFonts w:ascii="Arial"/>
                <w:spacing w:val="-1"/>
                <w:sz w:val="18"/>
              </w:rPr>
              <w:t>240,534</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202,734</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2"/>
              <w:jc w:val="right"/>
              <w:rPr>
                <w:rFonts w:ascii="Arial" w:hAnsi="Arial" w:cs="Arial" w:eastAsia="Arial" w:hint="default"/>
                <w:sz w:val="18"/>
                <w:szCs w:val="18"/>
              </w:rPr>
            </w:pPr>
            <w:r>
              <w:rPr>
                <w:rFonts w:ascii="Arial"/>
                <w:spacing w:val="-1"/>
                <w:sz w:val="18"/>
              </w:rPr>
              <w:t>37,800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Arial" w:hAnsi="Arial" w:cs="Arial" w:eastAsia="Arial" w:hint="default"/>
                <w:sz w:val="18"/>
                <w:szCs w:val="18"/>
              </w:rPr>
            </w:pPr>
            <w:r>
              <w:rPr>
                <w:rFonts w:ascii="Arial"/>
                <w:spacing w:val="-1"/>
                <w:sz w:val="18"/>
              </w:rPr>
              <w:t>240,534</w:t>
            </w:r>
            <w:r>
              <w:rPr>
                <w:rFonts w:ascii="Arial"/>
                <w:sz w:val="18"/>
              </w:rPr>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811" w:val="left" w:leader="none"/>
                <w:tab w:pos="1693" w:val="left" w:leader="none"/>
                <w:tab w:pos="3106" w:val="left" w:leader="none"/>
              </w:tabs>
              <w:spacing w:line="240" w:lineRule="auto" w:before="15"/>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34" w:hRule="exact"/>
        </w:trPr>
        <w:tc>
          <w:tcPr>
            <w:tcW w:w="637"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上海苏宁电器有限公司</w:t>
            </w:r>
          </w:p>
        </w:tc>
        <w:tc>
          <w:tcPr>
            <w:tcW w:w="1016" w:type="dxa"/>
            <w:tcBorders>
              <w:top w:val="nil" w:sz="6" w:space="0" w:color="auto"/>
              <w:left w:val="nil" w:sz="6" w:space="0" w:color="auto"/>
              <w:bottom w:val="nil" w:sz="6" w:space="0" w:color="auto"/>
              <w:right w:val="nil" w:sz="6" w:space="0" w:color="auto"/>
            </w:tcBorders>
          </w:tcPr>
          <w:p>
            <w:pPr>
              <w:pStyle w:val="TableParagraph"/>
              <w:spacing w:line="195"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4"/>
              <w:jc w:val="right"/>
              <w:rPr>
                <w:rFonts w:ascii="Arial" w:hAnsi="Arial" w:cs="Arial" w:eastAsia="Arial" w:hint="default"/>
                <w:sz w:val="18"/>
                <w:szCs w:val="18"/>
              </w:rPr>
            </w:pPr>
            <w:r>
              <w:rPr>
                <w:rFonts w:ascii="Arial"/>
                <w:spacing w:val="-1"/>
                <w:sz w:val="18"/>
              </w:rPr>
              <w:t>234,639</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193,809</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1"/>
              <w:jc w:val="right"/>
              <w:rPr>
                <w:rFonts w:ascii="Arial" w:hAnsi="Arial" w:cs="Arial" w:eastAsia="Arial" w:hint="default"/>
                <w:sz w:val="18"/>
                <w:szCs w:val="18"/>
              </w:rPr>
            </w:pPr>
            <w:r>
              <w:rPr>
                <w:rFonts w:ascii="Arial"/>
                <w:spacing w:val="-1"/>
                <w:sz w:val="18"/>
              </w:rPr>
              <w:t>40,830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Arial" w:hAnsi="Arial" w:cs="Arial" w:eastAsia="Arial" w:hint="default"/>
                <w:sz w:val="18"/>
                <w:szCs w:val="18"/>
              </w:rPr>
            </w:pPr>
            <w:r>
              <w:rPr>
                <w:rFonts w:ascii="Arial"/>
                <w:spacing w:val="-1"/>
                <w:sz w:val="18"/>
              </w:rPr>
              <w:t>234,639</w:t>
            </w:r>
            <w:r>
              <w:rPr>
                <w:rFonts w:ascii="Arial"/>
                <w:sz w:val="18"/>
              </w:rPr>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811" w:val="left" w:leader="none"/>
                <w:tab w:pos="1693" w:val="left" w:leader="none"/>
                <w:tab w:pos="3106" w:val="left" w:leader="none"/>
              </w:tabs>
              <w:spacing w:line="240" w:lineRule="auto" w:before="15"/>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34" w:hRule="exact"/>
        </w:trPr>
        <w:tc>
          <w:tcPr>
            <w:tcW w:w="637"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浙江苏宁电器有限公司</w:t>
            </w:r>
          </w:p>
        </w:tc>
        <w:tc>
          <w:tcPr>
            <w:tcW w:w="1016" w:type="dxa"/>
            <w:tcBorders>
              <w:top w:val="nil" w:sz="6" w:space="0" w:color="auto"/>
              <w:left w:val="nil" w:sz="6" w:space="0" w:color="auto"/>
              <w:bottom w:val="nil" w:sz="6" w:space="0" w:color="auto"/>
              <w:right w:val="nil" w:sz="6" w:space="0" w:color="auto"/>
            </w:tcBorders>
          </w:tcPr>
          <w:p>
            <w:pPr>
              <w:pStyle w:val="TableParagraph"/>
              <w:spacing w:line="195"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5"/>
              <w:jc w:val="right"/>
              <w:rPr>
                <w:rFonts w:ascii="Arial" w:hAnsi="Arial" w:cs="Arial" w:eastAsia="Arial" w:hint="default"/>
                <w:sz w:val="18"/>
                <w:szCs w:val="18"/>
              </w:rPr>
            </w:pPr>
            <w:r>
              <w:rPr>
                <w:rFonts w:ascii="Arial"/>
                <w:spacing w:val="-1"/>
                <w:sz w:val="18"/>
              </w:rPr>
              <w:t>222,121</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9"/>
              <w:jc w:val="right"/>
              <w:rPr>
                <w:rFonts w:ascii="Arial" w:hAnsi="Arial" w:cs="Arial" w:eastAsia="Arial" w:hint="default"/>
                <w:sz w:val="18"/>
                <w:szCs w:val="18"/>
              </w:rPr>
            </w:pPr>
            <w:r>
              <w:rPr>
                <w:rFonts w:ascii="Arial"/>
                <w:spacing w:val="-1"/>
                <w:sz w:val="18"/>
              </w:rPr>
              <w:t>186,601</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1"/>
              <w:jc w:val="right"/>
              <w:rPr>
                <w:rFonts w:ascii="Arial" w:hAnsi="Arial" w:cs="Arial" w:eastAsia="Arial" w:hint="default"/>
                <w:sz w:val="18"/>
                <w:szCs w:val="18"/>
              </w:rPr>
            </w:pPr>
            <w:r>
              <w:rPr>
                <w:rFonts w:ascii="Arial"/>
                <w:spacing w:val="-1"/>
                <w:sz w:val="18"/>
              </w:rPr>
              <w:t>35,520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Arial" w:hAnsi="Arial" w:cs="Arial" w:eastAsia="Arial" w:hint="default"/>
                <w:sz w:val="18"/>
                <w:szCs w:val="18"/>
              </w:rPr>
            </w:pPr>
            <w:r>
              <w:rPr>
                <w:rFonts w:ascii="Arial"/>
                <w:spacing w:val="-1"/>
                <w:sz w:val="18"/>
              </w:rPr>
              <w:t>222,121</w:t>
            </w:r>
            <w:r>
              <w:rPr>
                <w:rFonts w:ascii="Arial"/>
                <w:sz w:val="18"/>
              </w:rPr>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3"/>
              <w:jc w:val="right"/>
              <w:rPr>
                <w:rFonts w:ascii="Arial" w:hAnsi="Arial" w:cs="Arial" w:eastAsia="Arial" w:hint="default"/>
                <w:sz w:val="18"/>
                <w:szCs w:val="18"/>
              </w:rPr>
            </w:pPr>
            <w:r>
              <w:rPr>
                <w:rFonts w:ascii="Arial"/>
                <w:spacing w:val="-1"/>
                <w:w w:val="95"/>
                <w:sz w:val="18"/>
              </w:rPr>
              <w:t>89%</w:t>
            </w:r>
            <w:r>
              <w:rPr>
                <w:rFonts w:ascii="Arial"/>
                <w:sz w:val="18"/>
              </w:rPr>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89%</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811" w:val="left" w:leader="none"/>
                <w:tab w:pos="1693" w:val="left" w:leader="none"/>
                <w:tab w:pos="3106" w:val="left" w:leader="none"/>
              </w:tabs>
              <w:spacing w:line="240" w:lineRule="auto" w:before="15"/>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34" w:hRule="exact"/>
        </w:trPr>
        <w:tc>
          <w:tcPr>
            <w:tcW w:w="637"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广东苏宁电器有限公司</w:t>
            </w:r>
          </w:p>
        </w:tc>
        <w:tc>
          <w:tcPr>
            <w:tcW w:w="1016" w:type="dxa"/>
            <w:tcBorders>
              <w:top w:val="nil" w:sz="6" w:space="0" w:color="auto"/>
              <w:left w:val="nil" w:sz="6" w:space="0" w:color="auto"/>
              <w:bottom w:val="nil" w:sz="6" w:space="0" w:color="auto"/>
              <w:right w:val="nil" w:sz="6" w:space="0" w:color="auto"/>
            </w:tcBorders>
          </w:tcPr>
          <w:p>
            <w:pPr>
              <w:pStyle w:val="TableParagraph"/>
              <w:spacing w:line="195"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5"/>
              <w:jc w:val="right"/>
              <w:rPr>
                <w:rFonts w:ascii="Arial" w:hAnsi="Arial" w:cs="Arial" w:eastAsia="Arial" w:hint="default"/>
                <w:sz w:val="18"/>
                <w:szCs w:val="18"/>
              </w:rPr>
            </w:pPr>
            <w:r>
              <w:rPr>
                <w:rFonts w:ascii="Arial"/>
                <w:spacing w:val="-1"/>
                <w:sz w:val="18"/>
              </w:rPr>
              <w:t>214,342</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1"/>
              <w:jc w:val="right"/>
              <w:rPr>
                <w:rFonts w:ascii="Arial" w:hAnsi="Arial" w:cs="Arial" w:eastAsia="Arial" w:hint="default"/>
                <w:sz w:val="18"/>
                <w:szCs w:val="18"/>
              </w:rPr>
            </w:pPr>
            <w:r>
              <w:rPr>
                <w:rFonts w:ascii="Arial"/>
                <w:spacing w:val="-1"/>
                <w:sz w:val="18"/>
              </w:rPr>
              <w:t>190,852</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1"/>
              <w:jc w:val="right"/>
              <w:rPr>
                <w:rFonts w:ascii="Arial" w:hAnsi="Arial" w:cs="Arial" w:eastAsia="Arial" w:hint="default"/>
                <w:sz w:val="18"/>
                <w:szCs w:val="18"/>
              </w:rPr>
            </w:pPr>
            <w:r>
              <w:rPr>
                <w:rFonts w:ascii="Arial"/>
                <w:spacing w:val="-1"/>
                <w:sz w:val="18"/>
              </w:rPr>
              <w:t>23,490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Arial" w:hAnsi="Arial" w:cs="Arial" w:eastAsia="Arial" w:hint="default"/>
                <w:sz w:val="18"/>
                <w:szCs w:val="18"/>
              </w:rPr>
            </w:pPr>
            <w:r>
              <w:rPr>
                <w:rFonts w:ascii="Arial"/>
                <w:spacing w:val="-1"/>
                <w:sz w:val="18"/>
              </w:rPr>
              <w:t>214,342</w:t>
            </w:r>
            <w:r>
              <w:rPr>
                <w:rFonts w:ascii="Arial"/>
                <w:sz w:val="18"/>
              </w:rPr>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811" w:val="left" w:leader="none"/>
                <w:tab w:pos="1693" w:val="left" w:leader="none"/>
                <w:tab w:pos="3106" w:val="left" w:leader="none"/>
              </w:tabs>
              <w:spacing w:line="240" w:lineRule="auto" w:before="15"/>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34" w:hRule="exact"/>
        </w:trPr>
        <w:tc>
          <w:tcPr>
            <w:tcW w:w="637"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福建苏宁电器有限公司</w:t>
            </w:r>
          </w:p>
        </w:tc>
        <w:tc>
          <w:tcPr>
            <w:tcW w:w="1016" w:type="dxa"/>
            <w:tcBorders>
              <w:top w:val="nil" w:sz="6" w:space="0" w:color="auto"/>
              <w:left w:val="nil" w:sz="6" w:space="0" w:color="auto"/>
              <w:bottom w:val="nil" w:sz="6" w:space="0" w:color="auto"/>
              <w:right w:val="nil" w:sz="6" w:space="0" w:color="auto"/>
            </w:tcBorders>
          </w:tcPr>
          <w:p>
            <w:pPr>
              <w:pStyle w:val="TableParagraph"/>
              <w:spacing w:line="195"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4"/>
              <w:jc w:val="right"/>
              <w:rPr>
                <w:rFonts w:ascii="Arial" w:hAnsi="Arial" w:cs="Arial" w:eastAsia="Arial" w:hint="default"/>
                <w:sz w:val="18"/>
                <w:szCs w:val="18"/>
              </w:rPr>
            </w:pPr>
            <w:r>
              <w:rPr>
                <w:rFonts w:ascii="Arial"/>
                <w:spacing w:val="-1"/>
                <w:sz w:val="18"/>
              </w:rPr>
              <w:t>156,150</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147,600</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1"/>
              <w:jc w:val="right"/>
              <w:rPr>
                <w:rFonts w:ascii="Arial" w:hAnsi="Arial" w:cs="Arial" w:eastAsia="Arial" w:hint="default"/>
                <w:sz w:val="18"/>
                <w:szCs w:val="18"/>
              </w:rPr>
            </w:pPr>
            <w:r>
              <w:rPr>
                <w:rFonts w:ascii="Arial"/>
                <w:spacing w:val="-1"/>
                <w:w w:val="95"/>
                <w:sz w:val="18"/>
              </w:rPr>
              <w:t>8,550</w:t>
            </w:r>
            <w:r>
              <w:rPr>
                <w:rFonts w:ascii="Arial"/>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Arial" w:hAnsi="Arial" w:cs="Arial" w:eastAsia="Arial" w:hint="default"/>
                <w:sz w:val="18"/>
                <w:szCs w:val="18"/>
              </w:rPr>
            </w:pPr>
            <w:r>
              <w:rPr>
                <w:rFonts w:ascii="Arial"/>
                <w:spacing w:val="-1"/>
                <w:sz w:val="18"/>
              </w:rPr>
              <w:t>156,150</w:t>
            </w:r>
            <w:r>
              <w:rPr>
                <w:rFonts w:ascii="Arial"/>
                <w:sz w:val="18"/>
              </w:rPr>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811" w:val="left" w:leader="none"/>
                <w:tab w:pos="1693" w:val="left" w:leader="none"/>
                <w:tab w:pos="3106" w:val="left" w:leader="none"/>
              </w:tabs>
              <w:spacing w:line="240" w:lineRule="auto" w:before="15"/>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55" w:hRule="exact"/>
        </w:trPr>
        <w:tc>
          <w:tcPr>
            <w:tcW w:w="637"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香港苏宁电器有限公司</w:t>
            </w:r>
          </w:p>
        </w:tc>
        <w:tc>
          <w:tcPr>
            <w:tcW w:w="1016" w:type="dxa"/>
            <w:tcBorders>
              <w:top w:val="nil" w:sz="6" w:space="0" w:color="auto"/>
              <w:left w:val="nil" w:sz="6" w:space="0" w:color="auto"/>
              <w:bottom w:val="nil" w:sz="6" w:space="0" w:color="auto"/>
              <w:right w:val="nil" w:sz="6" w:space="0" w:color="auto"/>
            </w:tcBorders>
          </w:tcPr>
          <w:p>
            <w:pPr>
              <w:pStyle w:val="TableParagraph"/>
              <w:spacing w:line="195"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5"/>
              <w:jc w:val="right"/>
              <w:rPr>
                <w:rFonts w:ascii="Arial" w:hAnsi="Arial" w:cs="Arial" w:eastAsia="Arial" w:hint="default"/>
                <w:sz w:val="18"/>
                <w:szCs w:val="18"/>
              </w:rPr>
            </w:pPr>
            <w:r>
              <w:rPr>
                <w:rFonts w:ascii="Arial"/>
                <w:spacing w:val="-1"/>
                <w:sz w:val="18"/>
              </w:rPr>
              <w:t>150,449</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9"/>
              <w:jc w:val="right"/>
              <w:rPr>
                <w:rFonts w:ascii="Arial" w:hAnsi="Arial" w:cs="Arial" w:eastAsia="Arial" w:hint="default"/>
                <w:sz w:val="18"/>
                <w:szCs w:val="18"/>
              </w:rPr>
            </w:pPr>
            <w:r>
              <w:rPr>
                <w:rFonts w:ascii="Arial"/>
                <w:spacing w:val="-1"/>
                <w:sz w:val="18"/>
              </w:rPr>
              <w:t>67,990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1"/>
              <w:jc w:val="right"/>
              <w:rPr>
                <w:rFonts w:ascii="Arial" w:hAnsi="Arial" w:cs="Arial" w:eastAsia="Arial" w:hint="default"/>
                <w:sz w:val="18"/>
                <w:szCs w:val="18"/>
              </w:rPr>
            </w:pPr>
            <w:r>
              <w:rPr>
                <w:rFonts w:ascii="Arial"/>
                <w:spacing w:val="-1"/>
                <w:sz w:val="18"/>
              </w:rPr>
              <w:t>82,459</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Arial" w:hAnsi="Arial" w:cs="Arial" w:eastAsia="Arial" w:hint="default"/>
                <w:sz w:val="18"/>
                <w:szCs w:val="18"/>
              </w:rPr>
            </w:pPr>
            <w:r>
              <w:rPr>
                <w:rFonts w:ascii="Arial"/>
                <w:spacing w:val="-1"/>
                <w:sz w:val="18"/>
              </w:rPr>
              <w:t>150,449</w:t>
            </w:r>
            <w:r>
              <w:rPr>
                <w:rFonts w:ascii="Arial"/>
                <w:sz w:val="18"/>
              </w:rPr>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
              <w:jc w:val="right"/>
              <w:rPr>
                <w:rFonts w:ascii="Arial" w:hAnsi="Arial" w:cs="Arial" w:eastAsia="Arial" w:hint="default"/>
                <w:sz w:val="18"/>
                <w:szCs w:val="18"/>
              </w:rPr>
            </w:pPr>
            <w:r>
              <w:rPr>
                <w:rFonts w:ascii="Arial"/>
                <w:spacing w:val="-1"/>
                <w:sz w:val="18"/>
              </w:rPr>
              <w:t>100%</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sz w:val="18"/>
              </w:rPr>
              <w:t>100%</w:t>
            </w:r>
          </w:p>
        </w:tc>
        <w:tc>
          <w:tcPr>
            <w:tcW w:w="4615" w:type="dxa"/>
            <w:tcBorders>
              <w:top w:val="nil" w:sz="6" w:space="0" w:color="auto"/>
              <w:left w:val="nil" w:sz="6" w:space="0" w:color="auto"/>
              <w:bottom w:val="nil" w:sz="6" w:space="0" w:color="auto"/>
              <w:right w:val="nil" w:sz="6" w:space="0" w:color="auto"/>
            </w:tcBorders>
          </w:tcPr>
          <w:p>
            <w:pPr>
              <w:pStyle w:val="TableParagraph"/>
              <w:tabs>
                <w:tab w:pos="811" w:val="left" w:leader="none"/>
                <w:tab w:pos="1693" w:val="left" w:leader="none"/>
                <w:tab w:pos="3106" w:val="left" w:leader="none"/>
              </w:tabs>
              <w:spacing w:line="240" w:lineRule="auto" w:before="15"/>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76" w:hRule="exact"/>
        </w:trPr>
        <w:tc>
          <w:tcPr>
            <w:tcW w:w="637"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重庆巴渝苏宁电器有限公司</w:t>
            </w:r>
          </w:p>
        </w:tc>
        <w:tc>
          <w:tcPr>
            <w:tcW w:w="1016"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4"/>
              <w:jc w:val="right"/>
              <w:rPr>
                <w:rFonts w:ascii="Arial" w:hAnsi="Arial" w:cs="Arial" w:eastAsia="Arial" w:hint="default"/>
                <w:sz w:val="18"/>
                <w:szCs w:val="18"/>
              </w:rPr>
            </w:pPr>
            <w:r>
              <w:rPr>
                <w:rFonts w:ascii="Arial"/>
                <w:spacing w:val="-1"/>
                <w:sz w:val="18"/>
              </w:rPr>
              <w:t>149,940</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9"/>
              <w:jc w:val="right"/>
              <w:rPr>
                <w:rFonts w:ascii="Arial" w:hAnsi="Arial" w:cs="Arial" w:eastAsia="Arial" w:hint="default"/>
                <w:sz w:val="18"/>
                <w:szCs w:val="18"/>
              </w:rPr>
            </w:pPr>
            <w:r>
              <w:rPr>
                <w:rFonts w:ascii="Arial"/>
                <w:spacing w:val="-1"/>
                <w:sz w:val="18"/>
              </w:rPr>
              <w:t>45,000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1"/>
              <w:jc w:val="right"/>
              <w:rPr>
                <w:rFonts w:ascii="Arial" w:hAnsi="Arial" w:cs="Arial" w:eastAsia="Arial" w:hint="default"/>
                <w:sz w:val="18"/>
                <w:szCs w:val="18"/>
              </w:rPr>
            </w:pPr>
            <w:r>
              <w:rPr>
                <w:rFonts w:ascii="Arial"/>
                <w:spacing w:val="-1"/>
                <w:sz w:val="18"/>
              </w:rPr>
              <w:t>104,940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2"/>
              <w:jc w:val="right"/>
              <w:rPr>
                <w:rFonts w:ascii="Arial" w:hAnsi="Arial" w:cs="Arial" w:eastAsia="Arial" w:hint="default"/>
                <w:sz w:val="18"/>
                <w:szCs w:val="18"/>
              </w:rPr>
            </w:pPr>
            <w:r>
              <w:rPr>
                <w:rFonts w:ascii="Arial"/>
                <w:spacing w:val="-1"/>
                <w:sz w:val="18"/>
              </w:rPr>
              <w:t>149,940</w:t>
            </w:r>
            <w:r>
              <w:rPr>
                <w:rFonts w:ascii="Arial"/>
                <w:sz w:val="18"/>
              </w:rPr>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811" w:val="left" w:leader="none"/>
                <w:tab w:pos="1693" w:val="left" w:leader="none"/>
                <w:tab w:pos="3106" w:val="left" w:leader="none"/>
              </w:tabs>
              <w:spacing w:line="240" w:lineRule="auto" w:before="36"/>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76" w:hRule="exact"/>
        </w:trPr>
        <w:tc>
          <w:tcPr>
            <w:tcW w:w="637"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广州苏宁电器有限公司</w:t>
            </w:r>
          </w:p>
        </w:tc>
        <w:tc>
          <w:tcPr>
            <w:tcW w:w="1016"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4"/>
              <w:jc w:val="right"/>
              <w:rPr>
                <w:rFonts w:ascii="Arial" w:hAnsi="Arial" w:cs="Arial" w:eastAsia="Arial" w:hint="default"/>
                <w:sz w:val="18"/>
                <w:szCs w:val="18"/>
              </w:rPr>
            </w:pPr>
            <w:r>
              <w:rPr>
                <w:rFonts w:ascii="Arial"/>
                <w:spacing w:val="-1"/>
                <w:sz w:val="18"/>
              </w:rPr>
              <w:t>135,000</w:t>
            </w:r>
            <w:r>
              <w:rPr>
                <w:rFonts w:ascii="Arial"/>
                <w:sz w:val="18"/>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9"/>
              <w:jc w:val="right"/>
              <w:rPr>
                <w:rFonts w:ascii="Arial" w:hAnsi="Arial" w:cs="Arial" w:eastAsia="Arial" w:hint="default"/>
                <w:sz w:val="18"/>
                <w:szCs w:val="18"/>
              </w:rPr>
            </w:pPr>
            <w:r>
              <w:rPr>
                <w:rFonts w:ascii="Arial"/>
                <w:spacing w:val="-1"/>
                <w:sz w:val="18"/>
              </w:rPr>
              <w:t>90,000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1"/>
              <w:jc w:val="right"/>
              <w:rPr>
                <w:rFonts w:ascii="Arial" w:hAnsi="Arial" w:cs="Arial" w:eastAsia="Arial" w:hint="default"/>
                <w:sz w:val="18"/>
                <w:szCs w:val="18"/>
              </w:rPr>
            </w:pPr>
            <w:r>
              <w:rPr>
                <w:rFonts w:ascii="Arial"/>
                <w:spacing w:val="-1"/>
                <w:sz w:val="18"/>
              </w:rPr>
              <w:t>45,000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2"/>
              <w:jc w:val="right"/>
              <w:rPr>
                <w:rFonts w:ascii="Arial" w:hAnsi="Arial" w:cs="Arial" w:eastAsia="Arial" w:hint="default"/>
                <w:sz w:val="18"/>
                <w:szCs w:val="18"/>
              </w:rPr>
            </w:pPr>
            <w:r>
              <w:rPr>
                <w:rFonts w:ascii="Arial"/>
                <w:spacing w:val="-1"/>
                <w:sz w:val="18"/>
              </w:rPr>
              <w:t>135,000</w:t>
            </w:r>
            <w:r>
              <w:rPr>
                <w:rFonts w:ascii="Arial"/>
                <w:sz w:val="18"/>
              </w:rPr>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811" w:val="left" w:leader="none"/>
                <w:tab w:pos="1693" w:val="left" w:leader="none"/>
                <w:tab w:pos="3106" w:val="left" w:leader="none"/>
              </w:tabs>
              <w:spacing w:line="240" w:lineRule="auto" w:before="36"/>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477" w:hRule="exact"/>
        </w:trPr>
        <w:tc>
          <w:tcPr>
            <w:tcW w:w="637"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34" w:lineRule="exact" w:before="4"/>
              <w:ind w:left="35" w:right="69"/>
              <w:jc w:val="left"/>
              <w:rPr>
                <w:rFonts w:ascii="宋体" w:hAnsi="宋体" w:cs="宋体" w:eastAsia="宋体" w:hint="default"/>
                <w:sz w:val="18"/>
                <w:szCs w:val="18"/>
              </w:rPr>
            </w:pPr>
            <w:r>
              <w:rPr>
                <w:rFonts w:ascii="宋体" w:hAnsi="宋体" w:cs="宋体" w:eastAsia="宋体" w:hint="default"/>
                <w:sz w:val="18"/>
                <w:szCs w:val="18"/>
              </w:rPr>
              <w:t>杭州苏宁电器有限公司 </w:t>
            </w:r>
            <w:r>
              <w:rPr>
                <w:rFonts w:ascii="宋体" w:hAnsi="宋体" w:cs="宋体" w:eastAsia="宋体" w:hint="default"/>
                <w:spacing w:val="9"/>
                <w:sz w:val="18"/>
                <w:szCs w:val="18"/>
              </w:rPr>
              <w:t>江苏苏宁地铁商业管理有限</w:t>
            </w:r>
            <w:r>
              <w:rPr>
                <w:rFonts w:ascii="宋体" w:hAnsi="宋体" w:cs="宋体" w:eastAsia="宋体" w:hint="default"/>
                <w:sz w:val="18"/>
                <w:szCs w:val="18"/>
              </w:rPr>
            </w:r>
          </w:p>
        </w:tc>
        <w:tc>
          <w:tcPr>
            <w:tcW w:w="1016"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4"/>
              <w:jc w:val="right"/>
              <w:rPr>
                <w:rFonts w:ascii="Arial" w:hAnsi="Arial" w:cs="Arial" w:eastAsia="Arial" w:hint="default"/>
                <w:sz w:val="18"/>
                <w:szCs w:val="18"/>
              </w:rPr>
            </w:pPr>
            <w:r>
              <w:rPr>
                <w:rFonts w:ascii="Arial"/>
                <w:spacing w:val="-1"/>
                <w:sz w:val="18"/>
              </w:rPr>
              <w:t>131,850</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spacing w:val="-1"/>
                <w:sz w:val="18"/>
              </w:rPr>
              <w:t>131,850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2"/>
              <w:jc w:val="right"/>
              <w:rPr>
                <w:rFonts w:ascii="Arial" w:hAnsi="Arial" w:cs="Arial" w:eastAsia="Arial" w:hint="default"/>
                <w:sz w:val="18"/>
                <w:szCs w:val="18"/>
              </w:rPr>
            </w:pPr>
            <w:r>
              <w:rPr>
                <w:rFonts w:ascii="Arial"/>
                <w:w w:val="99"/>
                <w:sz w:val="18"/>
              </w:rPr>
              <w:t>-</w:t>
            </w:r>
            <w:r>
              <w:rPr>
                <w:rFonts w:ascii="Arial"/>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
              <w:jc w:val="right"/>
              <w:rPr>
                <w:rFonts w:ascii="Arial" w:hAnsi="Arial" w:cs="Arial" w:eastAsia="Arial" w:hint="default"/>
                <w:sz w:val="18"/>
                <w:szCs w:val="18"/>
              </w:rPr>
            </w:pPr>
            <w:r>
              <w:rPr>
                <w:rFonts w:ascii="Arial"/>
                <w:spacing w:val="-1"/>
                <w:sz w:val="18"/>
              </w:rPr>
              <w:t>131,850</w:t>
            </w:r>
            <w:r>
              <w:rPr>
                <w:rFonts w:ascii="Arial"/>
                <w:sz w:val="18"/>
              </w:rPr>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811" w:val="left" w:leader="none"/>
                <w:tab w:pos="1693" w:val="left" w:leader="none"/>
                <w:tab w:pos="3106" w:val="left" w:leader="none"/>
              </w:tabs>
              <w:spacing w:line="240" w:lineRule="auto" w:before="36"/>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30" w:hRule="exact"/>
        </w:trPr>
        <w:tc>
          <w:tcPr>
            <w:tcW w:w="637"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07" w:lineRule="exact"/>
              <w:ind w:left="21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16" w:type="dxa"/>
            <w:tcBorders>
              <w:top w:val="nil" w:sz="6" w:space="0" w:color="auto"/>
              <w:left w:val="nil" w:sz="6" w:space="0" w:color="auto"/>
              <w:bottom w:val="nil" w:sz="6" w:space="0" w:color="auto"/>
              <w:right w:val="nil" w:sz="6" w:space="0" w:color="auto"/>
            </w:tcBorders>
          </w:tcPr>
          <w:p>
            <w:pPr>
              <w:pStyle w:val="TableParagraph"/>
              <w:spacing w:line="207"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5"/>
              <w:jc w:val="right"/>
              <w:rPr>
                <w:rFonts w:ascii="Arial" w:hAnsi="Arial" w:cs="Arial" w:eastAsia="Arial" w:hint="default"/>
                <w:sz w:val="18"/>
                <w:szCs w:val="18"/>
              </w:rPr>
            </w:pPr>
            <w:r>
              <w:rPr>
                <w:rFonts w:ascii="Arial"/>
                <w:spacing w:val="-3"/>
                <w:sz w:val="18"/>
              </w:rPr>
              <w:t>113,882</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0"/>
              <w:jc w:val="right"/>
              <w:rPr>
                <w:rFonts w:ascii="Arial" w:hAnsi="Arial" w:cs="Arial" w:eastAsia="Arial" w:hint="default"/>
                <w:sz w:val="18"/>
                <w:szCs w:val="18"/>
              </w:rPr>
            </w:pPr>
            <w:r>
              <w:rPr>
                <w:rFonts w:ascii="Arial"/>
                <w:spacing w:val="-1"/>
                <w:sz w:val="18"/>
              </w:rPr>
              <w:t>92,641</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1"/>
              <w:jc w:val="right"/>
              <w:rPr>
                <w:rFonts w:ascii="Arial" w:hAnsi="Arial" w:cs="Arial" w:eastAsia="Arial" w:hint="default"/>
                <w:sz w:val="18"/>
                <w:szCs w:val="18"/>
              </w:rPr>
            </w:pPr>
            <w:r>
              <w:rPr>
                <w:rFonts w:ascii="Arial"/>
                <w:spacing w:val="-1"/>
                <w:sz w:val="18"/>
              </w:rPr>
              <w:t>21,241</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2"/>
              <w:jc w:val="right"/>
              <w:rPr>
                <w:rFonts w:ascii="Arial" w:hAnsi="Arial" w:cs="Arial" w:eastAsia="Arial" w:hint="default"/>
                <w:sz w:val="18"/>
                <w:szCs w:val="18"/>
              </w:rPr>
            </w:pPr>
            <w:r>
              <w:rPr>
                <w:rFonts w:ascii="Arial"/>
                <w:spacing w:val="-3"/>
                <w:sz w:val="18"/>
              </w:rPr>
              <w:t>113,882</w:t>
            </w:r>
            <w:r>
              <w:rPr>
                <w:rFonts w:ascii="Arial"/>
                <w:sz w:val="18"/>
              </w:rPr>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5"/>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811" w:val="left" w:leader="none"/>
                <w:tab w:pos="1693" w:val="left" w:leader="none"/>
                <w:tab w:pos="3106" w:val="left" w:leader="none"/>
              </w:tabs>
              <w:spacing w:line="240" w:lineRule="auto" w:before="27"/>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42" w:hRule="exact"/>
        </w:trPr>
        <w:tc>
          <w:tcPr>
            <w:tcW w:w="637"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18"/>
                <w:szCs w:val="18"/>
              </w:rPr>
            </w:pPr>
            <w:r>
              <w:rPr>
                <w:rFonts w:ascii="宋体" w:hAnsi="宋体" w:cs="宋体" w:eastAsia="宋体" w:hint="default"/>
                <w:sz w:val="18"/>
                <w:szCs w:val="18"/>
              </w:rPr>
              <w:t>苏宁</w:t>
            </w:r>
            <w:r>
              <w:rPr>
                <w:rFonts w:ascii="Arial" w:hAnsi="Arial" w:cs="Arial" w:eastAsia="Arial" w:hint="default"/>
                <w:sz w:val="18"/>
                <w:szCs w:val="18"/>
              </w:rPr>
              <w:t>(</w:t>
            </w:r>
            <w:r>
              <w:rPr>
                <w:rFonts w:ascii="宋体" w:hAnsi="宋体" w:cs="宋体" w:eastAsia="宋体" w:hint="default"/>
                <w:sz w:val="18"/>
                <w:szCs w:val="18"/>
              </w:rPr>
              <w:t>天津</w:t>
            </w:r>
            <w:r>
              <w:rPr>
                <w:rFonts w:ascii="Arial" w:hAnsi="Arial" w:cs="Arial" w:eastAsia="Arial" w:hint="default"/>
                <w:sz w:val="18"/>
                <w:szCs w:val="18"/>
              </w:rPr>
              <w:t>)</w:t>
            </w:r>
            <w:r>
              <w:rPr>
                <w:rFonts w:ascii="宋体" w:hAnsi="宋体" w:cs="宋体" w:eastAsia="宋体" w:hint="default"/>
                <w:sz w:val="18"/>
                <w:szCs w:val="18"/>
              </w:rPr>
              <w:t>电器采购有限</w:t>
            </w:r>
          </w:p>
        </w:tc>
        <w:tc>
          <w:tcPr>
            <w:tcW w:w="101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558" w:type="dxa"/>
            <w:tcBorders>
              <w:top w:val="nil" w:sz="6" w:space="0" w:color="auto"/>
              <w:left w:val="nil" w:sz="6" w:space="0" w:color="auto"/>
              <w:bottom w:val="nil" w:sz="6" w:space="0" w:color="auto"/>
              <w:right w:val="nil" w:sz="6" w:space="0" w:color="auto"/>
            </w:tcBorders>
          </w:tcPr>
          <w:p>
            <w:pPr/>
          </w:p>
        </w:tc>
        <w:tc>
          <w:tcPr>
            <w:tcW w:w="621" w:type="dxa"/>
            <w:tcBorders>
              <w:top w:val="nil" w:sz="6" w:space="0" w:color="auto"/>
              <w:left w:val="nil" w:sz="6" w:space="0" w:color="auto"/>
              <w:bottom w:val="nil" w:sz="6" w:space="0" w:color="auto"/>
              <w:right w:val="nil" w:sz="6" w:space="0" w:color="auto"/>
            </w:tcBorders>
          </w:tcPr>
          <w:p>
            <w:pPr/>
          </w:p>
        </w:tc>
        <w:tc>
          <w:tcPr>
            <w:tcW w:w="4615" w:type="dxa"/>
            <w:tcBorders>
              <w:top w:val="nil" w:sz="6" w:space="0" w:color="auto"/>
              <w:left w:val="nil" w:sz="6" w:space="0" w:color="auto"/>
              <w:bottom w:val="nil" w:sz="6" w:space="0" w:color="auto"/>
              <w:right w:val="nil" w:sz="6" w:space="0" w:color="auto"/>
            </w:tcBorders>
          </w:tcPr>
          <w:p>
            <w:pPr/>
          </w:p>
        </w:tc>
      </w:tr>
      <w:tr>
        <w:trPr>
          <w:trHeight w:val="262" w:hRule="exact"/>
        </w:trPr>
        <w:tc>
          <w:tcPr>
            <w:tcW w:w="3021"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84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16" w:type="dxa"/>
            <w:tcBorders>
              <w:top w:val="nil" w:sz="6" w:space="0" w:color="auto"/>
              <w:left w:val="nil" w:sz="6" w:space="0" w:color="auto"/>
              <w:bottom w:val="nil" w:sz="6" w:space="0" w:color="auto"/>
              <w:right w:val="nil" w:sz="6" w:space="0" w:color="auto"/>
            </w:tcBorders>
          </w:tcPr>
          <w:p>
            <w:pPr>
              <w:pStyle w:val="TableParagraph"/>
              <w:spacing w:line="203"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44"/>
              <w:jc w:val="right"/>
              <w:rPr>
                <w:rFonts w:ascii="Arial" w:hAnsi="Arial" w:cs="Arial" w:eastAsia="Arial" w:hint="default"/>
                <w:sz w:val="18"/>
                <w:szCs w:val="18"/>
              </w:rPr>
            </w:pPr>
            <w:r>
              <w:rPr>
                <w:rFonts w:ascii="Arial"/>
                <w:spacing w:val="-1"/>
                <w:sz w:val="18"/>
              </w:rPr>
              <w:t>100,000</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9"/>
              <w:jc w:val="right"/>
              <w:rPr>
                <w:rFonts w:ascii="Arial" w:hAnsi="Arial" w:cs="Arial" w:eastAsia="Arial" w:hint="default"/>
                <w:sz w:val="18"/>
                <w:szCs w:val="18"/>
              </w:rPr>
            </w:pPr>
            <w:r>
              <w:rPr>
                <w:rFonts w:ascii="Arial"/>
                <w:w w:val="99"/>
                <w:sz w:val="18"/>
              </w:rPr>
              <w:t>-</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1"/>
              <w:jc w:val="right"/>
              <w:rPr>
                <w:rFonts w:ascii="Arial" w:hAnsi="Arial" w:cs="Arial" w:eastAsia="Arial" w:hint="default"/>
                <w:sz w:val="18"/>
                <w:szCs w:val="18"/>
              </w:rPr>
            </w:pPr>
            <w:r>
              <w:rPr>
                <w:rFonts w:ascii="Arial"/>
                <w:spacing w:val="-1"/>
                <w:sz w:val="18"/>
              </w:rPr>
              <w:t>100,000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1"/>
              <w:jc w:val="right"/>
              <w:rPr>
                <w:rFonts w:ascii="Arial" w:hAnsi="Arial" w:cs="Arial" w:eastAsia="Arial" w:hint="default"/>
                <w:sz w:val="18"/>
                <w:szCs w:val="18"/>
              </w:rPr>
            </w:pPr>
            <w:r>
              <w:rPr>
                <w:rFonts w:ascii="Arial"/>
                <w:spacing w:val="-1"/>
                <w:sz w:val="18"/>
              </w:rPr>
              <w:t>100,000</w:t>
            </w:r>
            <w:r>
              <w:rPr>
                <w:rFonts w:ascii="Arial"/>
                <w:sz w:val="18"/>
              </w:rPr>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2"/>
              <w:jc w:val="right"/>
              <w:rPr>
                <w:rFonts w:ascii="Arial" w:hAnsi="Arial" w:cs="Arial" w:eastAsia="Arial" w:hint="default"/>
                <w:sz w:val="18"/>
                <w:szCs w:val="18"/>
              </w:rPr>
            </w:pPr>
            <w:r>
              <w:rPr>
                <w:rFonts w:ascii="Arial"/>
                <w:spacing w:val="-1"/>
                <w:sz w:val="18"/>
              </w:rPr>
              <w:t>100%</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Arial" w:hAnsi="Arial" w:cs="Arial" w:eastAsia="Arial" w:hint="default"/>
                <w:sz w:val="18"/>
                <w:szCs w:val="18"/>
              </w:rPr>
            </w:pPr>
            <w:r>
              <w:rPr>
                <w:rFonts w:ascii="Arial"/>
                <w:spacing w:val="-1"/>
                <w:sz w:val="18"/>
              </w:rPr>
              <w:t>100%</w:t>
            </w:r>
          </w:p>
        </w:tc>
        <w:tc>
          <w:tcPr>
            <w:tcW w:w="4615" w:type="dxa"/>
            <w:tcBorders>
              <w:top w:val="nil" w:sz="6" w:space="0" w:color="auto"/>
              <w:left w:val="nil" w:sz="6" w:space="0" w:color="auto"/>
              <w:bottom w:val="nil" w:sz="6" w:space="0" w:color="auto"/>
              <w:right w:val="nil" w:sz="6" w:space="0" w:color="auto"/>
            </w:tcBorders>
          </w:tcPr>
          <w:p>
            <w:pPr>
              <w:pStyle w:val="TableParagraph"/>
              <w:tabs>
                <w:tab w:pos="811" w:val="left" w:leader="none"/>
                <w:tab w:pos="1693" w:val="left" w:leader="none"/>
                <w:tab w:pos="3106" w:val="left" w:leader="none"/>
              </w:tabs>
              <w:spacing w:line="240" w:lineRule="auto" w:before="23"/>
              <w:ind w:right="43"/>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76" w:hRule="exact"/>
        </w:trPr>
        <w:tc>
          <w:tcPr>
            <w:tcW w:w="3021"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left="672" w:right="0"/>
              <w:jc w:val="left"/>
              <w:rPr>
                <w:rFonts w:ascii="宋体" w:hAnsi="宋体" w:cs="宋体" w:eastAsia="宋体" w:hint="default"/>
                <w:sz w:val="18"/>
                <w:szCs w:val="18"/>
              </w:rPr>
            </w:pPr>
            <w:r>
              <w:rPr>
                <w:rFonts w:ascii="宋体" w:hAnsi="宋体" w:cs="宋体" w:eastAsia="宋体" w:hint="default"/>
                <w:sz w:val="18"/>
                <w:szCs w:val="18"/>
              </w:rPr>
              <w:t>四川苏宁电器有限公司</w:t>
            </w:r>
          </w:p>
        </w:tc>
        <w:tc>
          <w:tcPr>
            <w:tcW w:w="1016"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4"/>
              <w:jc w:val="right"/>
              <w:rPr>
                <w:rFonts w:ascii="Arial" w:hAnsi="Arial" w:cs="Arial" w:eastAsia="Arial" w:hint="default"/>
                <w:sz w:val="18"/>
                <w:szCs w:val="18"/>
              </w:rPr>
            </w:pPr>
            <w:r>
              <w:rPr>
                <w:rFonts w:ascii="Arial"/>
                <w:spacing w:val="-1"/>
                <w:sz w:val="18"/>
              </w:rPr>
              <w:t>90,370</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9"/>
              <w:jc w:val="right"/>
              <w:rPr>
                <w:rFonts w:ascii="Arial" w:hAnsi="Arial" w:cs="Arial" w:eastAsia="Arial" w:hint="default"/>
                <w:sz w:val="18"/>
                <w:szCs w:val="18"/>
              </w:rPr>
            </w:pPr>
            <w:r>
              <w:rPr>
                <w:rFonts w:ascii="Arial"/>
                <w:spacing w:val="-1"/>
                <w:sz w:val="18"/>
              </w:rPr>
              <w:t>10,000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1"/>
              <w:jc w:val="right"/>
              <w:rPr>
                <w:rFonts w:ascii="Arial" w:hAnsi="Arial" w:cs="Arial" w:eastAsia="Arial" w:hint="default"/>
                <w:sz w:val="18"/>
                <w:szCs w:val="18"/>
              </w:rPr>
            </w:pPr>
            <w:r>
              <w:rPr>
                <w:rFonts w:ascii="Arial"/>
                <w:spacing w:val="-1"/>
                <w:sz w:val="18"/>
              </w:rPr>
              <w:t>80,370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
              <w:jc w:val="right"/>
              <w:rPr>
                <w:rFonts w:ascii="Arial" w:hAnsi="Arial" w:cs="Arial" w:eastAsia="Arial" w:hint="default"/>
                <w:sz w:val="18"/>
                <w:szCs w:val="18"/>
              </w:rPr>
            </w:pPr>
            <w:r>
              <w:rPr>
                <w:rFonts w:ascii="Arial"/>
                <w:spacing w:val="-1"/>
                <w:sz w:val="18"/>
              </w:rPr>
              <w:t>90,370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Arial" w:hAnsi="Arial" w:cs="Arial" w:eastAsia="Arial" w:hint="default"/>
                <w:sz w:val="18"/>
                <w:szCs w:val="18"/>
              </w:rPr>
            </w:pPr>
            <w:r>
              <w:rPr>
                <w:rFonts w:ascii="Arial"/>
                <w:spacing w:val="-1"/>
                <w:sz w:val="18"/>
              </w:rPr>
              <w:t>100%</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spacing w:val="-1"/>
                <w:sz w:val="18"/>
              </w:rPr>
              <w:t>100%</w:t>
            </w:r>
          </w:p>
        </w:tc>
        <w:tc>
          <w:tcPr>
            <w:tcW w:w="4615" w:type="dxa"/>
            <w:tcBorders>
              <w:top w:val="nil" w:sz="6" w:space="0" w:color="auto"/>
              <w:left w:val="nil" w:sz="6" w:space="0" w:color="auto"/>
              <w:bottom w:val="nil" w:sz="6" w:space="0" w:color="auto"/>
              <w:right w:val="nil" w:sz="6" w:space="0" w:color="auto"/>
            </w:tcBorders>
          </w:tcPr>
          <w:p>
            <w:pPr>
              <w:pStyle w:val="TableParagraph"/>
              <w:tabs>
                <w:tab w:pos="811" w:val="left" w:leader="none"/>
                <w:tab w:pos="1693" w:val="left" w:leader="none"/>
                <w:tab w:pos="3106" w:val="left" w:leader="none"/>
              </w:tabs>
              <w:spacing w:line="240" w:lineRule="auto" w:before="36"/>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340" w:hRule="exact"/>
        </w:trPr>
        <w:tc>
          <w:tcPr>
            <w:tcW w:w="3021"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left="672" w:right="0"/>
              <w:jc w:val="left"/>
              <w:rPr>
                <w:rFonts w:ascii="宋体" w:hAnsi="宋体" w:cs="宋体" w:eastAsia="宋体" w:hint="default"/>
                <w:sz w:val="18"/>
                <w:szCs w:val="18"/>
              </w:rPr>
            </w:pPr>
            <w:r>
              <w:rPr>
                <w:rFonts w:ascii="宋体" w:hAnsi="宋体" w:cs="宋体" w:eastAsia="宋体" w:hint="default"/>
                <w:sz w:val="18"/>
                <w:szCs w:val="18"/>
              </w:rPr>
              <w:t>上海沪申苏宁电器有限公司</w:t>
            </w:r>
          </w:p>
        </w:tc>
        <w:tc>
          <w:tcPr>
            <w:tcW w:w="1016"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4"/>
              <w:jc w:val="right"/>
              <w:rPr>
                <w:rFonts w:ascii="Arial" w:hAnsi="Arial" w:cs="Arial" w:eastAsia="Arial" w:hint="default"/>
                <w:sz w:val="18"/>
                <w:szCs w:val="18"/>
              </w:rPr>
            </w:pPr>
            <w:r>
              <w:rPr>
                <w:rFonts w:ascii="Arial"/>
                <w:spacing w:val="-1"/>
                <w:sz w:val="18"/>
              </w:rPr>
              <w:t>90,000</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spacing w:val="-1"/>
                <w:sz w:val="18"/>
              </w:rPr>
              <w:t>90,000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2"/>
              <w:jc w:val="right"/>
              <w:rPr>
                <w:rFonts w:ascii="Arial" w:hAnsi="Arial" w:cs="Arial" w:eastAsia="Arial" w:hint="default"/>
                <w:sz w:val="18"/>
                <w:szCs w:val="18"/>
              </w:rPr>
            </w:pPr>
            <w:r>
              <w:rPr>
                <w:rFonts w:ascii="Arial"/>
                <w:w w:val="99"/>
                <w:sz w:val="18"/>
              </w:rPr>
              <w:t>-</w:t>
            </w:r>
            <w:r>
              <w:rPr>
                <w:rFonts w:ascii="Arial"/>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
              <w:jc w:val="right"/>
              <w:rPr>
                <w:rFonts w:ascii="Arial" w:hAnsi="Arial" w:cs="Arial" w:eastAsia="Arial" w:hint="default"/>
                <w:sz w:val="18"/>
                <w:szCs w:val="18"/>
              </w:rPr>
            </w:pPr>
            <w:r>
              <w:rPr>
                <w:rFonts w:ascii="Arial"/>
                <w:spacing w:val="-1"/>
                <w:sz w:val="18"/>
              </w:rPr>
              <w:t>90,000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811" w:val="left" w:leader="none"/>
                <w:tab w:pos="1693" w:val="left" w:leader="none"/>
                <w:tab w:pos="3106" w:val="left" w:leader="none"/>
              </w:tabs>
              <w:spacing w:line="240" w:lineRule="auto" w:before="36"/>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bl>
    <w:p>
      <w:pPr>
        <w:spacing w:after="0" w:line="240" w:lineRule="auto"/>
        <w:jc w:val="right"/>
        <w:rPr>
          <w:rFonts w:ascii="Arial" w:hAnsi="Arial" w:cs="Arial" w:eastAsia="Arial" w:hint="default"/>
          <w:sz w:val="18"/>
          <w:szCs w:val="18"/>
        </w:rPr>
        <w:sectPr>
          <w:headerReference w:type="default" r:id="rId82"/>
          <w:footerReference w:type="default" r:id="rId83"/>
          <w:pgSz w:w="16840" w:h="11910" w:orient="landscape"/>
          <w:pgMar w:header="755" w:footer="945" w:top="2300" w:bottom="1140" w:left="360" w:right="1100"/>
          <w:pgNumType w:start="209"/>
        </w:sectPr>
      </w:pPr>
    </w:p>
    <w:p>
      <w:pPr>
        <w:spacing w:line="240" w:lineRule="auto" w:before="4"/>
        <w:rPr>
          <w:rFonts w:ascii="Times New Roman" w:hAnsi="Times New Roman" w:cs="Times New Roman" w:eastAsia="Times New Roman" w:hint="default"/>
          <w:sz w:val="15"/>
          <w:szCs w:val="15"/>
        </w:rPr>
      </w:pPr>
    </w:p>
    <w:tbl>
      <w:tblPr>
        <w:tblW w:w="0" w:type="auto"/>
        <w:jc w:val="left"/>
        <w:tblInd w:w="114" w:type="dxa"/>
        <w:tblLayout w:type="fixed"/>
        <w:tblCellMar>
          <w:top w:w="0" w:type="dxa"/>
          <w:left w:w="0" w:type="dxa"/>
          <w:bottom w:w="0" w:type="dxa"/>
          <w:right w:w="0" w:type="dxa"/>
        </w:tblCellMar>
        <w:tblLook w:val="01E0"/>
      </w:tblPr>
      <w:tblGrid>
        <w:gridCol w:w="594"/>
        <w:gridCol w:w="2557"/>
        <w:gridCol w:w="1129"/>
        <w:gridCol w:w="1240"/>
        <w:gridCol w:w="1276"/>
        <w:gridCol w:w="1451"/>
        <w:gridCol w:w="1185"/>
        <w:gridCol w:w="558"/>
        <w:gridCol w:w="620"/>
        <w:gridCol w:w="4615"/>
      </w:tblGrid>
      <w:tr>
        <w:trPr>
          <w:trHeight w:val="1674" w:hRule="exact"/>
        </w:trPr>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(3)</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(a)</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8" w:right="0"/>
              <w:jc w:val="left"/>
              <w:rPr>
                <w:rFonts w:ascii="Arial" w:hAnsi="Arial" w:cs="Arial" w:eastAsia="Arial" w:hint="default"/>
                <w:sz w:val="24"/>
                <w:szCs w:val="24"/>
              </w:rPr>
            </w:pPr>
            <w:r>
              <w:rPr>
                <w:rFonts w:ascii="宋体" w:hAnsi="宋体" w:cs="宋体" w:eastAsia="宋体" w:hint="default"/>
                <w:b/>
                <w:bCs/>
                <w:sz w:val="24"/>
                <w:szCs w:val="24"/>
              </w:rPr>
              <w:t>公司财务报表附注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580" w:lineRule="atLeast" w:before="8"/>
              <w:ind w:left="78" w:right="633"/>
              <w:jc w:val="left"/>
              <w:rPr>
                <w:rFonts w:ascii="Arial" w:hAnsi="Arial" w:cs="Arial" w:eastAsia="Arial" w:hint="default"/>
                <w:sz w:val="24"/>
                <w:szCs w:val="24"/>
              </w:rPr>
            </w:pPr>
            <w:r>
              <w:rPr>
                <w:rFonts w:ascii="宋体" w:hAnsi="宋体" w:cs="宋体" w:eastAsia="宋体" w:hint="default"/>
                <w:b/>
                <w:bCs/>
                <w:w w:val="95"/>
                <w:sz w:val="24"/>
                <w:szCs w:val="24"/>
              </w:rPr>
              <w:t>长期股权投资</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23"/>
                <w:w w:val="95"/>
                <w:sz w:val="24"/>
                <w:szCs w:val="24"/>
              </w:rPr>
              <w:t> </w:t>
            </w: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2074" w:type="dxa"/>
            <w:gridSpan w:val="8"/>
            <w:tcBorders>
              <w:top w:val="nil" w:sz="6" w:space="0" w:color="auto"/>
              <w:left w:val="nil" w:sz="6" w:space="0" w:color="auto"/>
              <w:bottom w:val="nil" w:sz="6" w:space="0" w:color="auto"/>
              <w:right w:val="nil" w:sz="6" w:space="0" w:color="auto"/>
            </w:tcBorders>
          </w:tcPr>
          <w:p>
            <w:pPr/>
          </w:p>
        </w:tc>
      </w:tr>
      <w:tr>
        <w:trPr>
          <w:trHeight w:val="357"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30"/>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451"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1"/>
              <w:jc w:val="righ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1"/>
              <w:jc w:val="right"/>
              <w:rPr>
                <w:rFonts w:ascii="宋体" w:hAnsi="宋体" w:cs="宋体" w:eastAsia="宋体" w:hint="default"/>
                <w:sz w:val="18"/>
                <w:szCs w:val="18"/>
              </w:rPr>
            </w:pPr>
            <w:r>
              <w:rPr>
                <w:rFonts w:ascii="宋体" w:hAnsi="宋体" w:cs="宋体" w:eastAsia="宋体" w:hint="default"/>
                <w:sz w:val="18"/>
                <w:szCs w:val="18"/>
              </w:rPr>
              <w:t>持股</w:t>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5"/>
              <w:jc w:val="right"/>
              <w:rPr>
                <w:rFonts w:ascii="宋体" w:hAnsi="宋体" w:cs="宋体" w:eastAsia="宋体" w:hint="default"/>
                <w:sz w:val="18"/>
                <w:szCs w:val="18"/>
              </w:rPr>
            </w:pPr>
            <w:r>
              <w:rPr>
                <w:rFonts w:ascii="宋体" w:hAnsi="宋体" w:cs="宋体" w:eastAsia="宋体" w:hint="default"/>
                <w:sz w:val="18"/>
                <w:szCs w:val="18"/>
              </w:rPr>
              <w:t>表决权</w:t>
            </w:r>
          </w:p>
        </w:tc>
        <w:tc>
          <w:tcPr>
            <w:tcW w:w="4615" w:type="dxa"/>
            <w:tcBorders>
              <w:top w:val="nil" w:sz="6" w:space="0" w:color="auto"/>
              <w:left w:val="nil" w:sz="6" w:space="0" w:color="auto"/>
              <w:bottom w:val="nil" w:sz="6" w:space="0" w:color="auto"/>
              <w:right w:val="nil" w:sz="6" w:space="0" w:color="auto"/>
            </w:tcBorders>
          </w:tcPr>
          <w:p>
            <w:pPr>
              <w:pStyle w:val="TableParagraph"/>
              <w:tabs>
                <w:tab w:pos="2421" w:val="left" w:leader="none"/>
              </w:tabs>
              <w:spacing w:line="240" w:lineRule="auto" w:before="90"/>
              <w:ind w:right="33"/>
              <w:jc w:val="right"/>
              <w:rPr>
                <w:rFonts w:ascii="宋体" w:hAnsi="宋体" w:cs="宋体" w:eastAsia="宋体" w:hint="default"/>
                <w:sz w:val="18"/>
                <w:szCs w:val="18"/>
              </w:rPr>
            </w:pPr>
            <w:r>
              <w:rPr>
                <w:rFonts w:ascii="宋体" w:hAnsi="宋体" w:cs="宋体" w:eastAsia="宋体" w:hint="default"/>
                <w:sz w:val="18"/>
                <w:szCs w:val="18"/>
              </w:rPr>
              <w:t>持股比例与表决权</w:t>
              <w:tab/>
              <w:t>本年计提</w:t>
            </w:r>
            <w:r>
              <w:rPr>
                <w:rFonts w:ascii="宋体" w:hAnsi="宋体" w:cs="宋体" w:eastAsia="宋体" w:hint="default"/>
                <w:spacing w:val="52"/>
                <w:sz w:val="18"/>
                <w:szCs w:val="18"/>
              </w:rPr>
              <w:t> </w:t>
            </w:r>
            <w:r>
              <w:rPr>
                <w:rFonts w:ascii="宋体" w:hAnsi="宋体" w:cs="宋体" w:eastAsia="宋体" w:hint="default"/>
                <w:sz w:val="18"/>
                <w:szCs w:val="18"/>
              </w:rPr>
              <w:t>本年宣告分派的</w:t>
            </w:r>
          </w:p>
        </w:tc>
      </w:tr>
      <w:tr>
        <w:trPr>
          <w:trHeight w:val="234"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03" w:lineRule="exact"/>
              <w:ind w:right="268"/>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240" w:type="dxa"/>
            <w:tcBorders>
              <w:top w:val="nil" w:sz="6" w:space="0" w:color="auto"/>
              <w:left w:val="nil" w:sz="6" w:space="0" w:color="auto"/>
              <w:bottom w:val="nil" w:sz="6" w:space="0" w:color="auto"/>
              <w:right w:val="nil" w:sz="6" w:space="0" w:color="auto"/>
            </w:tcBorders>
          </w:tcPr>
          <w:p>
            <w:pPr>
              <w:pStyle w:val="TableParagraph"/>
              <w:spacing w:line="203" w:lineRule="exact"/>
              <w:ind w:right="247"/>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1276" w:type="dxa"/>
            <w:tcBorders>
              <w:top w:val="nil" w:sz="6" w:space="0" w:color="auto"/>
              <w:left w:val="nil" w:sz="6" w:space="0" w:color="auto"/>
              <w:bottom w:val="nil" w:sz="6" w:space="0" w:color="auto"/>
              <w:right w:val="nil" w:sz="6" w:space="0" w:color="auto"/>
            </w:tcBorders>
          </w:tcPr>
          <w:p>
            <w:pPr>
              <w:pStyle w:val="TableParagraph"/>
              <w:spacing w:line="215" w:lineRule="exact"/>
              <w:ind w:right="130"/>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51" w:type="dxa"/>
            <w:tcBorders>
              <w:top w:val="nil" w:sz="6" w:space="0" w:color="auto"/>
              <w:left w:val="nil" w:sz="6" w:space="0" w:color="auto"/>
              <w:bottom w:val="nil" w:sz="6" w:space="0" w:color="auto"/>
              <w:right w:val="nil" w:sz="6" w:space="0" w:color="auto"/>
            </w:tcBorders>
          </w:tcPr>
          <w:p>
            <w:pPr>
              <w:pStyle w:val="TableParagraph"/>
              <w:spacing w:line="203" w:lineRule="exact"/>
              <w:ind w:right="236"/>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185" w:type="dxa"/>
            <w:tcBorders>
              <w:top w:val="nil" w:sz="6" w:space="0" w:color="auto"/>
              <w:left w:val="nil" w:sz="6" w:space="0" w:color="auto"/>
              <w:bottom w:val="nil" w:sz="6" w:space="0" w:color="auto"/>
              <w:right w:val="nil" w:sz="6" w:space="0" w:color="auto"/>
            </w:tcBorders>
          </w:tcPr>
          <w:p>
            <w:pPr>
              <w:pStyle w:val="TableParagraph"/>
              <w:spacing w:line="215" w:lineRule="exact"/>
              <w:ind w:right="51"/>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558" w:type="dxa"/>
            <w:tcBorders>
              <w:top w:val="nil" w:sz="6" w:space="0" w:color="auto"/>
              <w:left w:val="nil" w:sz="6" w:space="0" w:color="auto"/>
              <w:bottom w:val="nil" w:sz="6" w:space="0" w:color="auto"/>
              <w:right w:val="nil" w:sz="6" w:space="0" w:color="auto"/>
            </w:tcBorders>
          </w:tcPr>
          <w:p>
            <w:pPr>
              <w:pStyle w:val="TableParagraph"/>
              <w:spacing w:line="203" w:lineRule="exact"/>
              <w:ind w:right="41"/>
              <w:jc w:val="right"/>
              <w:rPr>
                <w:rFonts w:ascii="宋体" w:hAnsi="宋体" w:cs="宋体" w:eastAsia="宋体" w:hint="default"/>
                <w:sz w:val="18"/>
                <w:szCs w:val="18"/>
              </w:rPr>
            </w:pPr>
            <w:r>
              <w:rPr>
                <w:rFonts w:ascii="宋体" w:hAnsi="宋体" w:cs="宋体" w:eastAsia="宋体" w:hint="default"/>
                <w:sz w:val="18"/>
                <w:szCs w:val="18"/>
              </w:rPr>
              <w:t>比例</w:t>
            </w:r>
          </w:p>
        </w:tc>
        <w:tc>
          <w:tcPr>
            <w:tcW w:w="620" w:type="dxa"/>
            <w:tcBorders>
              <w:top w:val="nil" w:sz="6" w:space="0" w:color="auto"/>
              <w:left w:val="nil" w:sz="6" w:space="0" w:color="auto"/>
              <w:bottom w:val="nil" w:sz="6" w:space="0" w:color="auto"/>
              <w:right w:val="nil" w:sz="6" w:space="0" w:color="auto"/>
            </w:tcBorders>
          </w:tcPr>
          <w:p>
            <w:pPr>
              <w:pStyle w:val="TableParagraph"/>
              <w:spacing w:line="203" w:lineRule="exact"/>
              <w:ind w:right="35"/>
              <w:jc w:val="right"/>
              <w:rPr>
                <w:rFonts w:ascii="宋体" w:hAnsi="宋体" w:cs="宋体" w:eastAsia="宋体" w:hint="default"/>
                <w:sz w:val="18"/>
                <w:szCs w:val="18"/>
              </w:rPr>
            </w:pPr>
            <w:r>
              <w:rPr>
                <w:rFonts w:ascii="宋体" w:hAnsi="宋体" w:cs="宋体" w:eastAsia="宋体" w:hint="default"/>
                <w:sz w:val="18"/>
                <w:szCs w:val="18"/>
              </w:rPr>
              <w:t>比例</w:t>
            </w:r>
          </w:p>
        </w:tc>
        <w:tc>
          <w:tcPr>
            <w:tcW w:w="4615" w:type="dxa"/>
            <w:tcBorders>
              <w:top w:val="nil" w:sz="6" w:space="0" w:color="auto"/>
              <w:left w:val="nil" w:sz="6" w:space="0" w:color="auto"/>
              <w:bottom w:val="nil" w:sz="6" w:space="0" w:color="auto"/>
              <w:right w:val="nil" w:sz="6" w:space="0" w:color="auto"/>
            </w:tcBorders>
          </w:tcPr>
          <w:p>
            <w:pPr>
              <w:pStyle w:val="TableParagraph"/>
              <w:tabs>
                <w:tab w:pos="3824" w:val="left" w:leader="none"/>
              </w:tabs>
              <w:spacing w:line="203" w:lineRule="exact"/>
              <w:ind w:right="33"/>
              <w:jc w:val="right"/>
              <w:rPr>
                <w:rFonts w:ascii="宋体" w:hAnsi="宋体" w:cs="宋体" w:eastAsia="宋体" w:hint="default"/>
                <w:sz w:val="18"/>
                <w:szCs w:val="18"/>
              </w:rPr>
            </w:pPr>
            <w:r>
              <w:rPr>
                <w:rFonts w:ascii="宋体" w:hAnsi="宋体" w:cs="宋体" w:eastAsia="宋体" w:hint="default"/>
                <w:sz w:val="18"/>
                <w:szCs w:val="18"/>
              </w:rPr>
              <w:t>比例不一致的说明 减值准备</w:t>
            </w:r>
            <w:r>
              <w:rPr>
                <w:rFonts w:ascii="宋体" w:hAnsi="宋体" w:cs="宋体" w:eastAsia="宋体" w:hint="default"/>
                <w:spacing w:val="81"/>
                <w:sz w:val="18"/>
                <w:szCs w:val="18"/>
              </w:rPr>
              <w:t> </w:t>
            </w:r>
            <w:r>
              <w:rPr>
                <w:rFonts w:ascii="宋体" w:hAnsi="宋体" w:cs="宋体" w:eastAsia="宋体" w:hint="default"/>
                <w:sz w:val="18"/>
                <w:szCs w:val="18"/>
              </w:rPr>
              <w:t>减值准备</w:t>
              <w:tab/>
              <w:t>现金股利</w:t>
            </w:r>
          </w:p>
        </w:tc>
      </w:tr>
      <w:tr>
        <w:trPr>
          <w:trHeight w:val="241"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03" w:lineRule="exact"/>
              <w:ind w:left="78" w:right="0"/>
              <w:jc w:val="left"/>
              <w:rPr>
                <w:rFonts w:ascii="宋体" w:hAnsi="宋体" w:cs="宋体" w:eastAsia="宋体" w:hint="default"/>
                <w:sz w:val="18"/>
                <w:szCs w:val="18"/>
              </w:rPr>
            </w:pPr>
            <w:r>
              <w:rPr>
                <w:rFonts w:ascii="宋体" w:hAnsi="宋体" w:cs="宋体" w:eastAsia="宋体" w:hint="default"/>
                <w:sz w:val="18"/>
                <w:szCs w:val="18"/>
              </w:rPr>
              <w:t>天津渤海苏宁电器有限公司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03"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1"/>
              <w:jc w:val="right"/>
              <w:rPr>
                <w:rFonts w:ascii="Arial" w:hAnsi="Arial" w:cs="Arial" w:eastAsia="Arial" w:hint="default"/>
                <w:sz w:val="18"/>
                <w:szCs w:val="18"/>
              </w:rPr>
            </w:pPr>
            <w:r>
              <w:rPr>
                <w:rFonts w:ascii="Arial"/>
                <w:spacing w:val="-1"/>
                <w:sz w:val="18"/>
              </w:rPr>
              <w:t>90,000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1"/>
              <w:jc w:val="right"/>
              <w:rPr>
                <w:rFonts w:ascii="Arial" w:hAnsi="Arial" w:cs="Arial" w:eastAsia="Arial" w:hint="default"/>
                <w:sz w:val="18"/>
                <w:szCs w:val="18"/>
              </w:rPr>
            </w:pPr>
            <w:r>
              <w:rPr>
                <w:rFonts w:ascii="Arial"/>
                <w:spacing w:val="-1"/>
                <w:sz w:val="18"/>
              </w:rPr>
              <w:t>18,000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43" w:right="0"/>
              <w:jc w:val="left"/>
              <w:rPr>
                <w:rFonts w:ascii="Arial" w:hAnsi="Arial" w:cs="Arial" w:eastAsia="Arial" w:hint="default"/>
                <w:sz w:val="18"/>
                <w:szCs w:val="18"/>
              </w:rPr>
            </w:pPr>
            <w:r>
              <w:rPr>
                <w:rFonts w:ascii="Arial"/>
                <w:sz w:val="18"/>
              </w:rPr>
              <w:t>72,000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1"/>
              <w:jc w:val="right"/>
              <w:rPr>
                <w:rFonts w:ascii="Arial" w:hAnsi="Arial" w:cs="Arial" w:eastAsia="Arial" w:hint="default"/>
                <w:sz w:val="18"/>
                <w:szCs w:val="18"/>
              </w:rPr>
            </w:pPr>
            <w:r>
              <w:rPr>
                <w:rFonts w:ascii="Arial"/>
                <w:spacing w:val="-1"/>
                <w:sz w:val="18"/>
              </w:rPr>
              <w:t>90,000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2"/>
              <w:jc w:val="right"/>
              <w:rPr>
                <w:rFonts w:ascii="Arial" w:hAnsi="Arial" w:cs="Arial" w:eastAsia="Arial" w:hint="default"/>
                <w:sz w:val="18"/>
                <w:szCs w:val="18"/>
              </w:rPr>
            </w:pPr>
            <w:r>
              <w:rPr>
                <w:rFonts w:ascii="Arial"/>
                <w:spacing w:val="-1"/>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4"/>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796" w:val="left" w:leader="none"/>
                <w:tab w:pos="1678" w:val="left" w:leader="none"/>
                <w:tab w:pos="3107" w:val="left" w:leader="none"/>
              </w:tabs>
              <w:spacing w:line="240" w:lineRule="auto" w:before="23"/>
              <w:ind w:right="43"/>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34"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left"/>
              <w:rPr>
                <w:rFonts w:ascii="宋体" w:hAnsi="宋体" w:cs="宋体" w:eastAsia="宋体" w:hint="default"/>
                <w:sz w:val="18"/>
                <w:szCs w:val="18"/>
              </w:rPr>
            </w:pPr>
            <w:r>
              <w:rPr>
                <w:rFonts w:ascii="宋体" w:hAnsi="宋体" w:cs="宋体" w:eastAsia="宋体" w:hint="default"/>
                <w:sz w:val="18"/>
                <w:szCs w:val="18"/>
              </w:rPr>
              <w:t>合肥高新苏宁电器有限公司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195"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3"/>
              <w:jc w:val="right"/>
              <w:rPr>
                <w:rFonts w:ascii="Arial" w:hAnsi="Arial" w:cs="Arial" w:eastAsia="Arial" w:hint="default"/>
                <w:sz w:val="18"/>
                <w:szCs w:val="18"/>
              </w:rPr>
            </w:pPr>
            <w:r>
              <w:rPr>
                <w:rFonts w:ascii="Arial"/>
                <w:spacing w:val="-1"/>
                <w:sz w:val="18"/>
              </w:rPr>
              <w:t>90,000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0"/>
              <w:jc w:val="right"/>
              <w:rPr>
                <w:rFonts w:ascii="Arial" w:hAnsi="Arial" w:cs="Arial" w:eastAsia="Arial" w:hint="default"/>
                <w:sz w:val="18"/>
                <w:szCs w:val="18"/>
              </w:rPr>
            </w:pPr>
            <w:r>
              <w:rPr>
                <w:rFonts w:ascii="Arial"/>
                <w:spacing w:val="-1"/>
                <w:sz w:val="18"/>
              </w:rPr>
              <w:t>90,000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5"/>
              <w:jc w:val="right"/>
              <w:rPr>
                <w:rFonts w:ascii="Arial" w:hAnsi="Arial" w:cs="Arial" w:eastAsia="Arial" w:hint="default"/>
                <w:sz w:val="18"/>
                <w:szCs w:val="18"/>
              </w:rPr>
            </w:pPr>
            <w:r>
              <w:rPr>
                <w:rFonts w:ascii="Arial"/>
                <w:w w:val="99"/>
                <w:sz w:val="18"/>
              </w:rPr>
              <w:t>-</w:t>
            </w:r>
            <w:r>
              <w:rPr>
                <w:rFonts w:ascii="Arial"/>
                <w:sz w:val="18"/>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Arial" w:hAnsi="Arial" w:cs="Arial" w:eastAsia="Arial" w:hint="default"/>
                <w:sz w:val="18"/>
                <w:szCs w:val="18"/>
              </w:rPr>
            </w:pPr>
            <w:r>
              <w:rPr>
                <w:rFonts w:ascii="Arial"/>
                <w:spacing w:val="-1"/>
                <w:sz w:val="18"/>
              </w:rPr>
              <w:t>90,000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
              <w:jc w:val="right"/>
              <w:rPr>
                <w:rFonts w:ascii="Arial" w:hAnsi="Arial" w:cs="Arial" w:eastAsia="Arial" w:hint="default"/>
                <w:sz w:val="18"/>
                <w:szCs w:val="18"/>
              </w:rPr>
            </w:pPr>
            <w:r>
              <w:rPr>
                <w:rFonts w:ascii="Arial"/>
                <w:spacing w:val="-1"/>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796" w:val="left" w:leader="none"/>
                <w:tab w:pos="1678" w:val="left" w:leader="none"/>
                <w:tab w:pos="2967" w:val="left" w:leader="none"/>
              </w:tabs>
              <w:spacing w:line="240" w:lineRule="auto" w:before="15"/>
              <w:ind w:right="44"/>
              <w:jc w:val="right"/>
              <w:rPr>
                <w:rFonts w:ascii="Arial" w:hAnsi="Arial" w:cs="Arial" w:eastAsia="Arial" w:hint="default"/>
                <w:sz w:val="18"/>
                <w:szCs w:val="18"/>
              </w:rPr>
            </w:pPr>
            <w:r>
              <w:rPr>
                <w:rFonts w:ascii="Arial"/>
                <w:sz w:val="18"/>
              </w:rPr>
              <w:t>-</w:t>
              <w:tab/>
              <w:t>-</w:t>
              <w:tab/>
              <w:t>-</w:t>
              <w:tab/>
            </w:r>
            <w:r>
              <w:rPr>
                <w:rFonts w:ascii="Arial"/>
                <w:spacing w:val="-1"/>
                <w:w w:val="95"/>
                <w:sz w:val="18"/>
              </w:rPr>
              <w:t>72</w:t>
            </w:r>
            <w:r>
              <w:rPr>
                <w:rFonts w:ascii="Arial"/>
                <w:sz w:val="18"/>
              </w:rPr>
            </w:r>
          </w:p>
        </w:tc>
      </w:tr>
      <w:tr>
        <w:trPr>
          <w:trHeight w:val="234"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left"/>
              <w:rPr>
                <w:rFonts w:ascii="宋体" w:hAnsi="宋体" w:cs="宋体" w:eastAsia="宋体" w:hint="default"/>
                <w:sz w:val="18"/>
                <w:szCs w:val="18"/>
              </w:rPr>
            </w:pPr>
            <w:r>
              <w:rPr>
                <w:rFonts w:ascii="宋体" w:hAnsi="宋体" w:cs="宋体" w:eastAsia="宋体" w:hint="default"/>
                <w:sz w:val="18"/>
                <w:szCs w:val="18"/>
              </w:rPr>
              <w:t>福州苏宁电器有限公司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195"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1"/>
              <w:jc w:val="right"/>
              <w:rPr>
                <w:rFonts w:ascii="Arial" w:hAnsi="Arial" w:cs="Arial" w:eastAsia="Arial" w:hint="default"/>
                <w:sz w:val="18"/>
                <w:szCs w:val="18"/>
              </w:rPr>
            </w:pPr>
            <w:r>
              <w:rPr>
                <w:rFonts w:ascii="Arial"/>
                <w:spacing w:val="-1"/>
                <w:sz w:val="18"/>
              </w:rPr>
              <w:t>90,000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0"/>
              <w:jc w:val="right"/>
              <w:rPr>
                <w:rFonts w:ascii="Arial" w:hAnsi="Arial" w:cs="Arial" w:eastAsia="Arial" w:hint="default"/>
                <w:sz w:val="18"/>
                <w:szCs w:val="18"/>
              </w:rPr>
            </w:pPr>
            <w:r>
              <w:rPr>
                <w:rFonts w:ascii="Arial"/>
                <w:spacing w:val="-1"/>
                <w:sz w:val="18"/>
              </w:rPr>
              <w:t>90,000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5"/>
              <w:jc w:val="right"/>
              <w:rPr>
                <w:rFonts w:ascii="Arial" w:hAnsi="Arial" w:cs="Arial" w:eastAsia="Arial" w:hint="default"/>
                <w:sz w:val="18"/>
                <w:szCs w:val="18"/>
              </w:rPr>
            </w:pPr>
            <w:r>
              <w:rPr>
                <w:rFonts w:ascii="Arial"/>
                <w:w w:val="99"/>
                <w:sz w:val="18"/>
              </w:rPr>
              <w:t>-</w:t>
            </w:r>
            <w:r>
              <w:rPr>
                <w:rFonts w:ascii="Arial"/>
                <w:sz w:val="18"/>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Arial" w:hAnsi="Arial" w:cs="Arial" w:eastAsia="Arial" w:hint="default"/>
                <w:sz w:val="18"/>
                <w:szCs w:val="18"/>
              </w:rPr>
            </w:pPr>
            <w:r>
              <w:rPr>
                <w:rFonts w:ascii="Arial"/>
                <w:spacing w:val="-1"/>
                <w:sz w:val="18"/>
              </w:rPr>
              <w:t>90,000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
              <w:jc w:val="right"/>
              <w:rPr>
                <w:rFonts w:ascii="Arial" w:hAnsi="Arial" w:cs="Arial" w:eastAsia="Arial" w:hint="default"/>
                <w:sz w:val="18"/>
                <w:szCs w:val="18"/>
              </w:rPr>
            </w:pPr>
            <w:r>
              <w:rPr>
                <w:rFonts w:ascii="Arial"/>
                <w:spacing w:val="-1"/>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796" w:val="left" w:leader="none"/>
                <w:tab w:pos="1678" w:val="left" w:leader="none"/>
                <w:tab w:pos="3106" w:val="left" w:leader="none"/>
              </w:tabs>
              <w:spacing w:line="240" w:lineRule="auto" w:before="15"/>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34"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left"/>
              <w:rPr>
                <w:rFonts w:ascii="宋体" w:hAnsi="宋体" w:cs="宋体" w:eastAsia="宋体" w:hint="default"/>
                <w:sz w:val="18"/>
                <w:szCs w:val="18"/>
              </w:rPr>
            </w:pPr>
            <w:r>
              <w:rPr>
                <w:rFonts w:ascii="宋体" w:hAnsi="宋体" w:cs="宋体" w:eastAsia="宋体" w:hint="default"/>
                <w:sz w:val="18"/>
                <w:szCs w:val="18"/>
              </w:rPr>
              <w:t>上海嘉定苏宁电器有限公司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195"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2"/>
              <w:jc w:val="right"/>
              <w:rPr>
                <w:rFonts w:ascii="Arial" w:hAnsi="Arial" w:cs="Arial" w:eastAsia="Arial" w:hint="default"/>
                <w:sz w:val="18"/>
                <w:szCs w:val="18"/>
              </w:rPr>
            </w:pPr>
            <w:r>
              <w:rPr>
                <w:rFonts w:ascii="Arial"/>
                <w:spacing w:val="-1"/>
                <w:sz w:val="18"/>
              </w:rPr>
              <w:t>90,000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0"/>
              <w:jc w:val="right"/>
              <w:rPr>
                <w:rFonts w:ascii="Arial" w:hAnsi="Arial" w:cs="Arial" w:eastAsia="Arial" w:hint="default"/>
                <w:sz w:val="18"/>
                <w:szCs w:val="18"/>
              </w:rPr>
            </w:pPr>
            <w:r>
              <w:rPr>
                <w:rFonts w:ascii="Arial"/>
                <w:w w:val="99"/>
                <w:sz w:val="18"/>
              </w:rPr>
              <w:t>-</w:t>
            </w:r>
            <w:r>
              <w:rPr>
                <w:rFonts w:ascii="Arial"/>
                <w:sz w:val="18"/>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4"/>
              <w:jc w:val="right"/>
              <w:rPr>
                <w:rFonts w:ascii="Arial" w:hAnsi="Arial" w:cs="Arial" w:eastAsia="Arial" w:hint="default"/>
                <w:sz w:val="18"/>
                <w:szCs w:val="18"/>
              </w:rPr>
            </w:pPr>
            <w:r>
              <w:rPr>
                <w:rFonts w:ascii="Arial"/>
                <w:spacing w:val="-1"/>
                <w:sz w:val="18"/>
              </w:rPr>
              <w:t>90,000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Arial" w:hAnsi="Arial" w:cs="Arial" w:eastAsia="Arial" w:hint="default"/>
                <w:sz w:val="18"/>
                <w:szCs w:val="18"/>
              </w:rPr>
            </w:pPr>
            <w:r>
              <w:rPr>
                <w:rFonts w:ascii="Arial"/>
                <w:spacing w:val="-1"/>
                <w:sz w:val="18"/>
              </w:rPr>
              <w:t>90,000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
              <w:jc w:val="right"/>
              <w:rPr>
                <w:rFonts w:ascii="Arial" w:hAnsi="Arial" w:cs="Arial" w:eastAsia="Arial" w:hint="default"/>
                <w:sz w:val="18"/>
                <w:szCs w:val="18"/>
              </w:rPr>
            </w:pPr>
            <w:r>
              <w:rPr>
                <w:rFonts w:ascii="Arial"/>
                <w:spacing w:val="-1"/>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796" w:val="left" w:leader="none"/>
                <w:tab w:pos="1678" w:val="left" w:leader="none"/>
                <w:tab w:pos="3106" w:val="left" w:leader="none"/>
              </w:tabs>
              <w:spacing w:line="240" w:lineRule="auto" w:before="15"/>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34"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left"/>
              <w:rPr>
                <w:rFonts w:ascii="宋体" w:hAnsi="宋体" w:cs="宋体" w:eastAsia="宋体" w:hint="default"/>
                <w:sz w:val="18"/>
                <w:szCs w:val="18"/>
              </w:rPr>
            </w:pPr>
            <w:r>
              <w:rPr>
                <w:rFonts w:ascii="宋体" w:hAnsi="宋体" w:cs="宋体" w:eastAsia="宋体" w:hint="default"/>
                <w:sz w:val="18"/>
                <w:szCs w:val="18"/>
              </w:rPr>
              <w:t>安徽苏宁电器有限公司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195"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1"/>
              <w:jc w:val="right"/>
              <w:rPr>
                <w:rFonts w:ascii="Arial" w:hAnsi="Arial" w:cs="Arial" w:eastAsia="Arial" w:hint="default"/>
                <w:sz w:val="18"/>
                <w:szCs w:val="18"/>
              </w:rPr>
            </w:pPr>
            <w:r>
              <w:rPr>
                <w:rFonts w:ascii="Arial"/>
                <w:spacing w:val="-1"/>
                <w:sz w:val="18"/>
              </w:rPr>
              <w:t>87,203</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3"/>
              <w:jc w:val="right"/>
              <w:rPr>
                <w:rFonts w:ascii="Arial" w:hAnsi="Arial" w:cs="Arial" w:eastAsia="Arial" w:hint="default"/>
                <w:sz w:val="18"/>
                <w:szCs w:val="18"/>
              </w:rPr>
            </w:pPr>
            <w:r>
              <w:rPr>
                <w:rFonts w:ascii="Arial"/>
                <w:spacing w:val="-1"/>
                <w:sz w:val="18"/>
              </w:rPr>
              <w:t>80,453</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7"/>
              <w:jc w:val="right"/>
              <w:rPr>
                <w:rFonts w:ascii="Arial" w:hAnsi="Arial" w:cs="Arial" w:eastAsia="Arial" w:hint="default"/>
                <w:sz w:val="18"/>
                <w:szCs w:val="18"/>
              </w:rPr>
            </w:pPr>
            <w:r>
              <w:rPr>
                <w:rFonts w:ascii="Arial"/>
                <w:spacing w:val="-1"/>
                <w:w w:val="95"/>
                <w:sz w:val="18"/>
              </w:rPr>
              <w:t>6,750</w:t>
            </w:r>
            <w:r>
              <w:rPr>
                <w:rFonts w:ascii="Arial"/>
                <w:sz w:val="18"/>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Arial" w:hAnsi="Arial" w:cs="Arial" w:eastAsia="Arial" w:hint="default"/>
                <w:sz w:val="18"/>
                <w:szCs w:val="18"/>
              </w:rPr>
            </w:pPr>
            <w:r>
              <w:rPr>
                <w:rFonts w:ascii="Arial"/>
                <w:spacing w:val="-1"/>
                <w:sz w:val="18"/>
              </w:rPr>
              <w:t>87,203</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796" w:val="left" w:leader="none"/>
                <w:tab w:pos="1678" w:val="left" w:leader="none"/>
                <w:tab w:pos="3106" w:val="left" w:leader="none"/>
              </w:tabs>
              <w:spacing w:line="240" w:lineRule="auto" w:before="15"/>
              <w:ind w:right="45"/>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34"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left"/>
              <w:rPr>
                <w:rFonts w:ascii="宋体" w:hAnsi="宋体" w:cs="宋体" w:eastAsia="宋体" w:hint="default"/>
                <w:sz w:val="18"/>
                <w:szCs w:val="18"/>
              </w:rPr>
            </w:pPr>
            <w:r>
              <w:rPr>
                <w:rFonts w:ascii="宋体" w:hAnsi="宋体" w:cs="宋体" w:eastAsia="宋体" w:hint="default"/>
                <w:sz w:val="18"/>
                <w:szCs w:val="18"/>
              </w:rPr>
              <w:t>深圳市苏宁电器有限公司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195"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1"/>
              <w:jc w:val="right"/>
              <w:rPr>
                <w:rFonts w:ascii="Arial" w:hAnsi="Arial" w:cs="Arial" w:eastAsia="Arial" w:hint="default"/>
                <w:sz w:val="18"/>
                <w:szCs w:val="18"/>
              </w:rPr>
            </w:pPr>
            <w:r>
              <w:rPr>
                <w:rFonts w:ascii="Arial"/>
                <w:spacing w:val="-1"/>
                <w:sz w:val="18"/>
              </w:rPr>
              <w:t>84,060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3"/>
              <w:jc w:val="right"/>
              <w:rPr>
                <w:rFonts w:ascii="Arial" w:hAnsi="Arial" w:cs="Arial" w:eastAsia="Arial" w:hint="default"/>
                <w:sz w:val="18"/>
                <w:szCs w:val="18"/>
              </w:rPr>
            </w:pPr>
            <w:r>
              <w:rPr>
                <w:rFonts w:ascii="Arial"/>
                <w:spacing w:val="-1"/>
                <w:sz w:val="18"/>
              </w:rPr>
              <w:t>70,470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5"/>
              <w:jc w:val="right"/>
              <w:rPr>
                <w:rFonts w:ascii="Arial" w:hAnsi="Arial" w:cs="Arial" w:eastAsia="Arial" w:hint="default"/>
                <w:sz w:val="18"/>
                <w:szCs w:val="18"/>
              </w:rPr>
            </w:pPr>
            <w:r>
              <w:rPr>
                <w:rFonts w:ascii="Arial"/>
                <w:spacing w:val="-1"/>
                <w:sz w:val="18"/>
              </w:rPr>
              <w:t>13,590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Arial" w:hAnsi="Arial" w:cs="Arial" w:eastAsia="Arial" w:hint="default"/>
                <w:sz w:val="18"/>
                <w:szCs w:val="18"/>
              </w:rPr>
            </w:pPr>
            <w:r>
              <w:rPr>
                <w:rFonts w:ascii="Arial"/>
                <w:spacing w:val="-1"/>
                <w:sz w:val="18"/>
              </w:rPr>
              <w:t>84,060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
              <w:jc w:val="right"/>
              <w:rPr>
                <w:rFonts w:ascii="Arial" w:hAnsi="Arial" w:cs="Arial" w:eastAsia="Arial" w:hint="default"/>
                <w:sz w:val="18"/>
                <w:szCs w:val="18"/>
              </w:rPr>
            </w:pPr>
            <w:r>
              <w:rPr>
                <w:rFonts w:ascii="Arial"/>
                <w:spacing w:val="-1"/>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796" w:val="left" w:leader="none"/>
                <w:tab w:pos="1678" w:val="left" w:leader="none"/>
                <w:tab w:pos="3106" w:val="left" w:leader="none"/>
              </w:tabs>
              <w:spacing w:line="240" w:lineRule="auto" w:before="15"/>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34"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left"/>
              <w:rPr>
                <w:rFonts w:ascii="宋体" w:hAnsi="宋体" w:cs="宋体" w:eastAsia="宋体" w:hint="default"/>
                <w:sz w:val="18"/>
                <w:szCs w:val="18"/>
              </w:rPr>
            </w:pPr>
            <w:r>
              <w:rPr>
                <w:rFonts w:ascii="宋体" w:hAnsi="宋体" w:cs="宋体" w:eastAsia="宋体" w:hint="default"/>
                <w:sz w:val="18"/>
                <w:szCs w:val="18"/>
              </w:rPr>
              <w:t>湖南苏宁电器有限公司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195"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1"/>
              <w:jc w:val="right"/>
              <w:rPr>
                <w:rFonts w:ascii="Arial" w:hAnsi="Arial" w:cs="Arial" w:eastAsia="Arial" w:hint="default"/>
                <w:sz w:val="18"/>
                <w:szCs w:val="18"/>
              </w:rPr>
            </w:pPr>
            <w:r>
              <w:rPr>
                <w:rFonts w:ascii="Arial"/>
                <w:spacing w:val="-1"/>
                <w:sz w:val="18"/>
              </w:rPr>
              <w:t>75,465</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1"/>
              <w:jc w:val="right"/>
              <w:rPr>
                <w:rFonts w:ascii="Arial" w:hAnsi="Arial" w:cs="Arial" w:eastAsia="Arial" w:hint="default"/>
                <w:sz w:val="18"/>
                <w:szCs w:val="18"/>
              </w:rPr>
            </w:pPr>
            <w:r>
              <w:rPr>
                <w:rFonts w:ascii="Arial"/>
                <w:spacing w:val="-1"/>
                <w:sz w:val="18"/>
              </w:rPr>
              <w:t>58,185</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5"/>
              <w:jc w:val="right"/>
              <w:rPr>
                <w:rFonts w:ascii="Arial" w:hAnsi="Arial" w:cs="Arial" w:eastAsia="Arial" w:hint="default"/>
                <w:sz w:val="18"/>
                <w:szCs w:val="18"/>
              </w:rPr>
            </w:pPr>
            <w:r>
              <w:rPr>
                <w:rFonts w:ascii="Arial"/>
                <w:spacing w:val="-1"/>
                <w:sz w:val="18"/>
              </w:rPr>
              <w:t>17,280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Arial" w:hAnsi="Arial" w:cs="Arial" w:eastAsia="Arial" w:hint="default"/>
                <w:sz w:val="18"/>
                <w:szCs w:val="18"/>
              </w:rPr>
            </w:pPr>
            <w:r>
              <w:rPr>
                <w:rFonts w:ascii="Arial"/>
                <w:spacing w:val="-1"/>
                <w:sz w:val="18"/>
              </w:rPr>
              <w:t>75,465</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796" w:val="left" w:leader="none"/>
                <w:tab w:pos="1678" w:val="left" w:leader="none"/>
                <w:tab w:pos="3106" w:val="left" w:leader="none"/>
              </w:tabs>
              <w:spacing w:line="240" w:lineRule="auto" w:before="15"/>
              <w:ind w:right="45"/>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34"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left"/>
              <w:rPr>
                <w:rFonts w:ascii="宋体" w:hAnsi="宋体" w:cs="宋体" w:eastAsia="宋体" w:hint="default"/>
                <w:sz w:val="18"/>
                <w:szCs w:val="18"/>
              </w:rPr>
            </w:pPr>
            <w:r>
              <w:rPr>
                <w:rFonts w:ascii="宋体" w:hAnsi="宋体" w:cs="宋体" w:eastAsia="宋体" w:hint="default"/>
                <w:sz w:val="18"/>
                <w:szCs w:val="18"/>
              </w:rPr>
              <w:t>新疆苏宁电器有限公司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195"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2"/>
              <w:jc w:val="right"/>
              <w:rPr>
                <w:rFonts w:ascii="Arial" w:hAnsi="Arial" w:cs="Arial" w:eastAsia="Arial" w:hint="default"/>
                <w:sz w:val="18"/>
                <w:szCs w:val="18"/>
              </w:rPr>
            </w:pPr>
            <w:r>
              <w:rPr>
                <w:rFonts w:ascii="Arial"/>
                <w:spacing w:val="-1"/>
                <w:sz w:val="18"/>
              </w:rPr>
              <w:t>68,670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0"/>
              <w:jc w:val="right"/>
              <w:rPr>
                <w:rFonts w:ascii="Arial" w:hAnsi="Arial" w:cs="Arial" w:eastAsia="Arial" w:hint="default"/>
                <w:sz w:val="18"/>
                <w:szCs w:val="18"/>
              </w:rPr>
            </w:pPr>
            <w:r>
              <w:rPr>
                <w:rFonts w:ascii="Arial"/>
                <w:spacing w:val="-1"/>
                <w:sz w:val="18"/>
              </w:rPr>
              <w:t>62,910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5"/>
              <w:jc w:val="right"/>
              <w:rPr>
                <w:rFonts w:ascii="Arial" w:hAnsi="Arial" w:cs="Arial" w:eastAsia="Arial" w:hint="default"/>
                <w:sz w:val="18"/>
                <w:szCs w:val="18"/>
              </w:rPr>
            </w:pPr>
            <w:r>
              <w:rPr>
                <w:rFonts w:ascii="Arial"/>
                <w:spacing w:val="-1"/>
                <w:w w:val="95"/>
                <w:sz w:val="18"/>
              </w:rPr>
              <w:t>5,760</w:t>
            </w:r>
            <w:r>
              <w:rPr>
                <w:rFonts w:ascii="Arial"/>
                <w:sz w:val="18"/>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Arial" w:hAnsi="Arial" w:cs="Arial" w:eastAsia="Arial" w:hint="default"/>
                <w:sz w:val="18"/>
                <w:szCs w:val="18"/>
              </w:rPr>
            </w:pPr>
            <w:r>
              <w:rPr>
                <w:rFonts w:ascii="Arial"/>
                <w:spacing w:val="-1"/>
                <w:sz w:val="18"/>
              </w:rPr>
              <w:t>68,670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
              <w:jc w:val="right"/>
              <w:rPr>
                <w:rFonts w:ascii="Arial" w:hAnsi="Arial" w:cs="Arial" w:eastAsia="Arial" w:hint="default"/>
                <w:sz w:val="18"/>
                <w:szCs w:val="18"/>
              </w:rPr>
            </w:pPr>
            <w:r>
              <w:rPr>
                <w:rFonts w:ascii="Arial"/>
                <w:spacing w:val="-1"/>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796" w:val="left" w:leader="none"/>
                <w:tab w:pos="1678" w:val="left" w:leader="none"/>
                <w:tab w:pos="3106" w:val="left" w:leader="none"/>
              </w:tabs>
              <w:spacing w:line="240" w:lineRule="auto" w:before="15"/>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34"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left"/>
              <w:rPr>
                <w:rFonts w:ascii="宋体" w:hAnsi="宋体" w:cs="宋体" w:eastAsia="宋体" w:hint="default"/>
                <w:sz w:val="18"/>
                <w:szCs w:val="18"/>
              </w:rPr>
            </w:pPr>
            <w:r>
              <w:rPr>
                <w:rFonts w:ascii="宋体" w:hAnsi="宋体" w:cs="宋体" w:eastAsia="宋体" w:hint="default"/>
                <w:sz w:val="18"/>
                <w:szCs w:val="18"/>
              </w:rPr>
              <w:t>天津天宁苏宁电器有限公司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195"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1"/>
              <w:jc w:val="right"/>
              <w:rPr>
                <w:rFonts w:ascii="Arial" w:hAnsi="Arial" w:cs="Arial" w:eastAsia="Arial" w:hint="default"/>
                <w:sz w:val="18"/>
                <w:szCs w:val="18"/>
              </w:rPr>
            </w:pPr>
            <w:r>
              <w:rPr>
                <w:rFonts w:ascii="Arial"/>
                <w:spacing w:val="-1"/>
                <w:sz w:val="18"/>
              </w:rPr>
              <w:t>58,000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1"/>
              <w:jc w:val="right"/>
              <w:rPr>
                <w:rFonts w:ascii="Arial" w:hAnsi="Arial" w:cs="Arial" w:eastAsia="Arial" w:hint="default"/>
                <w:sz w:val="18"/>
                <w:szCs w:val="18"/>
              </w:rPr>
            </w:pPr>
            <w:r>
              <w:rPr>
                <w:rFonts w:ascii="Arial"/>
                <w:spacing w:val="-1"/>
                <w:sz w:val="18"/>
              </w:rPr>
              <w:t>50,000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5"/>
              <w:jc w:val="right"/>
              <w:rPr>
                <w:rFonts w:ascii="Arial" w:hAnsi="Arial" w:cs="Arial" w:eastAsia="Arial" w:hint="default"/>
                <w:sz w:val="18"/>
                <w:szCs w:val="18"/>
              </w:rPr>
            </w:pPr>
            <w:r>
              <w:rPr>
                <w:rFonts w:ascii="Arial"/>
                <w:spacing w:val="-1"/>
                <w:w w:val="95"/>
                <w:sz w:val="18"/>
              </w:rPr>
              <w:t>8,000</w:t>
            </w:r>
            <w:r>
              <w:rPr>
                <w:rFonts w:ascii="Arial"/>
                <w:sz w:val="18"/>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Arial" w:hAnsi="Arial" w:cs="Arial" w:eastAsia="Arial" w:hint="default"/>
                <w:sz w:val="18"/>
                <w:szCs w:val="18"/>
              </w:rPr>
            </w:pPr>
            <w:r>
              <w:rPr>
                <w:rFonts w:ascii="Arial"/>
                <w:spacing w:val="-1"/>
                <w:sz w:val="18"/>
              </w:rPr>
              <w:t>58,000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
              <w:jc w:val="right"/>
              <w:rPr>
                <w:rFonts w:ascii="Arial" w:hAnsi="Arial" w:cs="Arial" w:eastAsia="Arial" w:hint="default"/>
                <w:sz w:val="18"/>
                <w:szCs w:val="18"/>
              </w:rPr>
            </w:pPr>
            <w:r>
              <w:rPr>
                <w:rFonts w:ascii="Arial"/>
                <w:spacing w:val="-1"/>
                <w:sz w:val="18"/>
              </w:rPr>
              <w:t>100%</w:t>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sz w:val="18"/>
              </w:rPr>
              <w:t>100%</w:t>
            </w:r>
          </w:p>
        </w:tc>
        <w:tc>
          <w:tcPr>
            <w:tcW w:w="4615" w:type="dxa"/>
            <w:tcBorders>
              <w:top w:val="nil" w:sz="6" w:space="0" w:color="auto"/>
              <w:left w:val="nil" w:sz="6" w:space="0" w:color="auto"/>
              <w:bottom w:val="nil" w:sz="6" w:space="0" w:color="auto"/>
              <w:right w:val="nil" w:sz="6" w:space="0" w:color="auto"/>
            </w:tcBorders>
          </w:tcPr>
          <w:p>
            <w:pPr>
              <w:pStyle w:val="TableParagraph"/>
              <w:tabs>
                <w:tab w:pos="796" w:val="left" w:leader="none"/>
                <w:tab w:pos="1678" w:val="left" w:leader="none"/>
                <w:tab w:pos="3106" w:val="left" w:leader="none"/>
              </w:tabs>
              <w:spacing w:line="240" w:lineRule="auto" w:before="15"/>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34"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left"/>
              <w:rPr>
                <w:rFonts w:ascii="宋体" w:hAnsi="宋体" w:cs="宋体" w:eastAsia="宋体" w:hint="default"/>
                <w:sz w:val="18"/>
                <w:szCs w:val="18"/>
              </w:rPr>
            </w:pPr>
            <w:r>
              <w:rPr>
                <w:rFonts w:ascii="宋体" w:hAnsi="宋体" w:cs="宋体" w:eastAsia="宋体" w:hint="default"/>
                <w:sz w:val="18"/>
                <w:szCs w:val="18"/>
              </w:rPr>
              <w:t>苏州苏宁电器有限公司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195"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2"/>
              <w:jc w:val="right"/>
              <w:rPr>
                <w:rFonts w:ascii="Arial" w:hAnsi="Arial" w:cs="Arial" w:eastAsia="Arial" w:hint="default"/>
                <w:sz w:val="18"/>
                <w:szCs w:val="18"/>
              </w:rPr>
            </w:pPr>
            <w:r>
              <w:rPr>
                <w:rFonts w:ascii="Arial"/>
                <w:spacing w:val="-1"/>
                <w:sz w:val="18"/>
              </w:rPr>
              <w:t>55,775</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1"/>
              <w:jc w:val="right"/>
              <w:rPr>
                <w:rFonts w:ascii="Arial" w:hAnsi="Arial" w:cs="Arial" w:eastAsia="Arial" w:hint="default"/>
                <w:sz w:val="18"/>
                <w:szCs w:val="18"/>
              </w:rPr>
            </w:pPr>
            <w:r>
              <w:rPr>
                <w:rFonts w:ascii="Arial"/>
                <w:spacing w:val="-1"/>
                <w:sz w:val="18"/>
              </w:rPr>
              <w:t>42,770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5"/>
              <w:jc w:val="right"/>
              <w:rPr>
                <w:rFonts w:ascii="Arial" w:hAnsi="Arial" w:cs="Arial" w:eastAsia="Arial" w:hint="default"/>
                <w:sz w:val="18"/>
                <w:szCs w:val="18"/>
              </w:rPr>
            </w:pPr>
            <w:r>
              <w:rPr>
                <w:rFonts w:ascii="Arial"/>
                <w:spacing w:val="-1"/>
                <w:sz w:val="18"/>
              </w:rPr>
              <w:t>13,005</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Arial" w:hAnsi="Arial" w:cs="Arial" w:eastAsia="Arial" w:hint="default"/>
                <w:sz w:val="18"/>
                <w:szCs w:val="18"/>
              </w:rPr>
            </w:pPr>
            <w:r>
              <w:rPr>
                <w:rFonts w:ascii="Arial"/>
                <w:spacing w:val="-1"/>
                <w:sz w:val="18"/>
              </w:rPr>
              <w:t>55,775</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
              <w:jc w:val="right"/>
              <w:rPr>
                <w:rFonts w:ascii="Arial" w:hAnsi="Arial" w:cs="Arial" w:eastAsia="Arial" w:hint="default"/>
                <w:sz w:val="18"/>
                <w:szCs w:val="18"/>
              </w:rPr>
            </w:pPr>
            <w:r>
              <w:rPr>
                <w:rFonts w:ascii="Arial"/>
                <w:spacing w:val="-1"/>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796" w:val="left" w:leader="none"/>
                <w:tab w:pos="1678" w:val="left" w:leader="none"/>
                <w:tab w:pos="3106" w:val="left" w:leader="none"/>
              </w:tabs>
              <w:spacing w:line="240" w:lineRule="auto" w:before="15"/>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34"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left"/>
              <w:rPr>
                <w:rFonts w:ascii="宋体" w:hAnsi="宋体" w:cs="宋体" w:eastAsia="宋体" w:hint="default"/>
                <w:sz w:val="18"/>
                <w:szCs w:val="18"/>
              </w:rPr>
            </w:pPr>
            <w:r>
              <w:rPr>
                <w:rFonts w:ascii="宋体" w:hAnsi="宋体" w:cs="宋体" w:eastAsia="宋体" w:hint="default"/>
                <w:sz w:val="18"/>
                <w:szCs w:val="18"/>
              </w:rPr>
              <w:t>淮安苏宁电器有限责任公司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195"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2"/>
              <w:jc w:val="right"/>
              <w:rPr>
                <w:rFonts w:ascii="Arial" w:hAnsi="Arial" w:cs="Arial" w:eastAsia="Arial" w:hint="default"/>
                <w:sz w:val="18"/>
                <w:szCs w:val="18"/>
              </w:rPr>
            </w:pPr>
            <w:r>
              <w:rPr>
                <w:rFonts w:ascii="Arial"/>
                <w:spacing w:val="-1"/>
                <w:sz w:val="18"/>
              </w:rPr>
              <w:t>48,551</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1"/>
              <w:jc w:val="right"/>
              <w:rPr>
                <w:rFonts w:ascii="Arial" w:hAnsi="Arial" w:cs="Arial" w:eastAsia="Arial" w:hint="default"/>
                <w:sz w:val="18"/>
                <w:szCs w:val="18"/>
              </w:rPr>
            </w:pPr>
            <w:r>
              <w:rPr>
                <w:rFonts w:ascii="Arial"/>
                <w:spacing w:val="-1"/>
                <w:w w:val="95"/>
                <w:sz w:val="18"/>
              </w:rPr>
              <w:t>1,651</w:t>
            </w:r>
            <w:r>
              <w:rPr>
                <w:rFonts w:ascii="Arial"/>
                <w:sz w:val="18"/>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4"/>
              <w:jc w:val="right"/>
              <w:rPr>
                <w:rFonts w:ascii="Arial" w:hAnsi="Arial" w:cs="Arial" w:eastAsia="Arial" w:hint="default"/>
                <w:sz w:val="18"/>
                <w:szCs w:val="18"/>
              </w:rPr>
            </w:pPr>
            <w:r>
              <w:rPr>
                <w:rFonts w:ascii="Arial"/>
                <w:spacing w:val="-1"/>
                <w:sz w:val="18"/>
              </w:rPr>
              <w:t>46,900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Arial" w:hAnsi="Arial" w:cs="Arial" w:eastAsia="Arial" w:hint="default"/>
                <w:sz w:val="18"/>
                <w:szCs w:val="18"/>
              </w:rPr>
            </w:pPr>
            <w:r>
              <w:rPr>
                <w:rFonts w:ascii="Arial"/>
                <w:spacing w:val="-1"/>
                <w:sz w:val="18"/>
              </w:rPr>
              <w:t>48,551</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
              <w:jc w:val="right"/>
              <w:rPr>
                <w:rFonts w:ascii="Arial" w:hAnsi="Arial" w:cs="Arial" w:eastAsia="Arial" w:hint="default"/>
                <w:sz w:val="18"/>
                <w:szCs w:val="18"/>
              </w:rPr>
            </w:pPr>
            <w:r>
              <w:rPr>
                <w:rFonts w:ascii="Arial"/>
                <w:spacing w:val="-1"/>
                <w:w w:val="95"/>
                <w:sz w:val="18"/>
              </w:rPr>
              <w:t>98%</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98%</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796" w:val="left" w:leader="none"/>
                <w:tab w:pos="1678" w:val="left" w:leader="none"/>
                <w:tab w:pos="2617" w:val="left" w:leader="none"/>
              </w:tabs>
              <w:spacing w:line="240" w:lineRule="auto" w:before="15"/>
              <w:ind w:right="44"/>
              <w:jc w:val="right"/>
              <w:rPr>
                <w:rFonts w:ascii="Arial" w:hAnsi="Arial" w:cs="Arial" w:eastAsia="Arial" w:hint="default"/>
                <w:sz w:val="18"/>
                <w:szCs w:val="18"/>
              </w:rPr>
            </w:pPr>
            <w:r>
              <w:rPr>
                <w:rFonts w:ascii="Arial"/>
                <w:sz w:val="18"/>
              </w:rPr>
              <w:t>-</w:t>
              <w:tab/>
              <w:t>-</w:t>
              <w:tab/>
              <w:t>-</w:t>
              <w:tab/>
            </w:r>
            <w:r>
              <w:rPr>
                <w:rFonts w:ascii="Arial"/>
                <w:spacing w:val="-1"/>
                <w:sz w:val="18"/>
              </w:rPr>
              <w:t>26,486</w:t>
            </w:r>
          </w:p>
        </w:tc>
      </w:tr>
      <w:tr>
        <w:trPr>
          <w:trHeight w:val="234"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left"/>
              <w:rPr>
                <w:rFonts w:ascii="宋体" w:hAnsi="宋体" w:cs="宋体" w:eastAsia="宋体" w:hint="default"/>
                <w:sz w:val="18"/>
                <w:szCs w:val="18"/>
              </w:rPr>
            </w:pPr>
            <w:r>
              <w:rPr>
                <w:rFonts w:ascii="宋体" w:hAnsi="宋体" w:cs="宋体" w:eastAsia="宋体" w:hint="default"/>
                <w:sz w:val="18"/>
                <w:szCs w:val="18"/>
              </w:rPr>
              <w:t>青岛胶宁苏宁电器有限公司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195"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1"/>
              <w:jc w:val="right"/>
              <w:rPr>
                <w:rFonts w:ascii="Arial" w:hAnsi="Arial" w:cs="Arial" w:eastAsia="Arial" w:hint="default"/>
                <w:sz w:val="18"/>
                <w:szCs w:val="18"/>
              </w:rPr>
            </w:pPr>
            <w:r>
              <w:rPr>
                <w:rFonts w:ascii="Arial"/>
                <w:spacing w:val="-1"/>
                <w:sz w:val="18"/>
              </w:rPr>
              <w:t>45,000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1"/>
              <w:jc w:val="right"/>
              <w:rPr>
                <w:rFonts w:ascii="Arial" w:hAnsi="Arial" w:cs="Arial" w:eastAsia="Arial" w:hint="default"/>
                <w:sz w:val="18"/>
                <w:szCs w:val="18"/>
              </w:rPr>
            </w:pPr>
            <w:r>
              <w:rPr>
                <w:rFonts w:ascii="Arial"/>
                <w:spacing w:val="-1"/>
                <w:sz w:val="18"/>
              </w:rPr>
              <w:t>45,000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6"/>
              <w:jc w:val="right"/>
              <w:rPr>
                <w:rFonts w:ascii="Arial" w:hAnsi="Arial" w:cs="Arial" w:eastAsia="Arial" w:hint="default"/>
                <w:sz w:val="18"/>
                <w:szCs w:val="18"/>
              </w:rPr>
            </w:pPr>
            <w:r>
              <w:rPr>
                <w:rFonts w:ascii="Arial"/>
                <w:w w:val="99"/>
                <w:sz w:val="18"/>
              </w:rPr>
              <w:t>-</w:t>
            </w:r>
            <w:r>
              <w:rPr>
                <w:rFonts w:ascii="Arial"/>
                <w:sz w:val="18"/>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Arial" w:hAnsi="Arial" w:cs="Arial" w:eastAsia="Arial" w:hint="default"/>
                <w:sz w:val="18"/>
                <w:szCs w:val="18"/>
              </w:rPr>
            </w:pPr>
            <w:r>
              <w:rPr>
                <w:rFonts w:ascii="Arial"/>
                <w:spacing w:val="-1"/>
                <w:sz w:val="18"/>
              </w:rPr>
              <w:t>45,000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2198" w:val="left" w:leader="none"/>
                <w:tab w:pos="3080" w:val="left" w:leader="none"/>
              </w:tabs>
              <w:spacing w:line="240" w:lineRule="auto" w:before="15"/>
              <w:ind w:left="1401" w:right="0"/>
              <w:jc w:val="left"/>
              <w:rPr>
                <w:rFonts w:ascii="Arial" w:hAnsi="Arial" w:cs="Arial" w:eastAsia="Arial" w:hint="default"/>
                <w:sz w:val="18"/>
                <w:szCs w:val="18"/>
              </w:rPr>
            </w:pPr>
            <w:r>
              <w:rPr>
                <w:rFonts w:ascii="Arial"/>
                <w:sz w:val="18"/>
              </w:rPr>
              <w:t>-</w:t>
              <w:tab/>
              <w:t>-</w:t>
              <w:tab/>
              <w:t>-</w:t>
            </w:r>
          </w:p>
        </w:tc>
      </w:tr>
      <w:tr>
        <w:trPr>
          <w:trHeight w:val="255"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left"/>
              <w:rPr>
                <w:rFonts w:ascii="宋体" w:hAnsi="宋体" w:cs="宋体" w:eastAsia="宋体" w:hint="default"/>
                <w:sz w:val="18"/>
                <w:szCs w:val="18"/>
              </w:rPr>
            </w:pPr>
            <w:r>
              <w:rPr>
                <w:rFonts w:ascii="宋体" w:hAnsi="宋体" w:cs="宋体" w:eastAsia="宋体" w:hint="default"/>
                <w:sz w:val="18"/>
                <w:szCs w:val="18"/>
              </w:rPr>
              <w:t>南昌苏宁电器有限公司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195"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2"/>
              <w:jc w:val="right"/>
              <w:rPr>
                <w:rFonts w:ascii="Arial" w:hAnsi="Arial" w:cs="Arial" w:eastAsia="Arial" w:hint="default"/>
                <w:sz w:val="18"/>
                <w:szCs w:val="18"/>
              </w:rPr>
            </w:pPr>
            <w:r>
              <w:rPr>
                <w:rFonts w:ascii="Arial"/>
                <w:spacing w:val="-1"/>
                <w:sz w:val="18"/>
              </w:rPr>
              <w:t>40,500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1"/>
              <w:jc w:val="right"/>
              <w:rPr>
                <w:rFonts w:ascii="Arial" w:hAnsi="Arial" w:cs="Arial" w:eastAsia="Arial" w:hint="default"/>
                <w:sz w:val="18"/>
                <w:szCs w:val="18"/>
              </w:rPr>
            </w:pPr>
            <w:r>
              <w:rPr>
                <w:rFonts w:ascii="Arial"/>
                <w:spacing w:val="-1"/>
                <w:sz w:val="18"/>
              </w:rPr>
              <w:t>40,500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5"/>
              <w:jc w:val="right"/>
              <w:rPr>
                <w:rFonts w:ascii="Arial" w:hAnsi="Arial" w:cs="Arial" w:eastAsia="Arial" w:hint="default"/>
                <w:sz w:val="18"/>
                <w:szCs w:val="18"/>
              </w:rPr>
            </w:pPr>
            <w:r>
              <w:rPr>
                <w:rFonts w:ascii="Arial"/>
                <w:w w:val="99"/>
                <w:sz w:val="18"/>
              </w:rPr>
              <w:t>-</w:t>
            </w:r>
            <w:r>
              <w:rPr>
                <w:rFonts w:ascii="Arial"/>
                <w:sz w:val="18"/>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Arial" w:hAnsi="Arial" w:cs="Arial" w:eastAsia="Arial" w:hint="default"/>
                <w:sz w:val="18"/>
                <w:szCs w:val="18"/>
              </w:rPr>
            </w:pPr>
            <w:r>
              <w:rPr>
                <w:rFonts w:ascii="Arial"/>
                <w:spacing w:val="-1"/>
                <w:sz w:val="18"/>
              </w:rPr>
              <w:t>40,500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
              <w:jc w:val="right"/>
              <w:rPr>
                <w:rFonts w:ascii="Arial" w:hAnsi="Arial" w:cs="Arial" w:eastAsia="Arial" w:hint="default"/>
                <w:sz w:val="18"/>
                <w:szCs w:val="18"/>
              </w:rPr>
            </w:pPr>
            <w:r>
              <w:rPr>
                <w:rFonts w:ascii="Arial"/>
                <w:spacing w:val="-1"/>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796" w:val="left" w:leader="none"/>
                <w:tab w:pos="1678" w:val="left" w:leader="none"/>
                <w:tab w:pos="2617" w:val="left" w:leader="none"/>
              </w:tabs>
              <w:spacing w:line="240" w:lineRule="auto" w:before="15"/>
              <w:ind w:right="44"/>
              <w:jc w:val="right"/>
              <w:rPr>
                <w:rFonts w:ascii="Arial" w:hAnsi="Arial" w:cs="Arial" w:eastAsia="Arial" w:hint="default"/>
                <w:sz w:val="18"/>
                <w:szCs w:val="18"/>
              </w:rPr>
            </w:pPr>
            <w:r>
              <w:rPr>
                <w:rFonts w:ascii="Arial"/>
                <w:sz w:val="18"/>
              </w:rPr>
              <w:t>-</w:t>
              <w:tab/>
              <w:t>-</w:t>
              <w:tab/>
              <w:t>-</w:t>
              <w:tab/>
            </w:r>
            <w:r>
              <w:rPr>
                <w:rFonts w:ascii="Arial"/>
                <w:spacing w:val="-1"/>
                <w:sz w:val="18"/>
              </w:rPr>
              <w:t>18,133</w:t>
            </w:r>
          </w:p>
        </w:tc>
      </w:tr>
      <w:tr>
        <w:trPr>
          <w:trHeight w:val="276"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16" w:lineRule="exact"/>
              <w:ind w:left="78" w:right="0"/>
              <w:jc w:val="left"/>
              <w:rPr>
                <w:rFonts w:ascii="宋体" w:hAnsi="宋体" w:cs="宋体" w:eastAsia="宋体" w:hint="default"/>
                <w:sz w:val="18"/>
                <w:szCs w:val="18"/>
              </w:rPr>
            </w:pPr>
            <w:r>
              <w:rPr>
                <w:rFonts w:ascii="宋体" w:hAnsi="宋体" w:cs="宋体" w:eastAsia="宋体" w:hint="default"/>
                <w:sz w:val="18"/>
                <w:szCs w:val="18"/>
              </w:rPr>
              <w:t>陕西苏宁电器有限公司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2"/>
              <w:jc w:val="right"/>
              <w:rPr>
                <w:rFonts w:ascii="Arial" w:hAnsi="Arial" w:cs="Arial" w:eastAsia="Arial" w:hint="default"/>
                <w:sz w:val="18"/>
                <w:szCs w:val="18"/>
              </w:rPr>
            </w:pPr>
            <w:r>
              <w:rPr>
                <w:rFonts w:ascii="Arial"/>
                <w:spacing w:val="-1"/>
                <w:sz w:val="18"/>
              </w:rPr>
              <w:t>38,329</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spacing w:val="-1"/>
                <w:sz w:val="18"/>
              </w:rPr>
              <w:t>38,329</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5"/>
              <w:jc w:val="right"/>
              <w:rPr>
                <w:rFonts w:ascii="Arial" w:hAnsi="Arial" w:cs="Arial" w:eastAsia="Arial" w:hint="default"/>
                <w:sz w:val="18"/>
                <w:szCs w:val="18"/>
              </w:rPr>
            </w:pPr>
            <w:r>
              <w:rPr>
                <w:rFonts w:ascii="Arial"/>
                <w:w w:val="99"/>
                <w:sz w:val="18"/>
              </w:rPr>
              <w:t>-</w:t>
            </w:r>
            <w:r>
              <w:rPr>
                <w:rFonts w:ascii="Arial"/>
                <w:sz w:val="18"/>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
              <w:jc w:val="right"/>
              <w:rPr>
                <w:rFonts w:ascii="Arial" w:hAnsi="Arial" w:cs="Arial" w:eastAsia="Arial" w:hint="default"/>
                <w:sz w:val="18"/>
                <w:szCs w:val="18"/>
              </w:rPr>
            </w:pPr>
            <w:r>
              <w:rPr>
                <w:rFonts w:ascii="Arial"/>
                <w:spacing w:val="-1"/>
                <w:sz w:val="18"/>
              </w:rPr>
              <w:t>38,329</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Arial" w:hAnsi="Arial" w:cs="Arial" w:eastAsia="Arial" w:hint="default"/>
                <w:sz w:val="18"/>
                <w:szCs w:val="18"/>
              </w:rPr>
            </w:pPr>
            <w:r>
              <w:rPr>
                <w:rFonts w:ascii="Arial"/>
                <w:spacing w:val="-1"/>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796" w:val="left" w:leader="none"/>
                <w:tab w:pos="1678" w:val="left" w:leader="none"/>
                <w:tab w:pos="3106" w:val="left" w:leader="none"/>
              </w:tabs>
              <w:spacing w:line="240" w:lineRule="auto" w:before="36"/>
              <w:ind w:right="44"/>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76"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16" w:lineRule="exact"/>
              <w:ind w:left="78" w:right="0"/>
              <w:jc w:val="left"/>
              <w:rPr>
                <w:rFonts w:ascii="宋体" w:hAnsi="宋体" w:cs="宋体" w:eastAsia="宋体" w:hint="default"/>
                <w:sz w:val="18"/>
                <w:szCs w:val="18"/>
              </w:rPr>
            </w:pPr>
            <w:r>
              <w:rPr>
                <w:rFonts w:ascii="宋体" w:hAnsi="宋体" w:cs="宋体" w:eastAsia="宋体" w:hint="default"/>
                <w:sz w:val="18"/>
                <w:szCs w:val="18"/>
              </w:rPr>
              <w:t>贵阳金阳苏宁电器有限公司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1"/>
              <w:jc w:val="right"/>
              <w:rPr>
                <w:rFonts w:ascii="Arial" w:hAnsi="Arial" w:cs="Arial" w:eastAsia="Arial" w:hint="default"/>
                <w:sz w:val="18"/>
                <w:szCs w:val="18"/>
              </w:rPr>
            </w:pPr>
            <w:r>
              <w:rPr>
                <w:rFonts w:ascii="Arial"/>
                <w:spacing w:val="-1"/>
                <w:sz w:val="18"/>
              </w:rPr>
              <w:t>36,000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w w:val="99"/>
                <w:sz w:val="18"/>
              </w:rPr>
              <w:t>-</w:t>
            </w:r>
            <w:r>
              <w:rPr>
                <w:rFonts w:ascii="Arial"/>
                <w:sz w:val="18"/>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5"/>
              <w:jc w:val="right"/>
              <w:rPr>
                <w:rFonts w:ascii="Arial" w:hAnsi="Arial" w:cs="Arial" w:eastAsia="Arial" w:hint="default"/>
                <w:sz w:val="18"/>
                <w:szCs w:val="18"/>
              </w:rPr>
            </w:pPr>
            <w:r>
              <w:rPr>
                <w:rFonts w:ascii="Arial"/>
                <w:spacing w:val="-1"/>
                <w:sz w:val="18"/>
              </w:rPr>
              <w:t>36,000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2"/>
              <w:jc w:val="right"/>
              <w:rPr>
                <w:rFonts w:ascii="Arial" w:hAnsi="Arial" w:cs="Arial" w:eastAsia="Arial" w:hint="default"/>
                <w:sz w:val="18"/>
                <w:szCs w:val="18"/>
              </w:rPr>
            </w:pPr>
            <w:r>
              <w:rPr>
                <w:rFonts w:ascii="Arial"/>
                <w:spacing w:val="-1"/>
                <w:sz w:val="18"/>
              </w:rPr>
              <w:t>36,000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2198" w:val="left" w:leader="none"/>
                <w:tab w:pos="3080" w:val="left" w:leader="none"/>
              </w:tabs>
              <w:spacing w:line="240" w:lineRule="auto" w:before="36"/>
              <w:ind w:left="1401" w:right="0"/>
              <w:jc w:val="left"/>
              <w:rPr>
                <w:rFonts w:ascii="Arial" w:hAnsi="Arial" w:cs="Arial" w:eastAsia="Arial" w:hint="default"/>
                <w:sz w:val="18"/>
                <w:szCs w:val="18"/>
              </w:rPr>
            </w:pPr>
            <w:r>
              <w:rPr>
                <w:rFonts w:ascii="Arial"/>
                <w:sz w:val="18"/>
              </w:rPr>
              <w:t>-</w:t>
              <w:tab/>
              <w:t>-</w:t>
              <w:tab/>
              <w:t>-</w:t>
            </w:r>
          </w:p>
        </w:tc>
      </w:tr>
      <w:tr>
        <w:trPr>
          <w:trHeight w:val="276"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16" w:lineRule="exact"/>
              <w:ind w:left="78" w:right="0"/>
              <w:jc w:val="left"/>
              <w:rPr>
                <w:rFonts w:ascii="宋体" w:hAnsi="宋体" w:cs="宋体" w:eastAsia="宋体" w:hint="default"/>
                <w:sz w:val="18"/>
                <w:szCs w:val="18"/>
              </w:rPr>
            </w:pPr>
            <w:r>
              <w:rPr>
                <w:rFonts w:ascii="宋体" w:hAnsi="宋体" w:cs="宋体" w:eastAsia="宋体" w:hint="default"/>
                <w:sz w:val="18"/>
                <w:szCs w:val="18"/>
              </w:rPr>
              <w:t>哈尔滨苏宁电器有限公司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1"/>
              <w:jc w:val="right"/>
              <w:rPr>
                <w:rFonts w:ascii="Arial" w:hAnsi="Arial" w:cs="Arial" w:eastAsia="Arial" w:hint="default"/>
                <w:sz w:val="18"/>
                <w:szCs w:val="18"/>
              </w:rPr>
            </w:pPr>
            <w:r>
              <w:rPr>
                <w:rFonts w:ascii="Arial"/>
                <w:spacing w:val="-1"/>
                <w:sz w:val="18"/>
              </w:rPr>
              <w:t>30,094</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spacing w:val="-1"/>
                <w:w w:val="95"/>
                <w:sz w:val="18"/>
              </w:rPr>
              <w:t>9,394</w:t>
            </w:r>
            <w:r>
              <w:rPr>
                <w:rFonts w:ascii="Arial"/>
                <w:sz w:val="18"/>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5"/>
              <w:jc w:val="right"/>
              <w:rPr>
                <w:rFonts w:ascii="Arial" w:hAnsi="Arial" w:cs="Arial" w:eastAsia="Arial" w:hint="default"/>
                <w:sz w:val="18"/>
                <w:szCs w:val="18"/>
              </w:rPr>
            </w:pPr>
            <w:r>
              <w:rPr>
                <w:rFonts w:ascii="Arial"/>
                <w:spacing w:val="-1"/>
                <w:sz w:val="18"/>
              </w:rPr>
              <w:t>20,700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2"/>
              <w:jc w:val="right"/>
              <w:rPr>
                <w:rFonts w:ascii="Arial" w:hAnsi="Arial" w:cs="Arial" w:eastAsia="Arial" w:hint="default"/>
                <w:sz w:val="18"/>
                <w:szCs w:val="18"/>
              </w:rPr>
            </w:pPr>
            <w:r>
              <w:rPr>
                <w:rFonts w:ascii="Arial"/>
                <w:spacing w:val="-1"/>
                <w:sz w:val="18"/>
              </w:rPr>
              <w:t>30,094</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2198" w:val="left" w:leader="none"/>
                <w:tab w:pos="3080" w:val="left" w:leader="none"/>
              </w:tabs>
              <w:spacing w:line="240" w:lineRule="auto" w:before="36"/>
              <w:ind w:left="1401" w:right="0"/>
              <w:jc w:val="left"/>
              <w:rPr>
                <w:rFonts w:ascii="Arial" w:hAnsi="Arial" w:cs="Arial" w:eastAsia="Arial" w:hint="default"/>
                <w:sz w:val="18"/>
                <w:szCs w:val="18"/>
              </w:rPr>
            </w:pPr>
            <w:r>
              <w:rPr>
                <w:rFonts w:ascii="Arial"/>
                <w:sz w:val="18"/>
              </w:rPr>
              <w:t>-</w:t>
              <w:tab/>
              <w:t>-</w:t>
              <w:tab/>
              <w:t>-</w:t>
            </w:r>
          </w:p>
        </w:tc>
      </w:tr>
      <w:tr>
        <w:trPr>
          <w:trHeight w:val="477"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34" w:lineRule="exact" w:before="4"/>
              <w:ind w:left="78" w:right="136"/>
              <w:jc w:val="left"/>
              <w:rPr>
                <w:rFonts w:ascii="宋体" w:hAnsi="宋体" w:cs="宋体" w:eastAsia="宋体" w:hint="default"/>
                <w:sz w:val="18"/>
                <w:szCs w:val="18"/>
              </w:rPr>
            </w:pPr>
            <w:r>
              <w:rPr>
                <w:rFonts w:ascii="宋体" w:hAnsi="宋体" w:cs="宋体" w:eastAsia="宋体" w:hint="default"/>
                <w:sz w:val="18"/>
                <w:szCs w:val="18"/>
              </w:rPr>
              <w:t>江苏法迪欧电器电器有限公司 江苏苏宁易购电子商务有限</w:t>
            </w:r>
          </w:p>
        </w:tc>
        <w:tc>
          <w:tcPr>
            <w:tcW w:w="1129"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1"/>
              <w:jc w:val="right"/>
              <w:rPr>
                <w:rFonts w:ascii="Arial" w:hAnsi="Arial" w:cs="Arial" w:eastAsia="Arial" w:hint="default"/>
                <w:sz w:val="18"/>
                <w:szCs w:val="18"/>
              </w:rPr>
            </w:pPr>
            <w:r>
              <w:rPr>
                <w:rFonts w:ascii="Arial"/>
                <w:spacing w:val="-1"/>
                <w:sz w:val="18"/>
              </w:rPr>
              <w:t>30,000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spacing w:val="-1"/>
                <w:sz w:val="18"/>
              </w:rPr>
              <w:t>10,000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5"/>
              <w:jc w:val="right"/>
              <w:rPr>
                <w:rFonts w:ascii="Arial" w:hAnsi="Arial" w:cs="Arial" w:eastAsia="Arial" w:hint="default"/>
                <w:sz w:val="18"/>
                <w:szCs w:val="18"/>
              </w:rPr>
            </w:pPr>
            <w:r>
              <w:rPr>
                <w:rFonts w:ascii="Arial"/>
                <w:spacing w:val="-1"/>
                <w:sz w:val="18"/>
              </w:rPr>
              <w:t>20,000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2"/>
              <w:jc w:val="right"/>
              <w:rPr>
                <w:rFonts w:ascii="Arial" w:hAnsi="Arial" w:cs="Arial" w:eastAsia="Arial" w:hint="default"/>
                <w:sz w:val="18"/>
                <w:szCs w:val="18"/>
              </w:rPr>
            </w:pPr>
            <w:r>
              <w:rPr>
                <w:rFonts w:ascii="Arial"/>
                <w:spacing w:val="-1"/>
                <w:sz w:val="18"/>
              </w:rPr>
              <w:t>30,000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Arial" w:hAnsi="Arial" w:cs="Arial" w:eastAsia="Arial" w:hint="default"/>
                <w:sz w:val="18"/>
                <w:szCs w:val="18"/>
              </w:rPr>
            </w:pPr>
            <w:r>
              <w:rPr>
                <w:rFonts w:ascii="Arial"/>
                <w:spacing w:val="-1"/>
                <w:sz w:val="18"/>
              </w:rPr>
              <w:t>100%</w:t>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Arial" w:hAnsi="Arial" w:cs="Arial" w:eastAsia="Arial" w:hint="default"/>
                <w:sz w:val="18"/>
                <w:szCs w:val="18"/>
              </w:rPr>
            </w:pPr>
            <w:r>
              <w:rPr>
                <w:rFonts w:ascii="Arial"/>
                <w:spacing w:val="-1"/>
                <w:sz w:val="18"/>
              </w:rPr>
              <w:t>100%</w:t>
            </w:r>
          </w:p>
        </w:tc>
        <w:tc>
          <w:tcPr>
            <w:tcW w:w="4615" w:type="dxa"/>
            <w:tcBorders>
              <w:top w:val="nil" w:sz="6" w:space="0" w:color="auto"/>
              <w:left w:val="nil" w:sz="6" w:space="0" w:color="auto"/>
              <w:bottom w:val="nil" w:sz="6" w:space="0" w:color="auto"/>
              <w:right w:val="nil" w:sz="6" w:space="0" w:color="auto"/>
            </w:tcBorders>
          </w:tcPr>
          <w:p>
            <w:pPr>
              <w:pStyle w:val="TableParagraph"/>
              <w:tabs>
                <w:tab w:pos="2198" w:val="left" w:leader="none"/>
                <w:tab w:pos="3080" w:val="left" w:leader="none"/>
              </w:tabs>
              <w:spacing w:line="240" w:lineRule="auto" w:before="36"/>
              <w:ind w:left="1401" w:right="0"/>
              <w:jc w:val="left"/>
              <w:rPr>
                <w:rFonts w:ascii="Arial" w:hAnsi="Arial" w:cs="Arial" w:eastAsia="Arial" w:hint="default"/>
                <w:sz w:val="18"/>
                <w:szCs w:val="18"/>
              </w:rPr>
            </w:pPr>
            <w:r>
              <w:rPr>
                <w:rFonts w:ascii="Arial"/>
                <w:sz w:val="18"/>
              </w:rPr>
              <w:t>-</w:t>
              <w:tab/>
              <w:t>-</w:t>
              <w:tab/>
              <w:t>-</w:t>
            </w:r>
          </w:p>
        </w:tc>
      </w:tr>
      <w:tr>
        <w:trPr>
          <w:trHeight w:val="267"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07" w:lineRule="exact"/>
              <w:ind w:left="28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07"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1"/>
              <w:jc w:val="right"/>
              <w:rPr>
                <w:rFonts w:ascii="Arial" w:hAnsi="Arial" w:cs="Arial" w:eastAsia="Arial" w:hint="default"/>
                <w:sz w:val="18"/>
                <w:szCs w:val="18"/>
              </w:rPr>
            </w:pPr>
            <w:r>
              <w:rPr>
                <w:rFonts w:ascii="Arial"/>
                <w:spacing w:val="-1"/>
                <w:sz w:val="18"/>
              </w:rPr>
              <w:t>30,000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1"/>
              <w:jc w:val="right"/>
              <w:rPr>
                <w:rFonts w:ascii="Arial" w:hAnsi="Arial" w:cs="Arial" w:eastAsia="Arial" w:hint="default"/>
                <w:sz w:val="18"/>
                <w:szCs w:val="18"/>
              </w:rPr>
            </w:pPr>
            <w:r>
              <w:rPr>
                <w:rFonts w:ascii="Arial"/>
                <w:w w:val="99"/>
                <w:sz w:val="18"/>
              </w:rPr>
              <w:t>-</w:t>
            </w:r>
            <w:r>
              <w:rPr>
                <w:rFonts w:ascii="Arial"/>
                <w:sz w:val="18"/>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5"/>
              <w:jc w:val="right"/>
              <w:rPr>
                <w:rFonts w:ascii="Arial" w:hAnsi="Arial" w:cs="Arial" w:eastAsia="Arial" w:hint="default"/>
                <w:sz w:val="18"/>
                <w:szCs w:val="18"/>
              </w:rPr>
            </w:pPr>
            <w:r>
              <w:rPr>
                <w:rFonts w:ascii="Arial"/>
                <w:spacing w:val="-1"/>
                <w:sz w:val="18"/>
              </w:rPr>
              <w:t>30,000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2"/>
              <w:jc w:val="right"/>
              <w:rPr>
                <w:rFonts w:ascii="Arial" w:hAnsi="Arial" w:cs="Arial" w:eastAsia="Arial" w:hint="default"/>
                <w:sz w:val="18"/>
                <w:szCs w:val="18"/>
              </w:rPr>
            </w:pPr>
            <w:r>
              <w:rPr>
                <w:rFonts w:ascii="Arial"/>
                <w:spacing w:val="-1"/>
                <w:sz w:val="18"/>
              </w:rPr>
              <w:t>30,000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3"/>
              <w:jc w:val="right"/>
              <w:rPr>
                <w:rFonts w:ascii="Arial" w:hAnsi="Arial" w:cs="Arial" w:eastAsia="Arial" w:hint="default"/>
                <w:sz w:val="18"/>
                <w:szCs w:val="18"/>
              </w:rPr>
            </w:pPr>
            <w:r>
              <w:rPr>
                <w:rFonts w:ascii="Arial"/>
                <w:spacing w:val="-1"/>
                <w:w w:val="95"/>
                <w:sz w:val="18"/>
              </w:rPr>
              <w:t>60%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5"/>
              <w:jc w:val="right"/>
              <w:rPr>
                <w:rFonts w:ascii="Arial" w:hAnsi="Arial" w:cs="Arial" w:eastAsia="Arial" w:hint="default"/>
                <w:sz w:val="18"/>
                <w:szCs w:val="18"/>
              </w:rPr>
            </w:pPr>
            <w:r>
              <w:rPr>
                <w:rFonts w:ascii="Arial"/>
                <w:spacing w:val="-1"/>
                <w:w w:val="95"/>
                <w:sz w:val="18"/>
              </w:rPr>
              <w:t>60%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2198" w:val="left" w:leader="none"/>
                <w:tab w:pos="3080" w:val="left" w:leader="none"/>
              </w:tabs>
              <w:spacing w:line="240" w:lineRule="auto" w:before="27"/>
              <w:ind w:left="1401" w:right="0"/>
              <w:jc w:val="left"/>
              <w:rPr>
                <w:rFonts w:ascii="Arial" w:hAnsi="Arial" w:cs="Arial" w:eastAsia="Arial" w:hint="default"/>
                <w:sz w:val="18"/>
                <w:szCs w:val="18"/>
              </w:rPr>
            </w:pPr>
            <w:r>
              <w:rPr>
                <w:rFonts w:ascii="Arial"/>
                <w:sz w:val="18"/>
              </w:rPr>
              <w:t>-</w:t>
              <w:tab/>
              <w:t>-</w:t>
              <w:tab/>
              <w:t>-</w:t>
            </w:r>
          </w:p>
        </w:tc>
      </w:tr>
      <w:tr>
        <w:trPr>
          <w:trHeight w:val="276"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16" w:lineRule="exact"/>
              <w:ind w:left="78" w:right="0"/>
              <w:jc w:val="left"/>
              <w:rPr>
                <w:rFonts w:ascii="宋体" w:hAnsi="宋体" w:cs="宋体" w:eastAsia="宋体" w:hint="default"/>
                <w:sz w:val="18"/>
                <w:szCs w:val="18"/>
              </w:rPr>
            </w:pPr>
            <w:r>
              <w:rPr>
                <w:rFonts w:ascii="宋体" w:hAnsi="宋体" w:cs="宋体" w:eastAsia="宋体" w:hint="default"/>
                <w:sz w:val="18"/>
                <w:szCs w:val="18"/>
              </w:rPr>
              <w:t>无锡市苏宁电器有限公司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1"/>
              <w:jc w:val="right"/>
              <w:rPr>
                <w:rFonts w:ascii="Arial" w:hAnsi="Arial" w:cs="Arial" w:eastAsia="Arial" w:hint="default"/>
                <w:sz w:val="18"/>
                <w:szCs w:val="18"/>
              </w:rPr>
            </w:pPr>
            <w:r>
              <w:rPr>
                <w:rFonts w:ascii="Arial"/>
                <w:spacing w:val="-1"/>
                <w:sz w:val="18"/>
              </w:rPr>
              <w:t>27,180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spacing w:val="-1"/>
                <w:sz w:val="18"/>
              </w:rPr>
              <w:t>27,180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6"/>
              <w:jc w:val="right"/>
              <w:rPr>
                <w:rFonts w:ascii="Arial" w:hAnsi="Arial" w:cs="Arial" w:eastAsia="Arial" w:hint="default"/>
                <w:sz w:val="18"/>
                <w:szCs w:val="18"/>
              </w:rPr>
            </w:pPr>
            <w:r>
              <w:rPr>
                <w:rFonts w:ascii="Arial"/>
                <w:w w:val="99"/>
                <w:sz w:val="18"/>
              </w:rPr>
              <w:t>-</w:t>
            </w:r>
            <w:r>
              <w:rPr>
                <w:rFonts w:ascii="Arial"/>
                <w:sz w:val="18"/>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2"/>
              <w:jc w:val="right"/>
              <w:rPr>
                <w:rFonts w:ascii="Arial" w:hAnsi="Arial" w:cs="Arial" w:eastAsia="Arial" w:hint="default"/>
                <w:sz w:val="18"/>
                <w:szCs w:val="18"/>
              </w:rPr>
            </w:pPr>
            <w:r>
              <w:rPr>
                <w:rFonts w:ascii="Arial"/>
                <w:spacing w:val="-1"/>
                <w:sz w:val="18"/>
              </w:rPr>
              <w:t>27,180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2198" w:val="left" w:leader="none"/>
                <w:tab w:pos="3080" w:val="left" w:leader="none"/>
              </w:tabs>
              <w:spacing w:line="240" w:lineRule="auto" w:before="36"/>
              <w:ind w:left="1401" w:right="0"/>
              <w:jc w:val="left"/>
              <w:rPr>
                <w:rFonts w:ascii="Arial" w:hAnsi="Arial" w:cs="Arial" w:eastAsia="Arial" w:hint="default"/>
                <w:sz w:val="18"/>
                <w:szCs w:val="18"/>
              </w:rPr>
            </w:pPr>
            <w:r>
              <w:rPr>
                <w:rFonts w:ascii="Arial"/>
                <w:sz w:val="18"/>
              </w:rPr>
              <w:t>-</w:t>
              <w:tab/>
              <w:t>-</w:t>
              <w:tab/>
              <w:t>-</w:t>
            </w:r>
          </w:p>
        </w:tc>
      </w:tr>
      <w:tr>
        <w:trPr>
          <w:trHeight w:val="276"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16" w:lineRule="exact"/>
              <w:ind w:left="78" w:right="0"/>
              <w:jc w:val="left"/>
              <w:rPr>
                <w:rFonts w:ascii="宋体" w:hAnsi="宋体" w:cs="宋体" w:eastAsia="宋体" w:hint="default"/>
                <w:sz w:val="18"/>
                <w:szCs w:val="18"/>
              </w:rPr>
            </w:pPr>
            <w:r>
              <w:rPr>
                <w:rFonts w:ascii="宋体" w:hAnsi="宋体" w:cs="宋体" w:eastAsia="宋体" w:hint="default"/>
                <w:sz w:val="18"/>
                <w:szCs w:val="18"/>
              </w:rPr>
              <w:t>河南苏宁电器有限公司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1"/>
              <w:jc w:val="right"/>
              <w:rPr>
                <w:rFonts w:ascii="Arial" w:hAnsi="Arial" w:cs="Arial" w:eastAsia="Arial" w:hint="default"/>
                <w:sz w:val="18"/>
                <w:szCs w:val="18"/>
              </w:rPr>
            </w:pPr>
            <w:r>
              <w:rPr>
                <w:rFonts w:ascii="Arial"/>
                <w:spacing w:val="-1"/>
                <w:sz w:val="18"/>
              </w:rPr>
              <w:t>27,000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spacing w:val="-1"/>
                <w:sz w:val="18"/>
              </w:rPr>
              <w:t>27,000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6"/>
              <w:jc w:val="right"/>
              <w:rPr>
                <w:rFonts w:ascii="Arial" w:hAnsi="Arial" w:cs="Arial" w:eastAsia="Arial" w:hint="default"/>
                <w:sz w:val="18"/>
                <w:szCs w:val="18"/>
              </w:rPr>
            </w:pPr>
            <w:r>
              <w:rPr>
                <w:rFonts w:ascii="Arial"/>
                <w:w w:val="99"/>
                <w:sz w:val="18"/>
              </w:rPr>
              <w:t>-</w:t>
            </w:r>
            <w:r>
              <w:rPr>
                <w:rFonts w:ascii="Arial"/>
                <w:sz w:val="18"/>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2"/>
              <w:jc w:val="right"/>
              <w:rPr>
                <w:rFonts w:ascii="Arial" w:hAnsi="Arial" w:cs="Arial" w:eastAsia="Arial" w:hint="default"/>
                <w:sz w:val="18"/>
                <w:szCs w:val="18"/>
              </w:rPr>
            </w:pPr>
            <w:r>
              <w:rPr>
                <w:rFonts w:ascii="Arial"/>
                <w:spacing w:val="-1"/>
                <w:sz w:val="18"/>
              </w:rPr>
              <w:t>27,000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796" w:val="left" w:leader="none"/>
                <w:tab w:pos="1678" w:val="left" w:leader="none"/>
                <w:tab w:pos="2617" w:val="left" w:leader="none"/>
              </w:tabs>
              <w:spacing w:line="240" w:lineRule="auto" w:before="36"/>
              <w:ind w:right="44"/>
              <w:jc w:val="right"/>
              <w:rPr>
                <w:rFonts w:ascii="Arial" w:hAnsi="Arial" w:cs="Arial" w:eastAsia="Arial" w:hint="default"/>
                <w:sz w:val="18"/>
                <w:szCs w:val="18"/>
              </w:rPr>
            </w:pPr>
            <w:r>
              <w:rPr>
                <w:rFonts w:ascii="Arial"/>
                <w:sz w:val="18"/>
              </w:rPr>
              <w:t>-</w:t>
              <w:tab/>
              <w:t>-</w:t>
              <w:tab/>
              <w:t>-</w:t>
              <w:tab/>
            </w:r>
            <w:r>
              <w:rPr>
                <w:rFonts w:ascii="Arial"/>
                <w:spacing w:val="-1"/>
                <w:sz w:val="18"/>
              </w:rPr>
              <w:t>15,544</w:t>
            </w:r>
          </w:p>
        </w:tc>
      </w:tr>
      <w:tr>
        <w:trPr>
          <w:trHeight w:val="340" w:hRule="exact"/>
        </w:trPr>
        <w:tc>
          <w:tcPr>
            <w:tcW w:w="594"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16" w:lineRule="exact"/>
              <w:ind w:left="78" w:right="0"/>
              <w:jc w:val="left"/>
              <w:rPr>
                <w:rFonts w:ascii="宋体" w:hAnsi="宋体" w:cs="宋体" w:eastAsia="宋体" w:hint="default"/>
                <w:sz w:val="18"/>
                <w:szCs w:val="18"/>
              </w:rPr>
            </w:pPr>
            <w:r>
              <w:rPr>
                <w:rFonts w:ascii="宋体" w:hAnsi="宋体" w:cs="宋体" w:eastAsia="宋体" w:hint="default"/>
                <w:sz w:val="18"/>
                <w:szCs w:val="18"/>
              </w:rPr>
              <w:t>湖南苏宁先锋电子有限公司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16" w:lineRule="exact"/>
              <w:ind w:right="26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1"/>
              <w:jc w:val="right"/>
              <w:rPr>
                <w:rFonts w:ascii="Arial" w:hAnsi="Arial" w:cs="Arial" w:eastAsia="Arial" w:hint="default"/>
                <w:sz w:val="18"/>
                <w:szCs w:val="18"/>
              </w:rPr>
            </w:pPr>
            <w:r>
              <w:rPr>
                <w:rFonts w:ascii="Arial"/>
                <w:spacing w:val="-1"/>
                <w:sz w:val="18"/>
              </w:rPr>
              <w:t>27,000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w w:val="99"/>
                <w:sz w:val="18"/>
              </w:rPr>
              <w:t>-</w:t>
            </w:r>
            <w:r>
              <w:rPr>
                <w:rFonts w:ascii="Arial"/>
                <w:sz w:val="18"/>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5"/>
              <w:jc w:val="right"/>
              <w:rPr>
                <w:rFonts w:ascii="Arial" w:hAnsi="Arial" w:cs="Arial" w:eastAsia="Arial" w:hint="default"/>
                <w:sz w:val="18"/>
                <w:szCs w:val="18"/>
              </w:rPr>
            </w:pPr>
            <w:r>
              <w:rPr>
                <w:rFonts w:ascii="Arial"/>
                <w:spacing w:val="-1"/>
                <w:sz w:val="18"/>
              </w:rPr>
              <w:t>27,000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2"/>
              <w:jc w:val="right"/>
              <w:rPr>
                <w:rFonts w:ascii="Arial" w:hAnsi="Arial" w:cs="Arial" w:eastAsia="Arial" w:hint="default"/>
                <w:sz w:val="18"/>
                <w:szCs w:val="18"/>
              </w:rPr>
            </w:pPr>
            <w:r>
              <w:rPr>
                <w:rFonts w:ascii="Arial"/>
                <w:spacing w:val="-1"/>
                <w:sz w:val="18"/>
              </w:rPr>
              <w:t>27,000</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Arial" w:hAnsi="Arial" w:cs="Arial" w:eastAsia="Arial" w:hint="default"/>
                <w:sz w:val="18"/>
                <w:szCs w:val="18"/>
              </w:rPr>
            </w:pPr>
            <w:r>
              <w:rPr>
                <w:rFonts w:ascii="Arial"/>
                <w:spacing w:val="-1"/>
                <w:w w:val="95"/>
                <w:sz w:val="18"/>
              </w:rPr>
              <w:t>90%</w:t>
            </w:r>
            <w:r>
              <w:rPr>
                <w:rFonts w:ascii="Arial"/>
                <w:sz w:val="18"/>
              </w:rPr>
            </w:r>
          </w:p>
        </w:tc>
        <w:tc>
          <w:tcPr>
            <w:tcW w:w="4615" w:type="dxa"/>
            <w:tcBorders>
              <w:top w:val="nil" w:sz="6" w:space="0" w:color="auto"/>
              <w:left w:val="nil" w:sz="6" w:space="0" w:color="auto"/>
              <w:bottom w:val="nil" w:sz="6" w:space="0" w:color="auto"/>
              <w:right w:val="nil" w:sz="6" w:space="0" w:color="auto"/>
            </w:tcBorders>
          </w:tcPr>
          <w:p>
            <w:pPr>
              <w:pStyle w:val="TableParagraph"/>
              <w:tabs>
                <w:tab w:pos="2198" w:val="left" w:leader="none"/>
                <w:tab w:pos="3080" w:val="left" w:leader="none"/>
              </w:tabs>
              <w:spacing w:line="240" w:lineRule="auto" w:before="36"/>
              <w:ind w:left="1401" w:right="0"/>
              <w:jc w:val="left"/>
              <w:rPr>
                <w:rFonts w:ascii="Arial" w:hAnsi="Arial" w:cs="Arial" w:eastAsia="Arial" w:hint="default"/>
                <w:sz w:val="18"/>
                <w:szCs w:val="18"/>
              </w:rPr>
            </w:pPr>
            <w:r>
              <w:rPr>
                <w:rFonts w:ascii="Arial"/>
                <w:sz w:val="18"/>
              </w:rPr>
              <w:t>-</w:t>
              <w:tab/>
              <w:t>-</w:t>
              <w:tab/>
              <w:t>-</w:t>
            </w:r>
          </w:p>
        </w:tc>
      </w:tr>
    </w:tbl>
    <w:p>
      <w:pPr>
        <w:spacing w:after="0" w:line="240" w:lineRule="auto"/>
        <w:jc w:val="left"/>
        <w:rPr>
          <w:rFonts w:ascii="Arial" w:hAnsi="Arial" w:cs="Arial" w:eastAsia="Arial" w:hint="default"/>
          <w:sz w:val="18"/>
          <w:szCs w:val="18"/>
        </w:rPr>
        <w:sectPr>
          <w:pgSz w:w="16840" w:h="11910" w:orient="landscape"/>
          <w:pgMar w:header="755" w:footer="945" w:top="2300" w:bottom="1140" w:left="360" w:right="1040"/>
        </w:sectPr>
      </w:pPr>
    </w:p>
    <w:p>
      <w:pPr>
        <w:spacing w:line="240" w:lineRule="auto" w:before="4"/>
        <w:rPr>
          <w:rFonts w:ascii="Times New Roman" w:hAnsi="Times New Roman" w:cs="Times New Roman" w:eastAsia="Times New Roman"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589"/>
        <w:gridCol w:w="2544"/>
        <w:gridCol w:w="1098"/>
        <w:gridCol w:w="1118"/>
        <w:gridCol w:w="1357"/>
        <w:gridCol w:w="1312"/>
        <w:gridCol w:w="1379"/>
        <w:gridCol w:w="584"/>
        <w:gridCol w:w="613"/>
        <w:gridCol w:w="4695"/>
      </w:tblGrid>
      <w:tr>
        <w:trPr>
          <w:trHeight w:val="1616" w:hRule="exact"/>
        </w:trPr>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p>
            <w:pPr>
              <w:pStyle w:val="TableParagraph"/>
              <w:spacing w:line="240" w:lineRule="auto" w:before="161"/>
              <w:ind w:left="35" w:right="0"/>
              <w:jc w:val="left"/>
              <w:rPr>
                <w:rFonts w:ascii="Arial" w:hAnsi="Arial" w:cs="Arial" w:eastAsia="Arial" w:hint="default"/>
                <w:sz w:val="24"/>
                <w:szCs w:val="24"/>
              </w:rPr>
            </w:pPr>
            <w:r>
              <w:rPr>
                <w:rFonts w:ascii="Arial"/>
                <w:sz w:val="24"/>
              </w:rPr>
              <w:t>(3)</w:t>
            </w:r>
          </w:p>
          <w:p>
            <w:pPr>
              <w:pStyle w:val="TableParagraph"/>
              <w:spacing w:line="240" w:lineRule="auto" w:before="162"/>
              <w:ind w:left="35" w:right="0"/>
              <w:jc w:val="left"/>
              <w:rPr>
                <w:rFonts w:ascii="Arial" w:hAnsi="Arial" w:cs="Arial" w:eastAsia="Arial" w:hint="default"/>
                <w:sz w:val="24"/>
                <w:szCs w:val="24"/>
              </w:rPr>
            </w:pPr>
            <w:r>
              <w:rPr>
                <w:rFonts w:ascii="Arial"/>
                <w:sz w:val="24"/>
              </w:rPr>
              <w:t>(a)</w:t>
            </w:r>
          </w:p>
        </w:tc>
        <w:tc>
          <w:tcPr>
            <w:tcW w:w="2544" w:type="dxa"/>
            <w:tcBorders>
              <w:top w:val="nil" w:sz="6" w:space="0" w:color="auto"/>
              <w:left w:val="nil" w:sz="6" w:space="0" w:color="auto"/>
              <w:bottom w:val="nil" w:sz="6" w:space="0" w:color="auto"/>
              <w:right w:val="nil" w:sz="6" w:space="0" w:color="auto"/>
            </w:tcBorders>
          </w:tcPr>
          <w:p>
            <w:pPr>
              <w:pStyle w:val="TableParagraph"/>
              <w:spacing w:line="316" w:lineRule="auto" w:before="26"/>
              <w:ind w:left="73" w:right="145"/>
              <w:jc w:val="left"/>
              <w:rPr>
                <w:rFonts w:ascii="Arial" w:hAnsi="Arial" w:cs="Arial" w:eastAsia="Arial" w:hint="default"/>
                <w:sz w:val="24"/>
                <w:szCs w:val="24"/>
              </w:rPr>
            </w:pPr>
            <w:r>
              <w:rPr>
                <w:rFonts w:ascii="宋体" w:hAnsi="宋体" w:cs="宋体" w:eastAsia="宋体" w:hint="default"/>
                <w:b/>
                <w:bCs/>
                <w:w w:val="95"/>
                <w:sz w:val="24"/>
                <w:szCs w:val="24"/>
              </w:rPr>
              <w:t>公司财务报表附注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44"/>
                <w:w w:val="95"/>
                <w:sz w:val="24"/>
                <w:szCs w:val="24"/>
              </w:rPr>
              <w:t> </w:t>
            </w:r>
            <w:r>
              <w:rPr>
                <w:rFonts w:ascii="宋体" w:hAnsi="宋体" w:cs="宋体" w:eastAsia="宋体" w:hint="default"/>
                <w:b/>
                <w:bCs/>
                <w:sz w:val="24"/>
                <w:szCs w:val="24"/>
              </w:rPr>
              <w:t>长期股权投资</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b/>
                <w:bCs/>
                <w:w w:val="99"/>
                <w:sz w:val="24"/>
                <w:szCs w:val="24"/>
              </w:rPr>
              <w:t> </w:t>
            </w: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098"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50"/>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312"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5"/>
              <w:jc w:val="righ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41"/>
              <w:jc w:val="right"/>
              <w:rPr>
                <w:rFonts w:ascii="宋体" w:hAnsi="宋体" w:cs="宋体" w:eastAsia="宋体" w:hint="default"/>
                <w:sz w:val="18"/>
                <w:szCs w:val="18"/>
              </w:rPr>
            </w:pPr>
            <w:r>
              <w:rPr>
                <w:rFonts w:ascii="宋体" w:hAnsi="宋体" w:cs="宋体" w:eastAsia="宋体" w:hint="default"/>
                <w:sz w:val="18"/>
                <w:szCs w:val="18"/>
              </w:rPr>
              <w:t>持股</w:t>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4"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46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tabs>
                <w:tab w:pos="2391" w:val="left" w:leader="none"/>
              </w:tabs>
              <w:spacing w:line="240" w:lineRule="auto" w:before="107"/>
              <w:ind w:right="0"/>
              <w:jc w:val="right"/>
              <w:rPr>
                <w:rFonts w:ascii="宋体" w:hAnsi="宋体" w:cs="宋体" w:eastAsia="宋体" w:hint="default"/>
                <w:sz w:val="18"/>
                <w:szCs w:val="18"/>
              </w:rPr>
            </w:pPr>
            <w:r>
              <w:rPr>
                <w:rFonts w:ascii="宋体" w:hAnsi="宋体" w:cs="宋体" w:eastAsia="宋体" w:hint="default"/>
                <w:sz w:val="18"/>
                <w:szCs w:val="18"/>
              </w:rPr>
              <w:t>持股比例与表决权</w:t>
              <w:tab/>
              <w:t>本年计提</w:t>
            </w:r>
            <w:r>
              <w:rPr>
                <w:rFonts w:ascii="宋体" w:hAnsi="宋体" w:cs="宋体" w:eastAsia="宋体" w:hint="default"/>
                <w:spacing w:val="76"/>
                <w:sz w:val="18"/>
                <w:szCs w:val="18"/>
              </w:rPr>
              <w:t> </w:t>
            </w:r>
            <w:r>
              <w:rPr>
                <w:rFonts w:ascii="宋体" w:hAnsi="宋体" w:cs="宋体" w:eastAsia="宋体" w:hint="default"/>
                <w:spacing w:val="16"/>
                <w:sz w:val="18"/>
                <w:szCs w:val="18"/>
              </w:rPr>
              <w:t>本年宣告分派的</w:t>
            </w:r>
          </w:p>
        </w:tc>
      </w:tr>
      <w:tr>
        <w:trPr>
          <w:trHeight w:val="336" w:hRule="exact"/>
        </w:trPr>
        <w:tc>
          <w:tcPr>
            <w:tcW w:w="589"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Style w:val="TableParagraph"/>
              <w:spacing w:line="203" w:lineRule="exact"/>
              <w:ind w:right="228"/>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118" w:type="dxa"/>
            <w:tcBorders>
              <w:top w:val="nil" w:sz="6" w:space="0" w:color="auto"/>
              <w:left w:val="nil" w:sz="6" w:space="0" w:color="auto"/>
              <w:bottom w:val="nil" w:sz="6" w:space="0" w:color="auto"/>
              <w:right w:val="nil" w:sz="6" w:space="0" w:color="auto"/>
            </w:tcBorders>
          </w:tcPr>
          <w:p>
            <w:pPr>
              <w:pStyle w:val="TableParagraph"/>
              <w:spacing w:line="203" w:lineRule="exact"/>
              <w:ind w:right="101"/>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1357" w:type="dxa"/>
            <w:tcBorders>
              <w:top w:val="nil" w:sz="6" w:space="0" w:color="auto"/>
              <w:left w:val="nil" w:sz="6" w:space="0" w:color="auto"/>
              <w:bottom w:val="nil" w:sz="6" w:space="0" w:color="auto"/>
              <w:right w:val="nil" w:sz="6" w:space="0" w:color="auto"/>
            </w:tcBorders>
          </w:tcPr>
          <w:p>
            <w:pPr>
              <w:pStyle w:val="TableParagraph"/>
              <w:spacing w:line="215" w:lineRule="exact"/>
              <w:ind w:right="50"/>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12" w:type="dxa"/>
            <w:tcBorders>
              <w:top w:val="nil" w:sz="6" w:space="0" w:color="auto"/>
              <w:left w:val="nil" w:sz="6" w:space="0" w:color="auto"/>
              <w:bottom w:val="nil" w:sz="6" w:space="0" w:color="auto"/>
              <w:right w:val="nil" w:sz="6" w:space="0" w:color="auto"/>
            </w:tcBorders>
          </w:tcPr>
          <w:p>
            <w:pPr>
              <w:pStyle w:val="TableParagraph"/>
              <w:spacing w:line="203" w:lineRule="exact"/>
              <w:ind w:right="46"/>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379"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584" w:type="dxa"/>
            <w:tcBorders>
              <w:top w:val="nil" w:sz="6" w:space="0" w:color="auto"/>
              <w:left w:val="nil" w:sz="6" w:space="0" w:color="auto"/>
              <w:bottom w:val="nil" w:sz="6" w:space="0" w:color="auto"/>
              <w:right w:val="nil" w:sz="6" w:space="0" w:color="auto"/>
            </w:tcBorders>
          </w:tcPr>
          <w:p>
            <w:pPr>
              <w:pStyle w:val="TableParagraph"/>
              <w:spacing w:line="203" w:lineRule="exact"/>
              <w:ind w:right="41"/>
              <w:jc w:val="right"/>
              <w:rPr>
                <w:rFonts w:ascii="宋体" w:hAnsi="宋体" w:cs="宋体" w:eastAsia="宋体" w:hint="default"/>
                <w:sz w:val="18"/>
                <w:szCs w:val="18"/>
              </w:rPr>
            </w:pPr>
            <w:r>
              <w:rPr>
                <w:rFonts w:ascii="宋体" w:hAnsi="宋体" w:cs="宋体" w:eastAsia="宋体" w:hint="default"/>
                <w:sz w:val="18"/>
                <w:szCs w:val="18"/>
              </w:rPr>
              <w:t>比例</w:t>
            </w:r>
          </w:p>
        </w:tc>
        <w:tc>
          <w:tcPr>
            <w:tcW w:w="613" w:type="dxa"/>
            <w:tcBorders>
              <w:top w:val="nil" w:sz="6" w:space="0" w:color="auto"/>
              <w:left w:val="nil" w:sz="6" w:space="0" w:color="auto"/>
              <w:bottom w:val="nil" w:sz="6" w:space="0" w:color="auto"/>
              <w:right w:val="nil" w:sz="6" w:space="0" w:color="auto"/>
            </w:tcBorders>
          </w:tcPr>
          <w:p>
            <w:pPr>
              <w:pStyle w:val="TableParagraph"/>
              <w:spacing w:line="203" w:lineRule="exact"/>
              <w:ind w:left="19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4695" w:type="dxa"/>
            <w:tcBorders>
              <w:top w:val="nil" w:sz="6" w:space="0" w:color="auto"/>
              <w:left w:val="nil" w:sz="6" w:space="0" w:color="auto"/>
              <w:bottom w:val="nil" w:sz="6" w:space="0" w:color="auto"/>
              <w:right w:val="nil" w:sz="6" w:space="0" w:color="auto"/>
            </w:tcBorders>
          </w:tcPr>
          <w:p>
            <w:pPr>
              <w:pStyle w:val="TableParagraph"/>
              <w:tabs>
                <w:tab w:pos="3856" w:val="left" w:leader="none"/>
              </w:tabs>
              <w:spacing w:line="203" w:lineRule="exact"/>
              <w:ind w:left="29" w:right="0"/>
              <w:jc w:val="left"/>
              <w:rPr>
                <w:rFonts w:ascii="宋体" w:hAnsi="宋体" w:cs="宋体" w:eastAsia="宋体" w:hint="default"/>
                <w:sz w:val="18"/>
                <w:szCs w:val="18"/>
              </w:rPr>
            </w:pPr>
            <w:r>
              <w:rPr>
                <w:rFonts w:ascii="宋体" w:hAnsi="宋体" w:cs="宋体" w:eastAsia="宋体" w:hint="default"/>
                <w:sz w:val="18"/>
                <w:szCs w:val="18"/>
              </w:rPr>
              <w:t>比例不一致的说明 减值准备</w:t>
            </w:r>
            <w:r>
              <w:rPr>
                <w:rFonts w:ascii="宋体" w:hAnsi="宋体" w:cs="宋体" w:eastAsia="宋体" w:hint="default"/>
                <w:spacing w:val="64"/>
                <w:sz w:val="18"/>
                <w:szCs w:val="18"/>
              </w:rPr>
              <w:t> </w:t>
            </w:r>
            <w:r>
              <w:rPr>
                <w:rFonts w:ascii="宋体" w:hAnsi="宋体" w:cs="宋体" w:eastAsia="宋体" w:hint="default"/>
                <w:sz w:val="18"/>
                <w:szCs w:val="18"/>
              </w:rPr>
              <w:t>减值准备</w:t>
              <w:tab/>
              <w:t>现金股利</w:t>
            </w:r>
          </w:p>
        </w:tc>
      </w:tr>
      <w:tr>
        <w:trPr>
          <w:trHeight w:val="364" w:hRule="exact"/>
        </w:trPr>
        <w:tc>
          <w:tcPr>
            <w:tcW w:w="589"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3" w:right="0"/>
              <w:jc w:val="left"/>
              <w:rPr>
                <w:rFonts w:ascii="宋体" w:hAnsi="宋体" w:cs="宋体" w:eastAsia="宋体" w:hint="default"/>
                <w:sz w:val="18"/>
                <w:szCs w:val="18"/>
              </w:rPr>
            </w:pPr>
            <w:r>
              <w:rPr>
                <w:rFonts w:ascii="宋体" w:hAnsi="宋体" w:cs="宋体" w:eastAsia="宋体" w:hint="default"/>
                <w:sz w:val="18"/>
                <w:szCs w:val="18"/>
              </w:rPr>
              <w:t>广西苏宁电器有限公司</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2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1"/>
              <w:jc w:val="right"/>
              <w:rPr>
                <w:rFonts w:ascii="Arial" w:hAnsi="Arial" w:cs="Arial" w:eastAsia="Arial" w:hint="default"/>
                <w:sz w:val="18"/>
                <w:szCs w:val="18"/>
              </w:rPr>
            </w:pPr>
            <w:r>
              <w:rPr>
                <w:rFonts w:ascii="Arial"/>
                <w:spacing w:val="-1"/>
                <w:sz w:val="18"/>
              </w:rPr>
              <w:t>23,670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0"/>
              <w:jc w:val="right"/>
              <w:rPr>
                <w:rFonts w:ascii="Arial" w:hAnsi="Arial" w:cs="Arial" w:eastAsia="Arial" w:hint="default"/>
                <w:sz w:val="18"/>
                <w:szCs w:val="18"/>
              </w:rPr>
            </w:pPr>
            <w:r>
              <w:rPr>
                <w:rFonts w:ascii="Arial"/>
                <w:spacing w:val="-1"/>
                <w:sz w:val="18"/>
              </w:rPr>
              <w:t>14,400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7"/>
              <w:jc w:val="right"/>
              <w:rPr>
                <w:rFonts w:ascii="Arial" w:hAnsi="Arial" w:cs="Arial" w:eastAsia="Arial" w:hint="default"/>
                <w:sz w:val="18"/>
                <w:szCs w:val="18"/>
              </w:rPr>
            </w:pPr>
            <w:r>
              <w:rPr>
                <w:rFonts w:ascii="Arial"/>
                <w:spacing w:val="-1"/>
                <w:w w:val="95"/>
                <w:sz w:val="18"/>
              </w:rPr>
              <w:t>9,270</w:t>
            </w:r>
            <w:r>
              <w:rPr>
                <w:rFonts w:ascii="Arial"/>
                <w:sz w:val="18"/>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8"/>
              <w:jc w:val="right"/>
              <w:rPr>
                <w:rFonts w:ascii="Arial" w:hAnsi="Arial" w:cs="Arial" w:eastAsia="Arial" w:hint="default"/>
                <w:sz w:val="18"/>
                <w:szCs w:val="18"/>
              </w:rPr>
            </w:pPr>
            <w:r>
              <w:rPr>
                <w:rFonts w:ascii="Arial"/>
                <w:spacing w:val="-1"/>
                <w:sz w:val="18"/>
              </w:rPr>
              <w:t>23,670</w:t>
            </w:r>
          </w:p>
        </w:tc>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92" w:right="0"/>
              <w:jc w:val="center"/>
              <w:rPr>
                <w:rFonts w:ascii="Arial" w:hAnsi="Arial" w:cs="Arial" w:eastAsia="Arial" w:hint="default"/>
                <w:sz w:val="18"/>
                <w:szCs w:val="18"/>
              </w:rPr>
            </w:pPr>
            <w:r>
              <w:rPr>
                <w:rFonts w:ascii="Arial"/>
                <w:sz w:val="18"/>
              </w:rPr>
              <w:t>90%</w:t>
            </w:r>
          </w:p>
        </w:tc>
        <w:tc>
          <w:tcPr>
            <w:tcW w:w="4695" w:type="dxa"/>
            <w:tcBorders>
              <w:top w:val="nil" w:sz="6" w:space="0" w:color="auto"/>
              <w:left w:val="nil" w:sz="6" w:space="0" w:color="auto"/>
              <w:bottom w:val="nil" w:sz="6" w:space="0" w:color="auto"/>
              <w:right w:val="nil" w:sz="6" w:space="0" w:color="auto"/>
            </w:tcBorders>
          </w:tcPr>
          <w:p>
            <w:pPr>
              <w:pStyle w:val="TableParagraph"/>
              <w:tabs>
                <w:tab w:pos="796" w:val="left" w:leader="none"/>
                <w:tab w:pos="1678" w:val="left" w:leader="none"/>
                <w:tab w:pos="3106" w:val="left" w:leader="none"/>
              </w:tabs>
              <w:spacing w:line="240" w:lineRule="auto" w:before="125"/>
              <w:ind w:right="118"/>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r>
      <w:tr>
        <w:trPr>
          <w:trHeight w:val="276" w:hRule="exact"/>
        </w:trPr>
        <w:tc>
          <w:tcPr>
            <w:tcW w:w="589"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徐州苏宁电器有限公司</w:t>
            </w:r>
          </w:p>
        </w:tc>
        <w:tc>
          <w:tcPr>
            <w:tcW w:w="1098" w:type="dxa"/>
            <w:tcBorders>
              <w:top w:val="nil" w:sz="6" w:space="0" w:color="auto"/>
              <w:left w:val="nil" w:sz="6" w:space="0" w:color="auto"/>
              <w:bottom w:val="nil" w:sz="6" w:space="0" w:color="auto"/>
              <w:right w:val="nil" w:sz="6" w:space="0" w:color="auto"/>
            </w:tcBorders>
          </w:tcPr>
          <w:p>
            <w:pPr>
              <w:pStyle w:val="TableParagraph"/>
              <w:spacing w:line="216" w:lineRule="exact"/>
              <w:ind w:right="22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1"/>
              <w:jc w:val="right"/>
              <w:rPr>
                <w:rFonts w:ascii="Arial" w:hAnsi="Arial" w:cs="Arial" w:eastAsia="Arial" w:hint="default"/>
                <w:sz w:val="18"/>
                <w:szCs w:val="18"/>
              </w:rPr>
            </w:pPr>
            <w:r>
              <w:rPr>
                <w:rFonts w:ascii="Arial"/>
                <w:spacing w:val="-1"/>
                <w:sz w:val="18"/>
              </w:rPr>
              <w:t>22,691</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
              <w:jc w:val="right"/>
              <w:rPr>
                <w:rFonts w:ascii="Arial" w:hAnsi="Arial" w:cs="Arial" w:eastAsia="Arial" w:hint="default"/>
                <w:sz w:val="18"/>
                <w:szCs w:val="18"/>
              </w:rPr>
            </w:pPr>
            <w:r>
              <w:rPr>
                <w:rFonts w:ascii="Arial"/>
                <w:spacing w:val="-1"/>
                <w:w w:val="95"/>
                <w:sz w:val="18"/>
              </w:rPr>
              <w:t>1,091</w:t>
            </w:r>
            <w:r>
              <w:rPr>
                <w:rFonts w:ascii="Arial"/>
                <w:sz w:val="18"/>
              </w:rPr>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spacing w:val="-1"/>
                <w:sz w:val="18"/>
              </w:rPr>
              <w:t>21,600</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spacing w:val="-1"/>
                <w:sz w:val="18"/>
              </w:rPr>
              <w:t>22,691</w:t>
            </w:r>
          </w:p>
        </w:tc>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2" w:right="0"/>
              <w:jc w:val="center"/>
              <w:rPr>
                <w:rFonts w:ascii="Arial" w:hAnsi="Arial" w:cs="Arial" w:eastAsia="Arial" w:hint="default"/>
                <w:sz w:val="18"/>
                <w:szCs w:val="18"/>
              </w:rPr>
            </w:pPr>
            <w:r>
              <w:rPr>
                <w:rFonts w:ascii="Arial"/>
                <w:sz w:val="18"/>
              </w:rPr>
              <w:t>90%</w:t>
            </w:r>
          </w:p>
        </w:tc>
        <w:tc>
          <w:tcPr>
            <w:tcW w:w="4695" w:type="dxa"/>
            <w:tcBorders>
              <w:top w:val="nil" w:sz="6" w:space="0" w:color="auto"/>
              <w:left w:val="nil" w:sz="6" w:space="0" w:color="auto"/>
              <w:bottom w:val="nil" w:sz="6" w:space="0" w:color="auto"/>
              <w:right w:val="nil" w:sz="6" w:space="0" w:color="auto"/>
            </w:tcBorders>
          </w:tcPr>
          <w:p>
            <w:pPr>
              <w:pStyle w:val="TableParagraph"/>
              <w:tabs>
                <w:tab w:pos="2204" w:val="left" w:leader="none"/>
                <w:tab w:pos="3086" w:val="left" w:leader="none"/>
              </w:tabs>
              <w:spacing w:line="240" w:lineRule="auto" w:before="36"/>
              <w:ind w:left="1408" w:right="0"/>
              <w:jc w:val="left"/>
              <w:rPr>
                <w:rFonts w:ascii="Arial" w:hAnsi="Arial" w:cs="Arial" w:eastAsia="Arial" w:hint="default"/>
                <w:sz w:val="18"/>
                <w:szCs w:val="18"/>
              </w:rPr>
            </w:pPr>
            <w:r>
              <w:rPr>
                <w:rFonts w:ascii="Arial"/>
                <w:sz w:val="18"/>
              </w:rPr>
              <w:t>-</w:t>
              <w:tab/>
              <w:t>-</w:t>
              <w:tab/>
              <w:t>-</w:t>
            </w:r>
          </w:p>
        </w:tc>
      </w:tr>
      <w:tr>
        <w:trPr>
          <w:trHeight w:val="276" w:hRule="exact"/>
        </w:trPr>
        <w:tc>
          <w:tcPr>
            <w:tcW w:w="589"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贵阳东方苏宁电器有限公司</w:t>
            </w:r>
          </w:p>
        </w:tc>
        <w:tc>
          <w:tcPr>
            <w:tcW w:w="1098" w:type="dxa"/>
            <w:tcBorders>
              <w:top w:val="nil" w:sz="6" w:space="0" w:color="auto"/>
              <w:left w:val="nil" w:sz="6" w:space="0" w:color="auto"/>
              <w:bottom w:val="nil" w:sz="6" w:space="0" w:color="auto"/>
              <w:right w:val="nil" w:sz="6" w:space="0" w:color="auto"/>
            </w:tcBorders>
          </w:tcPr>
          <w:p>
            <w:pPr>
              <w:pStyle w:val="TableParagraph"/>
              <w:spacing w:line="216" w:lineRule="exact"/>
              <w:ind w:right="22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1"/>
              <w:jc w:val="right"/>
              <w:rPr>
                <w:rFonts w:ascii="Arial" w:hAnsi="Arial" w:cs="Arial" w:eastAsia="Arial" w:hint="default"/>
                <w:sz w:val="18"/>
                <w:szCs w:val="18"/>
              </w:rPr>
            </w:pPr>
            <w:r>
              <w:rPr>
                <w:rFonts w:ascii="Arial"/>
                <w:spacing w:val="-1"/>
                <w:sz w:val="18"/>
              </w:rPr>
              <w:t>22,680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
              <w:jc w:val="right"/>
              <w:rPr>
                <w:rFonts w:ascii="Arial" w:hAnsi="Arial" w:cs="Arial" w:eastAsia="Arial" w:hint="default"/>
                <w:sz w:val="18"/>
                <w:szCs w:val="18"/>
              </w:rPr>
            </w:pPr>
            <w:r>
              <w:rPr>
                <w:rFonts w:ascii="Arial"/>
                <w:spacing w:val="-1"/>
                <w:sz w:val="18"/>
              </w:rPr>
              <w:t>13,950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spacing w:val="-1"/>
                <w:w w:val="95"/>
                <w:sz w:val="18"/>
              </w:rPr>
              <w:t>8,730</w:t>
            </w:r>
            <w:r>
              <w:rPr>
                <w:rFonts w:ascii="Arial"/>
                <w:sz w:val="18"/>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spacing w:val="-1"/>
                <w:sz w:val="18"/>
              </w:rPr>
              <w:t>22,680</w:t>
            </w:r>
          </w:p>
        </w:tc>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2" w:right="0"/>
              <w:jc w:val="center"/>
              <w:rPr>
                <w:rFonts w:ascii="Arial" w:hAnsi="Arial" w:cs="Arial" w:eastAsia="Arial" w:hint="default"/>
                <w:sz w:val="18"/>
                <w:szCs w:val="18"/>
              </w:rPr>
            </w:pPr>
            <w:r>
              <w:rPr>
                <w:rFonts w:ascii="Arial"/>
                <w:sz w:val="18"/>
              </w:rPr>
              <w:t>90%</w:t>
            </w:r>
          </w:p>
        </w:tc>
        <w:tc>
          <w:tcPr>
            <w:tcW w:w="4695" w:type="dxa"/>
            <w:tcBorders>
              <w:top w:val="nil" w:sz="6" w:space="0" w:color="auto"/>
              <w:left w:val="nil" w:sz="6" w:space="0" w:color="auto"/>
              <w:bottom w:val="nil" w:sz="6" w:space="0" w:color="auto"/>
              <w:right w:val="nil" w:sz="6" w:space="0" w:color="auto"/>
            </w:tcBorders>
          </w:tcPr>
          <w:p>
            <w:pPr>
              <w:pStyle w:val="TableParagraph"/>
              <w:tabs>
                <w:tab w:pos="2204" w:val="left" w:leader="none"/>
                <w:tab w:pos="3086" w:val="left" w:leader="none"/>
              </w:tabs>
              <w:spacing w:line="240" w:lineRule="auto" w:before="36"/>
              <w:ind w:left="1408" w:right="0"/>
              <w:jc w:val="left"/>
              <w:rPr>
                <w:rFonts w:ascii="Arial" w:hAnsi="Arial" w:cs="Arial" w:eastAsia="Arial" w:hint="default"/>
                <w:sz w:val="18"/>
                <w:szCs w:val="18"/>
              </w:rPr>
            </w:pPr>
            <w:r>
              <w:rPr>
                <w:rFonts w:ascii="Arial"/>
                <w:sz w:val="18"/>
              </w:rPr>
              <w:t>-</w:t>
              <w:tab/>
              <w:t>-</w:t>
              <w:tab/>
              <w:t>-</w:t>
            </w:r>
          </w:p>
        </w:tc>
      </w:tr>
      <w:tr>
        <w:trPr>
          <w:trHeight w:val="276" w:hRule="exact"/>
        </w:trPr>
        <w:tc>
          <w:tcPr>
            <w:tcW w:w="589"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甘肃苏宁电器有限公司</w:t>
            </w:r>
          </w:p>
        </w:tc>
        <w:tc>
          <w:tcPr>
            <w:tcW w:w="1098" w:type="dxa"/>
            <w:tcBorders>
              <w:top w:val="nil" w:sz="6" w:space="0" w:color="auto"/>
              <w:left w:val="nil" w:sz="6" w:space="0" w:color="auto"/>
              <w:bottom w:val="nil" w:sz="6" w:space="0" w:color="auto"/>
              <w:right w:val="nil" w:sz="6" w:space="0" w:color="auto"/>
            </w:tcBorders>
          </w:tcPr>
          <w:p>
            <w:pPr>
              <w:pStyle w:val="TableParagraph"/>
              <w:spacing w:line="216" w:lineRule="exact"/>
              <w:ind w:right="22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1"/>
              <w:jc w:val="right"/>
              <w:rPr>
                <w:rFonts w:ascii="Arial" w:hAnsi="Arial" w:cs="Arial" w:eastAsia="Arial" w:hint="default"/>
                <w:sz w:val="18"/>
                <w:szCs w:val="18"/>
              </w:rPr>
            </w:pPr>
            <w:r>
              <w:rPr>
                <w:rFonts w:ascii="Arial"/>
                <w:spacing w:val="-1"/>
                <w:sz w:val="18"/>
              </w:rPr>
              <w:t>21,798</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
              <w:jc w:val="right"/>
              <w:rPr>
                <w:rFonts w:ascii="Arial" w:hAnsi="Arial" w:cs="Arial" w:eastAsia="Arial" w:hint="default"/>
                <w:sz w:val="18"/>
                <w:szCs w:val="18"/>
              </w:rPr>
            </w:pPr>
            <w:r>
              <w:rPr>
                <w:rFonts w:ascii="Arial"/>
                <w:spacing w:val="-1"/>
                <w:sz w:val="18"/>
              </w:rPr>
              <w:t>19,278</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spacing w:val="-1"/>
                <w:w w:val="95"/>
                <w:sz w:val="18"/>
              </w:rPr>
              <w:t>2,520</w:t>
            </w:r>
            <w:r>
              <w:rPr>
                <w:rFonts w:ascii="Arial"/>
                <w:sz w:val="18"/>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spacing w:val="-1"/>
                <w:sz w:val="18"/>
              </w:rPr>
              <w:t>21,798</w:t>
            </w:r>
          </w:p>
        </w:tc>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2" w:right="0"/>
              <w:jc w:val="center"/>
              <w:rPr>
                <w:rFonts w:ascii="Arial" w:hAnsi="Arial" w:cs="Arial" w:eastAsia="Arial" w:hint="default"/>
                <w:sz w:val="18"/>
                <w:szCs w:val="18"/>
              </w:rPr>
            </w:pPr>
            <w:r>
              <w:rPr>
                <w:rFonts w:ascii="Arial"/>
                <w:sz w:val="18"/>
              </w:rPr>
              <w:t>90%</w:t>
            </w:r>
          </w:p>
        </w:tc>
        <w:tc>
          <w:tcPr>
            <w:tcW w:w="4695" w:type="dxa"/>
            <w:tcBorders>
              <w:top w:val="nil" w:sz="6" w:space="0" w:color="auto"/>
              <w:left w:val="nil" w:sz="6" w:space="0" w:color="auto"/>
              <w:bottom w:val="nil" w:sz="6" w:space="0" w:color="auto"/>
              <w:right w:val="nil" w:sz="6" w:space="0" w:color="auto"/>
            </w:tcBorders>
          </w:tcPr>
          <w:p>
            <w:pPr>
              <w:pStyle w:val="TableParagraph"/>
              <w:tabs>
                <w:tab w:pos="2204" w:val="left" w:leader="none"/>
                <w:tab w:pos="3086" w:val="left" w:leader="none"/>
              </w:tabs>
              <w:spacing w:line="240" w:lineRule="auto" w:before="36"/>
              <w:ind w:left="1408" w:right="0"/>
              <w:jc w:val="left"/>
              <w:rPr>
                <w:rFonts w:ascii="Arial" w:hAnsi="Arial" w:cs="Arial" w:eastAsia="Arial" w:hint="default"/>
                <w:sz w:val="18"/>
                <w:szCs w:val="18"/>
              </w:rPr>
            </w:pPr>
            <w:r>
              <w:rPr>
                <w:rFonts w:ascii="Arial"/>
                <w:sz w:val="18"/>
              </w:rPr>
              <w:t>-</w:t>
              <w:tab/>
              <w:t>-</w:t>
              <w:tab/>
              <w:t>-</w:t>
            </w:r>
          </w:p>
        </w:tc>
      </w:tr>
      <w:tr>
        <w:trPr>
          <w:trHeight w:val="276" w:hRule="exact"/>
        </w:trPr>
        <w:tc>
          <w:tcPr>
            <w:tcW w:w="589"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西宁苏宁电器有限公司</w:t>
            </w:r>
          </w:p>
        </w:tc>
        <w:tc>
          <w:tcPr>
            <w:tcW w:w="1098" w:type="dxa"/>
            <w:tcBorders>
              <w:top w:val="nil" w:sz="6" w:space="0" w:color="auto"/>
              <w:left w:val="nil" w:sz="6" w:space="0" w:color="auto"/>
              <w:bottom w:val="nil" w:sz="6" w:space="0" w:color="auto"/>
              <w:right w:val="nil" w:sz="6" w:space="0" w:color="auto"/>
            </w:tcBorders>
          </w:tcPr>
          <w:p>
            <w:pPr>
              <w:pStyle w:val="TableParagraph"/>
              <w:spacing w:line="216" w:lineRule="exact"/>
              <w:ind w:right="22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1"/>
              <w:jc w:val="right"/>
              <w:rPr>
                <w:rFonts w:ascii="Arial" w:hAnsi="Arial" w:cs="Arial" w:eastAsia="Arial" w:hint="default"/>
                <w:sz w:val="18"/>
                <w:szCs w:val="18"/>
              </w:rPr>
            </w:pPr>
            <w:r>
              <w:rPr>
                <w:rFonts w:ascii="Arial"/>
                <w:spacing w:val="-1"/>
                <w:sz w:val="18"/>
              </w:rPr>
              <w:t>21,600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
              <w:jc w:val="right"/>
              <w:rPr>
                <w:rFonts w:ascii="Arial" w:hAnsi="Arial" w:cs="Arial" w:eastAsia="Arial" w:hint="default"/>
                <w:sz w:val="18"/>
                <w:szCs w:val="18"/>
              </w:rPr>
            </w:pPr>
            <w:r>
              <w:rPr>
                <w:rFonts w:ascii="Arial"/>
                <w:spacing w:val="-1"/>
                <w:sz w:val="18"/>
              </w:rPr>
              <w:t>21,600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w w:val="99"/>
                <w:sz w:val="18"/>
              </w:rPr>
              <w:t>-</w:t>
            </w:r>
            <w:r>
              <w:rPr>
                <w:rFonts w:ascii="Arial"/>
                <w:sz w:val="18"/>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spacing w:val="-1"/>
                <w:sz w:val="18"/>
              </w:rPr>
              <w:t>21,600</w:t>
            </w:r>
          </w:p>
        </w:tc>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3" w:right="0"/>
              <w:jc w:val="center"/>
              <w:rPr>
                <w:rFonts w:ascii="Arial" w:hAnsi="Arial" w:cs="Arial" w:eastAsia="Arial" w:hint="default"/>
                <w:sz w:val="18"/>
                <w:szCs w:val="18"/>
              </w:rPr>
            </w:pPr>
            <w:r>
              <w:rPr>
                <w:rFonts w:ascii="Arial"/>
                <w:sz w:val="18"/>
              </w:rPr>
              <w:t>90%</w:t>
            </w:r>
          </w:p>
        </w:tc>
        <w:tc>
          <w:tcPr>
            <w:tcW w:w="4695" w:type="dxa"/>
            <w:tcBorders>
              <w:top w:val="nil" w:sz="6" w:space="0" w:color="auto"/>
              <w:left w:val="nil" w:sz="6" w:space="0" w:color="auto"/>
              <w:bottom w:val="nil" w:sz="6" w:space="0" w:color="auto"/>
              <w:right w:val="nil" w:sz="6" w:space="0" w:color="auto"/>
            </w:tcBorders>
          </w:tcPr>
          <w:p>
            <w:pPr>
              <w:pStyle w:val="TableParagraph"/>
              <w:tabs>
                <w:tab w:pos="2204" w:val="left" w:leader="none"/>
                <w:tab w:pos="3086" w:val="left" w:leader="none"/>
              </w:tabs>
              <w:spacing w:line="240" w:lineRule="auto" w:before="36"/>
              <w:ind w:left="1408" w:right="0"/>
              <w:jc w:val="left"/>
              <w:rPr>
                <w:rFonts w:ascii="Arial" w:hAnsi="Arial" w:cs="Arial" w:eastAsia="Arial" w:hint="default"/>
                <w:sz w:val="18"/>
                <w:szCs w:val="18"/>
              </w:rPr>
            </w:pPr>
            <w:r>
              <w:rPr>
                <w:rFonts w:ascii="Arial"/>
                <w:sz w:val="18"/>
              </w:rPr>
              <w:t>-</w:t>
              <w:tab/>
              <w:t>-</w:t>
              <w:tab/>
              <w:t>-</w:t>
            </w:r>
          </w:p>
        </w:tc>
      </w:tr>
      <w:tr>
        <w:trPr>
          <w:trHeight w:val="276" w:hRule="exact"/>
        </w:trPr>
        <w:tc>
          <w:tcPr>
            <w:tcW w:w="589"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216" w:lineRule="exact"/>
              <w:ind w:left="73" w:right="0"/>
              <w:jc w:val="left"/>
              <w:rPr>
                <w:rFonts w:ascii="宋体" w:hAnsi="宋体" w:cs="宋体" w:eastAsia="宋体" w:hint="default"/>
                <w:sz w:val="18"/>
                <w:szCs w:val="18"/>
              </w:rPr>
            </w:pPr>
            <w:r>
              <w:rPr>
                <w:rFonts w:ascii="宋体" w:hAnsi="宋体" w:cs="宋体" w:eastAsia="宋体" w:hint="default"/>
                <w:sz w:val="18"/>
                <w:szCs w:val="18"/>
              </w:rPr>
              <w:t>长春苏宁电器有限公司</w:t>
            </w:r>
          </w:p>
        </w:tc>
        <w:tc>
          <w:tcPr>
            <w:tcW w:w="1098" w:type="dxa"/>
            <w:tcBorders>
              <w:top w:val="nil" w:sz="6" w:space="0" w:color="auto"/>
              <w:left w:val="nil" w:sz="6" w:space="0" w:color="auto"/>
              <w:bottom w:val="nil" w:sz="6" w:space="0" w:color="auto"/>
              <w:right w:val="nil" w:sz="6" w:space="0" w:color="auto"/>
            </w:tcBorders>
          </w:tcPr>
          <w:p>
            <w:pPr>
              <w:pStyle w:val="TableParagraph"/>
              <w:spacing w:line="216" w:lineRule="exact"/>
              <w:ind w:right="22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1"/>
              <w:jc w:val="right"/>
              <w:rPr>
                <w:rFonts w:ascii="Arial" w:hAnsi="Arial" w:cs="Arial" w:eastAsia="Arial" w:hint="default"/>
                <w:sz w:val="18"/>
                <w:szCs w:val="18"/>
              </w:rPr>
            </w:pPr>
            <w:r>
              <w:rPr>
                <w:rFonts w:ascii="Arial"/>
                <w:spacing w:val="-1"/>
                <w:sz w:val="18"/>
              </w:rPr>
              <w:t>21,571</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
              <w:jc w:val="right"/>
              <w:rPr>
                <w:rFonts w:ascii="Arial" w:hAnsi="Arial" w:cs="Arial" w:eastAsia="Arial" w:hint="default"/>
                <w:sz w:val="18"/>
                <w:szCs w:val="18"/>
              </w:rPr>
            </w:pPr>
            <w:r>
              <w:rPr>
                <w:rFonts w:ascii="Arial"/>
                <w:spacing w:val="-1"/>
                <w:sz w:val="18"/>
              </w:rPr>
              <w:t>19,051</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spacing w:val="-1"/>
                <w:w w:val="95"/>
                <w:sz w:val="18"/>
              </w:rPr>
              <w:t>2,520</w:t>
            </w:r>
            <w:r>
              <w:rPr>
                <w:rFonts w:ascii="Arial"/>
                <w:sz w:val="18"/>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spacing w:val="-1"/>
                <w:sz w:val="18"/>
              </w:rPr>
              <w:t>21,571</w:t>
            </w:r>
          </w:p>
        </w:tc>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spacing w:val="-1"/>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2" w:right="0"/>
              <w:jc w:val="center"/>
              <w:rPr>
                <w:rFonts w:ascii="Arial" w:hAnsi="Arial" w:cs="Arial" w:eastAsia="Arial" w:hint="default"/>
                <w:sz w:val="18"/>
                <w:szCs w:val="18"/>
              </w:rPr>
            </w:pPr>
            <w:r>
              <w:rPr>
                <w:rFonts w:ascii="Arial"/>
                <w:sz w:val="18"/>
              </w:rPr>
              <w:t>90%</w:t>
            </w:r>
          </w:p>
        </w:tc>
        <w:tc>
          <w:tcPr>
            <w:tcW w:w="4695" w:type="dxa"/>
            <w:tcBorders>
              <w:top w:val="nil" w:sz="6" w:space="0" w:color="auto"/>
              <w:left w:val="nil" w:sz="6" w:space="0" w:color="auto"/>
              <w:bottom w:val="nil" w:sz="6" w:space="0" w:color="auto"/>
              <w:right w:val="nil" w:sz="6" w:space="0" w:color="auto"/>
            </w:tcBorders>
          </w:tcPr>
          <w:p>
            <w:pPr>
              <w:pStyle w:val="TableParagraph"/>
              <w:tabs>
                <w:tab w:pos="2204" w:val="left" w:leader="none"/>
                <w:tab w:pos="3086" w:val="left" w:leader="none"/>
              </w:tabs>
              <w:spacing w:line="240" w:lineRule="auto" w:before="36"/>
              <w:ind w:left="1408" w:right="0"/>
              <w:jc w:val="left"/>
              <w:rPr>
                <w:rFonts w:ascii="Arial" w:hAnsi="Arial" w:cs="Arial" w:eastAsia="Arial" w:hint="default"/>
                <w:sz w:val="18"/>
                <w:szCs w:val="18"/>
              </w:rPr>
            </w:pPr>
            <w:r>
              <w:rPr>
                <w:rFonts w:ascii="Arial"/>
                <w:sz w:val="18"/>
              </w:rPr>
              <w:t>-</w:t>
              <w:tab/>
              <w:t>-</w:t>
              <w:tab/>
              <w:t>-</w:t>
            </w:r>
          </w:p>
        </w:tc>
      </w:tr>
      <w:tr>
        <w:trPr>
          <w:trHeight w:val="477" w:hRule="exact"/>
        </w:trPr>
        <w:tc>
          <w:tcPr>
            <w:tcW w:w="589"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234" w:lineRule="exact" w:before="4"/>
              <w:ind w:left="73" w:right="307"/>
              <w:jc w:val="left"/>
              <w:rPr>
                <w:rFonts w:ascii="宋体" w:hAnsi="宋体" w:cs="宋体" w:eastAsia="宋体" w:hint="default"/>
                <w:sz w:val="18"/>
                <w:szCs w:val="18"/>
              </w:rPr>
            </w:pPr>
            <w:r>
              <w:rPr>
                <w:rFonts w:ascii="宋体" w:hAnsi="宋体" w:cs="宋体" w:eastAsia="宋体" w:hint="default"/>
                <w:sz w:val="18"/>
                <w:szCs w:val="18"/>
              </w:rPr>
              <w:t>青岛鲁宁苏宁电器有限公司 其他子公司</w:t>
            </w:r>
          </w:p>
        </w:tc>
        <w:tc>
          <w:tcPr>
            <w:tcW w:w="1098" w:type="dxa"/>
            <w:tcBorders>
              <w:top w:val="nil" w:sz="6" w:space="0" w:color="auto"/>
              <w:left w:val="nil" w:sz="6" w:space="0" w:color="auto"/>
              <w:bottom w:val="nil" w:sz="6" w:space="0" w:color="auto"/>
              <w:right w:val="nil" w:sz="6" w:space="0" w:color="auto"/>
            </w:tcBorders>
          </w:tcPr>
          <w:p>
            <w:pPr>
              <w:pStyle w:val="TableParagraph"/>
              <w:spacing w:line="216" w:lineRule="exact"/>
              <w:ind w:right="22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6"/>
              <w:jc w:val="right"/>
              <w:rPr>
                <w:rFonts w:ascii="Arial" w:hAnsi="Arial" w:cs="Arial" w:eastAsia="Arial" w:hint="default"/>
                <w:sz w:val="18"/>
                <w:szCs w:val="18"/>
              </w:rPr>
            </w:pPr>
            <w:r>
              <w:rPr>
                <w:rFonts w:ascii="Arial"/>
                <w:spacing w:val="-1"/>
                <w:sz w:val="18"/>
              </w:rPr>
              <w:t>20,000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spacing w:val="-1"/>
                <w:sz w:val="18"/>
              </w:rPr>
              <w:t>20,000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6"/>
              <w:jc w:val="right"/>
              <w:rPr>
                <w:rFonts w:ascii="Arial" w:hAnsi="Arial" w:cs="Arial" w:eastAsia="Arial" w:hint="default"/>
                <w:sz w:val="18"/>
                <w:szCs w:val="18"/>
              </w:rPr>
            </w:pPr>
            <w:r>
              <w:rPr>
                <w:rFonts w:ascii="Arial"/>
                <w:w w:val="99"/>
                <w:sz w:val="18"/>
              </w:rPr>
              <w:t>-</w:t>
            </w:r>
            <w:r>
              <w:rPr>
                <w:rFonts w:ascii="Arial"/>
                <w:sz w:val="18"/>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spacing w:val="-1"/>
                <w:sz w:val="18"/>
              </w:rPr>
              <w:t>20,000</w:t>
            </w:r>
          </w:p>
        </w:tc>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
              <w:jc w:val="right"/>
              <w:rPr>
                <w:rFonts w:ascii="Arial" w:hAnsi="Arial" w:cs="Arial" w:eastAsia="Arial" w:hint="default"/>
                <w:sz w:val="18"/>
                <w:szCs w:val="18"/>
              </w:rPr>
            </w:pPr>
            <w:r>
              <w:rPr>
                <w:rFonts w:ascii="Arial"/>
                <w:spacing w:val="-1"/>
                <w:sz w:val="18"/>
              </w:rPr>
              <w:t>100%</w:t>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3" w:right="0"/>
              <w:jc w:val="center"/>
              <w:rPr>
                <w:rFonts w:ascii="Arial" w:hAnsi="Arial" w:cs="Arial" w:eastAsia="Arial" w:hint="default"/>
                <w:sz w:val="18"/>
                <w:szCs w:val="18"/>
              </w:rPr>
            </w:pPr>
            <w:r>
              <w:rPr>
                <w:rFonts w:ascii="Arial"/>
                <w:sz w:val="18"/>
              </w:rPr>
              <w:t>100%</w:t>
            </w:r>
          </w:p>
        </w:tc>
        <w:tc>
          <w:tcPr>
            <w:tcW w:w="4695" w:type="dxa"/>
            <w:tcBorders>
              <w:top w:val="nil" w:sz="6" w:space="0" w:color="auto"/>
              <w:left w:val="nil" w:sz="6" w:space="0" w:color="auto"/>
              <w:bottom w:val="nil" w:sz="6" w:space="0" w:color="auto"/>
              <w:right w:val="nil" w:sz="6" w:space="0" w:color="auto"/>
            </w:tcBorders>
          </w:tcPr>
          <w:p>
            <w:pPr>
              <w:pStyle w:val="TableParagraph"/>
              <w:tabs>
                <w:tab w:pos="2232" w:val="left" w:leader="none"/>
                <w:tab w:pos="3123" w:val="left" w:leader="none"/>
              </w:tabs>
              <w:spacing w:line="240" w:lineRule="auto" w:before="36"/>
              <w:ind w:left="1421" w:right="0"/>
              <w:jc w:val="left"/>
              <w:rPr>
                <w:rFonts w:ascii="Arial" w:hAnsi="Arial" w:cs="Arial" w:eastAsia="Arial" w:hint="default"/>
                <w:sz w:val="18"/>
                <w:szCs w:val="18"/>
              </w:rPr>
            </w:pPr>
            <w:r>
              <w:rPr>
                <w:rFonts w:ascii="Arial"/>
                <w:sz w:val="18"/>
              </w:rPr>
              <w:t>-</w:t>
              <w:tab/>
              <w:t>-</w:t>
              <w:tab/>
              <w:t>-</w:t>
            </w:r>
          </w:p>
        </w:tc>
      </w:tr>
      <w:tr>
        <w:trPr>
          <w:trHeight w:val="238" w:hRule="exact"/>
        </w:trPr>
        <w:tc>
          <w:tcPr>
            <w:tcW w:w="589"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220" w:lineRule="exact"/>
              <w:ind w:left="26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单个公司投资成本小于</w:t>
            </w:r>
          </w:p>
        </w:tc>
        <w:tc>
          <w:tcPr>
            <w:tcW w:w="1098"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
        </w:tc>
        <w:tc>
          <w:tcPr>
            <w:tcW w:w="584" w:type="dxa"/>
            <w:tcBorders>
              <w:top w:val="nil" w:sz="6" w:space="0" w:color="auto"/>
              <w:left w:val="nil" w:sz="6" w:space="0" w:color="auto"/>
              <w:bottom w:val="nil" w:sz="6" w:space="0" w:color="auto"/>
              <w:right w:val="nil" w:sz="6" w:space="0" w:color="auto"/>
            </w:tcBorders>
          </w:tcPr>
          <w:p>
            <w:pPr/>
          </w:p>
        </w:tc>
        <w:tc>
          <w:tcPr>
            <w:tcW w:w="613" w:type="dxa"/>
            <w:tcBorders>
              <w:top w:val="nil" w:sz="6" w:space="0" w:color="auto"/>
              <w:left w:val="nil" w:sz="6" w:space="0" w:color="auto"/>
              <w:bottom w:val="nil" w:sz="6" w:space="0" w:color="auto"/>
              <w:right w:val="nil" w:sz="6" w:space="0" w:color="auto"/>
            </w:tcBorders>
          </w:tcPr>
          <w:p>
            <w:pPr/>
          </w:p>
        </w:tc>
        <w:tc>
          <w:tcPr>
            <w:tcW w:w="4695" w:type="dxa"/>
            <w:tcBorders>
              <w:top w:val="nil" w:sz="6" w:space="0" w:color="auto"/>
              <w:left w:val="nil" w:sz="6" w:space="0" w:color="auto"/>
              <w:bottom w:val="nil" w:sz="6" w:space="0" w:color="auto"/>
              <w:right w:val="nil" w:sz="6" w:space="0" w:color="auto"/>
            </w:tcBorders>
          </w:tcPr>
          <w:p>
            <w:pPr/>
          </w:p>
        </w:tc>
      </w:tr>
      <w:tr>
        <w:trPr>
          <w:trHeight w:val="279" w:hRule="exact"/>
        </w:trPr>
        <w:tc>
          <w:tcPr>
            <w:tcW w:w="589"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215" w:lineRule="exact"/>
              <w:ind w:left="262" w:right="0"/>
              <w:jc w:val="left"/>
              <w:rPr>
                <w:rFonts w:ascii="Arial" w:hAnsi="Arial" w:cs="Arial" w:eastAsia="Arial" w:hint="default"/>
                <w:sz w:val="18"/>
                <w:szCs w:val="18"/>
              </w:rPr>
            </w:pPr>
            <w:r>
              <w:rPr>
                <w:rFonts w:ascii="宋体" w:hAnsi="宋体" w:cs="宋体" w:eastAsia="宋体" w:hint="default"/>
                <w:sz w:val="18"/>
                <w:szCs w:val="18"/>
              </w:rPr>
              <w:t>人民币 </w:t>
            </w:r>
            <w:r>
              <w:rPr>
                <w:rFonts w:ascii="Arial" w:hAnsi="Arial" w:cs="Arial" w:eastAsia="Arial" w:hint="default"/>
                <w:sz w:val="18"/>
                <w:szCs w:val="18"/>
              </w:rPr>
              <w:t>2,000</w:t>
            </w:r>
            <w:r>
              <w:rPr>
                <w:rFonts w:ascii="Arial" w:hAnsi="Arial" w:cs="Arial" w:eastAsia="Arial" w:hint="default"/>
                <w:spacing w:val="-9"/>
                <w:sz w:val="18"/>
                <w:szCs w:val="18"/>
              </w:rPr>
              <w:t> </w:t>
            </w:r>
            <w:r>
              <w:rPr>
                <w:rFonts w:ascii="宋体" w:hAnsi="宋体" w:cs="宋体" w:eastAsia="宋体" w:hint="default"/>
                <w:sz w:val="18"/>
                <w:szCs w:val="18"/>
              </w:rPr>
              <w:t>万元</w:t>
            </w:r>
            <w:r>
              <w:rPr>
                <w:rFonts w:ascii="Arial" w:hAnsi="Arial" w:cs="Arial" w:eastAsia="Arial" w:hint="default"/>
                <w:sz w:val="18"/>
                <w:szCs w:val="18"/>
              </w:rPr>
              <w:t>)</w:t>
            </w:r>
          </w:p>
        </w:tc>
        <w:tc>
          <w:tcPr>
            <w:tcW w:w="1098" w:type="dxa"/>
            <w:tcBorders>
              <w:top w:val="nil" w:sz="6" w:space="0" w:color="auto"/>
              <w:left w:val="nil" w:sz="6" w:space="0" w:color="auto"/>
              <w:bottom w:val="nil" w:sz="6" w:space="0" w:color="auto"/>
              <w:right w:val="nil" w:sz="6" w:space="0" w:color="auto"/>
            </w:tcBorders>
          </w:tcPr>
          <w:p>
            <w:pPr>
              <w:pStyle w:val="TableParagraph"/>
              <w:spacing w:line="204" w:lineRule="exact"/>
              <w:ind w:right="22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6"/>
              <w:jc w:val="right"/>
              <w:rPr>
                <w:rFonts w:ascii="Arial" w:hAnsi="Arial" w:cs="Arial" w:eastAsia="Arial" w:hint="default"/>
                <w:sz w:val="18"/>
                <w:szCs w:val="18"/>
              </w:rPr>
            </w:pPr>
            <w:r>
              <w:rPr>
                <w:rFonts w:ascii="Arial"/>
                <w:spacing w:val="-1"/>
                <w:sz w:val="18"/>
              </w:rPr>
              <w:t>909,312</w:t>
            </w:r>
          </w:p>
        </w:tc>
        <w:tc>
          <w:tcPr>
            <w:tcW w:w="1357" w:type="dxa"/>
            <w:tcBorders>
              <w:top w:val="nil" w:sz="6" w:space="0" w:color="auto"/>
              <w:left w:val="nil" w:sz="6" w:space="0" w:color="auto"/>
              <w:bottom w:val="nil" w:sz="6" w:space="0" w:color="auto"/>
              <w:right w:val="nil" w:sz="6" w:space="0" w:color="auto"/>
            </w:tcBorders>
          </w:tcPr>
          <w:p>
            <w:pPr>
              <w:pStyle w:val="TableParagraph"/>
              <w:tabs>
                <w:tab w:pos="647" w:val="left" w:leader="none"/>
              </w:tabs>
              <w:spacing w:line="240" w:lineRule="auto" w:before="23"/>
              <w:ind w:right="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398,693</w:t>
            </w:r>
            <w:r>
              <w:rPr>
                <w:rFonts w:ascii="Arial"/>
                <w:spacing w:val="-1"/>
                <w:sz w:val="18"/>
              </w:rPr>
            </w:r>
          </w:p>
        </w:tc>
        <w:tc>
          <w:tcPr>
            <w:tcW w:w="1312" w:type="dxa"/>
            <w:tcBorders>
              <w:top w:val="nil" w:sz="6" w:space="0" w:color="auto"/>
              <w:left w:val="nil" w:sz="6" w:space="0" w:color="auto"/>
              <w:bottom w:val="nil" w:sz="6" w:space="0" w:color="auto"/>
              <w:right w:val="nil" w:sz="6" w:space="0" w:color="auto"/>
            </w:tcBorders>
          </w:tcPr>
          <w:p>
            <w:pPr>
              <w:pStyle w:val="TableParagraph"/>
              <w:tabs>
                <w:tab w:pos="570" w:val="left" w:leader="none"/>
              </w:tabs>
              <w:spacing w:line="240" w:lineRule="auto" w:before="23"/>
              <w:ind w:right="4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510,619</w:t>
            </w:r>
            <w:r>
              <w:rPr>
                <w:rFonts w:ascii="Arial"/>
                <w:spacing w:val="-1"/>
                <w:sz w:val="18"/>
              </w:rPr>
            </w:r>
          </w:p>
        </w:tc>
        <w:tc>
          <w:tcPr>
            <w:tcW w:w="1379" w:type="dxa"/>
            <w:tcBorders>
              <w:top w:val="nil" w:sz="6" w:space="0" w:color="auto"/>
              <w:left w:val="nil" w:sz="6" w:space="0" w:color="auto"/>
              <w:bottom w:val="nil" w:sz="6" w:space="0" w:color="auto"/>
              <w:right w:val="nil" w:sz="6" w:space="0" w:color="auto"/>
            </w:tcBorders>
          </w:tcPr>
          <w:p>
            <w:pPr>
              <w:pStyle w:val="TableParagraph"/>
              <w:tabs>
                <w:tab w:pos="653" w:val="left" w:leader="none"/>
              </w:tabs>
              <w:spacing w:line="240" w:lineRule="auto" w:before="23"/>
              <w:ind w:right="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909,312</w:t>
            </w:r>
            <w:r>
              <w:rPr>
                <w:rFonts w:ascii="Arial"/>
                <w:spacing w:val="-1"/>
                <w:sz w:val="18"/>
              </w:rPr>
            </w:r>
          </w:p>
        </w:tc>
        <w:tc>
          <w:tcPr>
            <w:tcW w:w="584" w:type="dxa"/>
            <w:tcBorders>
              <w:top w:val="nil" w:sz="6" w:space="0" w:color="auto"/>
              <w:left w:val="nil" w:sz="6" w:space="0" w:color="auto"/>
              <w:bottom w:val="nil" w:sz="6" w:space="0" w:color="auto"/>
              <w:right w:val="nil" w:sz="6" w:space="0" w:color="auto"/>
            </w:tcBorders>
          </w:tcPr>
          <w:p>
            <w:pPr/>
          </w:p>
        </w:tc>
        <w:tc>
          <w:tcPr>
            <w:tcW w:w="613" w:type="dxa"/>
            <w:tcBorders>
              <w:top w:val="nil" w:sz="6" w:space="0" w:color="auto"/>
              <w:left w:val="nil" w:sz="6" w:space="0" w:color="auto"/>
              <w:bottom w:val="nil" w:sz="6" w:space="0" w:color="auto"/>
              <w:right w:val="nil" w:sz="6" w:space="0" w:color="auto"/>
            </w:tcBorders>
          </w:tcPr>
          <w:p>
            <w:pPr/>
          </w:p>
        </w:tc>
        <w:tc>
          <w:tcPr>
            <w:tcW w:w="4695" w:type="dxa"/>
            <w:tcBorders>
              <w:top w:val="nil" w:sz="6" w:space="0" w:color="auto"/>
              <w:left w:val="nil" w:sz="6" w:space="0" w:color="auto"/>
              <w:bottom w:val="nil" w:sz="6" w:space="0" w:color="auto"/>
              <w:right w:val="nil" w:sz="6" w:space="0" w:color="auto"/>
            </w:tcBorders>
          </w:tcPr>
          <w:p>
            <w:pPr>
              <w:pStyle w:val="TableParagraph"/>
              <w:tabs>
                <w:tab w:pos="701" w:val="left" w:leader="none"/>
                <w:tab w:pos="1583" w:val="left" w:leader="none"/>
                <w:tab w:pos="2522" w:val="left" w:leader="none"/>
              </w:tabs>
              <w:spacing w:line="240" w:lineRule="auto" w:before="23"/>
              <w:ind w:right="11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r>
              <w:rPr>
                <w:rFonts w:ascii="Arial"/>
                <w:sz w:val="18"/>
                <w:u w:val="single" w:color="000000"/>
              </w:rPr>
              <w:t> </w:t>
              <w:tab/>
              <w:t>-</w:t>
            </w:r>
            <w:r>
              <w:rPr>
                <w:rFonts w:ascii="Arial"/>
                <w:sz w:val="18"/>
              </w:rPr>
            </w:r>
            <w:r>
              <w:rPr>
                <w:rFonts w:ascii="Arial"/>
                <w:sz w:val="18"/>
                <w:u w:val="single" w:color="000000"/>
              </w:rPr>
              <w:t> </w:t>
              <w:tab/>
            </w:r>
            <w:r>
              <w:rPr>
                <w:rFonts w:ascii="Arial"/>
                <w:spacing w:val="-1"/>
                <w:sz w:val="18"/>
                <w:u w:val="single" w:color="000000"/>
              </w:rPr>
              <w:t>22,528</w:t>
            </w:r>
            <w:r>
              <w:rPr>
                <w:rFonts w:ascii="Arial"/>
                <w:spacing w:val="-1"/>
                <w:sz w:val="18"/>
              </w:rPr>
            </w:r>
          </w:p>
        </w:tc>
      </w:tr>
      <w:tr>
        <w:trPr>
          <w:trHeight w:val="254" w:hRule="exact"/>
        </w:trPr>
        <w:tc>
          <w:tcPr>
            <w:tcW w:w="589"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85"/>
              <w:jc w:val="right"/>
              <w:rPr>
                <w:rFonts w:ascii="Arial" w:hAnsi="Arial" w:cs="Arial" w:eastAsia="Arial" w:hint="default"/>
                <w:sz w:val="18"/>
                <w:szCs w:val="18"/>
              </w:rPr>
            </w:pPr>
            <w:r>
              <w:rPr>
                <w:rFonts w:ascii="Arial"/>
                <w:spacing w:val="-1"/>
                <w:sz w:val="18"/>
              </w:rPr>
              <w:t>5,945,793</w:t>
            </w:r>
          </w:p>
        </w:tc>
        <w:tc>
          <w:tcPr>
            <w:tcW w:w="1357"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49"/>
              <w:jc w:val="right"/>
              <w:rPr>
                <w:rFonts w:ascii="Arial" w:hAnsi="Arial" w:cs="Arial" w:eastAsia="Arial" w:hint="default"/>
                <w:sz w:val="18"/>
                <w:szCs w:val="18"/>
              </w:rPr>
            </w:pPr>
            <w:r>
              <w:rPr>
                <w:rFonts w:ascii="Arial"/>
                <w:spacing w:val="-1"/>
                <w:sz w:val="18"/>
              </w:rPr>
              <w:t>4,163,381</w:t>
            </w:r>
          </w:p>
        </w:tc>
        <w:tc>
          <w:tcPr>
            <w:tcW w:w="1312"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45"/>
              <w:jc w:val="right"/>
              <w:rPr>
                <w:rFonts w:ascii="Arial" w:hAnsi="Arial" w:cs="Arial" w:eastAsia="Arial" w:hint="default"/>
                <w:sz w:val="18"/>
                <w:szCs w:val="18"/>
              </w:rPr>
            </w:pPr>
            <w:r>
              <w:rPr>
                <w:rFonts w:ascii="Arial"/>
                <w:spacing w:val="-1"/>
                <w:sz w:val="18"/>
              </w:rPr>
              <w:t>1,782,412</w:t>
            </w:r>
          </w:p>
        </w:tc>
        <w:tc>
          <w:tcPr>
            <w:tcW w:w="1379"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6"/>
              <w:jc w:val="right"/>
              <w:rPr>
                <w:rFonts w:ascii="Arial" w:hAnsi="Arial" w:cs="Arial" w:eastAsia="Arial" w:hint="default"/>
                <w:sz w:val="18"/>
                <w:szCs w:val="18"/>
              </w:rPr>
            </w:pPr>
            <w:r>
              <w:rPr>
                <w:rFonts w:ascii="Arial"/>
                <w:spacing w:val="-1"/>
                <w:sz w:val="18"/>
              </w:rPr>
              <w:t>5,945,793</w:t>
            </w:r>
          </w:p>
        </w:tc>
        <w:tc>
          <w:tcPr>
            <w:tcW w:w="584" w:type="dxa"/>
            <w:tcBorders>
              <w:top w:val="nil" w:sz="6" w:space="0" w:color="auto"/>
              <w:left w:val="nil" w:sz="6" w:space="0" w:color="auto"/>
              <w:bottom w:val="nil" w:sz="6" w:space="0" w:color="auto"/>
              <w:right w:val="nil" w:sz="6" w:space="0" w:color="auto"/>
            </w:tcBorders>
          </w:tcPr>
          <w:p>
            <w:pPr/>
          </w:p>
        </w:tc>
        <w:tc>
          <w:tcPr>
            <w:tcW w:w="613" w:type="dxa"/>
            <w:tcBorders>
              <w:top w:val="nil" w:sz="6" w:space="0" w:color="auto"/>
              <w:left w:val="nil" w:sz="6" w:space="0" w:color="auto"/>
              <w:bottom w:val="nil" w:sz="6" w:space="0" w:color="auto"/>
              <w:right w:val="nil" w:sz="6" w:space="0" w:color="auto"/>
            </w:tcBorders>
          </w:tcPr>
          <w:p>
            <w:pPr/>
          </w:p>
        </w:tc>
        <w:tc>
          <w:tcPr>
            <w:tcW w:w="4695" w:type="dxa"/>
            <w:tcBorders>
              <w:top w:val="nil" w:sz="6" w:space="0" w:color="auto"/>
              <w:left w:val="nil" w:sz="6" w:space="0" w:color="auto"/>
              <w:bottom w:val="single" w:sz="12" w:space="0" w:color="000000"/>
              <w:right w:val="nil" w:sz="6" w:space="0" w:color="auto"/>
            </w:tcBorders>
          </w:tcPr>
          <w:p>
            <w:pPr>
              <w:pStyle w:val="TableParagraph"/>
              <w:tabs>
                <w:tab w:pos="910" w:val="left" w:leader="none"/>
                <w:tab w:pos="1834" w:val="left" w:leader="none"/>
              </w:tabs>
              <w:spacing w:line="240" w:lineRule="auto" w:before="30"/>
              <w:ind w:right="117"/>
              <w:jc w:val="right"/>
              <w:rPr>
                <w:rFonts w:ascii="Arial" w:hAnsi="Arial" w:cs="Arial" w:eastAsia="Arial" w:hint="default"/>
                <w:sz w:val="18"/>
                <w:szCs w:val="18"/>
              </w:rPr>
            </w:pPr>
            <w:r>
              <w:rPr>
                <w:rFonts w:ascii="Arial"/>
                <w:sz w:val="18"/>
              </w:rPr>
              <w:t>-</w:t>
              <w:tab/>
              <w:t>-</w:t>
              <w:tab/>
            </w:r>
            <w:r>
              <w:rPr>
                <w:rFonts w:ascii="Arial"/>
                <w:spacing w:val="-1"/>
                <w:sz w:val="18"/>
              </w:rPr>
              <w:t>82,763</w:t>
            </w:r>
          </w:p>
        </w:tc>
      </w:tr>
    </w:tbl>
    <w:p>
      <w:pPr>
        <w:spacing w:after="0" w:line="240" w:lineRule="auto"/>
        <w:jc w:val="right"/>
        <w:rPr>
          <w:rFonts w:ascii="Arial" w:hAnsi="Arial" w:cs="Arial" w:eastAsia="Arial" w:hint="default"/>
          <w:sz w:val="18"/>
          <w:szCs w:val="18"/>
        </w:rPr>
        <w:sectPr>
          <w:pgSz w:w="16840" w:h="11910" w:orient="landscape"/>
          <w:pgMar w:header="755" w:footer="945" w:top="2300" w:bottom="1140" w:left="380" w:right="960"/>
        </w:sectPr>
      </w:pPr>
    </w:p>
    <w:p>
      <w:pPr>
        <w:spacing w:line="240" w:lineRule="auto" w:before="4"/>
        <w:rPr>
          <w:rFonts w:ascii="Times New Roman" w:hAnsi="Times New Roman" w:cs="Times New Roman" w:eastAsia="Times New Roman" w:hint="default"/>
          <w:sz w:val="15"/>
          <w:szCs w:val="15"/>
        </w:rPr>
      </w:pPr>
    </w:p>
    <w:p>
      <w:pPr>
        <w:pStyle w:val="Heading2"/>
        <w:spacing w:line="240" w:lineRule="auto"/>
        <w:ind w:left="109" w:right="0"/>
        <w:jc w:val="left"/>
        <w:rPr>
          <w:rFonts w:ascii="Arial" w:hAnsi="Arial" w:cs="Arial" w:eastAsia="Arial" w:hint="default"/>
          <w:b w:val="0"/>
          <w:bCs w:val="0"/>
        </w:rPr>
      </w:pPr>
      <w:r>
        <w:rPr/>
        <w:t>十三</w:t>
      </w:r>
      <w:r>
        <w:rPr>
          <w:spacing w:val="22"/>
        </w:rPr>
        <w:t> </w:t>
      </w:r>
      <w:r>
        <w:rPr/>
        <w:t>公司财务报表附注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744" w:val="left" w:leader="none"/>
        </w:tabs>
        <w:spacing w:before="0"/>
        <w:ind w:left="109" w:right="0" w:firstLine="0"/>
        <w:jc w:val="left"/>
        <w:rPr>
          <w:rFonts w:ascii="Arial" w:hAnsi="Arial" w:cs="Arial" w:eastAsia="Arial" w:hint="default"/>
          <w:sz w:val="24"/>
          <w:szCs w:val="24"/>
        </w:rPr>
      </w:pPr>
      <w:r>
        <w:rPr>
          <w:rFonts w:ascii="Arial" w:hAnsi="Arial" w:cs="Arial" w:eastAsia="Arial" w:hint="default"/>
          <w:w w:val="95"/>
          <w:position w:val="2"/>
          <w:sz w:val="24"/>
          <w:szCs w:val="24"/>
        </w:rPr>
        <w:t>(3)</w:t>
        <w:tab/>
      </w:r>
      <w:r>
        <w:rPr>
          <w:rFonts w:ascii="宋体" w:hAnsi="宋体" w:cs="宋体" w:eastAsia="宋体" w:hint="default"/>
          <w:b/>
          <w:bCs/>
          <w:sz w:val="24"/>
          <w:szCs w:val="24"/>
        </w:rPr>
        <w:t>长期股权投资</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744" w:val="left" w:leader="none"/>
        </w:tabs>
        <w:spacing w:line="240" w:lineRule="auto"/>
        <w:ind w:left="109" w:right="0"/>
        <w:jc w:val="left"/>
      </w:pPr>
      <w:r>
        <w:rPr>
          <w:rFonts w:ascii="Arial" w:hAnsi="Arial" w:cs="Arial" w:eastAsia="Arial" w:hint="default"/>
          <w:w w:val="95"/>
          <w:position w:val="2"/>
        </w:rPr>
        <w:t>(b)</w:t>
        <w:tab/>
      </w:r>
      <w:r>
        <w:rPr/>
        <w:t>其他长期股权投资</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755" w:footer="945" w:top="2300" w:bottom="1140" w:left="400" w:right="1280"/>
        </w:sectPr>
      </w:pPr>
    </w:p>
    <w:p>
      <w:pPr>
        <w:spacing w:line="240" w:lineRule="auto" w:before="4"/>
        <w:rPr>
          <w:rFonts w:ascii="宋体" w:hAnsi="宋体" w:cs="宋体" w:eastAsia="宋体" w:hint="default"/>
          <w:sz w:val="21"/>
          <w:szCs w:val="21"/>
        </w:rPr>
      </w:pPr>
    </w:p>
    <w:p>
      <w:pPr>
        <w:tabs>
          <w:tab w:pos="3241" w:val="left" w:leader="none"/>
          <w:tab w:pos="7094" w:val="left" w:leader="none"/>
        </w:tabs>
        <w:spacing w:before="0"/>
        <w:ind w:left="2007" w:right="-12" w:firstLine="0"/>
        <w:jc w:val="left"/>
        <w:rPr>
          <w:rFonts w:ascii="宋体" w:hAnsi="宋体" w:cs="宋体" w:eastAsia="宋体" w:hint="default"/>
          <w:sz w:val="18"/>
          <w:szCs w:val="18"/>
        </w:rPr>
      </w:pPr>
      <w:r>
        <w:rPr>
          <w:rFonts w:ascii="宋体" w:hAnsi="宋体" w:cs="宋体" w:eastAsia="宋体" w:hint="default"/>
          <w:sz w:val="18"/>
          <w:szCs w:val="18"/>
        </w:rPr>
        <w:t>核算方法</w:t>
        <w:tab/>
        <w:t>投资成本 </w:t>
      </w:r>
      <w:r>
        <w:rPr>
          <w:rFonts w:ascii="Arial" w:hAnsi="Arial" w:cs="Arial" w:eastAsia="Arial" w:hint="default"/>
          <w:sz w:val="18"/>
          <w:szCs w:val="18"/>
        </w:rPr>
        <w:t>2009 </w:t>
      </w:r>
      <w:r>
        <w:rPr>
          <w:rFonts w:ascii="宋体" w:hAnsi="宋体" w:cs="宋体" w:eastAsia="宋体" w:hint="default"/>
          <w:sz w:val="18"/>
          <w:szCs w:val="18"/>
        </w:rPr>
        <w:t>年 </w:t>
      </w:r>
      <w:r>
        <w:rPr>
          <w:rFonts w:ascii="Arial" w:hAnsi="Arial" w:cs="Arial" w:eastAsia="Arial" w:hint="default"/>
          <w:sz w:val="18"/>
          <w:szCs w:val="18"/>
        </w:rPr>
        <w:t>12 </w:t>
      </w:r>
      <w:r>
        <w:rPr>
          <w:rFonts w:ascii="宋体" w:hAnsi="宋体" w:cs="宋体" w:eastAsia="宋体" w:hint="default"/>
          <w:sz w:val="18"/>
          <w:szCs w:val="18"/>
        </w:rPr>
        <w:t>月 </w:t>
      </w:r>
      <w:r>
        <w:rPr>
          <w:rFonts w:ascii="Arial" w:hAnsi="Arial" w:cs="Arial" w:eastAsia="Arial" w:hint="default"/>
          <w:sz w:val="18"/>
          <w:szCs w:val="18"/>
        </w:rPr>
        <w:t>31 </w:t>
      </w:r>
      <w:r>
        <w:rPr>
          <w:rFonts w:ascii="宋体" w:hAnsi="宋体" w:cs="宋体" w:eastAsia="宋体" w:hint="default"/>
          <w:sz w:val="18"/>
          <w:szCs w:val="18"/>
        </w:rPr>
        <w:t>日</w:t>
      </w:r>
      <w:r>
        <w:rPr>
          <w:rFonts w:ascii="宋体" w:hAnsi="宋体" w:cs="宋体" w:eastAsia="宋体" w:hint="default"/>
          <w:spacing w:val="-34"/>
          <w:sz w:val="18"/>
          <w:szCs w:val="18"/>
        </w:rPr>
        <w:t> </w:t>
      </w:r>
      <w:r>
        <w:rPr>
          <w:rFonts w:ascii="宋体" w:hAnsi="宋体" w:cs="宋体" w:eastAsia="宋体" w:hint="default"/>
          <w:sz w:val="18"/>
          <w:szCs w:val="18"/>
        </w:rPr>
        <w:t>本年增减变动</w:t>
        <w:tab/>
      </w: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tabs>
          <w:tab w:pos="874" w:val="left" w:leader="none"/>
        </w:tabs>
        <w:spacing w:before="44"/>
        <w:ind w:left="18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持股</w:t>
      </w:r>
      <w:r>
        <w:rPr>
          <w:rFonts w:ascii="宋体" w:hAnsi="宋体" w:cs="宋体" w:eastAsia="宋体" w:hint="default"/>
          <w:spacing w:val="56"/>
          <w:sz w:val="18"/>
          <w:szCs w:val="18"/>
        </w:rPr>
        <w:t> </w:t>
      </w:r>
      <w:r>
        <w:rPr>
          <w:rFonts w:ascii="宋体" w:hAnsi="宋体" w:cs="宋体" w:eastAsia="宋体" w:hint="default"/>
          <w:sz w:val="18"/>
          <w:szCs w:val="18"/>
        </w:rPr>
        <w:t>表决权</w:t>
      </w:r>
      <w:r>
        <w:rPr>
          <w:rFonts w:ascii="宋体" w:hAnsi="宋体" w:cs="宋体" w:eastAsia="宋体" w:hint="default"/>
          <w:sz w:val="18"/>
          <w:szCs w:val="18"/>
        </w:rPr>
        <w:t> 比例</w:t>
        <w:tab/>
        <w:t>比例</w:t>
      </w:r>
    </w:p>
    <w:p>
      <w:pPr>
        <w:tabs>
          <w:tab w:pos="1792" w:val="left" w:leader="none"/>
        </w:tabs>
        <w:spacing w:before="44"/>
        <w:ind w:left="8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持股比例与表决权 比例不一致的说明</w:t>
        <w:tab/>
        <w:t>减值准备</w:t>
      </w:r>
    </w:p>
    <w:p>
      <w:pPr>
        <w:spacing w:before="44"/>
        <w:ind w:left="21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本年计提 减值准备</w:t>
      </w:r>
    </w:p>
    <w:p>
      <w:pPr>
        <w:spacing w:line="235" w:lineRule="exact" w:before="44"/>
        <w:ind w:left="24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本年宣告分派的</w:t>
      </w:r>
    </w:p>
    <w:p>
      <w:pPr>
        <w:spacing w:line="235" w:lineRule="exact" w:before="0"/>
        <w:ind w:left="789" w:right="0" w:firstLine="0"/>
        <w:jc w:val="left"/>
        <w:rPr>
          <w:rFonts w:ascii="宋体" w:hAnsi="宋体" w:cs="宋体" w:eastAsia="宋体" w:hint="default"/>
          <w:sz w:val="18"/>
          <w:szCs w:val="18"/>
        </w:rPr>
      </w:pPr>
      <w:r>
        <w:rPr>
          <w:rFonts w:ascii="宋体" w:hAnsi="宋体" w:cs="宋体" w:eastAsia="宋体" w:hint="default"/>
          <w:sz w:val="18"/>
          <w:szCs w:val="18"/>
        </w:rPr>
        <w:t>现金股利</w:t>
      </w:r>
    </w:p>
    <w:p>
      <w:pPr>
        <w:spacing w:after="0" w:line="235" w:lineRule="exact"/>
        <w:jc w:val="left"/>
        <w:rPr>
          <w:rFonts w:ascii="宋体" w:hAnsi="宋体" w:cs="宋体" w:eastAsia="宋体" w:hint="default"/>
          <w:sz w:val="18"/>
          <w:szCs w:val="18"/>
        </w:rPr>
        <w:sectPr>
          <w:type w:val="continuous"/>
          <w:pgSz w:w="16840" w:h="11910" w:orient="landscape"/>
          <w:pgMar w:top="920" w:bottom="900" w:left="400" w:right="1280"/>
          <w:cols w:num="5" w:equalWidth="0">
            <w:col w:w="8659" w:space="40"/>
            <w:col w:w="1235" w:space="40"/>
            <w:col w:w="2513" w:space="40"/>
            <w:col w:w="934" w:space="40"/>
            <w:col w:w="1659"/>
          </w:cols>
        </w:sectPr>
      </w:pPr>
    </w:p>
    <w:p>
      <w:pPr>
        <w:spacing w:line="240" w:lineRule="auto" w:before="1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6840" w:h="11910" w:orient="landscape"/>
          <w:pgMar w:top="920" w:bottom="900" w:left="400" w:right="1280"/>
        </w:sectPr>
      </w:pPr>
    </w:p>
    <w:p>
      <w:pPr>
        <w:spacing w:before="44"/>
        <w:ind w:left="924" w:right="883" w:hanging="180"/>
        <w:jc w:val="left"/>
        <w:rPr>
          <w:rFonts w:ascii="宋体" w:hAnsi="宋体" w:cs="宋体" w:eastAsia="宋体" w:hint="default"/>
          <w:sz w:val="18"/>
          <w:szCs w:val="18"/>
        </w:rPr>
      </w:pPr>
      <w:r>
        <w:rPr>
          <w:rFonts w:ascii="宋体" w:hAnsi="宋体" w:cs="宋体" w:eastAsia="宋体" w:hint="default"/>
          <w:sz w:val="18"/>
          <w:szCs w:val="18"/>
        </w:rPr>
        <w:t>南京苏宁工程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设备销售</w:t>
      </w:r>
    </w:p>
    <w:p>
      <w:pPr>
        <w:tabs>
          <w:tab w:pos="2186" w:val="left" w:leader="none"/>
        </w:tabs>
        <w:spacing w:before="0"/>
        <w:ind w:left="744" w:right="0" w:firstLine="180"/>
        <w:jc w:val="left"/>
        <w:rPr>
          <w:rFonts w:ascii="宋体" w:hAnsi="宋体" w:cs="宋体" w:eastAsia="宋体" w:hint="default"/>
          <w:sz w:val="18"/>
          <w:szCs w:val="18"/>
        </w:rPr>
      </w:pPr>
      <w:r>
        <w:rPr>
          <w:rFonts w:ascii="宋体" w:hAnsi="宋体" w:cs="宋体" w:eastAsia="宋体" w:hint="default"/>
          <w:sz w:val="18"/>
          <w:szCs w:val="18"/>
        </w:rPr>
        <w:t>有限公司</w:t>
        <w:tab/>
        <w:t>成本法 江苏银行股份</w:t>
      </w:r>
    </w:p>
    <w:p>
      <w:pPr>
        <w:tabs>
          <w:tab w:pos="2186" w:val="left" w:leader="none"/>
        </w:tabs>
        <w:spacing w:line="234" w:lineRule="exact" w:before="0"/>
        <w:ind w:left="924" w:right="-19" w:firstLine="0"/>
        <w:jc w:val="left"/>
        <w:rPr>
          <w:rFonts w:ascii="宋体" w:hAnsi="宋体" w:cs="宋体" w:eastAsia="宋体" w:hint="default"/>
          <w:sz w:val="18"/>
          <w:szCs w:val="18"/>
        </w:rPr>
      </w:pPr>
      <w:r>
        <w:rPr>
          <w:rFonts w:ascii="宋体" w:hAnsi="宋体" w:cs="宋体" w:eastAsia="宋体" w:hint="default"/>
          <w:sz w:val="18"/>
          <w:szCs w:val="18"/>
        </w:rPr>
        <w:t>有限公司</w:t>
        <w:tab/>
        <w:t>成本法</w:t>
      </w:r>
    </w:p>
    <w:p>
      <w:pPr>
        <w:spacing w:line="240" w:lineRule="auto" w:before="4"/>
        <w:rPr>
          <w:rFonts w:ascii="宋体" w:hAnsi="宋体" w:cs="宋体" w:eastAsia="宋体" w:hint="default"/>
          <w:sz w:val="21"/>
          <w:szCs w:val="21"/>
        </w:rPr>
      </w:pPr>
      <w:r>
        <w:rPr/>
        <w:br w:type="column"/>
      </w:r>
      <w:r>
        <w:rPr>
          <w:rFonts w:ascii="宋体"/>
          <w:sz w:val="21"/>
        </w:rPr>
      </w:r>
    </w:p>
    <w:p>
      <w:pPr>
        <w:spacing w:before="0"/>
        <w:ind w:left="654" w:right="0" w:firstLine="0"/>
        <w:jc w:val="left"/>
        <w:rPr>
          <w:rFonts w:ascii="宋体" w:hAnsi="宋体" w:cs="宋体" w:eastAsia="宋体" w:hint="default"/>
          <w:sz w:val="18"/>
          <w:szCs w:val="18"/>
        </w:rPr>
      </w:pPr>
      <w:r>
        <w:rPr>
          <w:rFonts w:ascii="宋体" w:hAnsi="宋体" w:cs="宋体" w:eastAsia="宋体" w:hint="default"/>
          <w:sz w:val="18"/>
          <w:szCs w:val="18"/>
        </w:rPr>
        <w:t>人民币</w:t>
      </w:r>
    </w:p>
    <w:p>
      <w:pPr>
        <w:tabs>
          <w:tab w:pos="2597" w:val="left" w:leader="none"/>
          <w:tab w:pos="4131" w:val="left" w:leader="none"/>
          <w:tab w:pos="5592" w:val="left" w:leader="none"/>
          <w:tab w:pos="6120" w:val="left" w:leader="none"/>
          <w:tab w:pos="6806" w:val="left" w:leader="none"/>
          <w:tab w:pos="8539" w:val="left" w:leader="none"/>
          <w:tab w:pos="9671" w:val="left" w:leader="none"/>
          <w:tab w:pos="10631" w:val="left" w:leader="none"/>
          <w:tab w:pos="12180" w:val="left" w:leader="none"/>
        </w:tabs>
        <w:spacing w:line="244" w:lineRule="exact" w:before="3"/>
        <w:ind w:left="591" w:right="0" w:firstLine="0"/>
        <w:jc w:val="left"/>
        <w:rPr>
          <w:rFonts w:ascii="Arial" w:hAnsi="Arial" w:cs="Arial" w:eastAsia="Arial" w:hint="default"/>
          <w:sz w:val="18"/>
          <w:szCs w:val="18"/>
        </w:rPr>
      </w:pPr>
      <w:r>
        <w:rPr>
          <w:rFonts w:ascii="Arial" w:hAnsi="Arial" w:cs="Arial" w:eastAsia="Arial" w:hint="default"/>
          <w:spacing w:val="-1"/>
          <w:position w:val="1"/>
          <w:sz w:val="18"/>
          <w:szCs w:val="18"/>
        </w:rPr>
        <w:t>83</w:t>
      </w:r>
      <w:r>
        <w:rPr>
          <w:rFonts w:ascii="Arial" w:hAnsi="Arial" w:cs="Arial" w:eastAsia="Arial" w:hint="default"/>
          <w:spacing w:val="-7"/>
          <w:position w:val="1"/>
          <w:sz w:val="18"/>
          <w:szCs w:val="18"/>
        </w:rPr>
        <w:t> </w:t>
      </w:r>
      <w:r>
        <w:rPr>
          <w:rFonts w:ascii="宋体" w:hAnsi="宋体" w:cs="宋体" w:eastAsia="宋体" w:hint="default"/>
          <w:position w:val="1"/>
          <w:sz w:val="18"/>
          <w:szCs w:val="18"/>
        </w:rPr>
        <w:t>万元</w:t>
        <w:tab/>
      </w:r>
      <w:r>
        <w:rPr>
          <w:rFonts w:ascii="Arial" w:hAnsi="Arial" w:cs="Arial" w:eastAsia="Arial" w:hint="default"/>
          <w:spacing w:val="-1"/>
          <w:sz w:val="18"/>
          <w:szCs w:val="18"/>
        </w:rPr>
        <w:t>993</w:t>
        <w:tab/>
      </w:r>
      <w:r>
        <w:rPr>
          <w:rFonts w:ascii="Arial" w:hAnsi="Arial" w:cs="Arial" w:eastAsia="Arial" w:hint="default"/>
          <w:sz w:val="18"/>
          <w:szCs w:val="18"/>
        </w:rPr>
        <w:t>-</w:t>
        <w:tab/>
      </w:r>
      <w:r>
        <w:rPr>
          <w:rFonts w:ascii="Arial" w:hAnsi="Arial" w:cs="Arial" w:eastAsia="Arial" w:hint="default"/>
          <w:spacing w:val="-1"/>
          <w:sz w:val="18"/>
          <w:szCs w:val="18"/>
        </w:rPr>
        <w:t>993</w:t>
        <w:tab/>
        <w:t>10%</w:t>
        <w:tab/>
        <w:t>10%</w:t>
        <w:tab/>
      </w:r>
      <w:r>
        <w:rPr>
          <w:rFonts w:ascii="Arial" w:hAnsi="Arial" w:cs="Arial" w:eastAsia="Arial" w:hint="default"/>
          <w:sz w:val="18"/>
          <w:szCs w:val="18"/>
        </w:rPr>
        <w:t>-</w:t>
        <w:tab/>
        <w:t>-</w:t>
        <w:tab/>
        <w:t>-</w:t>
        <w:tab/>
        <w:t>-</w:t>
      </w:r>
    </w:p>
    <w:p>
      <w:pPr>
        <w:spacing w:line="221" w:lineRule="exact" w:before="0"/>
        <w:ind w:left="654" w:right="0" w:firstLine="0"/>
        <w:jc w:val="left"/>
        <w:rPr>
          <w:rFonts w:ascii="宋体" w:hAnsi="宋体" w:cs="宋体" w:eastAsia="宋体" w:hint="default"/>
          <w:sz w:val="18"/>
          <w:szCs w:val="18"/>
        </w:rPr>
      </w:pPr>
      <w:r>
        <w:rPr>
          <w:rFonts w:ascii="宋体" w:hAnsi="宋体" w:cs="宋体" w:eastAsia="宋体" w:hint="default"/>
          <w:sz w:val="18"/>
          <w:szCs w:val="18"/>
        </w:rPr>
        <w:t>人民币</w:t>
      </w:r>
    </w:p>
    <w:p>
      <w:pPr>
        <w:tabs>
          <w:tab w:pos="2247" w:val="left" w:leader="none"/>
          <w:tab w:pos="4130" w:val="left" w:leader="none"/>
          <w:tab w:pos="5242" w:val="left" w:leader="none"/>
          <w:tab w:pos="8539" w:val="left" w:leader="none"/>
          <w:tab w:pos="9670" w:val="left" w:leader="none"/>
          <w:tab w:pos="10630" w:val="left" w:leader="none"/>
          <w:tab w:pos="12180" w:val="left" w:leader="none"/>
        </w:tabs>
        <w:spacing w:before="3"/>
        <w:ind w:left="540" w:right="0" w:firstLine="0"/>
        <w:jc w:val="left"/>
        <w:rPr>
          <w:rFonts w:ascii="Arial" w:hAnsi="Arial" w:cs="Arial" w:eastAsia="Arial" w:hint="default"/>
          <w:sz w:val="18"/>
          <w:szCs w:val="18"/>
        </w:rPr>
      </w:pPr>
      <w:r>
        <w:rPr>
          <w:rFonts w:ascii="Arial" w:hAnsi="Arial" w:cs="Arial" w:eastAsia="Arial" w:hint="default"/>
          <w:spacing w:val="-1"/>
          <w:position w:val="1"/>
          <w:sz w:val="18"/>
          <w:szCs w:val="18"/>
        </w:rPr>
        <w:t>5.4</w:t>
      </w:r>
      <w:r>
        <w:rPr>
          <w:rFonts w:ascii="Arial" w:hAnsi="Arial" w:cs="Arial" w:eastAsia="Arial" w:hint="default"/>
          <w:spacing w:val="-6"/>
          <w:position w:val="1"/>
          <w:sz w:val="18"/>
          <w:szCs w:val="18"/>
        </w:rPr>
        <w:t> </w:t>
      </w:r>
      <w:r>
        <w:rPr>
          <w:rFonts w:ascii="宋体" w:hAnsi="宋体" w:cs="宋体" w:eastAsia="宋体" w:hint="default"/>
          <w:position w:val="1"/>
          <w:sz w:val="18"/>
          <w:szCs w:val="18"/>
        </w:rPr>
        <w:t>亿元</w:t>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540,000</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r>
      <w:r>
        <w:rPr>
          <w:rFonts w:ascii="Arial" w:hAnsi="Arial" w:cs="Arial" w:eastAsia="Arial" w:hint="default"/>
          <w:sz w:val="18"/>
          <w:szCs w:val="18"/>
          <w:u w:val="single" w:color="000000"/>
        </w:rPr>
        <w:t>-</w:t>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540,000</w:t>
      </w:r>
      <w:r>
        <w:rPr>
          <w:rFonts w:ascii="Arial" w:hAnsi="Arial" w:cs="Arial" w:eastAsia="Arial" w:hint="default"/>
          <w:sz w:val="18"/>
          <w:szCs w:val="18"/>
          <w:u w:val="single" w:color="000000"/>
        </w:rPr>
        <w:t>  </w:t>
      </w:r>
      <w:r>
        <w:rPr>
          <w:rFonts w:ascii="Arial" w:hAnsi="Arial" w:cs="Arial" w:eastAsia="Arial" w:hint="default"/>
          <w:sz w:val="18"/>
          <w:szCs w:val="18"/>
        </w:rPr>
      </w:r>
      <w:r>
        <w:rPr>
          <w:rFonts w:ascii="Arial" w:hAnsi="Arial" w:cs="Arial" w:eastAsia="Arial" w:hint="default"/>
          <w:spacing w:val="-1"/>
          <w:sz w:val="18"/>
          <w:szCs w:val="18"/>
        </w:rPr>
        <w:t>1.79%</w:t>
      </w:r>
      <w:r>
        <w:rPr>
          <w:rFonts w:ascii="Arial" w:hAnsi="Arial" w:cs="Arial" w:eastAsia="Arial" w:hint="default"/>
          <w:sz w:val="18"/>
          <w:szCs w:val="18"/>
        </w:rPr>
        <w:t>  </w:t>
      </w:r>
      <w:r>
        <w:rPr>
          <w:rFonts w:ascii="Arial" w:hAnsi="Arial" w:cs="Arial" w:eastAsia="Arial" w:hint="default"/>
          <w:spacing w:val="9"/>
          <w:sz w:val="18"/>
          <w:szCs w:val="18"/>
        </w:rPr>
        <w:t> </w:t>
      </w:r>
      <w:r>
        <w:rPr>
          <w:rFonts w:ascii="Arial" w:hAnsi="Arial" w:cs="Arial" w:eastAsia="Arial" w:hint="default"/>
          <w:spacing w:val="-1"/>
          <w:sz w:val="18"/>
          <w:szCs w:val="18"/>
        </w:rPr>
        <w:t>1.79%</w:t>
        <w:tab/>
      </w:r>
      <w:r>
        <w:rPr>
          <w:rFonts w:ascii="Arial" w:hAnsi="Arial" w:cs="Arial" w:eastAsia="Arial" w:hint="default"/>
          <w:sz w:val="18"/>
          <w:szCs w:val="18"/>
        </w:rPr>
        <w:t>-</w:t>
      </w:r>
      <w:r>
        <w:rPr>
          <w:rFonts w:ascii="Arial" w:hAnsi="Arial" w:cs="Arial" w:eastAsia="Arial" w:hint="default"/>
          <w:sz w:val="18"/>
          <w:szCs w:val="18"/>
          <w:u w:val="single" w:color="000000"/>
        </w:rPr>
        <w:t> </w:t>
        <w:tab/>
        <w:t>-</w:t>
      </w:r>
      <w:r>
        <w:rPr>
          <w:rFonts w:ascii="Arial" w:hAnsi="Arial" w:cs="Arial" w:eastAsia="Arial" w:hint="default"/>
          <w:sz w:val="18"/>
          <w:szCs w:val="18"/>
        </w:rPr>
      </w:r>
      <w:r>
        <w:rPr>
          <w:rFonts w:ascii="Arial" w:hAnsi="Arial" w:cs="Arial" w:eastAsia="Arial" w:hint="default"/>
          <w:sz w:val="18"/>
          <w:szCs w:val="18"/>
          <w:u w:val="single" w:color="000000"/>
        </w:rPr>
        <w:t> </w:t>
        <w:tab/>
        <w:t>-</w:t>
      </w:r>
      <w:r>
        <w:rPr>
          <w:rFonts w:ascii="Arial" w:hAnsi="Arial" w:cs="Arial" w:eastAsia="Arial" w:hint="default"/>
          <w:sz w:val="18"/>
          <w:szCs w:val="18"/>
        </w:rPr>
      </w:r>
      <w:r>
        <w:rPr>
          <w:rFonts w:ascii="Arial" w:hAnsi="Arial" w:cs="Arial" w:eastAsia="Arial" w:hint="default"/>
          <w:sz w:val="18"/>
          <w:szCs w:val="18"/>
          <w:u w:val="single" w:color="000000"/>
        </w:rPr>
        <w:t> </w:t>
        <w:tab/>
        <w:t>-</w:t>
      </w:r>
      <w:r>
        <w:rPr>
          <w:rFonts w:ascii="Arial" w:hAnsi="Arial" w:cs="Arial" w:eastAsia="Arial" w:hint="default"/>
          <w:sz w:val="18"/>
          <w:szCs w:val="18"/>
        </w:rPr>
      </w:r>
    </w:p>
    <w:p>
      <w:pPr>
        <w:tabs>
          <w:tab w:pos="4131" w:val="left" w:leader="none"/>
          <w:tab w:pos="5242" w:val="left" w:leader="none"/>
          <w:tab w:pos="9671" w:val="left" w:leader="none"/>
          <w:tab w:pos="10631" w:val="left" w:leader="none"/>
          <w:tab w:pos="12180" w:val="left" w:leader="none"/>
        </w:tabs>
        <w:spacing w:before="78"/>
        <w:ind w:left="2247" w:right="0" w:firstLine="0"/>
        <w:jc w:val="left"/>
        <w:rPr>
          <w:rFonts w:ascii="Arial" w:hAnsi="Arial" w:cs="Arial" w:eastAsia="Arial" w:hint="default"/>
          <w:sz w:val="18"/>
          <w:szCs w:val="18"/>
        </w:rPr>
      </w:pPr>
      <w:r>
        <w:rPr>
          <w:rFonts w:ascii="Arial"/>
          <w:spacing w:val="-1"/>
          <w:sz w:val="18"/>
        </w:rPr>
        <w:t>540,993</w:t>
        <w:tab/>
      </w:r>
      <w:r>
        <w:rPr>
          <w:rFonts w:ascii="Arial"/>
          <w:sz w:val="18"/>
        </w:rPr>
        <w:t>-</w:t>
        <w:tab/>
      </w:r>
      <w:r>
        <w:rPr>
          <w:rFonts w:ascii="Arial"/>
          <w:spacing w:val="-1"/>
          <w:sz w:val="18"/>
        </w:rPr>
        <w:t>540,993</w:t>
        <w:tab/>
      </w:r>
      <w:r>
        <w:rPr>
          <w:rFonts w:ascii="Arial"/>
          <w:sz w:val="18"/>
        </w:rPr>
        <w:t>-</w:t>
        <w:tab/>
        <w:t>-</w:t>
        <w:tab/>
        <w:t>-</w:t>
      </w:r>
    </w:p>
    <w:p>
      <w:pPr>
        <w:spacing w:after="0"/>
        <w:jc w:val="left"/>
        <w:rPr>
          <w:rFonts w:ascii="Arial" w:hAnsi="Arial" w:cs="Arial" w:eastAsia="Arial" w:hint="default"/>
          <w:sz w:val="18"/>
          <w:szCs w:val="18"/>
        </w:rPr>
        <w:sectPr>
          <w:type w:val="continuous"/>
          <w:pgSz w:w="16840" w:h="11910" w:orient="landscape"/>
          <w:pgMar w:top="920" w:bottom="900" w:left="400" w:right="1280"/>
          <w:cols w:num="2" w:equalWidth="0">
            <w:col w:w="2728" w:space="40"/>
            <w:col w:w="12392"/>
          </w:cols>
        </w:sectPr>
      </w:pPr>
    </w:p>
    <w:p>
      <w:pPr>
        <w:tabs>
          <w:tab w:pos="11499" w:val="left" w:leader="none"/>
        </w:tabs>
        <w:spacing w:line="30" w:lineRule="exact"/>
        <w:ind w:left="4045" w:right="0" w:firstLine="0"/>
        <w:rPr>
          <w:rFonts w:ascii="Arial" w:hAnsi="Arial" w:cs="Arial" w:eastAsia="Arial" w:hint="default"/>
          <w:sz w:val="3"/>
          <w:szCs w:val="3"/>
        </w:rPr>
      </w:pPr>
      <w:r>
        <w:rPr>
          <w:rFonts w:ascii="Arial"/>
          <w:position w:val="0"/>
          <w:sz w:val="3"/>
        </w:rPr>
        <w:pict>
          <v:group style="width:232.5pt;height:1.5pt;mso-position-horizontal-relative:char;mso-position-vertical-relative:line" coordorigin="0,0" coordsize="4650,30">
            <v:group style="position:absolute;left:15;top:15;width:1624;height:2" coordorigin="15,15" coordsize="1624,2">
              <v:shape style="position:absolute;left:15;top:15;width:1624;height:2" coordorigin="15,15" coordsize="1624,0" path="m15,15l1639,15e" filled="false" stroked="true" strokeweight="1.5pt" strokecolor="#000000">
                <v:path arrowok="t"/>
              </v:shape>
            </v:group>
            <v:group style="position:absolute;left:1723;top:15;width:1211;height:2" coordorigin="1723,15" coordsize="1211,2">
              <v:shape style="position:absolute;left:1723;top:15;width:1211;height:2" coordorigin="1723,15" coordsize="1211,0" path="m1723,15l2933,15e" filled="false" stroked="true" strokeweight="1.5pt" strokecolor="#000000">
                <v:path arrowok="t"/>
              </v:shape>
            </v:group>
            <v:group style="position:absolute;left:3009;top:15;width:1626;height:2" coordorigin="3009,15" coordsize="1626,2">
              <v:shape style="position:absolute;left:3009;top:15;width:1626;height:2" coordorigin="3009,15" coordsize="1626,0" path="m3009,15l4635,15e" filled="false" stroked="true" strokeweight="1.5pt" strokecolor="#000000">
                <v:path arrowok="t"/>
              </v:shape>
            </v:group>
          </v:group>
        </w:pict>
      </w:r>
      <w:r>
        <w:rPr>
          <w:rFonts w:ascii="Arial"/>
          <w:position w:val="0"/>
          <w:sz w:val="3"/>
        </w:rPr>
      </w:r>
      <w:r>
        <w:rPr>
          <w:rFonts w:ascii="Arial"/>
          <w:position w:val="0"/>
          <w:sz w:val="3"/>
        </w:rPr>
        <w:tab/>
      </w:r>
      <w:r>
        <w:rPr>
          <w:rFonts w:ascii="Arial"/>
          <w:position w:val="0"/>
          <w:sz w:val="3"/>
        </w:rPr>
        <w:pict>
          <v:group style="width:177.2pt;height:1.5pt;mso-position-horizontal-relative:char;mso-position-vertical-relative:line" coordorigin="0,0" coordsize="3544,30">
            <v:group style="position:absolute;left:15;top:15;width:993;height:2" coordorigin="15,15" coordsize="993,2">
              <v:shape style="position:absolute;left:15;top:15;width:993;height:2" coordorigin="15,15" coordsize="993,0" path="m15,15l1007,15e" filled="false" stroked="true" strokeweight="1.5pt" strokecolor="#000000">
                <v:path arrowok="t"/>
              </v:shape>
            </v:group>
            <v:group style="position:absolute;left:1083;top:15;width:898;height:2" coordorigin="1083,15" coordsize="898,2">
              <v:shape style="position:absolute;left:1083;top:15;width:898;height:2" coordorigin="1083,15" coordsize="898,0" path="m1083,15l1981,15e" filled="false" stroked="true" strokeweight="1.5pt" strokecolor="#000000">
                <v:path arrowok="t"/>
              </v:shape>
            </v:group>
            <v:group style="position:absolute;left:2056;top:15;width:1473;height:2" coordorigin="2056,15" coordsize="1473,2">
              <v:shape style="position:absolute;left:2056;top:15;width:1473;height:2" coordorigin="2056,15" coordsize="1473,0" path="m2056,15l3529,15e" filled="false" stroked="true" strokeweight="1.5pt" strokecolor="#000000">
                <v:path arrowok="t"/>
              </v:shape>
            </v:group>
          </v:group>
        </w:pict>
      </w:r>
      <w:r>
        <w:rPr>
          <w:rFonts w:ascii="Arial"/>
          <w:position w:val="0"/>
          <w:sz w:val="3"/>
        </w:rPr>
      </w:r>
    </w:p>
    <w:p>
      <w:pPr>
        <w:spacing w:after="0" w:line="30" w:lineRule="exact"/>
        <w:rPr>
          <w:rFonts w:ascii="Arial" w:hAnsi="Arial" w:cs="Arial" w:eastAsia="Arial" w:hint="default"/>
          <w:sz w:val="3"/>
          <w:szCs w:val="3"/>
        </w:rPr>
        <w:sectPr>
          <w:type w:val="continuous"/>
          <w:pgSz w:w="16840" w:h="11910" w:orient="landscape"/>
          <w:pgMar w:top="920" w:bottom="900" w:left="400" w:right="1280"/>
        </w:sectPr>
      </w:pPr>
    </w:p>
    <w:p>
      <w:pPr>
        <w:spacing w:line="240" w:lineRule="auto" w:before="4"/>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697"/>
        <w:gridCol w:w="2027"/>
        <w:gridCol w:w="1786"/>
        <w:gridCol w:w="1912"/>
        <w:gridCol w:w="839"/>
        <w:gridCol w:w="1009"/>
        <w:gridCol w:w="1749"/>
      </w:tblGrid>
      <w:tr>
        <w:trPr>
          <w:trHeight w:val="1067"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92" w:right="0"/>
              <w:jc w:val="left"/>
              <w:rPr>
                <w:rFonts w:ascii="Arial" w:hAnsi="Arial" w:cs="Arial" w:eastAsia="Arial" w:hint="default"/>
                <w:sz w:val="24"/>
                <w:szCs w:val="24"/>
              </w:rPr>
            </w:pPr>
            <w:r>
              <w:rPr>
                <w:rFonts w:ascii="Arial"/>
                <w:sz w:val="24"/>
              </w:rPr>
              <w:t>(4)</w:t>
            </w:r>
          </w:p>
        </w:tc>
        <w:tc>
          <w:tcPr>
            <w:tcW w:w="3813" w:type="dxa"/>
            <w:gridSpan w:val="2"/>
            <w:tcBorders>
              <w:top w:val="nil" w:sz="6" w:space="0" w:color="auto"/>
              <w:left w:val="nil" w:sz="6" w:space="0" w:color="auto"/>
              <w:bottom w:val="nil" w:sz="6" w:space="0" w:color="auto"/>
              <w:right w:val="nil" w:sz="6" w:space="0" w:color="auto"/>
            </w:tcBorders>
          </w:tcPr>
          <w:p>
            <w:pPr>
              <w:pStyle w:val="TableParagraph"/>
              <w:spacing w:line="400" w:lineRule="auto" w:before="26"/>
              <w:ind w:left="95" w:right="1450" w:hanging="58"/>
              <w:jc w:val="left"/>
              <w:rPr>
                <w:rFonts w:ascii="宋体" w:hAnsi="宋体" w:cs="宋体" w:eastAsia="宋体" w:hint="default"/>
                <w:sz w:val="24"/>
                <w:szCs w:val="24"/>
              </w:rPr>
            </w:pPr>
            <w:r>
              <w:rPr>
                <w:rFonts w:ascii="宋体" w:hAnsi="宋体" w:cs="宋体" w:eastAsia="宋体" w:hint="default"/>
                <w:b/>
                <w:bCs/>
                <w:w w:val="95"/>
                <w:sz w:val="24"/>
                <w:szCs w:val="24"/>
              </w:rPr>
              <w:t>公司财务报表附注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b/>
                <w:bCs/>
                <w:spacing w:val="44"/>
                <w:w w:val="95"/>
                <w:sz w:val="24"/>
                <w:szCs w:val="24"/>
              </w:rPr>
              <w:t> </w:t>
            </w:r>
            <w:r>
              <w:rPr>
                <w:rFonts w:ascii="宋体" w:hAnsi="宋体" w:cs="宋体" w:eastAsia="宋体" w:hint="default"/>
                <w:b/>
                <w:bCs/>
                <w:sz w:val="24"/>
                <w:szCs w:val="24"/>
              </w:rPr>
              <w:t>营业收入和营业成本</w:t>
            </w:r>
            <w:r>
              <w:rPr>
                <w:rFonts w:ascii="宋体" w:hAnsi="宋体" w:cs="宋体" w:eastAsia="宋体" w:hint="default"/>
                <w:sz w:val="24"/>
                <w:szCs w:val="24"/>
              </w:rPr>
            </w:r>
          </w:p>
        </w:tc>
        <w:tc>
          <w:tcPr>
            <w:tcW w:w="5508" w:type="dxa"/>
            <w:gridSpan w:val="4"/>
            <w:tcBorders>
              <w:top w:val="nil" w:sz="6" w:space="0" w:color="auto"/>
              <w:left w:val="nil" w:sz="6" w:space="0" w:color="auto"/>
              <w:bottom w:val="nil" w:sz="6" w:space="0" w:color="auto"/>
              <w:right w:val="nil" w:sz="6" w:space="0" w:color="auto"/>
            </w:tcBorders>
          </w:tcPr>
          <w:p>
            <w:pPr/>
          </w:p>
        </w:tc>
      </w:tr>
      <w:tr>
        <w:trPr>
          <w:trHeight w:val="594" w:hRule="exact"/>
        </w:trPr>
        <w:tc>
          <w:tcPr>
            <w:tcW w:w="697" w:type="dxa"/>
            <w:tcBorders>
              <w:top w:val="nil" w:sz="6" w:space="0" w:color="auto"/>
              <w:left w:val="nil" w:sz="6" w:space="0" w:color="auto"/>
              <w:bottom w:val="nil" w:sz="6" w:space="0" w:color="auto"/>
              <w:right w:val="nil" w:sz="6" w:space="0" w:color="auto"/>
            </w:tcBorders>
          </w:tcPr>
          <w:p>
            <w:pPr/>
          </w:p>
        </w:tc>
        <w:tc>
          <w:tcPr>
            <w:tcW w:w="3813" w:type="dxa"/>
            <w:gridSpan w:val="2"/>
            <w:tcBorders>
              <w:top w:val="nil" w:sz="6" w:space="0" w:color="auto"/>
              <w:left w:val="nil" w:sz="6" w:space="0" w:color="auto"/>
              <w:bottom w:val="nil" w:sz="6" w:space="0" w:color="auto"/>
              <w:right w:val="nil" w:sz="6" w:space="0" w:color="auto"/>
            </w:tcBorders>
          </w:tcPr>
          <w:p>
            <w:pPr/>
          </w:p>
        </w:tc>
        <w:tc>
          <w:tcPr>
            <w:tcW w:w="27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292"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540" w:right="0"/>
              <w:jc w:val="lef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9" w:hRule="exact"/>
        </w:trPr>
        <w:tc>
          <w:tcPr>
            <w:tcW w:w="697" w:type="dxa"/>
            <w:tcBorders>
              <w:top w:val="nil" w:sz="6" w:space="0" w:color="auto"/>
              <w:left w:val="nil" w:sz="6" w:space="0" w:color="auto"/>
              <w:bottom w:val="nil" w:sz="6" w:space="0" w:color="auto"/>
              <w:right w:val="nil" w:sz="6" w:space="0" w:color="auto"/>
            </w:tcBorders>
          </w:tcPr>
          <w:p>
            <w:pPr/>
          </w:p>
        </w:tc>
        <w:tc>
          <w:tcPr>
            <w:tcW w:w="38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37"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27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7"/>
              <w:ind w:left="1165" w:right="0"/>
              <w:jc w:val="left"/>
              <w:rPr>
                <w:rFonts w:ascii="Arial" w:hAnsi="Arial" w:cs="Arial" w:eastAsia="Arial" w:hint="default"/>
                <w:sz w:val="24"/>
                <w:szCs w:val="24"/>
              </w:rPr>
            </w:pPr>
            <w:r>
              <w:rPr>
                <w:rFonts w:ascii="Arial"/>
                <w:sz w:val="24"/>
              </w:rPr>
              <w:t>54,366,074</w:t>
            </w:r>
          </w:p>
        </w:tc>
        <w:tc>
          <w:tcPr>
            <w:tcW w:w="2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7"/>
              <w:ind w:left="1413" w:right="0"/>
              <w:jc w:val="left"/>
              <w:rPr>
                <w:rFonts w:ascii="Arial" w:hAnsi="Arial" w:cs="Arial" w:eastAsia="Arial" w:hint="default"/>
                <w:sz w:val="24"/>
                <w:szCs w:val="24"/>
              </w:rPr>
            </w:pPr>
            <w:r>
              <w:rPr>
                <w:rFonts w:ascii="Arial"/>
                <w:sz w:val="24"/>
              </w:rPr>
              <w:t>39,981,363</w:t>
            </w:r>
          </w:p>
        </w:tc>
      </w:tr>
      <w:tr>
        <w:trPr>
          <w:trHeight w:val="314" w:hRule="exact"/>
        </w:trPr>
        <w:tc>
          <w:tcPr>
            <w:tcW w:w="697" w:type="dxa"/>
            <w:tcBorders>
              <w:top w:val="nil" w:sz="6" w:space="0" w:color="auto"/>
              <w:left w:val="nil" w:sz="6" w:space="0" w:color="auto"/>
              <w:bottom w:val="nil" w:sz="6" w:space="0" w:color="auto"/>
              <w:right w:val="nil" w:sz="6" w:space="0" w:color="auto"/>
            </w:tcBorders>
          </w:tcPr>
          <w:p>
            <w:pPr/>
          </w:p>
        </w:tc>
        <w:tc>
          <w:tcPr>
            <w:tcW w:w="3813"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37"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2750" w:type="dxa"/>
            <w:gridSpan w:val="2"/>
            <w:tcBorders>
              <w:top w:val="nil" w:sz="6" w:space="0" w:color="auto"/>
              <w:left w:val="nil" w:sz="6" w:space="0" w:color="auto"/>
              <w:bottom w:val="nil" w:sz="6" w:space="0" w:color="auto"/>
              <w:right w:val="nil" w:sz="6" w:space="0" w:color="auto"/>
            </w:tcBorders>
          </w:tcPr>
          <w:p>
            <w:pPr>
              <w:pStyle w:val="TableParagraph"/>
              <w:tabs>
                <w:tab w:pos="1517" w:val="left" w:leader="none"/>
                <w:tab w:pos="2467" w:val="left" w:leader="none"/>
              </w:tabs>
              <w:spacing w:line="240" w:lineRule="auto" w:before="20"/>
              <w:ind w:left="61"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4"/>
                <w:sz w:val="24"/>
                <w:u w:val="single" w:color="000000"/>
              </w:rPr>
              <w:t>268,116</w:t>
              <w:tab/>
            </w:r>
            <w:r>
              <w:rPr>
                <w:rFonts w:ascii="Arial"/>
                <w:spacing w:val="-4"/>
                <w:sz w:val="24"/>
              </w:rPr>
            </w:r>
          </w:p>
        </w:tc>
        <w:tc>
          <w:tcPr>
            <w:tcW w:w="2758" w:type="dxa"/>
            <w:gridSpan w:val="2"/>
            <w:tcBorders>
              <w:top w:val="nil" w:sz="6" w:space="0" w:color="auto"/>
              <w:left w:val="nil" w:sz="6" w:space="0" w:color="auto"/>
              <w:bottom w:val="nil" w:sz="6" w:space="0" w:color="auto"/>
              <w:right w:val="nil" w:sz="6" w:space="0" w:color="auto"/>
            </w:tcBorders>
          </w:tcPr>
          <w:p>
            <w:pPr>
              <w:pStyle w:val="TableParagraph"/>
              <w:tabs>
                <w:tab w:pos="1747" w:val="left" w:leader="none"/>
                <w:tab w:pos="2715" w:val="left" w:leader="none"/>
              </w:tabs>
              <w:spacing w:line="240" w:lineRule="auto" w:before="20"/>
              <w:ind w:left="28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252,519</w:t>
              <w:tab/>
            </w:r>
            <w:r>
              <w:rPr>
                <w:rFonts w:ascii="Arial"/>
                <w:sz w:val="24"/>
              </w:rPr>
            </w:r>
          </w:p>
        </w:tc>
      </w:tr>
      <w:tr>
        <w:trPr>
          <w:trHeight w:val="438" w:hRule="exact"/>
        </w:trPr>
        <w:tc>
          <w:tcPr>
            <w:tcW w:w="697" w:type="dxa"/>
            <w:tcBorders>
              <w:top w:val="nil" w:sz="6" w:space="0" w:color="auto"/>
              <w:left w:val="nil" w:sz="6" w:space="0" w:color="auto"/>
              <w:bottom w:val="nil" w:sz="6" w:space="0" w:color="auto"/>
              <w:right w:val="nil" w:sz="6" w:space="0" w:color="auto"/>
            </w:tcBorders>
          </w:tcPr>
          <w:p>
            <w:pPr/>
          </w:p>
        </w:tc>
        <w:tc>
          <w:tcPr>
            <w:tcW w:w="3813" w:type="dxa"/>
            <w:gridSpan w:val="2"/>
            <w:tcBorders>
              <w:top w:val="nil" w:sz="6" w:space="0" w:color="auto"/>
              <w:left w:val="nil" w:sz="6" w:space="0" w:color="auto"/>
              <w:bottom w:val="nil" w:sz="6" w:space="0" w:color="auto"/>
              <w:right w:val="nil" w:sz="6" w:space="0" w:color="auto"/>
            </w:tcBorders>
          </w:tcPr>
          <w:p>
            <w:pPr/>
          </w:p>
        </w:tc>
        <w:tc>
          <w:tcPr>
            <w:tcW w:w="2750" w:type="dxa"/>
            <w:gridSpan w:val="2"/>
            <w:tcBorders>
              <w:top w:val="nil" w:sz="6" w:space="0" w:color="auto"/>
              <w:left w:val="nil" w:sz="6" w:space="0" w:color="auto"/>
              <w:bottom w:val="nil" w:sz="6" w:space="0" w:color="auto"/>
              <w:right w:val="nil" w:sz="6" w:space="0" w:color="auto"/>
            </w:tcBorders>
          </w:tcPr>
          <w:p>
            <w:pPr>
              <w:pStyle w:val="TableParagraph"/>
              <w:tabs>
                <w:tab w:pos="1165" w:val="left" w:leader="none"/>
                <w:tab w:pos="2467" w:val="left" w:leader="none"/>
              </w:tabs>
              <w:spacing w:line="268" w:lineRule="exact"/>
              <w:ind w:left="6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54,634,190</w:t>
              <w:tab/>
            </w:r>
            <w:r>
              <w:rPr>
                <w:rFonts w:ascii="Arial"/>
                <w:sz w:val="24"/>
              </w:rPr>
            </w:r>
          </w:p>
        </w:tc>
        <w:tc>
          <w:tcPr>
            <w:tcW w:w="2758" w:type="dxa"/>
            <w:gridSpan w:val="2"/>
            <w:tcBorders>
              <w:top w:val="nil" w:sz="6" w:space="0" w:color="auto"/>
              <w:left w:val="nil" w:sz="6" w:space="0" w:color="auto"/>
              <w:bottom w:val="nil" w:sz="6" w:space="0" w:color="auto"/>
              <w:right w:val="nil" w:sz="6" w:space="0" w:color="auto"/>
            </w:tcBorders>
          </w:tcPr>
          <w:p>
            <w:pPr>
              <w:pStyle w:val="TableParagraph"/>
              <w:tabs>
                <w:tab w:pos="1413" w:val="left" w:leader="none"/>
                <w:tab w:pos="2715" w:val="left" w:leader="none"/>
              </w:tabs>
              <w:spacing w:line="268" w:lineRule="exact"/>
              <w:ind w:left="28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40,233,882</w:t>
              <w:tab/>
            </w:r>
            <w:r>
              <w:rPr>
                <w:rFonts w:ascii="Arial"/>
                <w:sz w:val="24"/>
              </w:rPr>
            </w:r>
          </w:p>
        </w:tc>
      </w:tr>
      <w:tr>
        <w:trPr>
          <w:trHeight w:val="595" w:hRule="exact"/>
        </w:trPr>
        <w:tc>
          <w:tcPr>
            <w:tcW w:w="697" w:type="dxa"/>
            <w:tcBorders>
              <w:top w:val="nil" w:sz="6" w:space="0" w:color="auto"/>
              <w:left w:val="nil" w:sz="6" w:space="0" w:color="auto"/>
              <w:bottom w:val="nil" w:sz="6" w:space="0" w:color="auto"/>
              <w:right w:val="nil" w:sz="6" w:space="0" w:color="auto"/>
            </w:tcBorders>
          </w:tcPr>
          <w:p>
            <w:pPr/>
          </w:p>
        </w:tc>
        <w:tc>
          <w:tcPr>
            <w:tcW w:w="3813" w:type="dxa"/>
            <w:gridSpan w:val="2"/>
            <w:tcBorders>
              <w:top w:val="nil" w:sz="6" w:space="0" w:color="auto"/>
              <w:left w:val="nil" w:sz="6" w:space="0" w:color="auto"/>
              <w:bottom w:val="nil" w:sz="6" w:space="0" w:color="auto"/>
              <w:right w:val="nil" w:sz="6" w:space="0" w:color="auto"/>
            </w:tcBorders>
          </w:tcPr>
          <w:p>
            <w:pPr/>
          </w:p>
        </w:tc>
        <w:tc>
          <w:tcPr>
            <w:tcW w:w="27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292"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540" w:right="0"/>
              <w:jc w:val="lef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9" w:hRule="exact"/>
        </w:trPr>
        <w:tc>
          <w:tcPr>
            <w:tcW w:w="697" w:type="dxa"/>
            <w:tcBorders>
              <w:top w:val="nil" w:sz="6" w:space="0" w:color="auto"/>
              <w:left w:val="nil" w:sz="6" w:space="0" w:color="auto"/>
              <w:bottom w:val="nil" w:sz="6" w:space="0" w:color="auto"/>
              <w:right w:val="nil" w:sz="6" w:space="0" w:color="auto"/>
            </w:tcBorders>
          </w:tcPr>
          <w:p>
            <w:pPr/>
          </w:p>
        </w:tc>
        <w:tc>
          <w:tcPr>
            <w:tcW w:w="38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37"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27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7"/>
              <w:ind w:left="1165" w:right="0"/>
              <w:jc w:val="left"/>
              <w:rPr>
                <w:rFonts w:ascii="Arial" w:hAnsi="Arial" w:cs="Arial" w:eastAsia="Arial" w:hint="default"/>
                <w:sz w:val="24"/>
                <w:szCs w:val="24"/>
              </w:rPr>
            </w:pPr>
            <w:r>
              <w:rPr>
                <w:rFonts w:ascii="Arial"/>
                <w:sz w:val="24"/>
              </w:rPr>
              <w:t>50,747,280</w:t>
            </w:r>
          </w:p>
        </w:tc>
        <w:tc>
          <w:tcPr>
            <w:tcW w:w="2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7"/>
              <w:ind w:left="1413" w:right="0"/>
              <w:jc w:val="left"/>
              <w:rPr>
                <w:rFonts w:ascii="Arial" w:hAnsi="Arial" w:cs="Arial" w:eastAsia="Arial" w:hint="default"/>
                <w:sz w:val="24"/>
                <w:szCs w:val="24"/>
              </w:rPr>
            </w:pPr>
            <w:r>
              <w:rPr>
                <w:rFonts w:ascii="Arial"/>
                <w:sz w:val="24"/>
              </w:rPr>
              <w:t>37,455,790</w:t>
            </w:r>
          </w:p>
        </w:tc>
      </w:tr>
      <w:tr>
        <w:trPr>
          <w:trHeight w:val="314" w:hRule="exact"/>
        </w:trPr>
        <w:tc>
          <w:tcPr>
            <w:tcW w:w="697" w:type="dxa"/>
            <w:tcBorders>
              <w:top w:val="nil" w:sz="6" w:space="0" w:color="auto"/>
              <w:left w:val="nil" w:sz="6" w:space="0" w:color="auto"/>
              <w:bottom w:val="nil" w:sz="6" w:space="0" w:color="auto"/>
              <w:right w:val="nil" w:sz="6" w:space="0" w:color="auto"/>
            </w:tcBorders>
          </w:tcPr>
          <w:p>
            <w:pPr/>
          </w:p>
        </w:tc>
        <w:tc>
          <w:tcPr>
            <w:tcW w:w="3813"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37"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2750" w:type="dxa"/>
            <w:gridSpan w:val="2"/>
            <w:tcBorders>
              <w:top w:val="nil" w:sz="6" w:space="0" w:color="auto"/>
              <w:left w:val="nil" w:sz="6" w:space="0" w:color="auto"/>
              <w:bottom w:val="nil" w:sz="6" w:space="0" w:color="auto"/>
              <w:right w:val="nil" w:sz="6" w:space="0" w:color="auto"/>
            </w:tcBorders>
          </w:tcPr>
          <w:p>
            <w:pPr>
              <w:pStyle w:val="TableParagraph"/>
              <w:tabs>
                <w:tab w:pos="1633" w:val="left" w:leader="none"/>
                <w:tab w:pos="2467" w:val="left" w:leader="none"/>
              </w:tabs>
              <w:spacing w:line="240" w:lineRule="auto" w:before="20"/>
              <w:ind w:left="61"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10,291</w:t>
              <w:tab/>
            </w:r>
            <w:r>
              <w:rPr>
                <w:rFonts w:ascii="Arial"/>
                <w:sz w:val="24"/>
              </w:rPr>
            </w:r>
          </w:p>
        </w:tc>
        <w:tc>
          <w:tcPr>
            <w:tcW w:w="2758" w:type="dxa"/>
            <w:gridSpan w:val="2"/>
            <w:tcBorders>
              <w:top w:val="nil" w:sz="6" w:space="0" w:color="auto"/>
              <w:left w:val="nil" w:sz="6" w:space="0" w:color="auto"/>
              <w:bottom w:val="nil" w:sz="6" w:space="0" w:color="auto"/>
              <w:right w:val="nil" w:sz="6" w:space="0" w:color="auto"/>
            </w:tcBorders>
          </w:tcPr>
          <w:p>
            <w:pPr>
              <w:pStyle w:val="TableParagraph"/>
              <w:tabs>
                <w:tab w:pos="2014" w:val="left" w:leader="none"/>
                <w:tab w:pos="2715" w:val="left" w:leader="none"/>
              </w:tabs>
              <w:spacing w:line="240" w:lineRule="auto" w:before="20"/>
              <w:ind w:left="28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1,428</w:t>
              <w:tab/>
            </w:r>
            <w:r>
              <w:rPr>
                <w:rFonts w:ascii="Arial"/>
                <w:sz w:val="24"/>
              </w:rPr>
            </w:r>
          </w:p>
        </w:tc>
      </w:tr>
      <w:tr>
        <w:trPr>
          <w:trHeight w:val="434" w:hRule="exact"/>
        </w:trPr>
        <w:tc>
          <w:tcPr>
            <w:tcW w:w="697" w:type="dxa"/>
            <w:tcBorders>
              <w:top w:val="nil" w:sz="6" w:space="0" w:color="auto"/>
              <w:left w:val="nil" w:sz="6" w:space="0" w:color="auto"/>
              <w:bottom w:val="nil" w:sz="6" w:space="0" w:color="auto"/>
              <w:right w:val="nil" w:sz="6" w:space="0" w:color="auto"/>
            </w:tcBorders>
          </w:tcPr>
          <w:p>
            <w:pPr/>
          </w:p>
        </w:tc>
        <w:tc>
          <w:tcPr>
            <w:tcW w:w="3813" w:type="dxa"/>
            <w:gridSpan w:val="2"/>
            <w:tcBorders>
              <w:top w:val="nil" w:sz="6" w:space="0" w:color="auto"/>
              <w:left w:val="nil" w:sz="6" w:space="0" w:color="auto"/>
              <w:bottom w:val="nil" w:sz="6" w:space="0" w:color="auto"/>
              <w:right w:val="nil" w:sz="6" w:space="0" w:color="auto"/>
            </w:tcBorders>
          </w:tcPr>
          <w:p>
            <w:pPr/>
          </w:p>
        </w:tc>
        <w:tc>
          <w:tcPr>
            <w:tcW w:w="2750" w:type="dxa"/>
            <w:gridSpan w:val="2"/>
            <w:tcBorders>
              <w:top w:val="nil" w:sz="6" w:space="0" w:color="auto"/>
              <w:left w:val="nil" w:sz="6" w:space="0" w:color="auto"/>
              <w:bottom w:val="nil" w:sz="6" w:space="0" w:color="auto"/>
              <w:right w:val="nil" w:sz="6" w:space="0" w:color="auto"/>
            </w:tcBorders>
          </w:tcPr>
          <w:p>
            <w:pPr>
              <w:pStyle w:val="TableParagraph"/>
              <w:tabs>
                <w:tab w:pos="1165" w:val="left" w:leader="none"/>
                <w:tab w:pos="2467" w:val="left" w:leader="none"/>
              </w:tabs>
              <w:spacing w:line="268" w:lineRule="exact"/>
              <w:ind w:left="6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50,757,571</w:t>
              <w:tab/>
            </w:r>
            <w:r>
              <w:rPr>
                <w:rFonts w:ascii="Arial"/>
                <w:sz w:val="24"/>
              </w:rPr>
            </w:r>
          </w:p>
        </w:tc>
        <w:tc>
          <w:tcPr>
            <w:tcW w:w="2758" w:type="dxa"/>
            <w:gridSpan w:val="2"/>
            <w:tcBorders>
              <w:top w:val="nil" w:sz="6" w:space="0" w:color="auto"/>
              <w:left w:val="nil" w:sz="6" w:space="0" w:color="auto"/>
              <w:bottom w:val="nil" w:sz="6" w:space="0" w:color="auto"/>
              <w:right w:val="nil" w:sz="6" w:space="0" w:color="auto"/>
            </w:tcBorders>
          </w:tcPr>
          <w:p>
            <w:pPr>
              <w:pStyle w:val="TableParagraph"/>
              <w:tabs>
                <w:tab w:pos="1413" w:val="left" w:leader="none"/>
                <w:tab w:pos="2715" w:val="left" w:leader="none"/>
              </w:tabs>
              <w:spacing w:line="268" w:lineRule="exact"/>
              <w:ind w:left="28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37,457,218</w:t>
              <w:tab/>
            </w:r>
            <w:r>
              <w:rPr>
                <w:rFonts w:ascii="Arial"/>
                <w:sz w:val="24"/>
              </w:rPr>
            </w:r>
          </w:p>
        </w:tc>
      </w:tr>
      <w:tr>
        <w:trPr>
          <w:trHeight w:val="591"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(a)</w:t>
            </w:r>
          </w:p>
        </w:tc>
        <w:tc>
          <w:tcPr>
            <w:tcW w:w="38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37" w:right="0"/>
              <w:jc w:val="left"/>
              <w:rPr>
                <w:rFonts w:ascii="宋体" w:hAnsi="宋体" w:cs="宋体" w:eastAsia="宋体" w:hint="default"/>
                <w:sz w:val="24"/>
                <w:szCs w:val="24"/>
              </w:rPr>
            </w:pPr>
            <w:r>
              <w:rPr>
                <w:rFonts w:ascii="宋体" w:hAnsi="宋体" w:cs="宋体" w:eastAsia="宋体" w:hint="default"/>
                <w:sz w:val="24"/>
                <w:szCs w:val="24"/>
              </w:rPr>
              <w:t>主营业务收入和主营业务成本</w:t>
            </w:r>
          </w:p>
        </w:tc>
        <w:tc>
          <w:tcPr>
            <w:tcW w:w="2750" w:type="dxa"/>
            <w:gridSpan w:val="2"/>
            <w:tcBorders>
              <w:top w:val="nil" w:sz="6" w:space="0" w:color="auto"/>
              <w:left w:val="nil" w:sz="6" w:space="0" w:color="auto"/>
              <w:bottom w:val="nil" w:sz="6" w:space="0" w:color="auto"/>
              <w:right w:val="nil" w:sz="6" w:space="0" w:color="auto"/>
            </w:tcBorders>
          </w:tcPr>
          <w:p>
            <w:pPr/>
          </w:p>
        </w:tc>
        <w:tc>
          <w:tcPr>
            <w:tcW w:w="2758" w:type="dxa"/>
            <w:gridSpan w:val="2"/>
            <w:tcBorders>
              <w:top w:val="nil" w:sz="6" w:space="0" w:color="auto"/>
              <w:left w:val="nil" w:sz="6" w:space="0" w:color="auto"/>
              <w:bottom w:val="nil" w:sz="6" w:space="0" w:color="auto"/>
              <w:right w:val="nil" w:sz="6" w:space="0" w:color="auto"/>
            </w:tcBorders>
          </w:tcPr>
          <w:p>
            <w:pPr/>
          </w:p>
        </w:tc>
      </w:tr>
      <w:tr>
        <w:trPr>
          <w:trHeight w:val="414" w:hRule="exact"/>
        </w:trPr>
        <w:tc>
          <w:tcPr>
            <w:tcW w:w="697" w:type="dxa"/>
            <w:tcBorders>
              <w:top w:val="nil" w:sz="6" w:space="0" w:color="auto"/>
              <w:left w:val="nil" w:sz="6" w:space="0" w:color="auto"/>
              <w:bottom w:val="nil" w:sz="6" w:space="0" w:color="auto"/>
              <w:right w:val="nil" w:sz="6" w:space="0" w:color="auto"/>
            </w:tcBorders>
          </w:tcPr>
          <w:p>
            <w:pPr/>
          </w:p>
        </w:tc>
        <w:tc>
          <w:tcPr>
            <w:tcW w:w="38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7" w:right="0"/>
              <w:jc w:val="left"/>
              <w:rPr>
                <w:rFonts w:ascii="宋体" w:hAnsi="宋体" w:cs="宋体" w:eastAsia="宋体" w:hint="default"/>
                <w:sz w:val="24"/>
                <w:szCs w:val="24"/>
              </w:rPr>
            </w:pPr>
            <w:r>
              <w:rPr>
                <w:rFonts w:ascii="宋体" w:hAnsi="宋体" w:cs="宋体" w:eastAsia="宋体" w:hint="default"/>
                <w:sz w:val="24"/>
                <w:szCs w:val="24"/>
              </w:rPr>
              <w:t>按行业分析如下：</w:t>
            </w:r>
          </w:p>
        </w:tc>
        <w:tc>
          <w:tcPr>
            <w:tcW w:w="2750" w:type="dxa"/>
            <w:gridSpan w:val="2"/>
            <w:tcBorders>
              <w:top w:val="nil" w:sz="6" w:space="0" w:color="auto"/>
              <w:left w:val="nil" w:sz="6" w:space="0" w:color="auto"/>
              <w:bottom w:val="nil" w:sz="6" w:space="0" w:color="auto"/>
              <w:right w:val="nil" w:sz="6" w:space="0" w:color="auto"/>
            </w:tcBorders>
          </w:tcPr>
          <w:p>
            <w:pPr/>
          </w:p>
        </w:tc>
        <w:tc>
          <w:tcPr>
            <w:tcW w:w="2758" w:type="dxa"/>
            <w:gridSpan w:val="2"/>
            <w:tcBorders>
              <w:top w:val="nil" w:sz="6" w:space="0" w:color="auto"/>
              <w:left w:val="nil" w:sz="6" w:space="0" w:color="auto"/>
              <w:bottom w:val="nil" w:sz="6" w:space="0" w:color="auto"/>
              <w:right w:val="nil" w:sz="6" w:space="0" w:color="auto"/>
            </w:tcBorders>
          </w:tcPr>
          <w:p>
            <w:pPr/>
          </w:p>
        </w:tc>
      </w:tr>
      <w:tr>
        <w:trPr>
          <w:trHeight w:val="630" w:hRule="exact"/>
        </w:trPr>
        <w:tc>
          <w:tcPr>
            <w:tcW w:w="1001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tabs>
                <w:tab w:pos="7726" w:val="left" w:leader="none"/>
              </w:tabs>
              <w:spacing w:line="240" w:lineRule="auto"/>
              <w:ind w:left="4022"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tab/>
            </w: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4" w:hRule="exact"/>
        </w:trPr>
        <w:tc>
          <w:tcPr>
            <w:tcW w:w="2724" w:type="dxa"/>
            <w:gridSpan w:val="2"/>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70" w:lineRule="exact"/>
              <w:ind w:left="176"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912" w:type="dxa"/>
            <w:tcBorders>
              <w:top w:val="nil" w:sz="6" w:space="0" w:color="auto"/>
              <w:left w:val="nil" w:sz="6" w:space="0" w:color="auto"/>
              <w:bottom w:val="nil" w:sz="6" w:space="0" w:color="auto"/>
              <w:right w:val="nil" w:sz="6" w:space="0" w:color="auto"/>
            </w:tcBorders>
          </w:tcPr>
          <w:p>
            <w:pPr>
              <w:pStyle w:val="TableParagraph"/>
              <w:spacing w:line="270" w:lineRule="exact"/>
              <w:ind w:left="252"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1848"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188"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749" w:type="dxa"/>
            <w:tcBorders>
              <w:top w:val="nil" w:sz="6" w:space="0" w:color="auto"/>
              <w:left w:val="nil" w:sz="6" w:space="0" w:color="auto"/>
              <w:bottom w:val="nil" w:sz="6" w:space="0" w:color="auto"/>
              <w:right w:val="nil" w:sz="6" w:space="0" w:color="auto"/>
            </w:tcBorders>
          </w:tcPr>
          <w:p>
            <w:pPr>
              <w:pStyle w:val="TableParagraph"/>
              <w:spacing w:line="270" w:lineRule="exact"/>
              <w:ind w:left="165"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465" w:hRule="exact"/>
        </w:trPr>
        <w:tc>
          <w:tcPr>
            <w:tcW w:w="27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734" w:right="0"/>
              <w:jc w:val="left"/>
              <w:rPr>
                <w:rFonts w:ascii="宋体" w:hAnsi="宋体" w:cs="宋体" w:eastAsia="宋体" w:hint="default"/>
                <w:sz w:val="24"/>
                <w:szCs w:val="24"/>
              </w:rPr>
            </w:pPr>
            <w:r>
              <w:rPr>
                <w:rFonts w:ascii="宋体" w:hAnsi="宋体" w:cs="宋体" w:eastAsia="宋体" w:hint="default"/>
                <w:sz w:val="24"/>
                <w:szCs w:val="24"/>
              </w:rPr>
              <w:t>零售批发行业</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415" w:right="0"/>
              <w:jc w:val="left"/>
              <w:rPr>
                <w:rFonts w:ascii="Arial" w:hAnsi="Arial" w:cs="Arial" w:eastAsia="Arial" w:hint="default"/>
                <w:sz w:val="24"/>
                <w:szCs w:val="24"/>
              </w:rPr>
            </w:pPr>
            <w:r>
              <w:rPr>
                <w:rFonts w:ascii="Arial"/>
                <w:sz w:val="24"/>
              </w:rPr>
              <w:t>54,213,675</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490" w:right="0"/>
              <w:jc w:val="left"/>
              <w:rPr>
                <w:rFonts w:ascii="Arial" w:hAnsi="Arial" w:cs="Arial" w:eastAsia="Arial" w:hint="default"/>
                <w:sz w:val="24"/>
                <w:szCs w:val="24"/>
              </w:rPr>
            </w:pPr>
            <w:r>
              <w:rPr>
                <w:rFonts w:ascii="Arial"/>
                <w:sz w:val="24"/>
              </w:rPr>
              <w:t>50,622,486</w:t>
            </w:r>
          </w:p>
        </w:tc>
        <w:tc>
          <w:tcPr>
            <w:tcW w:w="1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3"/>
              <w:ind w:left="426" w:right="0"/>
              <w:jc w:val="left"/>
              <w:rPr>
                <w:rFonts w:ascii="Arial" w:hAnsi="Arial" w:cs="Arial" w:eastAsia="Arial" w:hint="default"/>
                <w:sz w:val="24"/>
                <w:szCs w:val="24"/>
              </w:rPr>
            </w:pPr>
            <w:r>
              <w:rPr>
                <w:rFonts w:ascii="Arial"/>
                <w:sz w:val="24"/>
              </w:rPr>
              <w:t>39,915,810</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404" w:right="0"/>
              <w:jc w:val="left"/>
              <w:rPr>
                <w:rFonts w:ascii="Arial" w:hAnsi="Arial" w:cs="Arial" w:eastAsia="Arial" w:hint="default"/>
                <w:sz w:val="24"/>
                <w:szCs w:val="24"/>
              </w:rPr>
            </w:pPr>
            <w:r>
              <w:rPr>
                <w:rFonts w:ascii="Arial"/>
                <w:sz w:val="24"/>
              </w:rPr>
              <w:t>37,410,397</w:t>
            </w:r>
          </w:p>
        </w:tc>
      </w:tr>
      <w:tr>
        <w:trPr>
          <w:trHeight w:val="314" w:hRule="exact"/>
        </w:trPr>
        <w:tc>
          <w:tcPr>
            <w:tcW w:w="2724"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734" w:right="0"/>
              <w:jc w:val="left"/>
              <w:rPr>
                <w:rFonts w:ascii="宋体" w:hAnsi="宋体" w:cs="宋体" w:eastAsia="宋体" w:hint="default"/>
                <w:sz w:val="24"/>
                <w:szCs w:val="24"/>
              </w:rPr>
            </w:pPr>
            <w:r>
              <w:rPr>
                <w:rFonts w:ascii="宋体" w:hAnsi="宋体" w:cs="宋体" w:eastAsia="宋体" w:hint="default"/>
                <w:sz w:val="24"/>
                <w:szCs w:val="24"/>
              </w:rPr>
              <w:t>安装维修行业</w:t>
            </w:r>
          </w:p>
        </w:tc>
        <w:tc>
          <w:tcPr>
            <w:tcW w:w="1786" w:type="dxa"/>
            <w:tcBorders>
              <w:top w:val="nil" w:sz="6" w:space="0" w:color="auto"/>
              <w:left w:val="nil" w:sz="6" w:space="0" w:color="auto"/>
              <w:bottom w:val="nil" w:sz="6" w:space="0" w:color="auto"/>
              <w:right w:val="nil" w:sz="6" w:space="0" w:color="auto"/>
            </w:tcBorders>
          </w:tcPr>
          <w:p>
            <w:pPr>
              <w:pStyle w:val="TableParagraph"/>
              <w:tabs>
                <w:tab w:pos="670" w:val="left" w:leader="none"/>
                <w:tab w:pos="1637" w:val="left" w:leader="none"/>
              </w:tabs>
              <w:spacing w:line="240" w:lineRule="auto" w:before="20"/>
              <w:ind w:right="6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152,399</w:t>
              <w:tab/>
            </w:r>
            <w:r>
              <w:rPr>
                <w:rFonts w:ascii="Arial"/>
                <w:spacing w:val="-1"/>
                <w:sz w:val="24"/>
              </w:rPr>
            </w:r>
          </w:p>
        </w:tc>
        <w:tc>
          <w:tcPr>
            <w:tcW w:w="1912" w:type="dxa"/>
            <w:tcBorders>
              <w:top w:val="nil" w:sz="6" w:space="0" w:color="auto"/>
              <w:left w:val="nil" w:sz="6" w:space="0" w:color="auto"/>
              <w:bottom w:val="nil" w:sz="6" w:space="0" w:color="auto"/>
              <w:right w:val="nil" w:sz="6" w:space="0" w:color="auto"/>
            </w:tcBorders>
          </w:tcPr>
          <w:p>
            <w:pPr>
              <w:pStyle w:val="TableParagraph"/>
              <w:tabs>
                <w:tab w:pos="655" w:val="left" w:leader="none"/>
                <w:tab w:pos="1623" w:val="left" w:leader="none"/>
              </w:tabs>
              <w:spacing w:line="240" w:lineRule="auto" w:before="20"/>
              <w:ind w:right="11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124,794</w:t>
              <w:tab/>
            </w:r>
            <w:r>
              <w:rPr>
                <w:rFonts w:ascii="Arial"/>
                <w:spacing w:val="-1"/>
                <w:sz w:val="24"/>
              </w:rPr>
            </w:r>
          </w:p>
        </w:tc>
        <w:tc>
          <w:tcPr>
            <w:tcW w:w="1848" w:type="dxa"/>
            <w:gridSpan w:val="2"/>
            <w:tcBorders>
              <w:top w:val="nil" w:sz="6" w:space="0" w:color="auto"/>
              <w:left w:val="nil" w:sz="6" w:space="0" w:color="auto"/>
              <w:bottom w:val="nil" w:sz="6" w:space="0" w:color="auto"/>
              <w:right w:val="nil" w:sz="6" w:space="0" w:color="auto"/>
            </w:tcBorders>
          </w:tcPr>
          <w:p>
            <w:pPr>
              <w:pStyle w:val="TableParagraph"/>
              <w:tabs>
                <w:tab w:pos="894" w:val="left" w:leader="none"/>
                <w:tab w:pos="1729" w:val="left" w:leader="none"/>
              </w:tabs>
              <w:spacing w:line="240" w:lineRule="auto" w:before="20"/>
              <w:ind w:left="11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65,553</w:t>
              <w:tab/>
            </w:r>
            <w:r>
              <w:rPr>
                <w:rFonts w:ascii="Arial"/>
                <w:sz w:val="24"/>
              </w:rPr>
            </w:r>
          </w:p>
        </w:tc>
        <w:tc>
          <w:tcPr>
            <w:tcW w:w="1749" w:type="dxa"/>
            <w:tcBorders>
              <w:top w:val="nil" w:sz="6" w:space="0" w:color="auto"/>
              <w:left w:val="nil" w:sz="6" w:space="0" w:color="auto"/>
              <w:bottom w:val="nil" w:sz="6" w:space="0" w:color="auto"/>
              <w:right w:val="nil" w:sz="6" w:space="0" w:color="auto"/>
            </w:tcBorders>
          </w:tcPr>
          <w:p>
            <w:pPr>
              <w:pStyle w:val="TableParagraph"/>
              <w:tabs>
                <w:tab w:pos="752" w:val="left" w:leader="none"/>
                <w:tab w:pos="1587" w:val="left" w:leader="none"/>
              </w:tabs>
              <w:spacing w:line="240" w:lineRule="auto" w:before="20"/>
              <w:ind w:right="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45,393</w:t>
              <w:tab/>
            </w:r>
            <w:r>
              <w:rPr>
                <w:rFonts w:ascii="Arial"/>
                <w:spacing w:val="-1"/>
                <w:sz w:val="24"/>
              </w:rPr>
            </w:r>
          </w:p>
        </w:tc>
      </w:tr>
      <w:tr>
        <w:trPr>
          <w:trHeight w:val="420" w:hRule="exact"/>
        </w:trPr>
        <w:tc>
          <w:tcPr>
            <w:tcW w:w="2724" w:type="dxa"/>
            <w:gridSpan w:val="2"/>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tabs>
                <w:tab w:pos="343" w:val="left" w:leader="none"/>
                <w:tab w:pos="1652" w:val="left" w:leader="none"/>
              </w:tabs>
              <w:spacing w:line="268" w:lineRule="exact"/>
              <w:ind w:right="5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54,366,074</w:t>
              <w:tab/>
            </w:r>
            <w:r>
              <w:rPr>
                <w:rFonts w:ascii="Arial"/>
                <w:spacing w:val="-1"/>
                <w:sz w:val="24"/>
              </w:rPr>
            </w:r>
          </w:p>
        </w:tc>
        <w:tc>
          <w:tcPr>
            <w:tcW w:w="1912" w:type="dxa"/>
            <w:tcBorders>
              <w:top w:val="nil" w:sz="6" w:space="0" w:color="auto"/>
              <w:left w:val="nil" w:sz="6" w:space="0" w:color="auto"/>
              <w:bottom w:val="nil" w:sz="6" w:space="0" w:color="auto"/>
              <w:right w:val="nil" w:sz="6" w:space="0" w:color="auto"/>
            </w:tcBorders>
          </w:tcPr>
          <w:p>
            <w:pPr>
              <w:pStyle w:val="TableParagraph"/>
              <w:tabs>
                <w:tab w:pos="328" w:val="left" w:leader="none"/>
                <w:tab w:pos="1637" w:val="left" w:leader="none"/>
              </w:tabs>
              <w:spacing w:line="268" w:lineRule="exact"/>
              <w:ind w:right="10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50,747,280</w:t>
              <w:tab/>
            </w:r>
            <w:r>
              <w:rPr>
                <w:rFonts w:ascii="Arial"/>
                <w:spacing w:val="-1"/>
                <w:sz w:val="24"/>
              </w:rPr>
            </w:r>
          </w:p>
        </w:tc>
        <w:tc>
          <w:tcPr>
            <w:tcW w:w="1848" w:type="dxa"/>
            <w:gridSpan w:val="2"/>
            <w:tcBorders>
              <w:top w:val="nil" w:sz="6" w:space="0" w:color="auto"/>
              <w:left w:val="nil" w:sz="6" w:space="0" w:color="auto"/>
              <w:bottom w:val="nil" w:sz="6" w:space="0" w:color="auto"/>
              <w:right w:val="nil" w:sz="6" w:space="0" w:color="auto"/>
            </w:tcBorders>
          </w:tcPr>
          <w:p>
            <w:pPr>
              <w:pStyle w:val="TableParagraph"/>
              <w:tabs>
                <w:tab w:pos="426" w:val="left" w:leader="none"/>
                <w:tab w:pos="1736" w:val="left" w:leader="none"/>
              </w:tabs>
              <w:spacing w:line="268" w:lineRule="exact"/>
              <w:ind w:left="11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39,981,363</w:t>
              <w:tab/>
            </w:r>
            <w:r>
              <w:rPr>
                <w:rFonts w:ascii="Arial"/>
                <w:sz w:val="24"/>
              </w:rPr>
            </w:r>
          </w:p>
        </w:tc>
        <w:tc>
          <w:tcPr>
            <w:tcW w:w="1749" w:type="dxa"/>
            <w:tcBorders>
              <w:top w:val="nil" w:sz="6" w:space="0" w:color="auto"/>
              <w:left w:val="nil" w:sz="6" w:space="0" w:color="auto"/>
              <w:bottom w:val="nil" w:sz="6" w:space="0" w:color="auto"/>
              <w:right w:val="nil" w:sz="6" w:space="0" w:color="auto"/>
            </w:tcBorders>
          </w:tcPr>
          <w:p>
            <w:pPr>
              <w:pStyle w:val="TableParagraph"/>
              <w:tabs>
                <w:tab w:pos="291" w:val="left" w:leader="none"/>
                <w:tab w:pos="1601"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37,455,790</w:t>
              <w:tab/>
            </w:r>
            <w:r>
              <w:rPr>
                <w:rFonts w:ascii="Arial"/>
                <w:spacing w:val="-1"/>
                <w:sz w:val="24"/>
              </w:rPr>
            </w:r>
          </w:p>
        </w:tc>
      </w:tr>
      <w:tr>
        <w:trPr>
          <w:trHeight w:val="397" w:hRule="exact"/>
        </w:trPr>
        <w:tc>
          <w:tcPr>
            <w:tcW w:w="27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732" w:right="0"/>
              <w:jc w:val="left"/>
              <w:rPr>
                <w:rFonts w:ascii="宋体" w:hAnsi="宋体" w:cs="宋体" w:eastAsia="宋体" w:hint="default"/>
                <w:sz w:val="24"/>
                <w:szCs w:val="24"/>
              </w:rPr>
            </w:pPr>
            <w:r>
              <w:rPr>
                <w:rFonts w:ascii="宋体" w:hAnsi="宋体" w:cs="宋体" w:eastAsia="宋体" w:hint="default"/>
                <w:sz w:val="24"/>
                <w:szCs w:val="24"/>
              </w:rPr>
              <w:t>按产品分析如下：</w:t>
            </w:r>
          </w:p>
        </w:tc>
        <w:tc>
          <w:tcPr>
            <w:tcW w:w="1786"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c>
          <w:tcPr>
            <w:tcW w:w="1848" w:type="dxa"/>
            <w:gridSpan w:val="2"/>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
        </w:tc>
      </w:tr>
      <w:tr>
        <w:trPr>
          <w:trHeight w:val="630" w:hRule="exact"/>
        </w:trPr>
        <w:tc>
          <w:tcPr>
            <w:tcW w:w="1001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tabs>
                <w:tab w:pos="7726" w:val="left" w:leader="none"/>
              </w:tabs>
              <w:spacing w:line="240" w:lineRule="auto"/>
              <w:ind w:left="4022"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tab/>
            </w: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4" w:hRule="exact"/>
        </w:trPr>
        <w:tc>
          <w:tcPr>
            <w:tcW w:w="2724" w:type="dxa"/>
            <w:gridSpan w:val="2"/>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70" w:lineRule="exact"/>
              <w:ind w:left="176"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912" w:type="dxa"/>
            <w:tcBorders>
              <w:top w:val="nil" w:sz="6" w:space="0" w:color="auto"/>
              <w:left w:val="nil" w:sz="6" w:space="0" w:color="auto"/>
              <w:bottom w:val="nil" w:sz="6" w:space="0" w:color="auto"/>
              <w:right w:val="nil" w:sz="6" w:space="0" w:color="auto"/>
            </w:tcBorders>
          </w:tcPr>
          <w:p>
            <w:pPr>
              <w:pStyle w:val="TableParagraph"/>
              <w:spacing w:line="270" w:lineRule="exact"/>
              <w:ind w:left="252"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1848"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188"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749" w:type="dxa"/>
            <w:tcBorders>
              <w:top w:val="nil" w:sz="6" w:space="0" w:color="auto"/>
              <w:left w:val="nil" w:sz="6" w:space="0" w:color="auto"/>
              <w:bottom w:val="nil" w:sz="6" w:space="0" w:color="auto"/>
              <w:right w:val="nil" w:sz="6" w:space="0" w:color="auto"/>
            </w:tcBorders>
          </w:tcPr>
          <w:p>
            <w:pPr>
              <w:pStyle w:val="TableParagraph"/>
              <w:spacing w:line="270" w:lineRule="exact"/>
              <w:ind w:left="165"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465" w:hRule="exact"/>
        </w:trPr>
        <w:tc>
          <w:tcPr>
            <w:tcW w:w="27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732" w:right="0"/>
              <w:jc w:val="left"/>
              <w:rPr>
                <w:rFonts w:ascii="宋体" w:hAnsi="宋体" w:cs="宋体" w:eastAsia="宋体" w:hint="default"/>
                <w:sz w:val="24"/>
                <w:szCs w:val="24"/>
              </w:rPr>
            </w:pPr>
            <w:r>
              <w:rPr>
                <w:rFonts w:ascii="宋体" w:hAnsi="宋体" w:cs="宋体" w:eastAsia="宋体" w:hint="default"/>
                <w:sz w:val="24"/>
                <w:szCs w:val="24"/>
              </w:rPr>
              <w:t>黑色电器产品</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415" w:right="0"/>
              <w:jc w:val="left"/>
              <w:rPr>
                <w:rFonts w:ascii="Arial" w:hAnsi="Arial" w:cs="Arial" w:eastAsia="Arial" w:hint="default"/>
                <w:sz w:val="24"/>
                <w:szCs w:val="24"/>
              </w:rPr>
            </w:pPr>
            <w:r>
              <w:rPr>
                <w:rFonts w:ascii="Arial"/>
                <w:sz w:val="24"/>
              </w:rPr>
              <w:t>16,803,958</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490" w:right="0"/>
              <w:jc w:val="left"/>
              <w:rPr>
                <w:rFonts w:ascii="Arial" w:hAnsi="Arial" w:cs="Arial" w:eastAsia="Arial" w:hint="default"/>
                <w:sz w:val="24"/>
                <w:szCs w:val="24"/>
              </w:rPr>
            </w:pPr>
            <w:r>
              <w:rPr>
                <w:rFonts w:ascii="Arial"/>
                <w:sz w:val="24"/>
              </w:rPr>
              <w:t>15,293,344</w:t>
            </w:r>
          </w:p>
        </w:tc>
        <w:tc>
          <w:tcPr>
            <w:tcW w:w="1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3"/>
              <w:ind w:left="426" w:right="0"/>
              <w:jc w:val="left"/>
              <w:rPr>
                <w:rFonts w:ascii="Arial" w:hAnsi="Arial" w:cs="Arial" w:eastAsia="Arial" w:hint="default"/>
                <w:sz w:val="24"/>
                <w:szCs w:val="24"/>
              </w:rPr>
            </w:pPr>
            <w:r>
              <w:rPr>
                <w:rFonts w:ascii="Arial"/>
                <w:sz w:val="24"/>
              </w:rPr>
              <w:t>13,781,205</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404" w:right="0"/>
              <w:jc w:val="left"/>
              <w:rPr>
                <w:rFonts w:ascii="Arial" w:hAnsi="Arial" w:cs="Arial" w:eastAsia="Arial" w:hint="default"/>
                <w:sz w:val="24"/>
                <w:szCs w:val="24"/>
              </w:rPr>
            </w:pPr>
            <w:r>
              <w:rPr>
                <w:rFonts w:ascii="Arial"/>
                <w:sz w:val="24"/>
              </w:rPr>
              <w:t>12,706,242</w:t>
            </w:r>
          </w:p>
        </w:tc>
      </w:tr>
      <w:tr>
        <w:trPr>
          <w:trHeight w:val="312" w:hRule="exact"/>
        </w:trPr>
        <w:tc>
          <w:tcPr>
            <w:tcW w:w="2724"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732" w:right="0"/>
              <w:jc w:val="left"/>
              <w:rPr>
                <w:rFonts w:ascii="宋体" w:hAnsi="宋体" w:cs="宋体" w:eastAsia="宋体" w:hint="default"/>
                <w:sz w:val="24"/>
                <w:szCs w:val="24"/>
              </w:rPr>
            </w:pPr>
            <w:r>
              <w:rPr>
                <w:rFonts w:ascii="宋体" w:hAnsi="宋体" w:cs="宋体" w:eastAsia="宋体" w:hint="default"/>
                <w:sz w:val="24"/>
                <w:szCs w:val="24"/>
              </w:rPr>
              <w:t>白色电器产品</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15" w:right="0"/>
              <w:jc w:val="left"/>
              <w:rPr>
                <w:rFonts w:ascii="Arial" w:hAnsi="Arial" w:cs="Arial" w:eastAsia="Arial" w:hint="default"/>
                <w:sz w:val="24"/>
                <w:szCs w:val="24"/>
              </w:rPr>
            </w:pPr>
            <w:r>
              <w:rPr>
                <w:rFonts w:ascii="Arial"/>
                <w:sz w:val="24"/>
              </w:rPr>
              <w:t>10,688,593</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23" w:right="0"/>
              <w:jc w:val="left"/>
              <w:rPr>
                <w:rFonts w:ascii="Arial" w:hAnsi="Arial" w:cs="Arial" w:eastAsia="Arial" w:hint="default"/>
                <w:sz w:val="24"/>
                <w:szCs w:val="24"/>
              </w:rPr>
            </w:pPr>
            <w:r>
              <w:rPr>
                <w:rFonts w:ascii="Arial"/>
                <w:sz w:val="24"/>
              </w:rPr>
              <w:t>9,773,470</w:t>
            </w:r>
          </w:p>
        </w:tc>
        <w:tc>
          <w:tcPr>
            <w:tcW w:w="1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577" w:right="0"/>
              <w:jc w:val="left"/>
              <w:rPr>
                <w:rFonts w:ascii="Arial" w:hAnsi="Arial" w:cs="Arial" w:eastAsia="Arial" w:hint="default"/>
                <w:sz w:val="24"/>
                <w:szCs w:val="24"/>
              </w:rPr>
            </w:pPr>
            <w:r>
              <w:rPr>
                <w:rFonts w:ascii="Arial"/>
                <w:spacing w:val="-3"/>
                <w:sz w:val="24"/>
              </w:rPr>
              <w:t>8,411,929</w:t>
            </w:r>
            <w:r>
              <w:rPr>
                <w:rFonts w:ascii="Arial"/>
                <w:sz w:val="24"/>
              </w:rPr>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2"/>
              <w:jc w:val="right"/>
              <w:rPr>
                <w:rFonts w:ascii="Arial" w:hAnsi="Arial" w:cs="Arial" w:eastAsia="Arial" w:hint="default"/>
                <w:sz w:val="24"/>
                <w:szCs w:val="24"/>
              </w:rPr>
            </w:pPr>
            <w:r>
              <w:rPr>
                <w:rFonts w:ascii="Arial"/>
                <w:spacing w:val="-1"/>
                <w:w w:val="95"/>
                <w:sz w:val="24"/>
              </w:rPr>
              <w:t>7,783,887</w:t>
            </w:r>
            <w:r>
              <w:rPr>
                <w:rFonts w:ascii="Arial"/>
                <w:sz w:val="24"/>
              </w:rPr>
            </w:r>
          </w:p>
        </w:tc>
      </w:tr>
      <w:tr>
        <w:trPr>
          <w:trHeight w:val="312" w:hRule="exact"/>
        </w:trPr>
        <w:tc>
          <w:tcPr>
            <w:tcW w:w="2724" w:type="dxa"/>
            <w:gridSpan w:val="2"/>
            <w:tcBorders>
              <w:top w:val="nil" w:sz="6" w:space="0" w:color="auto"/>
              <w:left w:val="nil" w:sz="6" w:space="0" w:color="auto"/>
              <w:bottom w:val="nil" w:sz="6" w:space="0" w:color="auto"/>
              <w:right w:val="nil" w:sz="6" w:space="0" w:color="auto"/>
            </w:tcBorders>
          </w:tcPr>
          <w:p>
            <w:pPr>
              <w:pStyle w:val="TableParagraph"/>
              <w:spacing w:line="278" w:lineRule="exact"/>
              <w:ind w:left="732" w:right="0"/>
              <w:jc w:val="left"/>
              <w:rPr>
                <w:rFonts w:ascii="宋体" w:hAnsi="宋体" w:cs="宋体" w:eastAsia="宋体" w:hint="default"/>
                <w:sz w:val="24"/>
                <w:szCs w:val="24"/>
              </w:rPr>
            </w:pPr>
            <w:r>
              <w:rPr>
                <w:rFonts w:ascii="宋体" w:hAnsi="宋体" w:cs="宋体" w:eastAsia="宋体" w:hint="default"/>
                <w:sz w:val="24"/>
                <w:szCs w:val="24"/>
              </w:rPr>
              <w:t>数码及</w:t>
            </w:r>
            <w:r>
              <w:rPr>
                <w:rFonts w:ascii="宋体" w:hAnsi="宋体" w:cs="宋体" w:eastAsia="宋体" w:hint="default"/>
                <w:spacing w:val="-60"/>
                <w:sz w:val="24"/>
                <w:szCs w:val="24"/>
              </w:rPr>
              <w:t> </w:t>
            </w:r>
            <w:r>
              <w:rPr>
                <w:rFonts w:ascii="Arial" w:hAnsi="Arial" w:cs="Arial" w:eastAsia="Arial" w:hint="default"/>
                <w:sz w:val="24"/>
                <w:szCs w:val="24"/>
              </w:rPr>
              <w:t>IT</w:t>
            </w:r>
            <w:r>
              <w:rPr>
                <w:rFonts w:ascii="Arial" w:hAnsi="Arial" w:cs="Arial" w:eastAsia="Arial" w:hint="default"/>
                <w:spacing w:val="-7"/>
                <w:sz w:val="24"/>
                <w:szCs w:val="24"/>
              </w:rPr>
              <w:t> </w:t>
            </w:r>
            <w:r>
              <w:rPr>
                <w:rFonts w:ascii="宋体" w:hAnsi="宋体" w:cs="宋体" w:eastAsia="宋体" w:hint="default"/>
                <w:sz w:val="24"/>
                <w:szCs w:val="24"/>
              </w:rPr>
              <w:t>产品</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8"/>
              <w:jc w:val="right"/>
              <w:rPr>
                <w:rFonts w:ascii="Arial" w:hAnsi="Arial" w:cs="Arial" w:eastAsia="Arial" w:hint="default"/>
                <w:sz w:val="24"/>
                <w:szCs w:val="24"/>
              </w:rPr>
            </w:pPr>
            <w:r>
              <w:rPr>
                <w:rFonts w:ascii="Arial"/>
                <w:spacing w:val="-1"/>
                <w:w w:val="95"/>
                <w:sz w:val="24"/>
              </w:rPr>
              <w:t>9,146,696</w:t>
            </w:r>
            <w:r>
              <w:rPr>
                <w:rFonts w:ascii="Arial"/>
                <w:sz w:val="24"/>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23" w:right="0"/>
              <w:jc w:val="left"/>
              <w:rPr>
                <w:rFonts w:ascii="Arial" w:hAnsi="Arial" w:cs="Arial" w:eastAsia="Arial" w:hint="default"/>
                <w:sz w:val="24"/>
                <w:szCs w:val="24"/>
              </w:rPr>
            </w:pPr>
            <w:r>
              <w:rPr>
                <w:rFonts w:ascii="Arial"/>
                <w:sz w:val="24"/>
              </w:rPr>
              <w:t>8,925,765</w:t>
            </w:r>
          </w:p>
        </w:tc>
        <w:tc>
          <w:tcPr>
            <w:tcW w:w="1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559" w:right="0"/>
              <w:jc w:val="left"/>
              <w:rPr>
                <w:rFonts w:ascii="Arial" w:hAnsi="Arial" w:cs="Arial" w:eastAsia="Arial" w:hint="default"/>
                <w:sz w:val="24"/>
                <w:szCs w:val="24"/>
              </w:rPr>
            </w:pPr>
            <w:r>
              <w:rPr>
                <w:rFonts w:ascii="Arial"/>
                <w:sz w:val="24"/>
              </w:rPr>
              <w:t>5,244,436</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2"/>
              <w:jc w:val="right"/>
              <w:rPr>
                <w:rFonts w:ascii="Arial" w:hAnsi="Arial" w:cs="Arial" w:eastAsia="Arial" w:hint="default"/>
                <w:sz w:val="24"/>
                <w:szCs w:val="24"/>
              </w:rPr>
            </w:pPr>
            <w:r>
              <w:rPr>
                <w:rFonts w:ascii="Arial"/>
                <w:spacing w:val="-3"/>
                <w:w w:val="95"/>
                <w:sz w:val="24"/>
              </w:rPr>
              <w:t>5,114,191</w:t>
            </w:r>
            <w:r>
              <w:rPr>
                <w:rFonts w:ascii="Arial"/>
                <w:sz w:val="24"/>
              </w:rPr>
            </w:r>
          </w:p>
        </w:tc>
      </w:tr>
      <w:tr>
        <w:trPr>
          <w:trHeight w:val="312" w:hRule="exact"/>
        </w:trPr>
        <w:tc>
          <w:tcPr>
            <w:tcW w:w="2724"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732" w:right="0"/>
              <w:jc w:val="left"/>
              <w:rPr>
                <w:rFonts w:ascii="宋体" w:hAnsi="宋体" w:cs="宋体" w:eastAsia="宋体" w:hint="default"/>
                <w:sz w:val="24"/>
                <w:szCs w:val="24"/>
              </w:rPr>
            </w:pPr>
            <w:r>
              <w:rPr>
                <w:rFonts w:ascii="宋体" w:hAnsi="宋体" w:cs="宋体" w:eastAsia="宋体" w:hint="default"/>
                <w:sz w:val="24"/>
                <w:szCs w:val="24"/>
              </w:rPr>
              <w:t>空调器产品</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8"/>
              <w:jc w:val="right"/>
              <w:rPr>
                <w:rFonts w:ascii="Arial" w:hAnsi="Arial" w:cs="Arial" w:eastAsia="Arial" w:hint="default"/>
                <w:sz w:val="24"/>
                <w:szCs w:val="24"/>
              </w:rPr>
            </w:pPr>
            <w:r>
              <w:rPr>
                <w:rFonts w:ascii="Arial"/>
                <w:spacing w:val="-1"/>
                <w:w w:val="95"/>
                <w:sz w:val="24"/>
              </w:rPr>
              <w:t>7,787,203</w:t>
            </w:r>
            <w:r>
              <w:rPr>
                <w:rFonts w:ascii="Arial"/>
                <w:sz w:val="24"/>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23" w:right="0"/>
              <w:jc w:val="left"/>
              <w:rPr>
                <w:rFonts w:ascii="Arial" w:hAnsi="Arial" w:cs="Arial" w:eastAsia="Arial" w:hint="default"/>
                <w:sz w:val="24"/>
                <w:szCs w:val="24"/>
              </w:rPr>
            </w:pPr>
            <w:r>
              <w:rPr>
                <w:rFonts w:ascii="Arial"/>
                <w:sz w:val="24"/>
              </w:rPr>
              <w:t>7,228,576</w:t>
            </w:r>
          </w:p>
        </w:tc>
        <w:tc>
          <w:tcPr>
            <w:tcW w:w="1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559" w:right="0"/>
              <w:jc w:val="left"/>
              <w:rPr>
                <w:rFonts w:ascii="Arial" w:hAnsi="Arial" w:cs="Arial" w:eastAsia="Arial" w:hint="default"/>
                <w:sz w:val="24"/>
                <w:szCs w:val="24"/>
              </w:rPr>
            </w:pPr>
            <w:r>
              <w:rPr>
                <w:rFonts w:ascii="Arial"/>
                <w:sz w:val="24"/>
              </w:rPr>
              <w:t>6,054,862</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2"/>
              <w:jc w:val="right"/>
              <w:rPr>
                <w:rFonts w:ascii="Arial" w:hAnsi="Arial" w:cs="Arial" w:eastAsia="Arial" w:hint="default"/>
                <w:sz w:val="24"/>
                <w:szCs w:val="24"/>
              </w:rPr>
            </w:pPr>
            <w:r>
              <w:rPr>
                <w:rFonts w:ascii="Arial"/>
                <w:spacing w:val="-1"/>
                <w:w w:val="95"/>
                <w:sz w:val="24"/>
              </w:rPr>
              <w:t>5,665,508</w:t>
            </w:r>
            <w:r>
              <w:rPr>
                <w:rFonts w:ascii="Arial"/>
                <w:sz w:val="24"/>
              </w:rPr>
            </w:r>
          </w:p>
        </w:tc>
      </w:tr>
      <w:tr>
        <w:trPr>
          <w:trHeight w:val="312" w:hRule="exact"/>
        </w:trPr>
        <w:tc>
          <w:tcPr>
            <w:tcW w:w="2724"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732" w:right="0"/>
              <w:jc w:val="left"/>
              <w:rPr>
                <w:rFonts w:ascii="宋体" w:hAnsi="宋体" w:cs="宋体" w:eastAsia="宋体" w:hint="default"/>
                <w:sz w:val="24"/>
                <w:szCs w:val="24"/>
              </w:rPr>
            </w:pPr>
            <w:r>
              <w:rPr>
                <w:rFonts w:ascii="宋体" w:hAnsi="宋体" w:cs="宋体" w:eastAsia="宋体" w:hint="default"/>
                <w:sz w:val="24"/>
                <w:szCs w:val="24"/>
              </w:rPr>
              <w:t>通讯产品</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8"/>
              <w:jc w:val="right"/>
              <w:rPr>
                <w:rFonts w:ascii="Arial" w:hAnsi="Arial" w:cs="Arial" w:eastAsia="Arial" w:hint="default"/>
                <w:sz w:val="24"/>
                <w:szCs w:val="24"/>
              </w:rPr>
            </w:pPr>
            <w:r>
              <w:rPr>
                <w:rFonts w:ascii="Arial"/>
                <w:spacing w:val="-1"/>
                <w:w w:val="95"/>
                <w:sz w:val="24"/>
              </w:rPr>
              <w:t>7,686,145</w:t>
            </w:r>
            <w:r>
              <w:rPr>
                <w:rFonts w:ascii="Arial"/>
                <w:sz w:val="24"/>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23" w:right="0"/>
              <w:jc w:val="left"/>
              <w:rPr>
                <w:rFonts w:ascii="Arial" w:hAnsi="Arial" w:cs="Arial" w:eastAsia="Arial" w:hint="default"/>
                <w:sz w:val="24"/>
                <w:szCs w:val="24"/>
              </w:rPr>
            </w:pPr>
            <w:r>
              <w:rPr>
                <w:rFonts w:ascii="Arial"/>
                <w:sz w:val="24"/>
              </w:rPr>
              <w:t>7,528,156</w:t>
            </w:r>
          </w:p>
        </w:tc>
        <w:tc>
          <w:tcPr>
            <w:tcW w:w="1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559" w:right="0"/>
              <w:jc w:val="left"/>
              <w:rPr>
                <w:rFonts w:ascii="Arial" w:hAnsi="Arial" w:cs="Arial" w:eastAsia="Arial" w:hint="default"/>
                <w:sz w:val="24"/>
                <w:szCs w:val="24"/>
              </w:rPr>
            </w:pPr>
            <w:r>
              <w:rPr>
                <w:rFonts w:ascii="Arial"/>
                <w:sz w:val="24"/>
              </w:rPr>
              <w:t>4,709,601</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2"/>
              <w:jc w:val="right"/>
              <w:rPr>
                <w:rFonts w:ascii="Arial" w:hAnsi="Arial" w:cs="Arial" w:eastAsia="Arial" w:hint="default"/>
                <w:sz w:val="24"/>
                <w:szCs w:val="24"/>
              </w:rPr>
            </w:pPr>
            <w:r>
              <w:rPr>
                <w:rFonts w:ascii="Arial"/>
                <w:spacing w:val="-1"/>
                <w:w w:val="95"/>
                <w:sz w:val="24"/>
              </w:rPr>
              <w:t>4,599,750</w:t>
            </w:r>
            <w:r>
              <w:rPr>
                <w:rFonts w:ascii="Arial"/>
                <w:sz w:val="24"/>
              </w:rPr>
            </w:r>
          </w:p>
        </w:tc>
      </w:tr>
      <w:tr>
        <w:trPr>
          <w:trHeight w:val="312" w:hRule="exact"/>
        </w:trPr>
        <w:tc>
          <w:tcPr>
            <w:tcW w:w="2724"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732" w:right="0"/>
              <w:jc w:val="left"/>
              <w:rPr>
                <w:rFonts w:ascii="宋体" w:hAnsi="宋体" w:cs="宋体" w:eastAsia="宋体" w:hint="default"/>
                <w:sz w:val="24"/>
                <w:szCs w:val="24"/>
              </w:rPr>
            </w:pPr>
            <w:r>
              <w:rPr>
                <w:rFonts w:ascii="宋体" w:hAnsi="宋体" w:cs="宋体" w:eastAsia="宋体" w:hint="default"/>
                <w:sz w:val="24"/>
                <w:szCs w:val="24"/>
              </w:rPr>
              <w:t>小家电产品</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8"/>
              <w:jc w:val="right"/>
              <w:rPr>
                <w:rFonts w:ascii="Arial" w:hAnsi="Arial" w:cs="Arial" w:eastAsia="Arial" w:hint="default"/>
                <w:sz w:val="24"/>
                <w:szCs w:val="24"/>
              </w:rPr>
            </w:pPr>
            <w:r>
              <w:rPr>
                <w:rFonts w:ascii="Arial"/>
                <w:spacing w:val="-1"/>
                <w:w w:val="95"/>
                <w:sz w:val="24"/>
              </w:rPr>
              <w:t>2,092,526</w:t>
            </w:r>
            <w:r>
              <w:rPr>
                <w:rFonts w:ascii="Arial"/>
                <w:sz w:val="24"/>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23" w:right="0"/>
              <w:jc w:val="left"/>
              <w:rPr>
                <w:rFonts w:ascii="Arial" w:hAnsi="Arial" w:cs="Arial" w:eastAsia="Arial" w:hint="default"/>
                <w:sz w:val="24"/>
                <w:szCs w:val="24"/>
              </w:rPr>
            </w:pPr>
            <w:r>
              <w:rPr>
                <w:rFonts w:ascii="Arial"/>
                <w:sz w:val="24"/>
              </w:rPr>
              <w:t>1,864,444</w:t>
            </w:r>
          </w:p>
        </w:tc>
        <w:tc>
          <w:tcPr>
            <w:tcW w:w="1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559" w:right="0"/>
              <w:jc w:val="left"/>
              <w:rPr>
                <w:rFonts w:ascii="Arial" w:hAnsi="Arial" w:cs="Arial" w:eastAsia="Arial" w:hint="default"/>
                <w:sz w:val="24"/>
                <w:szCs w:val="24"/>
              </w:rPr>
            </w:pPr>
            <w:r>
              <w:rPr>
                <w:rFonts w:ascii="Arial"/>
                <w:sz w:val="24"/>
              </w:rPr>
              <w:t>1,710,868</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2"/>
              <w:jc w:val="right"/>
              <w:rPr>
                <w:rFonts w:ascii="Arial" w:hAnsi="Arial" w:cs="Arial" w:eastAsia="Arial" w:hint="default"/>
                <w:sz w:val="24"/>
                <w:szCs w:val="24"/>
              </w:rPr>
            </w:pPr>
            <w:r>
              <w:rPr>
                <w:rFonts w:ascii="Arial"/>
                <w:spacing w:val="-1"/>
                <w:w w:val="95"/>
                <w:sz w:val="24"/>
              </w:rPr>
              <w:t>1,537,230</w:t>
            </w:r>
            <w:r>
              <w:rPr>
                <w:rFonts w:ascii="Arial"/>
                <w:sz w:val="24"/>
              </w:rPr>
            </w:r>
          </w:p>
        </w:tc>
      </w:tr>
      <w:tr>
        <w:trPr>
          <w:trHeight w:val="312" w:hRule="exact"/>
        </w:trPr>
        <w:tc>
          <w:tcPr>
            <w:tcW w:w="2724"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732" w:right="0"/>
              <w:jc w:val="left"/>
              <w:rPr>
                <w:rFonts w:ascii="宋体" w:hAnsi="宋体" w:cs="宋体" w:eastAsia="宋体" w:hint="default"/>
                <w:sz w:val="24"/>
                <w:szCs w:val="24"/>
              </w:rPr>
            </w:pPr>
            <w:r>
              <w:rPr>
                <w:rFonts w:ascii="宋体" w:hAnsi="宋体" w:cs="宋体" w:eastAsia="宋体" w:hint="default"/>
                <w:sz w:val="24"/>
                <w:szCs w:val="24"/>
              </w:rPr>
              <w:t>安装维修业务</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7"/>
              <w:jc w:val="right"/>
              <w:rPr>
                <w:rFonts w:ascii="Arial" w:hAnsi="Arial" w:cs="Arial" w:eastAsia="Arial" w:hint="default"/>
                <w:sz w:val="24"/>
                <w:szCs w:val="24"/>
              </w:rPr>
            </w:pPr>
            <w:r>
              <w:rPr>
                <w:rFonts w:ascii="Arial"/>
                <w:spacing w:val="-1"/>
                <w:w w:val="95"/>
                <w:sz w:val="24"/>
              </w:rPr>
              <w:t>152,399</w:t>
            </w:r>
            <w:r>
              <w:rPr>
                <w:rFonts w:ascii="Arial"/>
                <w:sz w:val="24"/>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25" w:right="0"/>
              <w:jc w:val="left"/>
              <w:rPr>
                <w:rFonts w:ascii="Arial" w:hAnsi="Arial" w:cs="Arial" w:eastAsia="Arial" w:hint="default"/>
                <w:sz w:val="24"/>
                <w:szCs w:val="24"/>
              </w:rPr>
            </w:pPr>
            <w:r>
              <w:rPr>
                <w:rFonts w:ascii="Arial"/>
                <w:sz w:val="24"/>
              </w:rPr>
              <w:t>124,794</w:t>
            </w:r>
          </w:p>
        </w:tc>
        <w:tc>
          <w:tcPr>
            <w:tcW w:w="1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894" w:right="0"/>
              <w:jc w:val="left"/>
              <w:rPr>
                <w:rFonts w:ascii="Arial" w:hAnsi="Arial" w:cs="Arial" w:eastAsia="Arial" w:hint="default"/>
                <w:sz w:val="24"/>
                <w:szCs w:val="24"/>
              </w:rPr>
            </w:pPr>
            <w:r>
              <w:rPr>
                <w:rFonts w:ascii="Arial"/>
                <w:sz w:val="24"/>
              </w:rPr>
              <w:t>65,553</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2"/>
              <w:jc w:val="right"/>
              <w:rPr>
                <w:rFonts w:ascii="Arial" w:hAnsi="Arial" w:cs="Arial" w:eastAsia="Arial" w:hint="default"/>
                <w:sz w:val="24"/>
                <w:szCs w:val="24"/>
              </w:rPr>
            </w:pPr>
            <w:r>
              <w:rPr>
                <w:rFonts w:ascii="Arial"/>
                <w:spacing w:val="-1"/>
                <w:w w:val="95"/>
                <w:sz w:val="24"/>
              </w:rPr>
              <w:t>45,393</w:t>
            </w:r>
            <w:r>
              <w:rPr>
                <w:rFonts w:ascii="Arial"/>
                <w:sz w:val="24"/>
              </w:rPr>
            </w:r>
          </w:p>
        </w:tc>
      </w:tr>
      <w:tr>
        <w:trPr>
          <w:trHeight w:val="314" w:hRule="exact"/>
        </w:trPr>
        <w:tc>
          <w:tcPr>
            <w:tcW w:w="2724"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73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786" w:type="dxa"/>
            <w:tcBorders>
              <w:top w:val="nil" w:sz="6" w:space="0" w:color="auto"/>
              <w:left w:val="nil" w:sz="6" w:space="0" w:color="auto"/>
              <w:bottom w:val="nil" w:sz="6" w:space="0" w:color="auto"/>
              <w:right w:val="nil" w:sz="6" w:space="0" w:color="auto"/>
            </w:tcBorders>
          </w:tcPr>
          <w:p>
            <w:pPr>
              <w:pStyle w:val="TableParagraph"/>
              <w:tabs>
                <w:tab w:pos="937" w:val="left" w:leader="none"/>
                <w:tab w:pos="1637" w:val="left" w:leader="none"/>
              </w:tabs>
              <w:spacing w:line="240" w:lineRule="auto" w:before="20"/>
              <w:ind w:right="6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8,554</w:t>
              <w:tab/>
            </w:r>
            <w:r>
              <w:rPr>
                <w:rFonts w:ascii="Arial"/>
                <w:spacing w:val="-1"/>
                <w:sz w:val="24"/>
              </w:rPr>
            </w:r>
          </w:p>
        </w:tc>
        <w:tc>
          <w:tcPr>
            <w:tcW w:w="1912" w:type="dxa"/>
            <w:tcBorders>
              <w:top w:val="nil" w:sz="6" w:space="0" w:color="auto"/>
              <w:left w:val="nil" w:sz="6" w:space="0" w:color="auto"/>
              <w:bottom w:val="nil" w:sz="6" w:space="0" w:color="auto"/>
              <w:right w:val="nil" w:sz="6" w:space="0" w:color="auto"/>
            </w:tcBorders>
          </w:tcPr>
          <w:p>
            <w:pPr>
              <w:pStyle w:val="TableParagraph"/>
              <w:tabs>
                <w:tab w:pos="922" w:val="left" w:leader="none"/>
                <w:tab w:pos="1623" w:val="left" w:leader="none"/>
              </w:tabs>
              <w:spacing w:line="240" w:lineRule="auto" w:before="20"/>
              <w:ind w:right="11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8,731</w:t>
              <w:tab/>
            </w:r>
            <w:r>
              <w:rPr>
                <w:rFonts w:ascii="Arial"/>
                <w:spacing w:val="-1"/>
                <w:sz w:val="24"/>
              </w:rPr>
            </w:r>
          </w:p>
        </w:tc>
        <w:tc>
          <w:tcPr>
            <w:tcW w:w="1848" w:type="dxa"/>
            <w:gridSpan w:val="2"/>
            <w:tcBorders>
              <w:top w:val="nil" w:sz="6" w:space="0" w:color="auto"/>
              <w:left w:val="nil" w:sz="6" w:space="0" w:color="auto"/>
              <w:bottom w:val="nil" w:sz="6" w:space="0" w:color="auto"/>
              <w:right w:val="nil" w:sz="6" w:space="0" w:color="auto"/>
            </w:tcBorders>
          </w:tcPr>
          <w:p>
            <w:pPr>
              <w:pStyle w:val="TableParagraph"/>
              <w:tabs>
                <w:tab w:pos="1027" w:val="left" w:leader="none"/>
                <w:tab w:pos="1729" w:val="left" w:leader="none"/>
              </w:tabs>
              <w:spacing w:line="240" w:lineRule="auto" w:before="20"/>
              <w:ind w:left="11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2,909</w:t>
              <w:tab/>
            </w:r>
            <w:r>
              <w:rPr>
                <w:rFonts w:ascii="Arial"/>
                <w:sz w:val="24"/>
              </w:rPr>
            </w:r>
          </w:p>
        </w:tc>
        <w:tc>
          <w:tcPr>
            <w:tcW w:w="1749" w:type="dxa"/>
            <w:tcBorders>
              <w:top w:val="nil" w:sz="6" w:space="0" w:color="auto"/>
              <w:left w:val="nil" w:sz="6" w:space="0" w:color="auto"/>
              <w:bottom w:val="nil" w:sz="6" w:space="0" w:color="auto"/>
              <w:right w:val="nil" w:sz="6" w:space="0" w:color="auto"/>
            </w:tcBorders>
          </w:tcPr>
          <w:p>
            <w:pPr>
              <w:pStyle w:val="TableParagraph"/>
              <w:tabs>
                <w:tab w:pos="886" w:val="left" w:leader="none"/>
                <w:tab w:pos="1587" w:val="left" w:leader="none"/>
              </w:tabs>
              <w:spacing w:line="240" w:lineRule="auto" w:before="20"/>
              <w:ind w:right="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3,589</w:t>
              <w:tab/>
            </w:r>
            <w:r>
              <w:rPr>
                <w:rFonts w:ascii="Arial"/>
                <w:spacing w:val="-1"/>
                <w:sz w:val="24"/>
              </w:rPr>
            </w:r>
          </w:p>
        </w:tc>
      </w:tr>
      <w:tr>
        <w:trPr>
          <w:trHeight w:val="363" w:hRule="exact"/>
        </w:trPr>
        <w:tc>
          <w:tcPr>
            <w:tcW w:w="2724" w:type="dxa"/>
            <w:gridSpan w:val="2"/>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tabs>
                <w:tab w:pos="343" w:val="left" w:leader="none"/>
                <w:tab w:pos="1652" w:val="left" w:leader="none"/>
              </w:tabs>
              <w:spacing w:line="268" w:lineRule="exact"/>
              <w:ind w:right="5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54,366,074</w:t>
              <w:tab/>
            </w:r>
            <w:r>
              <w:rPr>
                <w:rFonts w:ascii="Arial"/>
                <w:spacing w:val="-1"/>
                <w:sz w:val="24"/>
              </w:rPr>
            </w:r>
          </w:p>
        </w:tc>
        <w:tc>
          <w:tcPr>
            <w:tcW w:w="1912" w:type="dxa"/>
            <w:tcBorders>
              <w:top w:val="nil" w:sz="6" w:space="0" w:color="auto"/>
              <w:left w:val="nil" w:sz="6" w:space="0" w:color="auto"/>
              <w:bottom w:val="nil" w:sz="6" w:space="0" w:color="auto"/>
              <w:right w:val="nil" w:sz="6" w:space="0" w:color="auto"/>
            </w:tcBorders>
          </w:tcPr>
          <w:p>
            <w:pPr>
              <w:pStyle w:val="TableParagraph"/>
              <w:tabs>
                <w:tab w:pos="328" w:val="left" w:leader="none"/>
                <w:tab w:pos="1637" w:val="left" w:leader="none"/>
              </w:tabs>
              <w:spacing w:line="268" w:lineRule="exact"/>
              <w:ind w:right="10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50,747,280</w:t>
              <w:tab/>
            </w:r>
            <w:r>
              <w:rPr>
                <w:rFonts w:ascii="Arial"/>
                <w:spacing w:val="-1"/>
                <w:sz w:val="24"/>
              </w:rPr>
            </w:r>
          </w:p>
        </w:tc>
        <w:tc>
          <w:tcPr>
            <w:tcW w:w="1848" w:type="dxa"/>
            <w:gridSpan w:val="2"/>
            <w:tcBorders>
              <w:top w:val="nil" w:sz="6" w:space="0" w:color="auto"/>
              <w:left w:val="nil" w:sz="6" w:space="0" w:color="auto"/>
              <w:bottom w:val="nil" w:sz="6" w:space="0" w:color="auto"/>
              <w:right w:val="nil" w:sz="6" w:space="0" w:color="auto"/>
            </w:tcBorders>
          </w:tcPr>
          <w:p>
            <w:pPr>
              <w:pStyle w:val="TableParagraph"/>
              <w:tabs>
                <w:tab w:pos="425" w:val="left" w:leader="none"/>
                <w:tab w:pos="1736" w:val="left" w:leader="none"/>
              </w:tabs>
              <w:spacing w:line="268" w:lineRule="exact"/>
              <w:ind w:left="11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39,981,363</w:t>
              <w:tab/>
            </w:r>
            <w:r>
              <w:rPr>
                <w:rFonts w:ascii="Arial"/>
                <w:sz w:val="24"/>
              </w:rPr>
            </w:r>
          </w:p>
        </w:tc>
        <w:tc>
          <w:tcPr>
            <w:tcW w:w="1749" w:type="dxa"/>
            <w:tcBorders>
              <w:top w:val="nil" w:sz="6" w:space="0" w:color="auto"/>
              <w:left w:val="nil" w:sz="6" w:space="0" w:color="auto"/>
              <w:bottom w:val="nil" w:sz="6" w:space="0" w:color="auto"/>
              <w:right w:val="nil" w:sz="6" w:space="0" w:color="auto"/>
            </w:tcBorders>
          </w:tcPr>
          <w:p>
            <w:pPr>
              <w:pStyle w:val="TableParagraph"/>
              <w:tabs>
                <w:tab w:pos="292" w:val="left" w:leader="none"/>
                <w:tab w:pos="1601"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37,455,790</w:t>
              <w:tab/>
            </w:r>
            <w:r>
              <w:rPr>
                <w:rFonts w:ascii="Arial"/>
                <w:spacing w:val="-1"/>
                <w:sz w:val="24"/>
              </w:rPr>
            </w:r>
          </w:p>
        </w:tc>
      </w:tr>
    </w:tbl>
    <w:p>
      <w:pPr>
        <w:spacing w:after="0" w:line="268" w:lineRule="exact"/>
        <w:jc w:val="right"/>
        <w:rPr>
          <w:rFonts w:ascii="Arial" w:hAnsi="Arial" w:cs="Arial" w:eastAsia="Arial" w:hint="default"/>
          <w:sz w:val="24"/>
          <w:szCs w:val="24"/>
        </w:rPr>
        <w:sectPr>
          <w:headerReference w:type="default" r:id="rId84"/>
          <w:footerReference w:type="default" r:id="rId85"/>
          <w:pgSz w:w="11910" w:h="16840"/>
          <w:pgMar w:header="755" w:footer="947" w:top="2300" w:bottom="1140" w:left="1000" w:right="680"/>
          <w:pgNumType w:start="213"/>
        </w:sectPr>
      </w:pPr>
    </w:p>
    <w:p>
      <w:pPr>
        <w:spacing w:line="240" w:lineRule="auto" w:before="4"/>
        <w:rPr>
          <w:rFonts w:ascii="Times New Roman" w:hAnsi="Times New Roman" w:cs="Times New Roman" w:eastAsia="Times New Roman" w:hint="default"/>
          <w:sz w:val="15"/>
          <w:szCs w:val="15"/>
        </w:rPr>
      </w:pPr>
    </w:p>
    <w:p>
      <w:pPr>
        <w:pStyle w:val="Heading2"/>
        <w:tabs>
          <w:tab w:pos="816" w:val="left" w:leader="none"/>
        </w:tabs>
        <w:spacing w:line="240" w:lineRule="auto"/>
        <w:ind w:left="124" w:right="0"/>
        <w:jc w:val="left"/>
        <w:rPr>
          <w:rFonts w:ascii="Arial" w:hAnsi="Arial" w:cs="Arial" w:eastAsia="Arial" w:hint="default"/>
          <w:b w:val="0"/>
          <w:bCs w:val="0"/>
        </w:rPr>
      </w:pPr>
      <w:r>
        <w:rPr>
          <w:w w:val="95"/>
        </w:rPr>
        <w:t>十三</w:t>
        <w:tab/>
      </w:r>
      <w:r>
        <w:rPr/>
        <w:t>公司财务报表附注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6" w:val="left" w:leader="none"/>
        </w:tabs>
        <w:spacing w:before="0"/>
        <w:ind w:left="124" w:right="0" w:firstLine="0"/>
        <w:jc w:val="left"/>
        <w:rPr>
          <w:rFonts w:ascii="Arial" w:hAnsi="Arial" w:cs="Arial" w:eastAsia="Arial" w:hint="default"/>
          <w:sz w:val="24"/>
          <w:szCs w:val="24"/>
        </w:rPr>
      </w:pPr>
      <w:r>
        <w:rPr>
          <w:rFonts w:ascii="Arial" w:hAnsi="Arial" w:cs="Arial" w:eastAsia="Arial" w:hint="default"/>
          <w:w w:val="95"/>
          <w:position w:val="2"/>
          <w:sz w:val="24"/>
          <w:szCs w:val="24"/>
        </w:rPr>
        <w:t>(4)</w:t>
        <w:tab/>
      </w:r>
      <w:r>
        <w:rPr>
          <w:rFonts w:ascii="宋体" w:hAnsi="宋体" w:cs="宋体" w:eastAsia="宋体" w:hint="default"/>
          <w:b/>
          <w:bCs/>
          <w:sz w:val="24"/>
          <w:szCs w:val="24"/>
        </w:rPr>
        <w:t>营业收入和营业成本</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16" w:val="left" w:leader="none"/>
        </w:tabs>
        <w:spacing w:line="427" w:lineRule="auto"/>
        <w:ind w:left="816" w:right="5905" w:hanging="693"/>
        <w:jc w:val="left"/>
      </w:pPr>
      <w:r>
        <w:rPr>
          <w:rFonts w:ascii="Arial" w:hAnsi="Arial" w:cs="Arial" w:eastAsia="Arial" w:hint="default"/>
          <w:w w:val="95"/>
          <w:position w:val="2"/>
        </w:rPr>
        <w:t>(a)</w:t>
        <w:tab/>
      </w:r>
      <w:r>
        <w:rPr/>
        <w:t>主营业务收入和主营业务成本</w:t>
      </w:r>
      <w:r>
        <w:rPr>
          <w:rFonts w:ascii="Arial" w:hAnsi="Arial" w:cs="Arial" w:eastAsia="Arial" w:hint="default"/>
        </w:rPr>
        <w:t>(</w:t>
      </w:r>
      <w:r>
        <w:rPr/>
        <w:t>续</w:t>
      </w:r>
      <w:r>
        <w:rPr>
          <w:rFonts w:ascii="Arial" w:hAnsi="Arial" w:cs="Arial" w:eastAsia="Arial" w:hint="default"/>
        </w:rPr>
        <w:t>) </w:t>
      </w:r>
      <w:r>
        <w:rPr/>
        <w:t>按地区分析如下：</w:t>
      </w:r>
    </w:p>
    <w:p>
      <w:pPr>
        <w:pStyle w:val="BodyText"/>
        <w:tabs>
          <w:tab w:pos="7834" w:val="left" w:leader="none"/>
        </w:tabs>
        <w:spacing w:line="240" w:lineRule="auto" w:before="86"/>
        <w:ind w:left="4125" w:right="0"/>
        <w:jc w:val="left"/>
      </w:pPr>
      <w:r>
        <w:rPr>
          <w:rFonts w:ascii="Arial" w:hAnsi="Arial" w:cs="Arial" w:eastAsia="Arial" w:hint="default"/>
        </w:rPr>
        <w:t>2010</w:t>
      </w:r>
      <w:r>
        <w:rPr>
          <w:rFonts w:ascii="Arial" w:hAnsi="Arial" w:cs="Arial" w:eastAsia="Arial" w:hint="default"/>
          <w:spacing w:val="-11"/>
        </w:rPr>
        <w:t> </w:t>
      </w:r>
      <w:r>
        <w:rPr/>
        <w:t>年度</w:t>
        <w:tab/>
      </w:r>
      <w:r>
        <w:rPr>
          <w:rFonts w:ascii="Arial" w:hAnsi="Arial" w:cs="Arial" w:eastAsia="Arial" w:hint="default"/>
        </w:rPr>
        <w:t>2009</w:t>
      </w:r>
      <w:r>
        <w:rPr>
          <w:rFonts w:ascii="Arial" w:hAnsi="Arial" w:cs="Arial" w:eastAsia="Arial" w:hint="default"/>
          <w:spacing w:val="-11"/>
        </w:rPr>
        <w:t> </w:t>
      </w:r>
      <w:r>
        <w:rPr/>
        <w:t>年度</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26"/>
        <w:ind w:left="834" w:right="0"/>
        <w:jc w:val="left"/>
      </w:pPr>
      <w:r>
        <w:rPr/>
        <w:pict>
          <v:shape style="position:absolute;margin-left:193.190002pt;margin-top:-25.408169pt;width:363.3pt;height:48.9pt;mso-position-horizontal-relative:page;mso-position-vertical-relative:paragraph;z-index:5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5"/>
                    <w:gridCol w:w="1835"/>
                    <w:gridCol w:w="3605"/>
                  </w:tblGrid>
                  <w:tr>
                    <w:trPr>
                      <w:trHeight w:val="449"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60" w:lineRule="exact"/>
                          <w:ind w:right="105"/>
                          <w:jc w:val="center"/>
                          <w:rPr>
                            <w:rFonts w:ascii="宋体" w:hAnsi="宋体" w:cs="宋体" w:eastAsia="宋体" w:hint="default"/>
                            <w:sz w:val="24"/>
                            <w:szCs w:val="24"/>
                          </w:rPr>
                        </w:pPr>
                        <w:r>
                          <w:rPr>
                            <w:rFonts w:ascii="宋体" w:hAnsi="宋体" w:cs="宋体" w:eastAsia="宋体" w:hint="default"/>
                            <w:sz w:val="24"/>
                            <w:szCs w:val="24"/>
                          </w:rPr>
                          <w:t>主营业务收入</w:t>
                        </w:r>
                      </w:p>
                    </w:tc>
                    <w:tc>
                      <w:tcPr>
                        <w:tcW w:w="1835" w:type="dxa"/>
                        <w:tcBorders>
                          <w:top w:val="nil" w:sz="6" w:space="0" w:color="auto"/>
                          <w:left w:val="nil" w:sz="6" w:space="0" w:color="auto"/>
                          <w:bottom w:val="nil" w:sz="6" w:space="0" w:color="auto"/>
                          <w:right w:val="nil" w:sz="6" w:space="0" w:color="auto"/>
                        </w:tcBorders>
                      </w:tcPr>
                      <w:p>
                        <w:pPr>
                          <w:pStyle w:val="TableParagraph"/>
                          <w:spacing w:line="260" w:lineRule="exact"/>
                          <w:ind w:left="175"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3605" w:type="dxa"/>
                        <w:tcBorders>
                          <w:top w:val="nil" w:sz="6" w:space="0" w:color="auto"/>
                          <w:left w:val="nil" w:sz="6" w:space="0" w:color="auto"/>
                          <w:bottom w:val="nil" w:sz="6" w:space="0" w:color="auto"/>
                          <w:right w:val="nil" w:sz="6" w:space="0" w:color="auto"/>
                        </w:tcBorders>
                      </w:tcPr>
                      <w:p>
                        <w:pPr>
                          <w:pStyle w:val="TableParagraph"/>
                          <w:tabs>
                            <w:tab w:pos="1878" w:val="left" w:leader="none"/>
                          </w:tabs>
                          <w:spacing w:line="260" w:lineRule="exact"/>
                          <w:ind w:left="45" w:right="0"/>
                          <w:jc w:val="center"/>
                          <w:rPr>
                            <w:rFonts w:ascii="宋体" w:hAnsi="宋体" w:cs="宋体" w:eastAsia="宋体" w:hint="default"/>
                            <w:sz w:val="24"/>
                            <w:szCs w:val="24"/>
                          </w:rPr>
                        </w:pPr>
                        <w:r>
                          <w:rPr>
                            <w:rFonts w:ascii="宋体" w:hAnsi="宋体" w:cs="宋体" w:eastAsia="宋体" w:hint="default"/>
                            <w:sz w:val="24"/>
                            <w:szCs w:val="24"/>
                          </w:rPr>
                          <w:t>主营业务收入</w:t>
                          <w:tab/>
                          <w:t>主营业务成本</w:t>
                        </w:r>
                      </w:p>
                    </w:tc>
                  </w:tr>
                  <w:tr>
                    <w:trPr>
                      <w:trHeight w:val="529" w:hRule="exact"/>
                    </w:trPr>
                    <w:tc>
                      <w:tcPr>
                        <w:tcW w:w="1825" w:type="dxa"/>
                        <w:tcBorders>
                          <w:top w:val="nil" w:sz="6" w:space="0" w:color="auto"/>
                          <w:left w:val="nil" w:sz="6" w:space="0" w:color="auto"/>
                          <w:bottom w:val="nil" w:sz="6" w:space="0" w:color="auto"/>
                          <w:right w:val="nil" w:sz="6" w:space="0" w:color="auto"/>
                        </w:tcBorders>
                      </w:tcPr>
                      <w:p>
                        <w:pPr>
                          <w:pStyle w:val="TableParagraph"/>
                          <w:tabs>
                            <w:tab w:pos="343" w:val="left" w:leader="none"/>
                            <w:tab w:pos="1652" w:val="left" w:leader="none"/>
                          </w:tabs>
                          <w:spacing w:line="240" w:lineRule="auto" w:before="158"/>
                          <w:ind w:right="100"/>
                          <w:jc w:val="center"/>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54,366,074</w:t>
                          <w:tab/>
                        </w:r>
                        <w:r>
                          <w:rPr>
                            <w:rFonts w:ascii="Arial"/>
                            <w:sz w:val="24"/>
                          </w:rPr>
                        </w:r>
                      </w:p>
                    </w:tc>
                    <w:tc>
                      <w:tcPr>
                        <w:tcW w:w="1835" w:type="dxa"/>
                        <w:tcBorders>
                          <w:top w:val="nil" w:sz="6" w:space="0" w:color="auto"/>
                          <w:left w:val="nil" w:sz="6" w:space="0" w:color="auto"/>
                          <w:bottom w:val="nil" w:sz="6" w:space="0" w:color="auto"/>
                          <w:right w:val="nil" w:sz="6" w:space="0" w:color="auto"/>
                        </w:tcBorders>
                      </w:tcPr>
                      <w:p>
                        <w:pPr>
                          <w:pStyle w:val="TableParagraph"/>
                          <w:tabs>
                            <w:tab w:pos="414" w:val="left" w:leader="none"/>
                            <w:tab w:pos="1723" w:val="left" w:leader="none"/>
                          </w:tabs>
                          <w:spacing w:line="240" w:lineRule="auto" w:before="158"/>
                          <w:ind w:left="137"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50,747,280</w:t>
                          <w:tab/>
                        </w:r>
                        <w:r>
                          <w:rPr>
                            <w:rFonts w:ascii="Arial"/>
                            <w:sz w:val="24"/>
                          </w:rPr>
                        </w:r>
                      </w:p>
                    </w:tc>
                    <w:tc>
                      <w:tcPr>
                        <w:tcW w:w="3605" w:type="dxa"/>
                        <w:tcBorders>
                          <w:top w:val="nil" w:sz="6" w:space="0" w:color="auto"/>
                          <w:left w:val="nil" w:sz="6" w:space="0" w:color="auto"/>
                          <w:bottom w:val="nil" w:sz="6" w:space="0" w:color="auto"/>
                          <w:right w:val="nil" w:sz="6" w:space="0" w:color="auto"/>
                        </w:tcBorders>
                      </w:tcPr>
                      <w:p>
                        <w:pPr>
                          <w:pStyle w:val="TableParagraph"/>
                          <w:tabs>
                            <w:tab w:pos="391" w:val="left" w:leader="none"/>
                            <w:tab w:pos="1924" w:val="left" w:leader="none"/>
                            <w:tab w:pos="2224" w:val="left" w:leader="none"/>
                            <w:tab w:pos="3534" w:val="left" w:leader="none"/>
                          </w:tabs>
                          <w:spacing w:line="240" w:lineRule="auto" w:before="158"/>
                          <w:ind w:left="76" w:right="0"/>
                          <w:jc w:val="center"/>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39,981,363</w:t>
                        </w:r>
                        <w:r>
                          <w:rPr>
                            <w:rFonts w:ascii="Arial"/>
                            <w:spacing w:val="-1"/>
                            <w:sz w:val="24"/>
                          </w:rPr>
                          <w:tab/>
                        </w:r>
                        <w:r>
                          <w:rPr>
                            <w:rFonts w:ascii="Arial"/>
                            <w:spacing w:val="-1"/>
                            <w:sz w:val="24"/>
                            <w:u w:val="thick" w:color="000000"/>
                          </w:rPr>
                          <w:t> </w:t>
                          <w:tab/>
                          <w:t>37,455,790</w:t>
                          <w:tab/>
                        </w:r>
                        <w:r>
                          <w:rPr>
                            <w:rFonts w:ascii="Arial"/>
                            <w:spacing w:val="-1"/>
                            <w:sz w:val="24"/>
                          </w:rPr>
                        </w:r>
                      </w:p>
                    </w:tc>
                  </w:tr>
                </w:tbl>
                <w:p>
                  <w:pPr/>
                </w:p>
              </w:txbxContent>
            </v:textbox>
            <w10:wrap type="none"/>
          </v:shape>
        </w:pict>
      </w:r>
      <w:r>
        <w:rPr/>
        <w:t>华东一区</w:t>
      </w:r>
    </w:p>
    <w:p>
      <w:pPr>
        <w:spacing w:line="240" w:lineRule="auto" w:before="1"/>
        <w:rPr>
          <w:rFonts w:ascii="宋体" w:hAnsi="宋体" w:cs="宋体" w:eastAsia="宋体" w:hint="default"/>
          <w:sz w:val="18"/>
          <w:szCs w:val="18"/>
        </w:rPr>
      </w:pPr>
    </w:p>
    <w:p>
      <w:pPr>
        <w:pStyle w:val="BodyText"/>
        <w:tabs>
          <w:tab w:pos="816" w:val="left" w:leader="none"/>
        </w:tabs>
        <w:spacing w:line="240" w:lineRule="auto" w:before="32"/>
        <w:ind w:left="124" w:right="0"/>
        <w:jc w:val="left"/>
      </w:pPr>
      <w:r>
        <w:rPr>
          <w:rFonts w:ascii="Arial" w:hAnsi="Arial" w:cs="Arial" w:eastAsia="Arial" w:hint="default"/>
          <w:w w:val="95"/>
          <w:position w:val="2"/>
        </w:rPr>
        <w:t>(b)</w:t>
        <w:tab/>
      </w:r>
      <w:r>
        <w:rPr/>
        <w:t>其他业务收入和其他业务成本</w:t>
      </w:r>
    </w:p>
    <w:p>
      <w:pPr>
        <w:spacing w:line="240" w:lineRule="auto" w:before="12"/>
        <w:rPr>
          <w:rFonts w:ascii="宋体" w:hAnsi="宋体" w:cs="宋体" w:eastAsia="宋体" w:hint="default"/>
          <w:sz w:val="18"/>
          <w:szCs w:val="18"/>
        </w:rPr>
      </w:pPr>
    </w:p>
    <w:p>
      <w:pPr>
        <w:pStyle w:val="BodyText"/>
        <w:tabs>
          <w:tab w:pos="7829" w:val="left" w:leader="none"/>
        </w:tabs>
        <w:spacing w:line="240" w:lineRule="auto" w:before="26"/>
        <w:ind w:left="4125" w:right="0"/>
        <w:jc w:val="left"/>
      </w:pPr>
      <w:r>
        <w:rPr>
          <w:rFonts w:ascii="Arial" w:hAnsi="Arial" w:cs="Arial" w:eastAsia="Arial" w:hint="default"/>
        </w:rPr>
        <w:t>2010</w:t>
      </w:r>
      <w:r>
        <w:rPr>
          <w:rFonts w:ascii="Arial" w:hAnsi="Arial" w:cs="Arial" w:eastAsia="Arial" w:hint="default"/>
          <w:spacing w:val="-11"/>
        </w:rPr>
        <w:t> </w:t>
      </w:r>
      <w:r>
        <w:rPr/>
        <w:t>年度</w:t>
        <w:tab/>
      </w:r>
      <w:r>
        <w:rPr>
          <w:rFonts w:ascii="Arial" w:hAnsi="Arial" w:cs="Arial" w:eastAsia="Arial" w:hint="default"/>
        </w:rPr>
        <w:t>2009</w:t>
      </w:r>
      <w:r>
        <w:rPr>
          <w:rFonts w:ascii="Arial" w:hAnsi="Arial" w:cs="Arial" w:eastAsia="Arial" w:hint="default"/>
          <w:spacing w:val="-11"/>
        </w:rPr>
        <w:t> </w:t>
      </w:r>
      <w:r>
        <w:rPr/>
        <w:t>年度</w:t>
      </w:r>
    </w:p>
    <w:p>
      <w:pPr>
        <w:spacing w:line="240" w:lineRule="auto" w:before="8"/>
        <w:rPr>
          <w:rFonts w:ascii="宋体" w:hAnsi="宋体" w:cs="宋体" w:eastAsia="宋体" w:hint="default"/>
          <w:sz w:val="2"/>
          <w:szCs w:val="2"/>
        </w:rPr>
      </w:pPr>
    </w:p>
    <w:tbl>
      <w:tblPr>
        <w:tblW w:w="0" w:type="auto"/>
        <w:jc w:val="left"/>
        <w:tblInd w:w="799" w:type="dxa"/>
        <w:tblLayout w:type="fixed"/>
        <w:tblCellMar>
          <w:top w:w="0" w:type="dxa"/>
          <w:left w:w="0" w:type="dxa"/>
          <w:bottom w:w="0" w:type="dxa"/>
          <w:right w:w="0" w:type="dxa"/>
        </w:tblCellMar>
        <w:tblLook w:val="01E0"/>
      </w:tblPr>
      <w:tblGrid>
        <w:gridCol w:w="2071"/>
        <w:gridCol w:w="1820"/>
        <w:gridCol w:w="1833"/>
        <w:gridCol w:w="1848"/>
        <w:gridCol w:w="1741"/>
      </w:tblGrid>
      <w:tr>
        <w:trPr>
          <w:trHeight w:val="934" w:hRule="exact"/>
        </w:trPr>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连锁店服务收入</w:t>
            </w:r>
          </w:p>
        </w:tc>
        <w:tc>
          <w:tcPr>
            <w:tcW w:w="1820" w:type="dxa"/>
            <w:tcBorders>
              <w:top w:val="nil" w:sz="6" w:space="0" w:color="auto"/>
              <w:left w:val="nil" w:sz="6" w:space="0" w:color="auto"/>
              <w:bottom w:val="nil" w:sz="6" w:space="0" w:color="auto"/>
              <w:right w:val="nil" w:sz="6" w:space="0" w:color="auto"/>
            </w:tcBorders>
          </w:tcPr>
          <w:p>
            <w:pPr>
              <w:pStyle w:val="TableParagraph"/>
              <w:spacing w:line="270" w:lineRule="exact"/>
              <w:ind w:left="132" w:right="0"/>
              <w:jc w:val="left"/>
              <w:rPr>
                <w:rFonts w:ascii="宋体" w:hAnsi="宋体" w:cs="宋体" w:eastAsia="宋体" w:hint="default"/>
                <w:sz w:val="24"/>
                <w:szCs w:val="24"/>
              </w:rPr>
            </w:pPr>
            <w:r>
              <w:rPr>
                <w:rFonts w:ascii="宋体" w:hAnsi="宋体" w:cs="宋体" w:eastAsia="宋体" w:hint="default"/>
                <w:sz w:val="24"/>
                <w:szCs w:val="24"/>
              </w:rPr>
              <w:t>其他业务收入</w:t>
            </w:r>
          </w:p>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705" w:right="0"/>
              <w:jc w:val="left"/>
              <w:rPr>
                <w:rFonts w:ascii="Arial" w:hAnsi="Arial" w:cs="Arial" w:eastAsia="Arial" w:hint="default"/>
                <w:sz w:val="24"/>
                <w:szCs w:val="24"/>
              </w:rPr>
            </w:pPr>
            <w:r>
              <w:rPr>
                <w:rFonts w:ascii="Arial"/>
                <w:sz w:val="24"/>
              </w:rPr>
              <w:t>127,234</w:t>
            </w:r>
          </w:p>
        </w:tc>
        <w:tc>
          <w:tcPr>
            <w:tcW w:w="1833" w:type="dxa"/>
            <w:tcBorders>
              <w:top w:val="nil" w:sz="6" w:space="0" w:color="auto"/>
              <w:left w:val="nil" w:sz="6" w:space="0" w:color="auto"/>
              <w:bottom w:val="nil" w:sz="6" w:space="0" w:color="auto"/>
              <w:right w:val="nil" w:sz="6" w:space="0" w:color="auto"/>
            </w:tcBorders>
          </w:tcPr>
          <w:p>
            <w:pPr>
              <w:pStyle w:val="TableParagraph"/>
              <w:spacing w:line="270" w:lineRule="exact"/>
              <w:ind w:right="217"/>
              <w:jc w:val="right"/>
              <w:rPr>
                <w:rFonts w:ascii="宋体" w:hAnsi="宋体" w:cs="宋体" w:eastAsia="宋体" w:hint="default"/>
                <w:sz w:val="24"/>
                <w:szCs w:val="24"/>
              </w:rPr>
            </w:pPr>
            <w:r>
              <w:rPr>
                <w:rFonts w:ascii="宋体" w:hAnsi="宋体" w:cs="宋体" w:eastAsia="宋体" w:hint="default"/>
                <w:sz w:val="24"/>
                <w:szCs w:val="24"/>
              </w:rPr>
              <w:t>其他业务成本</w:t>
            </w:r>
          </w:p>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234"/>
              <w:jc w:val="right"/>
              <w:rPr>
                <w:rFonts w:ascii="Arial" w:hAnsi="Arial" w:cs="Arial" w:eastAsia="Arial" w:hint="default"/>
                <w:sz w:val="24"/>
                <w:szCs w:val="24"/>
              </w:rPr>
            </w:pPr>
            <w:r>
              <w:rPr>
                <w:rFonts w:ascii="Arial"/>
                <w:w w:val="99"/>
                <w:sz w:val="24"/>
              </w:rPr>
              <w:t>-</w:t>
            </w:r>
            <w:r>
              <w:rPr>
                <w:rFonts w:ascii="Arial"/>
                <w:sz w:val="24"/>
              </w:rPr>
            </w:r>
          </w:p>
        </w:tc>
        <w:tc>
          <w:tcPr>
            <w:tcW w:w="1848" w:type="dxa"/>
            <w:tcBorders>
              <w:top w:val="nil" w:sz="6" w:space="0" w:color="auto"/>
              <w:left w:val="nil" w:sz="6" w:space="0" w:color="auto"/>
              <w:bottom w:val="nil" w:sz="6" w:space="0" w:color="auto"/>
              <w:right w:val="nil" w:sz="6" w:space="0" w:color="auto"/>
            </w:tcBorders>
          </w:tcPr>
          <w:p>
            <w:pPr>
              <w:pStyle w:val="TableParagraph"/>
              <w:spacing w:line="270" w:lineRule="exact"/>
              <w:ind w:left="188" w:right="0"/>
              <w:jc w:val="left"/>
              <w:rPr>
                <w:rFonts w:ascii="宋体" w:hAnsi="宋体" w:cs="宋体" w:eastAsia="宋体" w:hint="default"/>
                <w:sz w:val="24"/>
                <w:szCs w:val="24"/>
              </w:rPr>
            </w:pPr>
            <w:r>
              <w:rPr>
                <w:rFonts w:ascii="宋体" w:hAnsi="宋体" w:cs="宋体" w:eastAsia="宋体" w:hint="default"/>
                <w:sz w:val="24"/>
                <w:szCs w:val="24"/>
              </w:rPr>
              <w:t>其他业务收入</w:t>
            </w:r>
          </w:p>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761" w:right="0"/>
              <w:jc w:val="left"/>
              <w:rPr>
                <w:rFonts w:ascii="Arial" w:hAnsi="Arial" w:cs="Arial" w:eastAsia="Arial" w:hint="default"/>
                <w:sz w:val="24"/>
                <w:szCs w:val="24"/>
              </w:rPr>
            </w:pPr>
            <w:r>
              <w:rPr>
                <w:rFonts w:ascii="Arial"/>
                <w:sz w:val="24"/>
              </w:rPr>
              <w:t>131,871</w:t>
            </w:r>
          </w:p>
        </w:tc>
        <w:tc>
          <w:tcPr>
            <w:tcW w:w="1741" w:type="dxa"/>
            <w:tcBorders>
              <w:top w:val="nil" w:sz="6" w:space="0" w:color="auto"/>
              <w:left w:val="nil" w:sz="6" w:space="0" w:color="auto"/>
              <w:bottom w:val="nil" w:sz="6" w:space="0" w:color="auto"/>
              <w:right w:val="nil" w:sz="6" w:space="0" w:color="auto"/>
            </w:tcBorders>
          </w:tcPr>
          <w:p>
            <w:pPr>
              <w:pStyle w:val="TableParagraph"/>
              <w:spacing w:line="270" w:lineRule="exact"/>
              <w:ind w:right="133"/>
              <w:jc w:val="right"/>
              <w:rPr>
                <w:rFonts w:ascii="宋体" w:hAnsi="宋体" w:cs="宋体" w:eastAsia="宋体" w:hint="default"/>
                <w:sz w:val="24"/>
                <w:szCs w:val="24"/>
              </w:rPr>
            </w:pPr>
            <w:r>
              <w:rPr>
                <w:rFonts w:ascii="宋体" w:hAnsi="宋体" w:cs="宋体" w:eastAsia="宋体" w:hint="default"/>
                <w:sz w:val="24"/>
                <w:szCs w:val="24"/>
              </w:rPr>
              <w:t>其他业务成本</w:t>
            </w:r>
          </w:p>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134"/>
              <w:jc w:val="right"/>
              <w:rPr>
                <w:rFonts w:ascii="Arial" w:hAnsi="Arial" w:cs="Arial" w:eastAsia="Arial" w:hint="default"/>
                <w:sz w:val="24"/>
                <w:szCs w:val="24"/>
              </w:rPr>
            </w:pPr>
            <w:r>
              <w:rPr>
                <w:rFonts w:ascii="Arial"/>
                <w:w w:val="99"/>
                <w:sz w:val="24"/>
              </w:rPr>
              <w:t>-</w:t>
            </w:r>
            <w:r>
              <w:rPr>
                <w:rFonts w:ascii="Arial"/>
                <w:sz w:val="24"/>
              </w:rPr>
            </w:r>
          </w:p>
        </w:tc>
      </w:tr>
      <w:tr>
        <w:trPr>
          <w:trHeight w:val="322" w:hRule="exact"/>
        </w:trPr>
        <w:tc>
          <w:tcPr>
            <w:tcW w:w="2071" w:type="dxa"/>
            <w:tcBorders>
              <w:top w:val="nil" w:sz="6" w:space="0" w:color="auto"/>
              <w:left w:val="nil" w:sz="6" w:space="0" w:color="auto"/>
              <w:bottom w:val="nil" w:sz="6" w:space="0" w:color="auto"/>
              <w:right w:val="nil" w:sz="6" w:space="0" w:color="auto"/>
            </w:tcBorders>
          </w:tcPr>
          <w:p>
            <w:pPr>
              <w:pStyle w:val="TableParagraph"/>
              <w:spacing w:line="266" w:lineRule="exact"/>
              <w:ind w:left="35" w:right="0"/>
              <w:jc w:val="left"/>
              <w:rPr>
                <w:rFonts w:ascii="宋体" w:hAnsi="宋体" w:cs="宋体" w:eastAsia="宋体" w:hint="default"/>
                <w:sz w:val="24"/>
                <w:szCs w:val="24"/>
              </w:rPr>
            </w:pPr>
            <w:r>
              <w:rPr>
                <w:rFonts w:ascii="宋体" w:hAnsi="宋体" w:cs="宋体" w:eastAsia="宋体" w:hint="default"/>
                <w:sz w:val="24"/>
                <w:szCs w:val="24"/>
              </w:rPr>
              <w:t>代理费收入</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5"/>
              <w:jc w:val="right"/>
              <w:rPr>
                <w:rFonts w:ascii="Arial" w:hAnsi="Arial" w:cs="Arial" w:eastAsia="Arial" w:hint="default"/>
                <w:sz w:val="24"/>
                <w:szCs w:val="24"/>
              </w:rPr>
            </w:pPr>
            <w:r>
              <w:rPr>
                <w:rFonts w:ascii="Arial"/>
                <w:spacing w:val="-1"/>
                <w:w w:val="95"/>
                <w:sz w:val="24"/>
              </w:rPr>
              <w:t>98,464</w:t>
            </w:r>
            <w:r>
              <w:rPr>
                <w:rFonts w:ascii="Arial"/>
                <w:sz w:val="24"/>
              </w:rPr>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4"/>
              <w:jc w:val="right"/>
              <w:rPr>
                <w:rFonts w:ascii="Arial" w:hAnsi="Arial" w:cs="Arial" w:eastAsia="Arial" w:hint="default"/>
                <w:sz w:val="24"/>
                <w:szCs w:val="24"/>
              </w:rPr>
            </w:pPr>
            <w:r>
              <w:rPr>
                <w:rFonts w:ascii="Arial"/>
                <w:w w:val="99"/>
                <w:sz w:val="24"/>
              </w:rPr>
              <w:t>-</w:t>
            </w:r>
            <w:r>
              <w:rPr>
                <w:rFonts w:ascii="Arial"/>
                <w:sz w:val="24"/>
              </w:rPr>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95" w:right="0"/>
              <w:jc w:val="left"/>
              <w:rPr>
                <w:rFonts w:ascii="Arial" w:hAnsi="Arial" w:cs="Arial" w:eastAsia="Arial" w:hint="default"/>
                <w:sz w:val="24"/>
                <w:szCs w:val="24"/>
              </w:rPr>
            </w:pPr>
            <w:r>
              <w:rPr>
                <w:rFonts w:ascii="Arial"/>
                <w:sz w:val="24"/>
              </w:rPr>
              <w:t>88,054</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4"/>
              <w:jc w:val="right"/>
              <w:rPr>
                <w:rFonts w:ascii="Arial" w:hAnsi="Arial" w:cs="Arial" w:eastAsia="Arial" w:hint="default"/>
                <w:sz w:val="24"/>
                <w:szCs w:val="24"/>
              </w:rPr>
            </w:pPr>
            <w:r>
              <w:rPr>
                <w:rFonts w:ascii="Arial"/>
                <w:w w:val="99"/>
                <w:sz w:val="24"/>
              </w:rPr>
              <w:t>-</w:t>
            </w:r>
            <w:r>
              <w:rPr>
                <w:rFonts w:ascii="Arial"/>
                <w:sz w:val="24"/>
              </w:rPr>
            </w:r>
          </w:p>
        </w:tc>
      </w:tr>
      <w:tr>
        <w:trPr>
          <w:trHeight w:val="322" w:hRule="exact"/>
        </w:trPr>
        <w:tc>
          <w:tcPr>
            <w:tcW w:w="2071" w:type="dxa"/>
            <w:tcBorders>
              <w:top w:val="nil" w:sz="6" w:space="0" w:color="auto"/>
              <w:left w:val="nil" w:sz="6" w:space="0" w:color="auto"/>
              <w:bottom w:val="nil" w:sz="6" w:space="0" w:color="auto"/>
              <w:right w:val="nil" w:sz="6" w:space="0" w:color="auto"/>
            </w:tcBorders>
          </w:tcPr>
          <w:p>
            <w:pPr>
              <w:pStyle w:val="TableParagraph"/>
              <w:spacing w:line="267" w:lineRule="exact"/>
              <w:ind w:left="35" w:right="0"/>
              <w:jc w:val="left"/>
              <w:rPr>
                <w:rFonts w:ascii="宋体" w:hAnsi="宋体" w:cs="宋体" w:eastAsia="宋体" w:hint="default"/>
                <w:sz w:val="24"/>
                <w:szCs w:val="24"/>
              </w:rPr>
            </w:pPr>
            <w:r>
              <w:rPr>
                <w:rFonts w:ascii="宋体" w:hAnsi="宋体" w:cs="宋体" w:eastAsia="宋体" w:hint="default"/>
                <w:sz w:val="24"/>
                <w:szCs w:val="24"/>
              </w:rPr>
              <w:t>广告位使用费收入</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5"/>
              <w:jc w:val="right"/>
              <w:rPr>
                <w:rFonts w:ascii="Arial" w:hAnsi="Arial" w:cs="Arial" w:eastAsia="Arial" w:hint="default"/>
                <w:sz w:val="24"/>
                <w:szCs w:val="24"/>
              </w:rPr>
            </w:pPr>
            <w:r>
              <w:rPr>
                <w:rFonts w:ascii="Arial"/>
                <w:spacing w:val="-1"/>
                <w:w w:val="95"/>
                <w:sz w:val="24"/>
              </w:rPr>
              <w:t>18,018</w:t>
            </w:r>
            <w:r>
              <w:rPr>
                <w:rFonts w:ascii="Arial"/>
                <w:sz w:val="24"/>
              </w:rPr>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4"/>
              <w:jc w:val="right"/>
              <w:rPr>
                <w:rFonts w:ascii="Arial" w:hAnsi="Arial" w:cs="Arial" w:eastAsia="Arial" w:hint="default"/>
                <w:sz w:val="24"/>
                <w:szCs w:val="24"/>
              </w:rPr>
            </w:pPr>
            <w:r>
              <w:rPr>
                <w:rFonts w:ascii="Arial"/>
                <w:w w:val="99"/>
                <w:sz w:val="24"/>
              </w:rPr>
              <w:t>-</w:t>
            </w:r>
            <w:r>
              <w:rPr>
                <w:rFonts w:ascii="Arial"/>
                <w:sz w:val="24"/>
              </w:rPr>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28" w:right="0"/>
              <w:jc w:val="left"/>
              <w:rPr>
                <w:rFonts w:ascii="Arial" w:hAnsi="Arial" w:cs="Arial" w:eastAsia="Arial" w:hint="default"/>
                <w:sz w:val="24"/>
                <w:szCs w:val="24"/>
              </w:rPr>
            </w:pPr>
            <w:r>
              <w:rPr>
                <w:rFonts w:ascii="Arial"/>
                <w:sz w:val="24"/>
              </w:rPr>
              <w:t>7,299</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4"/>
              <w:jc w:val="right"/>
              <w:rPr>
                <w:rFonts w:ascii="Arial" w:hAnsi="Arial" w:cs="Arial" w:eastAsia="Arial" w:hint="default"/>
                <w:sz w:val="24"/>
                <w:szCs w:val="24"/>
              </w:rPr>
            </w:pPr>
            <w:r>
              <w:rPr>
                <w:rFonts w:ascii="Arial"/>
                <w:w w:val="99"/>
                <w:sz w:val="24"/>
              </w:rPr>
              <w:t>-</w:t>
            </w:r>
            <w:r>
              <w:rPr>
                <w:rFonts w:ascii="Arial"/>
                <w:sz w:val="24"/>
              </w:rPr>
            </w:r>
          </w:p>
        </w:tc>
      </w:tr>
      <w:tr>
        <w:trPr>
          <w:trHeight w:val="336" w:hRule="exact"/>
        </w:trPr>
        <w:tc>
          <w:tcPr>
            <w:tcW w:w="2071" w:type="dxa"/>
            <w:tcBorders>
              <w:top w:val="nil" w:sz="6" w:space="0" w:color="auto"/>
              <w:left w:val="nil" w:sz="6" w:space="0" w:color="auto"/>
              <w:bottom w:val="nil" w:sz="6" w:space="0" w:color="auto"/>
              <w:right w:val="nil" w:sz="6" w:space="0" w:color="auto"/>
            </w:tcBorders>
          </w:tcPr>
          <w:p>
            <w:pPr>
              <w:pStyle w:val="TableParagraph"/>
              <w:spacing w:line="266" w:lineRule="exact"/>
              <w:ind w:left="35" w:right="0"/>
              <w:jc w:val="left"/>
              <w:rPr>
                <w:rFonts w:ascii="宋体" w:hAnsi="宋体" w:cs="宋体" w:eastAsia="宋体" w:hint="default"/>
                <w:sz w:val="24"/>
                <w:szCs w:val="24"/>
              </w:rPr>
            </w:pPr>
            <w:r>
              <w:rPr>
                <w:rFonts w:ascii="宋体" w:hAnsi="宋体" w:cs="宋体" w:eastAsia="宋体" w:hint="default"/>
                <w:sz w:val="24"/>
                <w:szCs w:val="24"/>
              </w:rPr>
              <w:t>租赁收入</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5"/>
              <w:jc w:val="right"/>
              <w:rPr>
                <w:rFonts w:ascii="Arial" w:hAnsi="Arial" w:cs="Arial" w:eastAsia="Arial" w:hint="default"/>
                <w:sz w:val="24"/>
                <w:szCs w:val="24"/>
              </w:rPr>
            </w:pPr>
            <w:r>
              <w:rPr>
                <w:rFonts w:ascii="Arial"/>
                <w:spacing w:val="-1"/>
                <w:w w:val="95"/>
                <w:sz w:val="24"/>
              </w:rPr>
              <w:t>24,400</w:t>
            </w:r>
            <w:r>
              <w:rPr>
                <w:rFonts w:ascii="Arial"/>
                <w:sz w:val="24"/>
              </w:rPr>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79" w:right="0"/>
              <w:jc w:val="left"/>
              <w:rPr>
                <w:rFonts w:ascii="Arial" w:hAnsi="Arial" w:cs="Arial" w:eastAsia="Arial" w:hint="default"/>
                <w:sz w:val="24"/>
                <w:szCs w:val="24"/>
              </w:rPr>
            </w:pPr>
            <w:r>
              <w:rPr>
                <w:rFonts w:ascii="Arial"/>
                <w:sz w:val="24"/>
              </w:rPr>
              <w:t>10,291</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94" w:right="0"/>
              <w:jc w:val="left"/>
              <w:rPr>
                <w:rFonts w:ascii="Arial" w:hAnsi="Arial" w:cs="Arial" w:eastAsia="Arial" w:hint="default"/>
                <w:sz w:val="24"/>
                <w:szCs w:val="24"/>
              </w:rPr>
            </w:pPr>
            <w:r>
              <w:rPr>
                <w:rFonts w:ascii="Arial"/>
                <w:sz w:val="24"/>
              </w:rPr>
              <w:t>25,131</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4"/>
              <w:jc w:val="right"/>
              <w:rPr>
                <w:rFonts w:ascii="Arial" w:hAnsi="Arial" w:cs="Arial" w:eastAsia="Arial" w:hint="default"/>
                <w:sz w:val="24"/>
                <w:szCs w:val="24"/>
              </w:rPr>
            </w:pPr>
            <w:r>
              <w:rPr>
                <w:rFonts w:ascii="Arial"/>
                <w:spacing w:val="-1"/>
                <w:w w:val="95"/>
                <w:sz w:val="24"/>
              </w:rPr>
              <w:t>1,428</w:t>
            </w:r>
            <w:r>
              <w:rPr>
                <w:rFonts w:ascii="Arial"/>
                <w:sz w:val="24"/>
              </w:rPr>
            </w:r>
          </w:p>
        </w:tc>
      </w:tr>
      <w:tr>
        <w:trPr>
          <w:trHeight w:val="304" w:hRule="exact"/>
        </w:trPr>
        <w:tc>
          <w:tcPr>
            <w:tcW w:w="3891" w:type="dxa"/>
            <w:gridSpan w:val="2"/>
            <w:tcBorders>
              <w:top w:val="nil" w:sz="6" w:space="0" w:color="auto"/>
              <w:left w:val="nil" w:sz="6" w:space="0" w:color="auto"/>
              <w:bottom w:val="nil" w:sz="6" w:space="0" w:color="auto"/>
              <w:right w:val="nil" w:sz="6" w:space="0" w:color="auto"/>
            </w:tcBorders>
          </w:tcPr>
          <w:p>
            <w:pPr>
              <w:pStyle w:val="TableParagraph"/>
              <w:tabs>
                <w:tab w:pos="2106" w:val="left" w:leader="none"/>
                <w:tab w:pos="3562" w:val="left" w:leader="none"/>
                <w:tab w:pos="3744" w:val="left" w:leader="none"/>
              </w:tabs>
              <w:spacing w:line="286" w:lineRule="exact"/>
              <w:ind w:left="35" w:right="0"/>
              <w:jc w:val="left"/>
              <w:rPr>
                <w:rFonts w:ascii="Arial" w:hAnsi="Arial" w:cs="Arial" w:eastAsia="Arial" w:hint="default"/>
                <w:sz w:val="24"/>
                <w:szCs w:val="24"/>
              </w:rPr>
            </w:pPr>
            <w:r>
              <w:rPr>
                <w:rFonts w:ascii="宋体" w:hAnsi="宋体" w:cs="宋体" w:eastAsia="宋体" w:hint="default"/>
                <w:position w:val="2"/>
                <w:sz w:val="24"/>
                <w:szCs w:val="24"/>
              </w:rPr>
              <w:t>培训费收入</w:t>
              <w:tab/>
            </w:r>
            <w:r>
              <w:rPr>
                <w:rFonts w:ascii="Arial" w:hAnsi="Arial" w:cs="Arial" w:eastAsia="Arial" w:hint="default"/>
                <w:sz w:val="24"/>
                <w:szCs w:val="24"/>
              </w:rPr>
            </w:r>
            <w:r>
              <w:rPr>
                <w:rFonts w:ascii="Arial" w:hAnsi="Arial" w:cs="Arial" w:eastAsia="Arial" w:hint="default"/>
                <w:sz w:val="24"/>
                <w:szCs w:val="24"/>
                <w:u w:val="single" w:color="000000"/>
              </w:rPr>
              <w:t> </w:t>
              <w:tab/>
              <w:t>-</w:t>
              <w:tab/>
            </w:r>
            <w:r>
              <w:rPr>
                <w:rFonts w:ascii="Arial" w:hAnsi="Arial" w:cs="Arial" w:eastAsia="Arial" w:hint="default"/>
                <w:sz w:val="24"/>
                <w:szCs w:val="24"/>
              </w:rPr>
            </w:r>
          </w:p>
        </w:tc>
        <w:tc>
          <w:tcPr>
            <w:tcW w:w="1833" w:type="dxa"/>
            <w:tcBorders>
              <w:top w:val="nil" w:sz="6" w:space="0" w:color="auto"/>
              <w:left w:val="nil" w:sz="6" w:space="0" w:color="auto"/>
              <w:bottom w:val="nil" w:sz="6" w:space="0" w:color="auto"/>
              <w:right w:val="nil" w:sz="6" w:space="0" w:color="auto"/>
            </w:tcBorders>
          </w:tcPr>
          <w:p>
            <w:pPr>
              <w:pStyle w:val="TableParagraph"/>
              <w:tabs>
                <w:tab w:pos="1369" w:val="left" w:leader="none"/>
                <w:tab w:pos="1567" w:val="left" w:leader="none"/>
              </w:tabs>
              <w:spacing w:line="240" w:lineRule="auto" w:before="10"/>
              <w:ind w:right="11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c>
          <w:tcPr>
            <w:tcW w:w="1848" w:type="dxa"/>
            <w:tcBorders>
              <w:top w:val="nil" w:sz="6" w:space="0" w:color="auto"/>
              <w:left w:val="nil" w:sz="6" w:space="0" w:color="auto"/>
              <w:bottom w:val="nil" w:sz="6" w:space="0" w:color="auto"/>
              <w:right w:val="nil" w:sz="6" w:space="0" w:color="auto"/>
            </w:tcBorders>
          </w:tcPr>
          <w:p>
            <w:pPr>
              <w:pStyle w:val="TableParagraph"/>
              <w:tabs>
                <w:tab w:pos="1110" w:val="left" w:leader="none"/>
                <w:tab w:pos="1610" w:val="left" w:leader="none"/>
              </w:tabs>
              <w:spacing w:line="240" w:lineRule="auto" w:before="10"/>
              <w:ind w:right="11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164</w:t>
              <w:tab/>
            </w:r>
            <w:r>
              <w:rPr>
                <w:rFonts w:ascii="Arial"/>
                <w:spacing w:val="-1"/>
                <w:sz w:val="24"/>
              </w:rPr>
            </w:r>
          </w:p>
        </w:tc>
        <w:tc>
          <w:tcPr>
            <w:tcW w:w="1741" w:type="dxa"/>
            <w:tcBorders>
              <w:top w:val="nil" w:sz="6" w:space="0" w:color="auto"/>
              <w:left w:val="nil" w:sz="6" w:space="0" w:color="auto"/>
              <w:bottom w:val="nil" w:sz="6" w:space="0" w:color="auto"/>
              <w:right w:val="nil" w:sz="6" w:space="0" w:color="auto"/>
            </w:tcBorders>
          </w:tcPr>
          <w:p>
            <w:pPr>
              <w:pStyle w:val="TableParagraph"/>
              <w:tabs>
                <w:tab w:pos="1406" w:val="left" w:leader="none"/>
              </w:tabs>
              <w:spacing w:line="240" w:lineRule="auto" w:before="1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363" w:hRule="exact"/>
        </w:trPr>
        <w:tc>
          <w:tcPr>
            <w:tcW w:w="3891" w:type="dxa"/>
            <w:gridSpan w:val="2"/>
            <w:tcBorders>
              <w:top w:val="nil" w:sz="6" w:space="0" w:color="auto"/>
              <w:left w:val="nil" w:sz="6" w:space="0" w:color="auto"/>
              <w:bottom w:val="nil" w:sz="6" w:space="0" w:color="auto"/>
              <w:right w:val="nil" w:sz="6" w:space="0" w:color="auto"/>
            </w:tcBorders>
          </w:tcPr>
          <w:p>
            <w:pPr>
              <w:pStyle w:val="TableParagraph"/>
              <w:tabs>
                <w:tab w:pos="2795" w:val="left" w:leader="none"/>
                <w:tab w:pos="3744" w:val="left" w:leader="none"/>
              </w:tabs>
              <w:spacing w:line="269" w:lineRule="exact"/>
              <w:ind w:left="210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4"/>
                <w:sz w:val="24"/>
                <w:u w:val="thick" w:color="000000"/>
              </w:rPr>
              <w:t>268,116</w:t>
              <w:tab/>
            </w:r>
            <w:r>
              <w:rPr>
                <w:rFonts w:ascii="Arial"/>
                <w:spacing w:val="-4"/>
                <w:sz w:val="24"/>
              </w:rPr>
            </w:r>
          </w:p>
        </w:tc>
        <w:tc>
          <w:tcPr>
            <w:tcW w:w="1833" w:type="dxa"/>
            <w:tcBorders>
              <w:top w:val="nil" w:sz="6" w:space="0" w:color="auto"/>
              <w:left w:val="nil" w:sz="6" w:space="0" w:color="auto"/>
              <w:bottom w:val="nil" w:sz="6" w:space="0" w:color="auto"/>
              <w:right w:val="nil" w:sz="6" w:space="0" w:color="auto"/>
            </w:tcBorders>
          </w:tcPr>
          <w:p>
            <w:pPr>
              <w:pStyle w:val="TableParagraph"/>
              <w:tabs>
                <w:tab w:pos="732" w:val="left" w:leader="none"/>
                <w:tab w:pos="1567" w:val="left" w:leader="none"/>
              </w:tabs>
              <w:spacing w:line="269" w:lineRule="exact"/>
              <w:ind w:right="116"/>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10,291</w:t>
              <w:tab/>
            </w:r>
            <w:r>
              <w:rPr>
                <w:rFonts w:ascii="Arial"/>
                <w:spacing w:val="-1"/>
                <w:sz w:val="24"/>
              </w:rPr>
            </w:r>
          </w:p>
        </w:tc>
        <w:tc>
          <w:tcPr>
            <w:tcW w:w="1848" w:type="dxa"/>
            <w:tcBorders>
              <w:top w:val="nil" w:sz="6" w:space="0" w:color="auto"/>
              <w:left w:val="nil" w:sz="6" w:space="0" w:color="auto"/>
              <w:bottom w:val="nil" w:sz="6" w:space="0" w:color="auto"/>
              <w:right w:val="nil" w:sz="6" w:space="0" w:color="auto"/>
            </w:tcBorders>
          </w:tcPr>
          <w:p>
            <w:pPr>
              <w:pStyle w:val="TableParagraph"/>
              <w:tabs>
                <w:tab w:pos="642" w:val="left" w:leader="none"/>
                <w:tab w:pos="1610" w:val="left" w:leader="none"/>
              </w:tabs>
              <w:spacing w:line="269" w:lineRule="exact"/>
              <w:ind w:right="116"/>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252,519</w:t>
              <w:tab/>
            </w:r>
            <w:r>
              <w:rPr>
                <w:rFonts w:ascii="Arial"/>
                <w:spacing w:val="-1"/>
                <w:sz w:val="24"/>
              </w:rPr>
            </w:r>
          </w:p>
        </w:tc>
        <w:tc>
          <w:tcPr>
            <w:tcW w:w="1741" w:type="dxa"/>
            <w:tcBorders>
              <w:top w:val="nil" w:sz="6" w:space="0" w:color="auto"/>
              <w:left w:val="nil" w:sz="6" w:space="0" w:color="auto"/>
              <w:bottom w:val="nil" w:sz="6" w:space="0" w:color="auto"/>
              <w:right w:val="nil" w:sz="6" w:space="0" w:color="auto"/>
            </w:tcBorders>
          </w:tcPr>
          <w:p>
            <w:pPr>
              <w:pStyle w:val="TableParagraph"/>
              <w:tabs>
                <w:tab w:pos="886" w:val="left" w:leader="none"/>
                <w:tab w:pos="1587" w:val="left" w:leader="none"/>
              </w:tabs>
              <w:spacing w:line="269"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1,428</w:t>
              <w:tab/>
            </w:r>
            <w:r>
              <w:rPr>
                <w:rFonts w:ascii="Arial"/>
                <w:spacing w:val="-1"/>
                <w:sz w:val="24"/>
              </w:rPr>
            </w:r>
          </w:p>
        </w:tc>
      </w:tr>
    </w:tbl>
    <w:p>
      <w:pPr>
        <w:spacing w:line="240" w:lineRule="auto" w:before="4"/>
        <w:rPr>
          <w:rFonts w:ascii="宋体" w:hAnsi="宋体" w:cs="宋体" w:eastAsia="宋体" w:hint="default"/>
          <w:sz w:val="11"/>
          <w:szCs w:val="11"/>
        </w:rPr>
      </w:pPr>
    </w:p>
    <w:p>
      <w:pPr>
        <w:pStyle w:val="BodyText"/>
        <w:spacing w:line="240" w:lineRule="auto" w:before="26"/>
        <w:ind w:left="834" w:right="0"/>
        <w:jc w:val="left"/>
      </w:pPr>
      <w:r>
        <w:rPr/>
        <w:t>注：连锁店服务收入指供应商支付的广告促销收入及广告费收入等。</w:t>
      </w:r>
    </w:p>
    <w:p>
      <w:pPr>
        <w:spacing w:line="240" w:lineRule="auto" w:before="4"/>
        <w:rPr>
          <w:rFonts w:ascii="宋体" w:hAnsi="宋体" w:cs="宋体" w:eastAsia="宋体" w:hint="default"/>
          <w:sz w:val="18"/>
          <w:szCs w:val="18"/>
        </w:rPr>
      </w:pPr>
    </w:p>
    <w:p>
      <w:pPr>
        <w:pStyle w:val="BodyText"/>
        <w:tabs>
          <w:tab w:pos="837" w:val="left" w:leader="none"/>
        </w:tabs>
        <w:spacing w:line="240" w:lineRule="auto"/>
        <w:ind w:left="113" w:right="0"/>
        <w:jc w:val="left"/>
      </w:pPr>
      <w:r>
        <w:rPr>
          <w:rFonts w:ascii="Arial" w:hAnsi="Arial" w:cs="Arial" w:eastAsia="Arial" w:hint="default"/>
          <w:position w:val="2"/>
        </w:rPr>
        <w:t>(c)</w:t>
        <w:tab/>
      </w:r>
      <w:r>
        <w:rPr/>
        <w:t>本公司前五名客户的营业收入情况</w:t>
      </w:r>
    </w:p>
    <w:p>
      <w:pPr>
        <w:spacing w:line="240" w:lineRule="auto" w:before="12"/>
        <w:rPr>
          <w:rFonts w:ascii="宋体" w:hAnsi="宋体" w:cs="宋体" w:eastAsia="宋体" w:hint="default"/>
          <w:sz w:val="20"/>
          <w:szCs w:val="20"/>
        </w:rPr>
      </w:pPr>
    </w:p>
    <w:p>
      <w:pPr>
        <w:pStyle w:val="BodyText"/>
        <w:spacing w:line="322" w:lineRule="exact"/>
        <w:ind w:left="837" w:right="0"/>
        <w:jc w:val="left"/>
      </w:pPr>
      <w:r>
        <w:rPr/>
        <w:t>本公司前五名客户营业收入的总额为约人民币</w:t>
      </w:r>
      <w:r>
        <w:rPr>
          <w:spacing w:val="-61"/>
        </w:rPr>
        <w:t> </w:t>
      </w:r>
      <w:r>
        <w:rPr>
          <w:rFonts w:ascii="Arial" w:hAnsi="Arial" w:cs="Arial" w:eastAsia="Arial" w:hint="default"/>
        </w:rPr>
        <w:t>148.6</w:t>
      </w:r>
      <w:r>
        <w:rPr>
          <w:rFonts w:ascii="Arial" w:hAnsi="Arial" w:cs="Arial" w:eastAsia="Arial" w:hint="default"/>
          <w:spacing w:val="-8"/>
        </w:rPr>
        <w:t> </w:t>
      </w:r>
      <w:r>
        <w:rPr/>
        <w:t>亿元</w:t>
      </w:r>
      <w:r>
        <w:rPr>
          <w:rFonts w:ascii="Arial" w:hAnsi="Arial" w:cs="Arial" w:eastAsia="Arial" w:hint="default"/>
        </w:rPr>
        <w:t>(2009</w:t>
      </w:r>
      <w:r>
        <w:rPr>
          <w:rFonts w:ascii="Arial" w:hAnsi="Arial" w:cs="Arial" w:eastAsia="Arial" w:hint="default"/>
          <w:spacing w:val="-8"/>
        </w:rPr>
        <w:t> </w:t>
      </w:r>
      <w:r>
        <w:rPr/>
        <w:t>年：约人民币</w:t>
      </w:r>
      <w:r>
        <w:rPr>
          <w:spacing w:val="-61"/>
        </w:rPr>
        <w:t> </w:t>
      </w:r>
      <w:r>
        <w:rPr>
          <w:rFonts w:ascii="Arial" w:hAnsi="Arial" w:cs="Arial" w:eastAsia="Arial" w:hint="default"/>
        </w:rPr>
        <w:t>108.4</w:t>
      </w:r>
      <w:r>
        <w:rPr>
          <w:rFonts w:ascii="Arial" w:hAnsi="Arial" w:cs="Arial" w:eastAsia="Arial" w:hint="default"/>
          <w:spacing w:val="48"/>
        </w:rPr>
        <w:t> </w:t>
      </w:r>
      <w:r>
        <w:rPr/>
        <w:t>亿</w:t>
      </w:r>
    </w:p>
    <w:p>
      <w:pPr>
        <w:pStyle w:val="BodyText"/>
        <w:spacing w:line="322" w:lineRule="exact"/>
        <w:ind w:left="837" w:right="0"/>
        <w:jc w:val="left"/>
      </w:pPr>
      <w:r>
        <w:rPr/>
        <w:t>元</w:t>
      </w:r>
      <w:r>
        <w:rPr>
          <w:rFonts w:ascii="Arial" w:hAnsi="Arial" w:cs="Arial" w:eastAsia="Arial" w:hint="default"/>
        </w:rPr>
        <w:t>)</w:t>
      </w:r>
      <w:r>
        <w:rPr/>
        <w:t>，占本公司全部营业收入的比例为</w:t>
      </w:r>
      <w:r>
        <w:rPr>
          <w:spacing w:val="-64"/>
        </w:rPr>
        <w:t> </w:t>
      </w:r>
      <w:r>
        <w:rPr>
          <w:rFonts w:ascii="Arial" w:hAnsi="Arial" w:cs="Arial" w:eastAsia="Arial" w:hint="default"/>
        </w:rPr>
        <w:t>27%(2009</w:t>
      </w:r>
      <w:r>
        <w:rPr>
          <w:rFonts w:ascii="Arial" w:hAnsi="Arial" w:cs="Arial" w:eastAsia="Arial" w:hint="default"/>
          <w:spacing w:val="-11"/>
        </w:rPr>
        <w:t> </w:t>
      </w:r>
      <w:r>
        <w:rPr/>
        <w:t>年：</w:t>
      </w:r>
      <w:r>
        <w:rPr>
          <w:rFonts w:ascii="Arial" w:hAnsi="Arial" w:cs="Arial" w:eastAsia="Arial" w:hint="default"/>
        </w:rPr>
        <w:t>27%)</w:t>
      </w:r>
      <w:r>
        <w:rPr/>
        <w:t>，具体情况如下：</w:t>
      </w:r>
    </w:p>
    <w:p>
      <w:pPr>
        <w:spacing w:line="240" w:lineRule="auto" w:before="8"/>
        <w:rPr>
          <w:rFonts w:ascii="宋体" w:hAnsi="宋体" w:cs="宋体" w:eastAsia="宋体" w:hint="default"/>
          <w:sz w:val="17"/>
          <w:szCs w:val="17"/>
        </w:rPr>
      </w:pPr>
    </w:p>
    <w:tbl>
      <w:tblPr>
        <w:tblW w:w="0" w:type="auto"/>
        <w:jc w:val="left"/>
        <w:tblInd w:w="802" w:type="dxa"/>
        <w:tblLayout w:type="fixed"/>
        <w:tblCellMar>
          <w:top w:w="0" w:type="dxa"/>
          <w:left w:w="0" w:type="dxa"/>
          <w:bottom w:w="0" w:type="dxa"/>
          <w:right w:w="0" w:type="dxa"/>
        </w:tblCellMar>
        <w:tblLook w:val="01E0"/>
      </w:tblPr>
      <w:tblGrid>
        <w:gridCol w:w="4036"/>
        <w:gridCol w:w="2712"/>
        <w:gridCol w:w="2463"/>
      </w:tblGrid>
      <w:tr>
        <w:trPr>
          <w:trHeight w:val="841" w:hRule="exact"/>
        </w:trPr>
        <w:tc>
          <w:tcPr>
            <w:tcW w:w="4036"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65"/>
              <w:jc w:val="right"/>
              <w:rPr>
                <w:rFonts w:ascii="宋体" w:hAnsi="宋体" w:cs="宋体" w:eastAsia="宋体" w:hint="default"/>
                <w:sz w:val="24"/>
                <w:szCs w:val="24"/>
              </w:rPr>
            </w:pPr>
            <w:r>
              <w:rPr>
                <w:rFonts w:ascii="宋体" w:hAnsi="宋体" w:cs="宋体" w:eastAsia="宋体" w:hint="default"/>
                <w:sz w:val="24"/>
                <w:szCs w:val="24"/>
              </w:rPr>
              <w:t>营业收入</w:t>
            </w:r>
          </w:p>
        </w:tc>
        <w:tc>
          <w:tcPr>
            <w:tcW w:w="2463" w:type="dxa"/>
            <w:tcBorders>
              <w:top w:val="nil" w:sz="6" w:space="0" w:color="auto"/>
              <w:left w:val="nil" w:sz="6" w:space="0" w:color="auto"/>
              <w:bottom w:val="nil" w:sz="6" w:space="0" w:color="auto"/>
              <w:right w:val="nil" w:sz="6" w:space="0" w:color="auto"/>
            </w:tcBorders>
          </w:tcPr>
          <w:p>
            <w:pPr>
              <w:pStyle w:val="TableParagraph"/>
              <w:spacing w:line="313" w:lineRule="exact" w:before="26"/>
              <w:ind w:left="267" w:right="0"/>
              <w:jc w:val="left"/>
              <w:rPr>
                <w:rFonts w:ascii="宋体" w:hAnsi="宋体" w:cs="宋体" w:eastAsia="宋体" w:hint="default"/>
                <w:sz w:val="24"/>
                <w:szCs w:val="24"/>
              </w:rPr>
            </w:pPr>
            <w:r>
              <w:rPr>
                <w:rFonts w:ascii="宋体" w:hAnsi="宋体" w:cs="宋体" w:eastAsia="宋体" w:hint="default"/>
                <w:sz w:val="24"/>
                <w:szCs w:val="24"/>
              </w:rPr>
              <w:t>占本公司全部营业收</w:t>
            </w:r>
          </w:p>
          <w:p>
            <w:pPr>
              <w:pStyle w:val="TableParagraph"/>
              <w:spacing w:line="330" w:lineRule="exact"/>
              <w:ind w:left="1093" w:right="0"/>
              <w:jc w:val="left"/>
              <w:rPr>
                <w:rFonts w:ascii="Arial" w:hAnsi="Arial" w:cs="Arial" w:eastAsia="Arial" w:hint="default"/>
                <w:sz w:val="24"/>
                <w:szCs w:val="24"/>
              </w:rPr>
            </w:pPr>
            <w:r>
              <w:rPr>
                <w:rFonts w:ascii="宋体" w:hAnsi="宋体" w:cs="宋体" w:eastAsia="宋体" w:hint="default"/>
                <w:sz w:val="24"/>
                <w:szCs w:val="24"/>
              </w:rPr>
              <w:t>入的比例</w:t>
            </w:r>
            <w:r>
              <w:rPr>
                <w:rFonts w:ascii="Arial" w:hAnsi="Arial" w:cs="Arial" w:eastAsia="Arial" w:hint="default"/>
                <w:sz w:val="24"/>
                <w:szCs w:val="24"/>
              </w:rPr>
              <w:t>(%)</w:t>
            </w:r>
          </w:p>
        </w:tc>
      </w:tr>
      <w:tr>
        <w:trPr>
          <w:trHeight w:val="474"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5" w:right="0"/>
              <w:jc w:val="left"/>
              <w:rPr>
                <w:rFonts w:ascii="宋体" w:hAnsi="宋体" w:cs="宋体" w:eastAsia="宋体" w:hint="default"/>
                <w:sz w:val="24"/>
                <w:szCs w:val="24"/>
              </w:rPr>
            </w:pPr>
            <w:r>
              <w:rPr>
                <w:rFonts w:ascii="宋体" w:hAnsi="宋体" w:cs="宋体" w:eastAsia="宋体" w:hint="default"/>
                <w:sz w:val="24"/>
                <w:szCs w:val="24"/>
              </w:rPr>
              <w:t>北京苏宁电器有限公司</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282"/>
              <w:jc w:val="right"/>
              <w:rPr>
                <w:rFonts w:ascii="Arial" w:hAnsi="Arial" w:cs="Arial" w:eastAsia="Arial" w:hint="default"/>
                <w:sz w:val="24"/>
                <w:szCs w:val="24"/>
              </w:rPr>
            </w:pPr>
            <w:r>
              <w:rPr>
                <w:rFonts w:ascii="Arial"/>
                <w:spacing w:val="-1"/>
                <w:w w:val="95"/>
                <w:sz w:val="24"/>
              </w:rPr>
              <w:t>4,604,332</w:t>
            </w:r>
            <w:r>
              <w:rPr>
                <w:rFonts w:ascii="Arial"/>
                <w:sz w:val="24"/>
              </w:rPr>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33"/>
              <w:jc w:val="right"/>
              <w:rPr>
                <w:rFonts w:ascii="Arial" w:hAnsi="Arial" w:cs="Arial" w:eastAsia="Arial" w:hint="default"/>
                <w:sz w:val="24"/>
                <w:szCs w:val="24"/>
              </w:rPr>
            </w:pPr>
            <w:r>
              <w:rPr>
                <w:rFonts w:ascii="Arial"/>
                <w:spacing w:val="-1"/>
                <w:w w:val="95"/>
                <w:sz w:val="24"/>
              </w:rPr>
              <w:t>8.4%</w:t>
            </w:r>
            <w:r>
              <w:rPr>
                <w:rFonts w:ascii="Arial"/>
                <w:sz w:val="24"/>
              </w:rPr>
            </w:r>
          </w:p>
        </w:tc>
      </w:tr>
      <w:tr>
        <w:trPr>
          <w:trHeight w:val="322"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7" w:lineRule="exact"/>
              <w:ind w:left="35" w:right="0"/>
              <w:jc w:val="left"/>
              <w:rPr>
                <w:rFonts w:ascii="宋体" w:hAnsi="宋体" w:cs="宋体" w:eastAsia="宋体" w:hint="default"/>
                <w:sz w:val="24"/>
                <w:szCs w:val="24"/>
              </w:rPr>
            </w:pPr>
            <w:r>
              <w:rPr>
                <w:rFonts w:ascii="宋体" w:hAnsi="宋体" w:cs="宋体" w:eastAsia="宋体" w:hint="default"/>
                <w:sz w:val="24"/>
                <w:szCs w:val="24"/>
              </w:rPr>
              <w:t>上海苏宁电器有限公司</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2"/>
              <w:jc w:val="right"/>
              <w:rPr>
                <w:rFonts w:ascii="Arial" w:hAnsi="Arial" w:cs="Arial" w:eastAsia="Arial" w:hint="default"/>
                <w:sz w:val="24"/>
                <w:szCs w:val="24"/>
              </w:rPr>
            </w:pPr>
            <w:r>
              <w:rPr>
                <w:rFonts w:ascii="Arial"/>
                <w:spacing w:val="-1"/>
                <w:w w:val="95"/>
                <w:sz w:val="24"/>
              </w:rPr>
              <w:t>3,890,684</w:t>
            </w:r>
            <w:r>
              <w:rPr>
                <w:rFonts w:ascii="Arial"/>
                <w:sz w:val="24"/>
              </w:rPr>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Arial" w:hAnsi="Arial" w:cs="Arial" w:eastAsia="Arial" w:hint="default"/>
                <w:sz w:val="24"/>
                <w:szCs w:val="24"/>
              </w:rPr>
            </w:pPr>
            <w:r>
              <w:rPr>
                <w:rFonts w:ascii="Arial"/>
                <w:spacing w:val="-1"/>
                <w:w w:val="95"/>
                <w:sz w:val="24"/>
              </w:rPr>
              <w:t>7.1%</w:t>
            </w:r>
            <w:r>
              <w:rPr>
                <w:rFonts w:ascii="Arial"/>
                <w:sz w:val="24"/>
              </w:rPr>
            </w:r>
          </w:p>
        </w:tc>
      </w:tr>
      <w:tr>
        <w:trPr>
          <w:trHeight w:val="317"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6" w:lineRule="exact"/>
              <w:ind w:left="35" w:right="0"/>
              <w:jc w:val="left"/>
              <w:rPr>
                <w:rFonts w:ascii="宋体" w:hAnsi="宋体" w:cs="宋体" w:eastAsia="宋体" w:hint="default"/>
                <w:sz w:val="24"/>
                <w:szCs w:val="24"/>
              </w:rPr>
            </w:pPr>
            <w:r>
              <w:rPr>
                <w:rFonts w:ascii="宋体" w:hAnsi="宋体" w:cs="宋体" w:eastAsia="宋体" w:hint="default"/>
                <w:sz w:val="24"/>
                <w:szCs w:val="24"/>
              </w:rPr>
              <w:t>广东苏宁电器有限公司</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2"/>
              <w:jc w:val="right"/>
              <w:rPr>
                <w:rFonts w:ascii="Arial" w:hAnsi="Arial" w:cs="Arial" w:eastAsia="Arial" w:hint="default"/>
                <w:sz w:val="24"/>
                <w:szCs w:val="24"/>
              </w:rPr>
            </w:pPr>
            <w:r>
              <w:rPr>
                <w:rFonts w:ascii="Arial"/>
                <w:spacing w:val="-3"/>
                <w:sz w:val="24"/>
              </w:rPr>
              <w:t>2,372,811</w:t>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4"/>
              <w:jc w:val="right"/>
              <w:rPr>
                <w:rFonts w:ascii="Arial" w:hAnsi="Arial" w:cs="Arial" w:eastAsia="Arial" w:hint="default"/>
                <w:sz w:val="24"/>
                <w:szCs w:val="24"/>
              </w:rPr>
            </w:pPr>
            <w:r>
              <w:rPr>
                <w:rFonts w:ascii="Arial"/>
                <w:spacing w:val="-1"/>
                <w:w w:val="95"/>
                <w:sz w:val="24"/>
              </w:rPr>
              <w:t>4.3%</w:t>
            </w:r>
            <w:r>
              <w:rPr>
                <w:rFonts w:ascii="Arial"/>
                <w:sz w:val="24"/>
              </w:rPr>
            </w:r>
          </w:p>
        </w:tc>
      </w:tr>
      <w:tr>
        <w:trPr>
          <w:trHeight w:val="293"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深圳市苏宁电器有限公司</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82"/>
              <w:jc w:val="right"/>
              <w:rPr>
                <w:rFonts w:ascii="Arial" w:hAnsi="Arial" w:cs="Arial" w:eastAsia="Arial" w:hint="default"/>
                <w:sz w:val="24"/>
                <w:szCs w:val="24"/>
              </w:rPr>
            </w:pPr>
            <w:r>
              <w:rPr>
                <w:rFonts w:ascii="Arial"/>
                <w:spacing w:val="-1"/>
                <w:w w:val="95"/>
                <w:sz w:val="24"/>
              </w:rPr>
              <w:t>2,007,083</w:t>
            </w:r>
            <w:r>
              <w:rPr>
                <w:rFonts w:ascii="Arial"/>
                <w:sz w:val="24"/>
              </w:rPr>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4"/>
                <w:szCs w:val="24"/>
              </w:rPr>
            </w:pPr>
            <w:r>
              <w:rPr>
                <w:rFonts w:ascii="Arial"/>
                <w:spacing w:val="-1"/>
                <w:w w:val="95"/>
                <w:sz w:val="24"/>
              </w:rPr>
              <w:t>3.8%</w:t>
            </w:r>
            <w:r>
              <w:rPr>
                <w:rFonts w:ascii="Arial"/>
                <w:sz w:val="24"/>
              </w:rPr>
            </w:r>
          </w:p>
        </w:tc>
      </w:tr>
    </w:tbl>
    <w:p>
      <w:pPr>
        <w:pStyle w:val="BodyText"/>
        <w:tabs>
          <w:tab w:pos="5268" w:val="left" w:leader="none"/>
          <w:tab w:pos="6198" w:val="left" w:leader="none"/>
          <w:tab w:pos="7620" w:val="left" w:leader="none"/>
          <w:tab w:pos="9430" w:val="left" w:leader="none"/>
          <w:tab w:pos="10078" w:val="left" w:leader="none"/>
        </w:tabs>
        <w:spacing w:line="315" w:lineRule="exact"/>
        <w:ind w:left="837" w:right="0"/>
        <w:jc w:val="left"/>
        <w:rPr>
          <w:rFonts w:ascii="Arial" w:hAnsi="Arial" w:cs="Arial" w:eastAsia="Arial" w:hint="default"/>
        </w:rPr>
      </w:pPr>
      <w:r>
        <w:rPr>
          <w:position w:val="2"/>
        </w:rPr>
        <w:t>重庆渝宁苏宁电器有限公司</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1,989,294</w:t>
      </w:r>
      <w:r>
        <w:rPr>
          <w:rFonts w:ascii="Arial" w:hAnsi="Arial" w:cs="Arial" w:eastAsia="Arial" w:hint="default"/>
          <w:spacing w:val="-1"/>
        </w:rPr>
        <w:tab/>
      </w:r>
      <w:r>
        <w:rPr>
          <w:rFonts w:ascii="Arial" w:hAnsi="Arial" w:cs="Arial" w:eastAsia="Arial" w:hint="default"/>
          <w:spacing w:val="-1"/>
          <w:u w:val="single" w:color="000000"/>
        </w:rPr>
        <w:t> </w:t>
        <w:tab/>
        <w:t>3.6%</w:t>
        <w:tab/>
      </w:r>
      <w:r>
        <w:rPr>
          <w:rFonts w:ascii="Arial" w:hAnsi="Arial" w:cs="Arial" w:eastAsia="Arial" w:hint="default"/>
          <w:spacing w:val="-1"/>
        </w:rPr>
      </w:r>
    </w:p>
    <w:p>
      <w:pPr>
        <w:pStyle w:val="BodyText"/>
        <w:tabs>
          <w:tab w:pos="6065" w:val="left" w:leader="none"/>
          <w:tab w:pos="7620" w:val="left" w:leader="none"/>
          <w:tab w:pos="9296" w:val="left" w:leader="none"/>
          <w:tab w:pos="10078" w:val="left" w:leader="none"/>
        </w:tabs>
        <w:spacing w:line="240" w:lineRule="auto" w:before="9"/>
        <w:ind w:left="5268" w:right="0"/>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14,864,204</w:t>
      </w:r>
      <w:r>
        <w:rPr>
          <w:rFonts w:ascii="Arial"/>
          <w:spacing w:val="-1"/>
        </w:rPr>
        <w:tab/>
      </w:r>
      <w:r>
        <w:rPr>
          <w:rFonts w:ascii="Arial"/>
          <w:spacing w:val="-1"/>
          <w:u w:val="thick" w:color="000000"/>
        </w:rPr>
        <w:t> </w:t>
        <w:tab/>
        <w:t>27.2%</w:t>
        <w:tab/>
      </w:r>
      <w:r>
        <w:rPr>
          <w:rFonts w:ascii="Arial"/>
          <w:spacing w:val="-1"/>
        </w:rPr>
      </w:r>
    </w:p>
    <w:p>
      <w:pPr>
        <w:spacing w:after="0" w:line="240" w:lineRule="auto"/>
        <w:jc w:val="left"/>
        <w:rPr>
          <w:rFonts w:ascii="Arial" w:hAnsi="Arial" w:cs="Arial" w:eastAsia="Arial" w:hint="default"/>
        </w:rPr>
        <w:sectPr>
          <w:pgSz w:w="11910" w:h="16840"/>
          <w:pgMar w:header="755" w:footer="947" w:top="2300" w:bottom="1140" w:left="1000" w:right="660"/>
        </w:sectPr>
      </w:pPr>
    </w:p>
    <w:p>
      <w:pPr>
        <w:spacing w:line="240" w:lineRule="auto" w:before="4"/>
        <w:rPr>
          <w:rFonts w:ascii="Times New Roman" w:hAnsi="Times New Roman" w:cs="Times New Roman" w:eastAsia="Times New Roman"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620"/>
        <w:gridCol w:w="4450"/>
        <w:gridCol w:w="2213"/>
        <w:gridCol w:w="258"/>
        <w:gridCol w:w="2447"/>
      </w:tblGrid>
      <w:tr>
        <w:trPr>
          <w:trHeight w:val="964"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5" w:right="0"/>
              <w:jc w:val="left"/>
              <w:rPr>
                <w:rFonts w:ascii="Arial" w:hAnsi="Arial" w:cs="Arial" w:eastAsia="Arial" w:hint="default"/>
                <w:sz w:val="24"/>
                <w:szCs w:val="24"/>
              </w:rPr>
            </w:pPr>
            <w:r>
              <w:rPr>
                <w:rFonts w:ascii="Arial"/>
                <w:sz w:val="24"/>
              </w:rPr>
              <w:t>(5)</w:t>
            </w:r>
          </w:p>
        </w:tc>
        <w:tc>
          <w:tcPr>
            <w:tcW w:w="445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0" w:right="0"/>
              <w:jc w:val="left"/>
              <w:rPr>
                <w:rFonts w:ascii="Arial" w:hAnsi="Arial" w:cs="Arial" w:eastAsia="Arial" w:hint="default"/>
                <w:sz w:val="24"/>
                <w:szCs w:val="24"/>
              </w:rPr>
            </w:pPr>
            <w:r>
              <w:rPr>
                <w:rFonts w:ascii="宋体" w:hAnsi="宋体" w:cs="宋体" w:eastAsia="宋体" w:hint="default"/>
                <w:b/>
                <w:bCs/>
                <w:sz w:val="24"/>
                <w:szCs w:val="24"/>
              </w:rPr>
              <w:t>公司财务报表附注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宋体" w:hAnsi="宋体" w:cs="宋体" w:eastAsia="宋体" w:hint="default"/>
                <w:sz w:val="24"/>
                <w:szCs w:val="24"/>
              </w:rPr>
            </w:pPr>
            <w:r>
              <w:rPr>
                <w:rFonts w:ascii="宋体" w:hAnsi="宋体" w:cs="宋体" w:eastAsia="宋体" w:hint="default"/>
                <w:b/>
                <w:bCs/>
                <w:sz w:val="24"/>
                <w:szCs w:val="24"/>
              </w:rPr>
              <w:t>投资收益</w:t>
            </w:r>
            <w:r>
              <w:rPr>
                <w:rFonts w:ascii="宋体" w:hAnsi="宋体" w:cs="宋体" w:eastAsia="宋体" w:hint="default"/>
                <w:sz w:val="24"/>
                <w:szCs w:val="24"/>
              </w:rPr>
            </w:r>
          </w:p>
        </w:tc>
        <w:tc>
          <w:tcPr>
            <w:tcW w:w="4918" w:type="dxa"/>
            <w:gridSpan w:val="3"/>
            <w:tcBorders>
              <w:top w:val="nil" w:sz="6" w:space="0" w:color="auto"/>
              <w:left w:val="nil" w:sz="6" w:space="0" w:color="auto"/>
              <w:bottom w:val="nil" w:sz="6" w:space="0" w:color="auto"/>
              <w:right w:val="nil" w:sz="6" w:space="0" w:color="auto"/>
            </w:tcBorders>
          </w:tcPr>
          <w:p>
            <w:pPr/>
          </w:p>
        </w:tc>
      </w:tr>
      <w:tr>
        <w:trPr>
          <w:trHeight w:val="640"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30" w:right="0"/>
              <w:jc w:val="left"/>
              <w:rPr>
                <w:rFonts w:ascii="宋体" w:hAnsi="宋体" w:cs="宋体" w:eastAsia="宋体" w:hint="default"/>
                <w:sz w:val="24"/>
                <w:szCs w:val="24"/>
              </w:rPr>
            </w:pPr>
            <w:r>
              <w:rPr>
                <w:rFonts w:ascii="宋体" w:hAnsi="宋体" w:cs="宋体" w:eastAsia="宋体" w:hint="default"/>
                <w:sz w:val="24"/>
                <w:szCs w:val="24"/>
              </w:rPr>
              <w:t>成本法核算的长期股权投资收益</w:t>
            </w:r>
          </w:p>
        </w:tc>
        <w:tc>
          <w:tcPr>
            <w:tcW w:w="2213" w:type="dxa"/>
            <w:tcBorders>
              <w:top w:val="nil" w:sz="6" w:space="0" w:color="auto"/>
              <w:left w:val="nil" w:sz="6" w:space="0" w:color="auto"/>
              <w:bottom w:val="single" w:sz="12" w:space="0" w:color="000000"/>
              <w:right w:val="nil" w:sz="6" w:space="0" w:color="auto"/>
            </w:tcBorders>
          </w:tcPr>
          <w:p>
            <w:pPr>
              <w:pStyle w:val="TableParagraph"/>
              <w:spacing w:line="293" w:lineRule="exact"/>
              <w:ind w:left="1012"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p>
            <w:pPr>
              <w:pStyle w:val="TableParagraph"/>
              <w:spacing w:line="240" w:lineRule="auto" w:before="18"/>
              <w:ind w:left="1353" w:right="0"/>
              <w:jc w:val="left"/>
              <w:rPr>
                <w:rFonts w:ascii="Arial" w:hAnsi="Arial" w:cs="Arial" w:eastAsia="Arial" w:hint="default"/>
                <w:sz w:val="24"/>
                <w:szCs w:val="24"/>
              </w:rPr>
            </w:pPr>
            <w:r>
              <w:rPr>
                <w:rFonts w:ascii="Arial"/>
                <w:sz w:val="24"/>
              </w:rPr>
              <w:t>53,846</w:t>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single" w:sz="12" w:space="0" w:color="000000"/>
              <w:right w:val="nil" w:sz="6" w:space="0" w:color="auto"/>
            </w:tcBorders>
          </w:tcPr>
          <w:p>
            <w:pPr>
              <w:pStyle w:val="TableParagraph"/>
              <w:spacing w:line="293" w:lineRule="exact"/>
              <w:ind w:right="107"/>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p>
            <w:pPr>
              <w:pStyle w:val="TableParagraph"/>
              <w:spacing w:line="240" w:lineRule="auto" w:before="19"/>
              <w:ind w:right="106"/>
              <w:jc w:val="right"/>
              <w:rPr>
                <w:rFonts w:ascii="Arial" w:hAnsi="Arial" w:cs="Arial" w:eastAsia="Arial" w:hint="default"/>
                <w:sz w:val="24"/>
                <w:szCs w:val="24"/>
              </w:rPr>
            </w:pPr>
            <w:r>
              <w:rPr>
                <w:rFonts w:ascii="Arial"/>
                <w:b/>
                <w:w w:val="99"/>
                <w:sz w:val="24"/>
              </w:rPr>
              <w:t>-</w:t>
            </w:r>
            <w:r>
              <w:rPr>
                <w:rFonts w:ascii="Arial"/>
                <w:sz w:val="24"/>
              </w:rPr>
            </w:r>
          </w:p>
        </w:tc>
      </w:tr>
      <w:tr>
        <w:trPr>
          <w:trHeight w:val="737"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宋体" w:hAnsi="宋体" w:cs="宋体" w:eastAsia="宋体" w:hint="default"/>
                <w:sz w:val="24"/>
                <w:szCs w:val="24"/>
              </w:rPr>
            </w:pPr>
            <w:r>
              <w:rPr>
                <w:rFonts w:ascii="宋体" w:hAnsi="宋体" w:cs="宋体" w:eastAsia="宋体" w:hint="default"/>
                <w:sz w:val="24"/>
                <w:szCs w:val="24"/>
              </w:rPr>
              <w:t>本公司不存在投资收益汇回的重大限制。</w:t>
            </w:r>
          </w:p>
        </w:tc>
        <w:tc>
          <w:tcPr>
            <w:tcW w:w="2213" w:type="dxa"/>
            <w:tcBorders>
              <w:top w:val="single" w:sz="12" w:space="0" w:color="000000"/>
              <w:left w:val="nil" w:sz="6" w:space="0" w:color="auto"/>
              <w:bottom w:val="nil" w:sz="6" w:space="0" w:color="auto"/>
              <w:right w:val="nil" w:sz="6" w:space="0" w:color="auto"/>
            </w:tcBorders>
          </w:tcPr>
          <w:p>
            <w:pP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single" w:sz="12" w:space="0" w:color="000000"/>
              <w:left w:val="nil" w:sz="6" w:space="0" w:color="auto"/>
              <w:bottom w:val="nil" w:sz="6" w:space="0" w:color="auto"/>
              <w:right w:val="nil" w:sz="6" w:space="0" w:color="auto"/>
            </w:tcBorders>
          </w:tcPr>
          <w:p>
            <w:pPr/>
          </w:p>
        </w:tc>
      </w:tr>
      <w:tr>
        <w:trPr>
          <w:trHeight w:val="588"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(6)</w:t>
            </w:r>
          </w:p>
        </w:tc>
        <w:tc>
          <w:tcPr>
            <w:tcW w:w="445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0" w:right="0"/>
              <w:jc w:val="left"/>
              <w:rPr>
                <w:rFonts w:ascii="宋体" w:hAnsi="宋体" w:cs="宋体" w:eastAsia="宋体" w:hint="default"/>
                <w:sz w:val="24"/>
                <w:szCs w:val="24"/>
              </w:rPr>
            </w:pPr>
            <w:r>
              <w:rPr>
                <w:rFonts w:ascii="宋体" w:hAnsi="宋体" w:cs="宋体" w:eastAsia="宋体" w:hint="default"/>
                <w:b/>
                <w:bCs/>
                <w:sz w:val="24"/>
                <w:szCs w:val="24"/>
              </w:rPr>
              <w:t>现金流量表补充资料</w:t>
            </w:r>
            <w:r>
              <w:rPr>
                <w:rFonts w:ascii="宋体" w:hAnsi="宋体" w:cs="宋体" w:eastAsia="宋体" w:hint="default"/>
                <w:sz w:val="24"/>
                <w:szCs w:val="24"/>
              </w:rPr>
            </w:r>
          </w:p>
        </w:tc>
        <w:tc>
          <w:tcPr>
            <w:tcW w:w="2213" w:type="dxa"/>
            <w:tcBorders>
              <w:top w:val="nil" w:sz="6" w:space="0" w:color="auto"/>
              <w:left w:val="nil" w:sz="6" w:space="0" w:color="auto"/>
              <w:bottom w:val="nil" w:sz="6" w:space="0" w:color="auto"/>
              <w:right w:val="nil" w:sz="6" w:space="0" w:color="auto"/>
            </w:tcBorders>
          </w:tcPr>
          <w:p>
            <w:pP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nil" w:sz="6" w:space="0" w:color="auto"/>
              <w:right w:val="nil" w:sz="6" w:space="0" w:color="auto"/>
            </w:tcBorders>
          </w:tcPr>
          <w:p>
            <w:pPr/>
          </w:p>
        </w:tc>
      </w:tr>
      <w:tr>
        <w:trPr>
          <w:trHeight w:val="453"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Arial" w:hAnsi="Arial" w:cs="Arial" w:eastAsia="Arial" w:hint="default"/>
                <w:sz w:val="24"/>
                <w:szCs w:val="24"/>
              </w:rPr>
            </w:pPr>
            <w:r>
              <w:rPr>
                <w:rFonts w:ascii="Arial"/>
                <w:sz w:val="24"/>
              </w:rPr>
              <w:t>(a)</w:t>
            </w:r>
          </w:p>
        </w:tc>
        <w:tc>
          <w:tcPr>
            <w:tcW w:w="445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0" w:right="0"/>
              <w:jc w:val="left"/>
              <w:rPr>
                <w:rFonts w:ascii="宋体" w:hAnsi="宋体" w:cs="宋体" w:eastAsia="宋体" w:hint="default"/>
                <w:sz w:val="24"/>
                <w:szCs w:val="24"/>
              </w:rPr>
            </w:pPr>
            <w:r>
              <w:rPr>
                <w:rFonts w:ascii="宋体" w:hAnsi="宋体" w:cs="宋体" w:eastAsia="宋体" w:hint="default"/>
                <w:sz w:val="24"/>
                <w:szCs w:val="24"/>
              </w:rPr>
              <w:t>将净利润调节为经营活动现金流量</w:t>
            </w:r>
          </w:p>
        </w:tc>
        <w:tc>
          <w:tcPr>
            <w:tcW w:w="2213" w:type="dxa"/>
            <w:tcBorders>
              <w:top w:val="nil" w:sz="6" w:space="0" w:color="auto"/>
              <w:left w:val="nil" w:sz="6" w:space="0" w:color="auto"/>
              <w:bottom w:val="nil" w:sz="6" w:space="0" w:color="auto"/>
              <w:right w:val="nil" w:sz="6" w:space="0" w:color="auto"/>
            </w:tcBorders>
          </w:tcPr>
          <w:p>
            <w:pP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nil" w:sz="6" w:space="0" w:color="auto"/>
              <w:right w:val="nil" w:sz="6" w:space="0" w:color="auto"/>
            </w:tcBorders>
          </w:tcPr>
          <w:p>
            <w:pPr/>
          </w:p>
        </w:tc>
      </w:tr>
      <w:tr>
        <w:trPr>
          <w:trHeight w:val="453"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93" w:lineRule="exact"/>
              <w:ind w:right="89"/>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nil" w:sz="6" w:space="0" w:color="auto"/>
              <w:right w:val="nil" w:sz="6" w:space="0" w:color="auto"/>
            </w:tcBorders>
          </w:tcPr>
          <w:p>
            <w:pPr>
              <w:pStyle w:val="TableParagraph"/>
              <w:spacing w:line="293" w:lineRule="exact"/>
              <w:ind w:right="101"/>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4"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4"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89"/>
              <w:jc w:val="right"/>
              <w:rPr>
                <w:rFonts w:ascii="Arial" w:hAnsi="Arial" w:cs="Arial" w:eastAsia="Arial" w:hint="default"/>
                <w:sz w:val="24"/>
                <w:szCs w:val="24"/>
              </w:rPr>
            </w:pPr>
            <w:r>
              <w:rPr>
                <w:rFonts w:ascii="Arial"/>
                <w:spacing w:val="-1"/>
                <w:w w:val="95"/>
                <w:sz w:val="24"/>
              </w:rPr>
              <w:t>2,290,641</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81"/>
              <w:jc w:val="right"/>
              <w:rPr>
                <w:rFonts w:ascii="Arial" w:hAnsi="Arial" w:cs="Arial" w:eastAsia="Arial" w:hint="default"/>
                <w:sz w:val="24"/>
                <w:szCs w:val="24"/>
              </w:rPr>
            </w:pPr>
            <w:r>
              <w:rPr>
                <w:rFonts w:ascii="Arial"/>
                <w:spacing w:val="-1"/>
                <w:w w:val="95"/>
                <w:sz w:val="24"/>
              </w:rPr>
              <w:t>1,531,950</w:t>
            </w:r>
            <w:r>
              <w:rPr>
                <w:rFonts w:ascii="Arial"/>
                <w:sz w:val="24"/>
              </w:rPr>
            </w:r>
          </w:p>
        </w:tc>
      </w:tr>
      <w:tr>
        <w:trPr>
          <w:trHeight w:val="312"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Style w:val="TableParagraph"/>
              <w:spacing w:line="279" w:lineRule="exact"/>
              <w:ind w:left="104" w:right="0"/>
              <w:jc w:val="left"/>
              <w:rPr>
                <w:rFonts w:ascii="宋体" w:hAnsi="宋体" w:cs="宋体" w:eastAsia="宋体" w:hint="default"/>
                <w:sz w:val="24"/>
                <w:szCs w:val="24"/>
              </w:rPr>
            </w:pPr>
            <w:r>
              <w:rPr>
                <w:rFonts w:ascii="宋体" w:hAnsi="宋体" w:cs="宋体" w:eastAsia="宋体" w:hint="default"/>
                <w:sz w:val="24"/>
                <w:szCs w:val="24"/>
              </w:rPr>
              <w:t>加：资产减值准备</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8"/>
              <w:jc w:val="right"/>
              <w:rPr>
                <w:rFonts w:ascii="Arial" w:hAnsi="Arial" w:cs="Arial" w:eastAsia="Arial" w:hint="default"/>
                <w:sz w:val="24"/>
                <w:szCs w:val="24"/>
              </w:rPr>
            </w:pPr>
            <w:r>
              <w:rPr>
                <w:rFonts w:ascii="Arial"/>
                <w:spacing w:val="-1"/>
                <w:w w:val="95"/>
                <w:sz w:val="24"/>
              </w:rPr>
              <w:t>45,347</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1"/>
              <w:jc w:val="right"/>
              <w:rPr>
                <w:rFonts w:ascii="Arial" w:hAnsi="Arial" w:cs="Arial" w:eastAsia="Arial" w:hint="default"/>
                <w:sz w:val="24"/>
                <w:szCs w:val="24"/>
              </w:rPr>
            </w:pPr>
            <w:r>
              <w:rPr>
                <w:rFonts w:ascii="Arial"/>
                <w:spacing w:val="-1"/>
                <w:w w:val="95"/>
                <w:sz w:val="24"/>
              </w:rPr>
              <w:t>22,600</w:t>
            </w:r>
            <w:r>
              <w:rPr>
                <w:rFonts w:ascii="Arial"/>
                <w:sz w:val="24"/>
              </w:rPr>
            </w:r>
          </w:p>
        </w:tc>
      </w:tr>
      <w:tr>
        <w:trPr>
          <w:trHeight w:val="312"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Style w:val="TableParagraph"/>
              <w:spacing w:line="279" w:lineRule="exact"/>
              <w:ind w:left="605" w:right="0"/>
              <w:jc w:val="left"/>
              <w:rPr>
                <w:rFonts w:ascii="宋体" w:hAnsi="宋体" w:cs="宋体" w:eastAsia="宋体" w:hint="default"/>
                <w:sz w:val="24"/>
                <w:szCs w:val="24"/>
              </w:rPr>
            </w:pPr>
            <w:r>
              <w:rPr>
                <w:rFonts w:ascii="宋体" w:hAnsi="宋体" w:cs="宋体" w:eastAsia="宋体" w:hint="default"/>
                <w:sz w:val="24"/>
                <w:szCs w:val="24"/>
              </w:rPr>
              <w:t>固定资产折旧</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8"/>
              <w:jc w:val="right"/>
              <w:rPr>
                <w:rFonts w:ascii="Arial" w:hAnsi="Arial" w:cs="Arial" w:eastAsia="Arial" w:hint="default"/>
                <w:sz w:val="24"/>
                <w:szCs w:val="24"/>
              </w:rPr>
            </w:pPr>
            <w:r>
              <w:rPr>
                <w:rFonts w:ascii="Arial"/>
                <w:spacing w:val="-1"/>
                <w:w w:val="95"/>
                <w:sz w:val="24"/>
              </w:rPr>
              <w:t>61,774</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1"/>
              <w:jc w:val="right"/>
              <w:rPr>
                <w:rFonts w:ascii="Arial" w:hAnsi="Arial" w:cs="Arial" w:eastAsia="Arial" w:hint="default"/>
                <w:sz w:val="24"/>
                <w:szCs w:val="24"/>
              </w:rPr>
            </w:pPr>
            <w:r>
              <w:rPr>
                <w:rFonts w:ascii="Arial"/>
                <w:spacing w:val="-1"/>
                <w:w w:val="95"/>
                <w:sz w:val="24"/>
              </w:rPr>
              <w:t>57,615</w:t>
            </w:r>
            <w:r>
              <w:rPr>
                <w:rFonts w:ascii="Arial"/>
                <w:sz w:val="24"/>
              </w:rPr>
            </w:r>
          </w:p>
        </w:tc>
      </w:tr>
      <w:tr>
        <w:trPr>
          <w:trHeight w:val="312"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Style w:val="TableParagraph"/>
              <w:spacing w:line="279" w:lineRule="exact"/>
              <w:ind w:left="605"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8"/>
              <w:jc w:val="right"/>
              <w:rPr>
                <w:rFonts w:ascii="Arial" w:hAnsi="Arial" w:cs="Arial" w:eastAsia="Arial" w:hint="default"/>
                <w:sz w:val="24"/>
                <w:szCs w:val="24"/>
              </w:rPr>
            </w:pPr>
            <w:r>
              <w:rPr>
                <w:rFonts w:ascii="Arial"/>
                <w:spacing w:val="-1"/>
                <w:w w:val="95"/>
                <w:sz w:val="24"/>
              </w:rPr>
              <w:t>41,517</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1"/>
              <w:jc w:val="right"/>
              <w:rPr>
                <w:rFonts w:ascii="Arial" w:hAnsi="Arial" w:cs="Arial" w:eastAsia="Arial" w:hint="default"/>
                <w:sz w:val="24"/>
                <w:szCs w:val="24"/>
              </w:rPr>
            </w:pPr>
            <w:r>
              <w:rPr>
                <w:rFonts w:ascii="Arial"/>
                <w:spacing w:val="-1"/>
                <w:w w:val="95"/>
                <w:sz w:val="24"/>
              </w:rPr>
              <w:t>26,422</w:t>
            </w:r>
            <w:r>
              <w:rPr>
                <w:rFonts w:ascii="Arial"/>
                <w:sz w:val="24"/>
              </w:rPr>
            </w:r>
          </w:p>
        </w:tc>
      </w:tr>
      <w:tr>
        <w:trPr>
          <w:trHeight w:val="312"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Style w:val="TableParagraph"/>
              <w:spacing w:line="279" w:lineRule="exact"/>
              <w:ind w:left="605"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8"/>
              <w:jc w:val="right"/>
              <w:rPr>
                <w:rFonts w:ascii="Arial" w:hAnsi="Arial" w:cs="Arial" w:eastAsia="Arial" w:hint="default"/>
                <w:sz w:val="24"/>
                <w:szCs w:val="24"/>
              </w:rPr>
            </w:pPr>
            <w:r>
              <w:rPr>
                <w:rFonts w:ascii="Arial"/>
                <w:spacing w:val="-1"/>
                <w:w w:val="95"/>
                <w:sz w:val="24"/>
              </w:rPr>
              <w:t>19,379</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0"/>
              <w:jc w:val="right"/>
              <w:rPr>
                <w:rFonts w:ascii="Arial" w:hAnsi="Arial" w:cs="Arial" w:eastAsia="Arial" w:hint="default"/>
                <w:sz w:val="24"/>
                <w:szCs w:val="24"/>
              </w:rPr>
            </w:pPr>
            <w:r>
              <w:rPr>
                <w:rFonts w:ascii="Arial"/>
                <w:spacing w:val="-4"/>
                <w:w w:val="95"/>
                <w:sz w:val="24"/>
              </w:rPr>
              <w:t>11,618</w:t>
            </w:r>
            <w:r>
              <w:rPr>
                <w:rFonts w:ascii="Arial"/>
                <w:sz w:val="24"/>
              </w:rPr>
            </w:r>
          </w:p>
        </w:tc>
      </w:tr>
      <w:tr>
        <w:trPr>
          <w:trHeight w:val="318"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Style w:val="TableParagraph"/>
              <w:spacing w:line="296" w:lineRule="exact"/>
              <w:ind w:left="604" w:right="0"/>
              <w:jc w:val="left"/>
              <w:rPr>
                <w:rFonts w:ascii="Arial" w:hAnsi="Arial" w:cs="Arial" w:eastAsia="Arial" w:hint="default"/>
                <w:sz w:val="24"/>
                <w:szCs w:val="24"/>
              </w:rPr>
            </w:pPr>
            <w:r>
              <w:rPr>
                <w:rFonts w:ascii="宋体" w:hAnsi="宋体" w:cs="宋体" w:eastAsia="宋体" w:hint="default"/>
                <w:sz w:val="24"/>
                <w:szCs w:val="24"/>
              </w:rPr>
              <w:t>处置固定资产的损失</w:t>
            </w:r>
            <w:r>
              <w:rPr>
                <w:rFonts w:ascii="Arial" w:hAnsi="Arial" w:cs="Arial" w:eastAsia="Arial" w:hint="default"/>
                <w:sz w:val="24"/>
                <w:szCs w:val="24"/>
              </w:rPr>
              <w:t>(</w:t>
            </w:r>
            <w:r>
              <w:rPr>
                <w:rFonts w:ascii="宋体" w:hAnsi="宋体" w:cs="宋体" w:eastAsia="宋体" w:hint="default"/>
                <w:sz w:val="24"/>
                <w:szCs w:val="24"/>
              </w:rPr>
              <w:t>收益</w:t>
            </w:r>
            <w:r>
              <w:rPr>
                <w:rFonts w:ascii="Arial" w:hAnsi="Arial" w:cs="Arial" w:eastAsia="Arial" w:hint="default"/>
                <w:sz w:val="24"/>
                <w:szCs w:val="24"/>
              </w:rPr>
              <w:t>)</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8"/>
              <w:jc w:val="right"/>
              <w:rPr>
                <w:rFonts w:ascii="Arial" w:hAnsi="Arial" w:cs="Arial" w:eastAsia="Arial" w:hint="default"/>
                <w:sz w:val="24"/>
                <w:szCs w:val="24"/>
              </w:rPr>
            </w:pPr>
            <w:r>
              <w:rPr>
                <w:rFonts w:ascii="Arial"/>
                <w:spacing w:val="-1"/>
                <w:w w:val="95"/>
                <w:sz w:val="24"/>
              </w:rPr>
              <w:t>1,779</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
              <w:jc w:val="right"/>
              <w:rPr>
                <w:rFonts w:ascii="Arial" w:hAnsi="Arial" w:cs="Arial" w:eastAsia="Arial" w:hint="default"/>
                <w:sz w:val="24"/>
                <w:szCs w:val="24"/>
              </w:rPr>
            </w:pPr>
            <w:r>
              <w:rPr>
                <w:rFonts w:ascii="Arial"/>
                <w:spacing w:val="-1"/>
                <w:w w:val="95"/>
                <w:sz w:val="24"/>
              </w:rPr>
              <w:t>(347)</w:t>
            </w:r>
            <w:r>
              <w:rPr>
                <w:rFonts w:ascii="Arial"/>
                <w:sz w:val="24"/>
              </w:rPr>
            </w:r>
          </w:p>
        </w:tc>
      </w:tr>
      <w:tr>
        <w:trPr>
          <w:trHeight w:val="624"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Style w:val="TableParagraph"/>
              <w:spacing w:line="281" w:lineRule="exact"/>
              <w:ind w:left="605" w:right="0"/>
              <w:jc w:val="left"/>
              <w:rPr>
                <w:rFonts w:ascii="Arial" w:hAnsi="Arial" w:cs="Arial" w:eastAsia="Arial" w:hint="default"/>
                <w:sz w:val="24"/>
                <w:szCs w:val="24"/>
              </w:rPr>
            </w:pPr>
            <w:r>
              <w:rPr>
                <w:rFonts w:ascii="宋体" w:hAnsi="宋体" w:cs="宋体" w:eastAsia="宋体" w:hint="default"/>
                <w:sz w:val="24"/>
                <w:szCs w:val="24"/>
              </w:rPr>
              <w:t>财务费用</w:t>
            </w:r>
            <w:r>
              <w:rPr>
                <w:rFonts w:ascii="Arial" w:hAnsi="Arial" w:cs="Arial" w:eastAsia="Arial" w:hint="default"/>
                <w:sz w:val="24"/>
                <w:szCs w:val="24"/>
              </w:rPr>
              <w:t>(</w:t>
            </w:r>
            <w:r>
              <w:rPr>
                <w:rFonts w:ascii="宋体" w:hAnsi="宋体" w:cs="宋体" w:eastAsia="宋体" w:hint="default"/>
                <w:sz w:val="24"/>
                <w:szCs w:val="24"/>
              </w:rPr>
              <w:t>收入</w:t>
            </w:r>
            <w:r>
              <w:rPr>
                <w:rFonts w:ascii="Arial" w:hAnsi="Arial" w:cs="Arial" w:eastAsia="Arial" w:hint="default"/>
                <w:sz w:val="24"/>
                <w:szCs w:val="24"/>
              </w:rPr>
              <w:t>)</w:t>
            </w:r>
          </w:p>
          <w:p>
            <w:pPr>
              <w:pStyle w:val="TableParagraph"/>
              <w:spacing w:line="322" w:lineRule="exact"/>
              <w:ind w:left="605" w:right="0"/>
              <w:jc w:val="left"/>
              <w:rPr>
                <w:rFonts w:ascii="Arial" w:hAnsi="Arial" w:cs="Arial" w:eastAsia="Arial" w:hint="default"/>
                <w:sz w:val="24"/>
                <w:szCs w:val="24"/>
              </w:rPr>
            </w:pPr>
            <w:r>
              <w:rPr>
                <w:rFonts w:ascii="宋体" w:hAnsi="宋体" w:cs="宋体" w:eastAsia="宋体" w:hint="default"/>
                <w:sz w:val="24"/>
                <w:szCs w:val="24"/>
              </w:rPr>
              <w:t>投资损失</w:t>
            </w:r>
            <w:r>
              <w:rPr>
                <w:rFonts w:ascii="Arial" w:hAnsi="Arial" w:cs="Arial" w:eastAsia="Arial" w:hint="default"/>
                <w:sz w:val="24"/>
                <w:szCs w:val="24"/>
              </w:rPr>
              <w:t>(</w:t>
            </w:r>
            <w:r>
              <w:rPr>
                <w:rFonts w:ascii="宋体" w:hAnsi="宋体" w:cs="宋体" w:eastAsia="宋体" w:hint="default"/>
                <w:sz w:val="24"/>
                <w:szCs w:val="24"/>
              </w:rPr>
              <w:t>收益</w:t>
            </w:r>
            <w:r>
              <w:rPr>
                <w:rFonts w:ascii="Arial" w:hAnsi="Arial" w:cs="Arial" w:eastAsia="Arial" w:hint="default"/>
                <w:sz w:val="24"/>
                <w:szCs w:val="24"/>
              </w:rPr>
              <w:t>)</w:t>
            </w:r>
          </w:p>
        </w:tc>
        <w:tc>
          <w:tcPr>
            <w:tcW w:w="2213" w:type="dxa"/>
            <w:tcBorders>
              <w:top w:val="nil" w:sz="6" w:space="0" w:color="auto"/>
              <w:left w:val="nil" w:sz="6" w:space="0" w:color="auto"/>
              <w:bottom w:val="nil" w:sz="6" w:space="0" w:color="auto"/>
              <w:right w:val="nil" w:sz="6" w:space="0" w:color="auto"/>
            </w:tcBorders>
          </w:tcPr>
          <w:p>
            <w:pPr>
              <w:pStyle w:val="TableParagraph"/>
              <w:spacing w:line="271" w:lineRule="auto"/>
              <w:ind w:left="1309" w:right="8" w:firstLine="545"/>
              <w:jc w:val="left"/>
              <w:rPr>
                <w:rFonts w:ascii="Arial" w:hAnsi="Arial" w:cs="Arial" w:eastAsia="Arial" w:hint="default"/>
                <w:sz w:val="24"/>
                <w:szCs w:val="24"/>
              </w:rPr>
            </w:pPr>
            <w:r>
              <w:rPr>
                <w:rFonts w:ascii="Arial"/>
                <w:sz w:val="24"/>
              </w:rPr>
              <w:t>-</w:t>
            </w:r>
            <w:r>
              <w:rPr>
                <w:rFonts w:ascii="Arial"/>
                <w:w w:val="99"/>
                <w:sz w:val="24"/>
              </w:rPr>
              <w:t> </w:t>
            </w:r>
            <w:r>
              <w:rPr>
                <w:rFonts w:ascii="Arial"/>
                <w:spacing w:val="-1"/>
                <w:sz w:val="24"/>
              </w:rPr>
              <w:t>(53,846)</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nil" w:sz="6" w:space="0" w:color="auto"/>
              <w:right w:val="nil" w:sz="6" w:space="0" w:color="auto"/>
            </w:tcBorders>
          </w:tcPr>
          <w:p>
            <w:pPr>
              <w:pStyle w:val="TableParagraph"/>
              <w:spacing w:line="272" w:lineRule="exact"/>
              <w:ind w:right="79"/>
              <w:jc w:val="right"/>
              <w:rPr>
                <w:rFonts w:ascii="Arial" w:hAnsi="Arial" w:cs="Arial" w:eastAsia="Arial" w:hint="default"/>
                <w:sz w:val="24"/>
                <w:szCs w:val="24"/>
              </w:rPr>
            </w:pPr>
            <w:r>
              <w:rPr>
                <w:rFonts w:ascii="Arial"/>
                <w:spacing w:val="-1"/>
                <w:sz w:val="24"/>
              </w:rPr>
              <w:t>670</w:t>
            </w:r>
          </w:p>
          <w:p>
            <w:pPr>
              <w:pStyle w:val="TableParagraph"/>
              <w:spacing w:line="240" w:lineRule="auto" w:before="36"/>
              <w:ind w:right="331"/>
              <w:jc w:val="right"/>
              <w:rPr>
                <w:rFonts w:ascii="Arial" w:hAnsi="Arial" w:cs="Arial" w:eastAsia="Arial" w:hint="default"/>
                <w:sz w:val="24"/>
                <w:szCs w:val="24"/>
              </w:rPr>
            </w:pPr>
            <w:r>
              <w:rPr>
                <w:rFonts w:ascii="Arial"/>
                <w:w w:val="99"/>
                <w:sz w:val="24"/>
              </w:rPr>
              <w:t>-</w:t>
            </w:r>
            <w:r>
              <w:rPr>
                <w:rFonts w:ascii="Arial"/>
                <w:sz w:val="24"/>
              </w:rPr>
            </w:r>
          </w:p>
        </w:tc>
      </w:tr>
      <w:tr>
        <w:trPr>
          <w:trHeight w:val="936"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Style w:val="TableParagraph"/>
              <w:spacing w:line="281" w:lineRule="exact"/>
              <w:ind w:left="605" w:right="0"/>
              <w:jc w:val="left"/>
              <w:rPr>
                <w:rFonts w:ascii="Arial" w:hAnsi="Arial" w:cs="Arial" w:eastAsia="Arial" w:hint="default"/>
                <w:sz w:val="24"/>
                <w:szCs w:val="24"/>
              </w:rPr>
            </w:pPr>
            <w:r>
              <w:rPr>
                <w:rFonts w:ascii="宋体" w:hAnsi="宋体" w:cs="宋体" w:eastAsia="宋体" w:hint="default"/>
                <w:sz w:val="24"/>
                <w:szCs w:val="24"/>
              </w:rPr>
              <w:t>递延所得税资产减少</w:t>
            </w:r>
            <w:r>
              <w:rPr>
                <w:rFonts w:ascii="Arial" w:hAnsi="Arial" w:cs="Arial" w:eastAsia="Arial" w:hint="default"/>
                <w:sz w:val="24"/>
                <w:szCs w:val="24"/>
              </w:rPr>
              <w:t>(</w:t>
            </w:r>
            <w:r>
              <w:rPr>
                <w:rFonts w:ascii="宋体" w:hAnsi="宋体" w:cs="宋体" w:eastAsia="宋体" w:hint="default"/>
                <w:sz w:val="24"/>
                <w:szCs w:val="24"/>
              </w:rPr>
              <w:t>增加</w:t>
            </w:r>
            <w:r>
              <w:rPr>
                <w:rFonts w:ascii="Arial" w:hAnsi="Arial" w:cs="Arial" w:eastAsia="Arial" w:hint="default"/>
                <w:sz w:val="24"/>
                <w:szCs w:val="24"/>
              </w:rPr>
              <w:t>)</w:t>
            </w:r>
          </w:p>
          <w:p>
            <w:pPr>
              <w:pStyle w:val="TableParagraph"/>
              <w:spacing w:line="312" w:lineRule="exact" w:before="21"/>
              <w:ind w:left="605" w:right="1042"/>
              <w:jc w:val="left"/>
              <w:rPr>
                <w:rFonts w:ascii="Arial" w:hAnsi="Arial" w:cs="Arial" w:eastAsia="Arial" w:hint="default"/>
                <w:sz w:val="24"/>
                <w:szCs w:val="24"/>
              </w:rPr>
            </w:pPr>
            <w:r>
              <w:rPr>
                <w:rFonts w:ascii="宋体" w:hAnsi="宋体" w:cs="宋体" w:eastAsia="宋体" w:hint="default"/>
                <w:sz w:val="24"/>
                <w:szCs w:val="24"/>
              </w:rPr>
              <w:t>递延所得税负债增加</w:t>
            </w:r>
            <w:r>
              <w:rPr>
                <w:rFonts w:ascii="Arial" w:hAnsi="Arial" w:cs="Arial" w:eastAsia="Arial" w:hint="default"/>
                <w:sz w:val="24"/>
                <w:szCs w:val="24"/>
              </w:rPr>
              <w:t>(</w:t>
            </w:r>
            <w:r>
              <w:rPr>
                <w:rFonts w:ascii="宋体" w:hAnsi="宋体" w:cs="宋体" w:eastAsia="宋体" w:hint="default"/>
                <w:sz w:val="24"/>
                <w:szCs w:val="24"/>
              </w:rPr>
              <w:t>减少</w:t>
            </w:r>
            <w:r>
              <w:rPr>
                <w:rFonts w:ascii="Arial" w:hAnsi="Arial" w:cs="Arial" w:eastAsia="Arial" w:hint="default"/>
                <w:sz w:val="24"/>
                <w:szCs w:val="24"/>
              </w:rPr>
              <w:t>) </w:t>
            </w:r>
            <w:r>
              <w:rPr>
                <w:rFonts w:ascii="宋体" w:hAnsi="宋体" w:cs="宋体" w:eastAsia="宋体" w:hint="default"/>
                <w:sz w:val="24"/>
                <w:szCs w:val="24"/>
              </w:rPr>
              <w:t>存货的减少</w:t>
            </w:r>
            <w:r>
              <w:rPr>
                <w:rFonts w:ascii="Arial" w:hAnsi="Arial" w:cs="Arial" w:eastAsia="Arial" w:hint="default"/>
                <w:sz w:val="24"/>
                <w:szCs w:val="24"/>
              </w:rPr>
              <w:t>(</w:t>
            </w:r>
            <w:r>
              <w:rPr>
                <w:rFonts w:ascii="宋体" w:hAnsi="宋体" w:cs="宋体" w:eastAsia="宋体" w:hint="default"/>
                <w:sz w:val="24"/>
                <w:szCs w:val="24"/>
              </w:rPr>
              <w:t>增加</w:t>
            </w:r>
            <w:r>
              <w:rPr>
                <w:rFonts w:ascii="Arial" w:hAnsi="Arial" w:cs="Arial" w:eastAsia="Arial" w:hint="default"/>
                <w:sz w:val="24"/>
                <w:szCs w:val="24"/>
              </w:rPr>
              <w:t>)</w:t>
            </w:r>
          </w:p>
        </w:tc>
        <w:tc>
          <w:tcPr>
            <w:tcW w:w="2213" w:type="dxa"/>
            <w:tcBorders>
              <w:top w:val="nil" w:sz="6" w:space="0" w:color="auto"/>
              <w:left w:val="nil" w:sz="6" w:space="0" w:color="auto"/>
              <w:bottom w:val="nil" w:sz="6" w:space="0" w:color="auto"/>
              <w:right w:val="nil" w:sz="6" w:space="0" w:color="auto"/>
            </w:tcBorders>
          </w:tcPr>
          <w:p>
            <w:pPr>
              <w:pStyle w:val="TableParagraph"/>
              <w:spacing w:line="272" w:lineRule="exact"/>
              <w:ind w:left="1389" w:right="0"/>
              <w:jc w:val="left"/>
              <w:rPr>
                <w:rFonts w:ascii="Arial" w:hAnsi="Arial" w:cs="Arial" w:eastAsia="Arial" w:hint="default"/>
                <w:sz w:val="24"/>
                <w:szCs w:val="24"/>
              </w:rPr>
            </w:pPr>
            <w:r>
              <w:rPr>
                <w:rFonts w:ascii="Arial"/>
                <w:sz w:val="24"/>
              </w:rPr>
              <w:t>24,002</w:t>
            </w:r>
          </w:p>
          <w:p>
            <w:pPr>
              <w:pStyle w:val="TableParagraph"/>
              <w:spacing w:line="271" w:lineRule="auto" w:before="36"/>
              <w:ind w:left="975" w:right="8" w:firstLine="889"/>
              <w:jc w:val="left"/>
              <w:rPr>
                <w:rFonts w:ascii="Arial" w:hAnsi="Arial" w:cs="Arial" w:eastAsia="Arial" w:hint="default"/>
                <w:sz w:val="24"/>
                <w:szCs w:val="24"/>
              </w:rPr>
            </w:pPr>
            <w:r>
              <w:rPr>
                <w:rFonts w:ascii="Arial"/>
                <w:sz w:val="24"/>
              </w:rPr>
              <w:t>-</w:t>
            </w:r>
            <w:r>
              <w:rPr>
                <w:rFonts w:ascii="Arial"/>
                <w:w w:val="99"/>
                <w:sz w:val="24"/>
              </w:rPr>
              <w:t> </w:t>
            </w:r>
            <w:r>
              <w:rPr>
                <w:rFonts w:ascii="Arial"/>
                <w:spacing w:val="-1"/>
                <w:sz w:val="24"/>
              </w:rPr>
              <w:t>(2,300,942)</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nil" w:sz="6" w:space="0" w:color="auto"/>
              <w:right w:val="nil" w:sz="6" w:space="0" w:color="auto"/>
            </w:tcBorders>
          </w:tcPr>
          <w:p>
            <w:pPr>
              <w:pStyle w:val="TableParagraph"/>
              <w:spacing w:line="272" w:lineRule="exact"/>
              <w:ind w:left="1551" w:right="0"/>
              <w:jc w:val="left"/>
              <w:rPr>
                <w:rFonts w:ascii="Arial" w:hAnsi="Arial" w:cs="Arial" w:eastAsia="Arial" w:hint="default"/>
                <w:sz w:val="24"/>
                <w:szCs w:val="24"/>
              </w:rPr>
            </w:pPr>
            <w:r>
              <w:rPr>
                <w:rFonts w:ascii="Arial"/>
                <w:spacing w:val="-1"/>
                <w:sz w:val="24"/>
              </w:rPr>
              <w:t>(44,490)</w:t>
            </w:r>
            <w:r>
              <w:rPr>
                <w:rFonts w:ascii="Arial"/>
                <w:sz w:val="24"/>
              </w:rPr>
            </w:r>
          </w:p>
          <w:p>
            <w:pPr>
              <w:pStyle w:val="TableParagraph"/>
              <w:spacing w:line="271" w:lineRule="auto" w:before="36"/>
              <w:ind w:left="1236" w:right="0" w:firstLine="975"/>
              <w:jc w:val="left"/>
              <w:rPr>
                <w:rFonts w:ascii="Arial" w:hAnsi="Arial" w:cs="Arial" w:eastAsia="Arial" w:hint="default"/>
                <w:sz w:val="24"/>
                <w:szCs w:val="24"/>
              </w:rPr>
            </w:pPr>
            <w:r>
              <w:rPr>
                <w:rFonts w:ascii="Arial"/>
                <w:sz w:val="24"/>
              </w:rPr>
              <w:t>-</w:t>
            </w:r>
            <w:r>
              <w:rPr>
                <w:rFonts w:ascii="Arial"/>
                <w:w w:val="99"/>
                <w:sz w:val="24"/>
              </w:rPr>
              <w:t> </w:t>
            </w:r>
            <w:r>
              <w:rPr>
                <w:rFonts w:ascii="Arial"/>
                <w:spacing w:val="-3"/>
                <w:sz w:val="24"/>
              </w:rPr>
              <w:t>(2,511,051)</w:t>
            </w:r>
            <w:r>
              <w:rPr>
                <w:rFonts w:ascii="Arial"/>
                <w:sz w:val="24"/>
              </w:rPr>
            </w:r>
          </w:p>
        </w:tc>
      </w:tr>
      <w:tr>
        <w:trPr>
          <w:trHeight w:val="312"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Style w:val="TableParagraph"/>
              <w:spacing w:line="290" w:lineRule="exact"/>
              <w:ind w:left="605" w:right="0"/>
              <w:jc w:val="left"/>
              <w:rPr>
                <w:rFonts w:ascii="宋体" w:hAnsi="宋体" w:cs="宋体" w:eastAsia="宋体" w:hint="default"/>
                <w:sz w:val="24"/>
                <w:szCs w:val="24"/>
              </w:rPr>
            </w:pPr>
            <w:r>
              <w:rPr>
                <w:rFonts w:ascii="宋体" w:hAnsi="宋体" w:cs="宋体" w:eastAsia="宋体" w:hint="default"/>
                <w:sz w:val="24"/>
                <w:szCs w:val="24"/>
              </w:rPr>
              <w:t>经营性应收项目的</w:t>
            </w:r>
            <w:r>
              <w:rPr>
                <w:rFonts w:ascii="Arial" w:hAnsi="Arial" w:cs="Arial" w:eastAsia="Arial" w:hint="default"/>
                <w:sz w:val="24"/>
                <w:szCs w:val="24"/>
              </w:rPr>
              <w:t>(</w:t>
            </w:r>
            <w:r>
              <w:rPr>
                <w:rFonts w:ascii="宋体" w:hAnsi="宋体" w:cs="宋体" w:eastAsia="宋体" w:hint="default"/>
                <w:sz w:val="24"/>
                <w:szCs w:val="24"/>
              </w:rPr>
              <w:t>增加</w:t>
            </w:r>
            <w:r>
              <w:rPr>
                <w:rFonts w:ascii="Arial" w:hAnsi="Arial" w:cs="Arial" w:eastAsia="Arial" w:hint="default"/>
                <w:sz w:val="24"/>
                <w:szCs w:val="24"/>
              </w:rPr>
              <w:t>)</w:t>
            </w:r>
            <w:r>
              <w:rPr>
                <w:rFonts w:ascii="宋体" w:hAnsi="宋体" w:cs="宋体" w:eastAsia="宋体" w:hint="default"/>
                <w:sz w:val="24"/>
                <w:szCs w:val="24"/>
              </w:rPr>
              <w:t>减少</w:t>
            </w:r>
          </w:p>
        </w:tc>
        <w:tc>
          <w:tcPr>
            <w:tcW w:w="2213" w:type="dxa"/>
            <w:tcBorders>
              <w:top w:val="nil" w:sz="6" w:space="0" w:color="auto"/>
              <w:left w:val="nil" w:sz="6" w:space="0" w:color="auto"/>
              <w:bottom w:val="nil" w:sz="6" w:space="0" w:color="auto"/>
              <w:right w:val="nil" w:sz="6" w:space="0" w:color="auto"/>
            </w:tcBorders>
          </w:tcPr>
          <w:p>
            <w:pPr>
              <w:pStyle w:val="TableParagraph"/>
              <w:spacing w:line="272" w:lineRule="exact"/>
              <w:ind w:right="9"/>
              <w:jc w:val="right"/>
              <w:rPr>
                <w:rFonts w:ascii="Arial" w:hAnsi="Arial" w:cs="Arial" w:eastAsia="Arial" w:hint="default"/>
                <w:sz w:val="24"/>
                <w:szCs w:val="24"/>
              </w:rPr>
            </w:pPr>
            <w:r>
              <w:rPr>
                <w:rFonts w:ascii="Arial"/>
                <w:spacing w:val="-1"/>
                <w:w w:val="95"/>
                <w:sz w:val="24"/>
              </w:rPr>
              <w:t>(2,054,709)</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nil" w:sz="6" w:space="0" w:color="auto"/>
              <w:right w:val="nil" w:sz="6" w:space="0" w:color="auto"/>
            </w:tcBorders>
          </w:tcPr>
          <w:p>
            <w:pPr>
              <w:pStyle w:val="TableParagraph"/>
              <w:spacing w:line="272" w:lineRule="exact"/>
              <w:ind w:right="80"/>
              <w:jc w:val="right"/>
              <w:rPr>
                <w:rFonts w:ascii="Arial" w:hAnsi="Arial" w:cs="Arial" w:eastAsia="Arial" w:hint="default"/>
                <w:sz w:val="24"/>
                <w:szCs w:val="24"/>
              </w:rPr>
            </w:pPr>
            <w:r>
              <w:rPr>
                <w:rFonts w:ascii="Arial"/>
                <w:spacing w:val="-1"/>
                <w:w w:val="95"/>
                <w:sz w:val="24"/>
              </w:rPr>
              <w:t>944,743</w:t>
            </w:r>
            <w:r>
              <w:rPr>
                <w:rFonts w:ascii="Arial"/>
                <w:sz w:val="24"/>
              </w:rPr>
            </w:r>
          </w:p>
        </w:tc>
      </w:tr>
      <w:tr>
        <w:trPr>
          <w:trHeight w:val="313"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Style w:val="TableParagraph"/>
              <w:spacing w:line="290" w:lineRule="exact"/>
              <w:ind w:left="605" w:right="0"/>
              <w:jc w:val="left"/>
              <w:rPr>
                <w:rFonts w:ascii="Arial" w:hAnsi="Arial" w:cs="Arial" w:eastAsia="Arial" w:hint="default"/>
                <w:sz w:val="24"/>
                <w:szCs w:val="24"/>
              </w:rPr>
            </w:pPr>
            <w:r>
              <w:rPr>
                <w:rFonts w:ascii="宋体" w:hAnsi="宋体" w:cs="宋体" w:eastAsia="宋体" w:hint="default"/>
                <w:sz w:val="24"/>
                <w:szCs w:val="24"/>
              </w:rPr>
              <w:t>经营性应付项目的增加</w:t>
            </w:r>
            <w:r>
              <w:rPr>
                <w:rFonts w:ascii="Arial" w:hAnsi="Arial" w:cs="Arial" w:eastAsia="Arial" w:hint="default"/>
                <w:sz w:val="24"/>
                <w:szCs w:val="24"/>
              </w:rPr>
              <w:t>(</w:t>
            </w:r>
            <w:r>
              <w:rPr>
                <w:rFonts w:ascii="宋体" w:hAnsi="宋体" w:cs="宋体" w:eastAsia="宋体" w:hint="default"/>
                <w:sz w:val="24"/>
                <w:szCs w:val="24"/>
              </w:rPr>
              <w:t>减少</w:t>
            </w:r>
            <w:r>
              <w:rPr>
                <w:rFonts w:ascii="Arial" w:hAnsi="Arial" w:cs="Arial" w:eastAsia="Arial" w:hint="default"/>
                <w:sz w:val="24"/>
                <w:szCs w:val="24"/>
              </w:rPr>
              <w:t>)</w:t>
            </w:r>
          </w:p>
        </w:tc>
        <w:tc>
          <w:tcPr>
            <w:tcW w:w="2213" w:type="dxa"/>
            <w:tcBorders>
              <w:top w:val="nil" w:sz="6" w:space="0" w:color="auto"/>
              <w:left w:val="nil" w:sz="6" w:space="0" w:color="auto"/>
              <w:bottom w:val="single" w:sz="2" w:space="0" w:color="000000"/>
              <w:right w:val="nil" w:sz="6" w:space="0" w:color="auto"/>
            </w:tcBorders>
          </w:tcPr>
          <w:p>
            <w:pPr>
              <w:pStyle w:val="TableParagraph"/>
              <w:spacing w:line="272" w:lineRule="exact"/>
              <w:ind w:right="89"/>
              <w:jc w:val="right"/>
              <w:rPr>
                <w:rFonts w:ascii="Arial" w:hAnsi="Arial" w:cs="Arial" w:eastAsia="Arial" w:hint="default"/>
                <w:sz w:val="24"/>
                <w:szCs w:val="24"/>
              </w:rPr>
            </w:pPr>
            <w:r>
              <w:rPr>
                <w:rFonts w:ascii="Arial"/>
                <w:spacing w:val="-1"/>
                <w:w w:val="95"/>
                <w:sz w:val="24"/>
              </w:rPr>
              <w:t>3,353,414</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single" w:sz="2" w:space="0" w:color="000000"/>
              <w:right w:val="nil" w:sz="6" w:space="0" w:color="auto"/>
            </w:tcBorders>
          </w:tcPr>
          <w:p>
            <w:pPr>
              <w:pStyle w:val="TableParagraph"/>
              <w:spacing w:line="272" w:lineRule="exact"/>
              <w:ind w:right="81"/>
              <w:jc w:val="right"/>
              <w:rPr>
                <w:rFonts w:ascii="Arial" w:hAnsi="Arial" w:cs="Arial" w:eastAsia="Arial" w:hint="default"/>
                <w:sz w:val="24"/>
                <w:szCs w:val="24"/>
              </w:rPr>
            </w:pPr>
            <w:r>
              <w:rPr>
                <w:rFonts w:ascii="Arial"/>
                <w:spacing w:val="-1"/>
                <w:w w:val="95"/>
                <w:sz w:val="24"/>
              </w:rPr>
              <w:t>4,896,139</w:t>
            </w:r>
            <w:r>
              <w:rPr>
                <w:rFonts w:ascii="Arial"/>
                <w:sz w:val="24"/>
              </w:rPr>
            </w:r>
          </w:p>
        </w:tc>
      </w:tr>
      <w:tr>
        <w:trPr>
          <w:trHeight w:val="329"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Style w:val="TableParagraph"/>
              <w:spacing w:line="277" w:lineRule="exact"/>
              <w:ind w:left="104"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213"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89"/>
              <w:jc w:val="right"/>
              <w:rPr>
                <w:rFonts w:ascii="Arial" w:hAnsi="Arial" w:cs="Arial" w:eastAsia="Arial" w:hint="default"/>
                <w:sz w:val="24"/>
                <w:szCs w:val="24"/>
              </w:rPr>
            </w:pPr>
            <w:r>
              <w:rPr>
                <w:rFonts w:ascii="Arial"/>
                <w:spacing w:val="-1"/>
                <w:w w:val="95"/>
                <w:sz w:val="24"/>
              </w:rPr>
              <w:t>1,428,356</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81"/>
              <w:jc w:val="right"/>
              <w:rPr>
                <w:rFonts w:ascii="Arial" w:hAnsi="Arial" w:cs="Arial" w:eastAsia="Arial" w:hint="default"/>
                <w:sz w:val="24"/>
                <w:szCs w:val="24"/>
              </w:rPr>
            </w:pPr>
            <w:r>
              <w:rPr>
                <w:rFonts w:ascii="Arial"/>
                <w:spacing w:val="-1"/>
                <w:w w:val="95"/>
                <w:sz w:val="24"/>
              </w:rPr>
              <w:t>4,935,869</w:t>
            </w:r>
            <w:r>
              <w:rPr>
                <w:rFonts w:ascii="Arial"/>
                <w:sz w:val="24"/>
              </w:rPr>
            </w:r>
          </w:p>
        </w:tc>
      </w:tr>
      <w:tr>
        <w:trPr>
          <w:trHeight w:val="740"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sz w:val="24"/>
              </w:rPr>
              <w:t>(b)</w:t>
            </w:r>
          </w:p>
        </w:tc>
        <w:tc>
          <w:tcPr>
            <w:tcW w:w="44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宋体" w:hAnsi="宋体" w:cs="宋体" w:eastAsia="宋体" w:hint="default"/>
                <w:sz w:val="24"/>
                <w:szCs w:val="24"/>
              </w:rPr>
            </w:pPr>
            <w:r>
              <w:rPr>
                <w:rFonts w:ascii="宋体" w:hAnsi="宋体" w:cs="宋体" w:eastAsia="宋体" w:hint="default"/>
                <w:sz w:val="24"/>
                <w:szCs w:val="24"/>
              </w:rPr>
              <w:t>不涉及现金收支的重大投资和筹资活动</w:t>
            </w:r>
          </w:p>
        </w:tc>
        <w:tc>
          <w:tcPr>
            <w:tcW w:w="2213" w:type="dxa"/>
            <w:tcBorders>
              <w:top w:val="single" w:sz="12" w:space="0" w:color="000000"/>
              <w:left w:val="nil" w:sz="6" w:space="0" w:color="auto"/>
              <w:bottom w:val="nil" w:sz="6" w:space="0" w:color="auto"/>
              <w:right w:val="nil" w:sz="6" w:space="0" w:color="auto"/>
            </w:tcBorders>
          </w:tcPr>
          <w:p>
            <w:pP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single" w:sz="12" w:space="0" w:color="000000"/>
              <w:left w:val="nil" w:sz="6" w:space="0" w:color="auto"/>
              <w:bottom w:val="nil" w:sz="6" w:space="0" w:color="auto"/>
              <w:right w:val="nil" w:sz="6" w:space="0" w:color="auto"/>
            </w:tcBorders>
          </w:tcPr>
          <w:p>
            <w:pPr/>
          </w:p>
        </w:tc>
      </w:tr>
      <w:tr>
        <w:trPr>
          <w:trHeight w:val="591"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9"/>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1"/>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4"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22" w:right="0"/>
              <w:jc w:val="left"/>
              <w:rPr>
                <w:rFonts w:ascii="宋体" w:hAnsi="宋体" w:cs="宋体" w:eastAsia="宋体" w:hint="default"/>
                <w:sz w:val="24"/>
                <w:szCs w:val="24"/>
              </w:rPr>
            </w:pPr>
            <w:r>
              <w:rPr>
                <w:rFonts w:ascii="宋体" w:hAnsi="宋体" w:cs="宋体" w:eastAsia="宋体" w:hint="default"/>
                <w:sz w:val="24"/>
                <w:szCs w:val="24"/>
              </w:rPr>
              <w:t>资本公积转增股本</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6"/>
              <w:jc w:val="right"/>
              <w:rPr>
                <w:rFonts w:ascii="Arial" w:hAnsi="Arial" w:cs="Arial" w:eastAsia="Arial" w:hint="default"/>
                <w:sz w:val="24"/>
                <w:szCs w:val="24"/>
              </w:rPr>
            </w:pPr>
            <w:r>
              <w:rPr>
                <w:rFonts w:ascii="Arial"/>
                <w:spacing w:val="-1"/>
                <w:w w:val="95"/>
                <w:sz w:val="24"/>
              </w:rPr>
              <w:t>2,332,071</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4"/>
              <w:jc w:val="right"/>
              <w:rPr>
                <w:rFonts w:ascii="Arial" w:hAnsi="Arial" w:cs="Arial" w:eastAsia="Arial" w:hint="default"/>
                <w:sz w:val="24"/>
                <w:szCs w:val="24"/>
              </w:rPr>
            </w:pPr>
            <w:r>
              <w:rPr>
                <w:rFonts w:ascii="Arial"/>
                <w:spacing w:val="-1"/>
                <w:w w:val="95"/>
                <w:sz w:val="24"/>
              </w:rPr>
              <w:t>897,302</w:t>
            </w:r>
            <w:r>
              <w:rPr>
                <w:rFonts w:ascii="Arial"/>
                <w:sz w:val="24"/>
              </w:rPr>
            </w:r>
          </w:p>
        </w:tc>
      </w:tr>
      <w:tr>
        <w:trPr>
          <w:trHeight w:val="319"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Style w:val="TableParagraph"/>
              <w:spacing w:line="279" w:lineRule="exact"/>
              <w:ind w:left="122" w:right="0"/>
              <w:jc w:val="left"/>
              <w:rPr>
                <w:rFonts w:ascii="宋体" w:hAnsi="宋体" w:cs="宋体" w:eastAsia="宋体" w:hint="default"/>
                <w:sz w:val="24"/>
                <w:szCs w:val="24"/>
              </w:rPr>
            </w:pPr>
            <w:r>
              <w:rPr>
                <w:rFonts w:ascii="宋体" w:hAnsi="宋体" w:cs="宋体" w:eastAsia="宋体" w:hint="default"/>
                <w:sz w:val="24"/>
                <w:szCs w:val="24"/>
              </w:rPr>
              <w:t>分配股票股利</w:t>
            </w:r>
          </w:p>
        </w:tc>
        <w:tc>
          <w:tcPr>
            <w:tcW w:w="2213"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b/>
                <w:w w:val="99"/>
                <w:sz w:val="24"/>
              </w:rPr>
              <w:t>-</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94"/>
              <w:jc w:val="right"/>
              <w:rPr>
                <w:rFonts w:ascii="Arial" w:hAnsi="Arial" w:cs="Arial" w:eastAsia="Arial" w:hint="default"/>
                <w:sz w:val="24"/>
                <w:szCs w:val="24"/>
              </w:rPr>
            </w:pPr>
            <w:r>
              <w:rPr>
                <w:rFonts w:ascii="Arial"/>
                <w:spacing w:val="-1"/>
                <w:w w:val="95"/>
                <w:sz w:val="24"/>
              </w:rPr>
              <w:t>598,202</w:t>
            </w:r>
            <w:r>
              <w:rPr>
                <w:rFonts w:ascii="Arial"/>
                <w:sz w:val="24"/>
              </w:rPr>
            </w:r>
          </w:p>
        </w:tc>
      </w:tr>
      <w:tr>
        <w:trPr>
          <w:trHeight w:val="295"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
        </w:tc>
        <w:tc>
          <w:tcPr>
            <w:tcW w:w="2213"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106"/>
              <w:jc w:val="right"/>
              <w:rPr>
                <w:rFonts w:ascii="Arial" w:hAnsi="Arial" w:cs="Arial" w:eastAsia="Arial" w:hint="default"/>
                <w:sz w:val="24"/>
                <w:szCs w:val="24"/>
              </w:rPr>
            </w:pPr>
            <w:r>
              <w:rPr>
                <w:rFonts w:ascii="Arial"/>
                <w:spacing w:val="-1"/>
                <w:w w:val="95"/>
                <w:sz w:val="24"/>
              </w:rPr>
              <w:t>2,332,071</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95"/>
              <w:jc w:val="right"/>
              <w:rPr>
                <w:rFonts w:ascii="Arial" w:hAnsi="Arial" w:cs="Arial" w:eastAsia="Arial" w:hint="default"/>
                <w:sz w:val="24"/>
                <w:szCs w:val="24"/>
              </w:rPr>
            </w:pPr>
            <w:r>
              <w:rPr>
                <w:rFonts w:ascii="Arial"/>
                <w:spacing w:val="-1"/>
                <w:w w:val="95"/>
                <w:sz w:val="24"/>
              </w:rPr>
              <w:t>1,495,504</w:t>
            </w:r>
            <w:r>
              <w:rPr>
                <w:rFonts w:ascii="Arial"/>
                <w:sz w:val="24"/>
              </w:rPr>
            </w:r>
          </w:p>
        </w:tc>
      </w:tr>
      <w:tr>
        <w:trPr>
          <w:trHeight w:val="602"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sz w:val="24"/>
              </w:rPr>
              <w:t>(c)</w:t>
            </w:r>
          </w:p>
        </w:tc>
        <w:tc>
          <w:tcPr>
            <w:tcW w:w="44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宋体" w:hAnsi="宋体" w:cs="宋体" w:eastAsia="宋体" w:hint="default"/>
                <w:sz w:val="24"/>
                <w:szCs w:val="24"/>
              </w:rPr>
            </w:pPr>
            <w:r>
              <w:rPr>
                <w:rFonts w:ascii="宋体" w:hAnsi="宋体" w:cs="宋体" w:eastAsia="宋体" w:hint="default"/>
                <w:sz w:val="24"/>
                <w:szCs w:val="24"/>
              </w:rPr>
              <w:t>现金及现金等价物净变动情况</w:t>
            </w:r>
          </w:p>
        </w:tc>
        <w:tc>
          <w:tcPr>
            <w:tcW w:w="2213" w:type="dxa"/>
            <w:tcBorders>
              <w:top w:val="single" w:sz="12" w:space="0" w:color="000000"/>
              <w:left w:val="nil" w:sz="6" w:space="0" w:color="auto"/>
              <w:bottom w:val="nil" w:sz="6" w:space="0" w:color="auto"/>
              <w:right w:val="nil" w:sz="6" w:space="0" w:color="auto"/>
            </w:tcBorders>
          </w:tcPr>
          <w:p>
            <w:pP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single" w:sz="12" w:space="0" w:color="000000"/>
              <w:left w:val="nil" w:sz="6" w:space="0" w:color="auto"/>
              <w:bottom w:val="nil" w:sz="6" w:space="0" w:color="auto"/>
              <w:right w:val="nil" w:sz="6" w:space="0" w:color="auto"/>
            </w:tcBorders>
          </w:tcPr>
          <w:p>
            <w:pPr/>
          </w:p>
        </w:tc>
      </w:tr>
      <w:tr>
        <w:trPr>
          <w:trHeight w:val="620"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4" w:right="0"/>
              <w:jc w:val="left"/>
              <w:rPr>
                <w:rFonts w:ascii="宋体" w:hAnsi="宋体" w:cs="宋体" w:eastAsia="宋体" w:hint="default"/>
                <w:sz w:val="24"/>
                <w:szCs w:val="24"/>
              </w:rPr>
            </w:pPr>
            <w:r>
              <w:rPr>
                <w:rFonts w:ascii="宋体" w:hAnsi="宋体" w:cs="宋体" w:eastAsia="宋体" w:hint="default"/>
                <w:sz w:val="24"/>
                <w:szCs w:val="24"/>
              </w:rPr>
              <w:t>现金的年末余额</w:t>
            </w:r>
          </w:p>
        </w:tc>
        <w:tc>
          <w:tcPr>
            <w:tcW w:w="2213" w:type="dxa"/>
            <w:tcBorders>
              <w:top w:val="nil" w:sz="6" w:space="0" w:color="auto"/>
              <w:left w:val="nil" w:sz="6" w:space="0" w:color="auto"/>
              <w:bottom w:val="nil" w:sz="6" w:space="0" w:color="auto"/>
              <w:right w:val="nil" w:sz="6" w:space="0" w:color="auto"/>
            </w:tcBorders>
          </w:tcPr>
          <w:p>
            <w:pPr>
              <w:pStyle w:val="TableParagraph"/>
              <w:spacing w:line="293" w:lineRule="exact"/>
              <w:ind w:left="1048"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p>
            <w:pPr>
              <w:pStyle w:val="TableParagraph"/>
              <w:spacing w:line="240" w:lineRule="auto" w:before="18"/>
              <w:ind w:left="1037" w:right="0"/>
              <w:jc w:val="left"/>
              <w:rPr>
                <w:rFonts w:ascii="Arial" w:hAnsi="Arial" w:cs="Arial" w:eastAsia="Arial" w:hint="default"/>
                <w:sz w:val="24"/>
                <w:szCs w:val="24"/>
              </w:rPr>
            </w:pPr>
            <w:r>
              <w:rPr>
                <w:rFonts w:ascii="Arial"/>
                <w:sz w:val="24"/>
              </w:rPr>
              <w:t>8,181,699</w:t>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nil" w:sz="6" w:space="0" w:color="auto"/>
              <w:right w:val="nil" w:sz="6" w:space="0" w:color="auto"/>
            </w:tcBorders>
          </w:tcPr>
          <w:p>
            <w:pPr>
              <w:pStyle w:val="TableParagraph"/>
              <w:spacing w:line="293" w:lineRule="exact"/>
              <w:ind w:left="1170" w:right="0"/>
              <w:jc w:val="center"/>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p>
            <w:pPr>
              <w:pStyle w:val="TableParagraph"/>
              <w:spacing w:line="240" w:lineRule="auto" w:before="18"/>
              <w:ind w:left="1024" w:right="0"/>
              <w:jc w:val="center"/>
              <w:rPr>
                <w:rFonts w:ascii="Arial" w:hAnsi="Arial" w:cs="Arial" w:eastAsia="Arial" w:hint="default"/>
                <w:sz w:val="24"/>
                <w:szCs w:val="24"/>
              </w:rPr>
            </w:pPr>
            <w:r>
              <w:rPr>
                <w:rFonts w:ascii="Arial"/>
                <w:sz w:val="24"/>
              </w:rPr>
              <w:t>10,527,343</w:t>
            </w:r>
          </w:p>
        </w:tc>
      </w:tr>
      <w:tr>
        <w:trPr>
          <w:trHeight w:val="318"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Style w:val="TableParagraph"/>
              <w:spacing w:line="279" w:lineRule="exact"/>
              <w:ind w:left="104" w:right="0"/>
              <w:jc w:val="left"/>
              <w:rPr>
                <w:rFonts w:ascii="宋体" w:hAnsi="宋体" w:cs="宋体" w:eastAsia="宋体" w:hint="default"/>
                <w:sz w:val="24"/>
                <w:szCs w:val="24"/>
              </w:rPr>
            </w:pPr>
            <w:r>
              <w:rPr>
                <w:rFonts w:ascii="宋体" w:hAnsi="宋体" w:cs="宋体" w:eastAsia="宋体" w:hint="default"/>
                <w:sz w:val="24"/>
                <w:szCs w:val="24"/>
              </w:rPr>
              <w:t>减：现金的年初余额</w:t>
            </w:r>
          </w:p>
        </w:tc>
        <w:tc>
          <w:tcPr>
            <w:tcW w:w="2213" w:type="dxa"/>
            <w:tcBorders>
              <w:top w:val="nil" w:sz="6" w:space="0" w:color="auto"/>
              <w:left w:val="nil" w:sz="6" w:space="0" w:color="auto"/>
              <w:bottom w:val="single" w:sz="2" w:space="0" w:color="000000"/>
              <w:right w:val="nil" w:sz="6" w:space="0" w:color="auto"/>
            </w:tcBorders>
          </w:tcPr>
          <w:p>
            <w:pPr>
              <w:pStyle w:val="TableParagraph"/>
              <w:spacing w:line="240" w:lineRule="auto" w:before="1"/>
              <w:ind w:right="25"/>
              <w:jc w:val="right"/>
              <w:rPr>
                <w:rFonts w:ascii="Arial" w:hAnsi="Arial" w:cs="Arial" w:eastAsia="Arial" w:hint="default"/>
                <w:sz w:val="24"/>
                <w:szCs w:val="24"/>
              </w:rPr>
            </w:pPr>
            <w:r>
              <w:rPr>
                <w:rFonts w:ascii="Arial"/>
                <w:spacing w:val="-1"/>
                <w:w w:val="95"/>
                <w:sz w:val="24"/>
              </w:rPr>
              <w:t>(10,527,343)</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single" w:sz="2" w:space="0" w:color="000000"/>
              <w:right w:val="nil" w:sz="6" w:space="0" w:color="auto"/>
            </w:tcBorders>
          </w:tcPr>
          <w:p>
            <w:pPr>
              <w:pStyle w:val="TableParagraph"/>
              <w:spacing w:line="240" w:lineRule="auto" w:before="1"/>
              <w:ind w:right="28"/>
              <w:jc w:val="right"/>
              <w:rPr>
                <w:rFonts w:ascii="Arial" w:hAnsi="Arial" w:cs="Arial" w:eastAsia="Arial" w:hint="default"/>
                <w:sz w:val="24"/>
                <w:szCs w:val="24"/>
              </w:rPr>
            </w:pPr>
            <w:r>
              <w:rPr>
                <w:rFonts w:ascii="Arial"/>
                <w:spacing w:val="-1"/>
                <w:w w:val="95"/>
                <w:sz w:val="24"/>
              </w:rPr>
              <w:t>(5,331,986)</w:t>
            </w:r>
            <w:r>
              <w:rPr>
                <w:rFonts w:ascii="Arial"/>
                <w:sz w:val="24"/>
              </w:rPr>
            </w:r>
          </w:p>
        </w:tc>
      </w:tr>
      <w:tr>
        <w:trPr>
          <w:trHeight w:val="331" w:hRule="exact"/>
        </w:trPr>
        <w:tc>
          <w:tcPr>
            <w:tcW w:w="620" w:type="dxa"/>
            <w:tcBorders>
              <w:top w:val="nil" w:sz="6" w:space="0" w:color="auto"/>
              <w:left w:val="nil" w:sz="6" w:space="0" w:color="auto"/>
              <w:bottom w:val="nil" w:sz="6" w:space="0" w:color="auto"/>
              <w:right w:val="nil" w:sz="6" w:space="0" w:color="auto"/>
            </w:tcBorders>
          </w:tcPr>
          <w:p>
            <w:pPr/>
          </w:p>
        </w:tc>
        <w:tc>
          <w:tcPr>
            <w:tcW w:w="4450" w:type="dxa"/>
            <w:tcBorders>
              <w:top w:val="nil" w:sz="6" w:space="0" w:color="auto"/>
              <w:left w:val="nil" w:sz="6" w:space="0" w:color="auto"/>
              <w:bottom w:val="nil" w:sz="6" w:space="0" w:color="auto"/>
              <w:right w:val="nil" w:sz="6" w:space="0" w:color="auto"/>
            </w:tcBorders>
          </w:tcPr>
          <w:p>
            <w:pPr>
              <w:pStyle w:val="TableParagraph"/>
              <w:spacing w:line="294" w:lineRule="exact"/>
              <w:ind w:left="104" w:right="0"/>
              <w:jc w:val="left"/>
              <w:rPr>
                <w:rFonts w:ascii="宋体" w:hAnsi="宋体" w:cs="宋体" w:eastAsia="宋体" w:hint="default"/>
                <w:sz w:val="24"/>
                <w:szCs w:val="24"/>
              </w:rPr>
            </w:pPr>
            <w:r>
              <w:rPr>
                <w:rFonts w:ascii="宋体" w:hAnsi="宋体" w:cs="宋体" w:eastAsia="宋体" w:hint="default"/>
                <w:sz w:val="24"/>
                <w:szCs w:val="24"/>
              </w:rPr>
              <w:t>现金及现金等价物净</w:t>
            </w:r>
            <w:r>
              <w:rPr>
                <w:rFonts w:ascii="Arial" w:hAnsi="Arial" w:cs="Arial" w:eastAsia="Arial" w:hint="default"/>
                <w:sz w:val="24"/>
                <w:szCs w:val="24"/>
              </w:rPr>
              <w:t>(</w:t>
            </w:r>
            <w:r>
              <w:rPr>
                <w:rFonts w:ascii="宋体" w:hAnsi="宋体" w:cs="宋体" w:eastAsia="宋体" w:hint="default"/>
                <w:sz w:val="24"/>
                <w:szCs w:val="24"/>
              </w:rPr>
              <w:t>减少</w:t>
            </w:r>
            <w:r>
              <w:rPr>
                <w:rFonts w:ascii="Arial" w:hAnsi="Arial" w:cs="Arial" w:eastAsia="Arial" w:hint="default"/>
                <w:sz w:val="24"/>
                <w:szCs w:val="24"/>
              </w:rPr>
              <w:t>)/</w:t>
            </w:r>
            <w:r>
              <w:rPr>
                <w:rFonts w:ascii="宋体" w:hAnsi="宋体" w:cs="宋体" w:eastAsia="宋体" w:hint="default"/>
                <w:sz w:val="24"/>
                <w:szCs w:val="24"/>
              </w:rPr>
              <w:t>增加额</w:t>
            </w:r>
          </w:p>
        </w:tc>
        <w:tc>
          <w:tcPr>
            <w:tcW w:w="2213"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26"/>
              <w:jc w:val="right"/>
              <w:rPr>
                <w:rFonts w:ascii="Arial" w:hAnsi="Arial" w:cs="Arial" w:eastAsia="Arial" w:hint="default"/>
                <w:sz w:val="24"/>
                <w:szCs w:val="24"/>
              </w:rPr>
            </w:pPr>
            <w:r>
              <w:rPr>
                <w:rFonts w:ascii="Arial"/>
                <w:spacing w:val="-1"/>
                <w:w w:val="95"/>
                <w:sz w:val="24"/>
              </w:rPr>
              <w:t>(2,345,644)</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447"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109"/>
              <w:jc w:val="right"/>
              <w:rPr>
                <w:rFonts w:ascii="Arial" w:hAnsi="Arial" w:cs="Arial" w:eastAsia="Arial" w:hint="default"/>
                <w:sz w:val="24"/>
                <w:szCs w:val="24"/>
              </w:rPr>
            </w:pPr>
            <w:r>
              <w:rPr>
                <w:rFonts w:ascii="Arial"/>
                <w:spacing w:val="-1"/>
                <w:w w:val="95"/>
                <w:sz w:val="24"/>
              </w:rPr>
              <w:t>5,195,357</w:t>
            </w:r>
            <w:r>
              <w:rPr>
                <w:rFonts w:ascii="Arial"/>
                <w:sz w:val="24"/>
              </w:rPr>
            </w:r>
          </w:p>
        </w:tc>
      </w:tr>
    </w:tbl>
    <w:p>
      <w:pPr>
        <w:spacing w:after="0" w:line="274" w:lineRule="exact"/>
        <w:jc w:val="right"/>
        <w:rPr>
          <w:rFonts w:ascii="Arial" w:hAnsi="Arial" w:cs="Arial" w:eastAsia="Arial" w:hint="default"/>
          <w:sz w:val="24"/>
          <w:szCs w:val="24"/>
        </w:rPr>
        <w:sectPr>
          <w:pgSz w:w="11910" w:h="16840"/>
          <w:pgMar w:header="755" w:footer="947" w:top="2300" w:bottom="1140" w:left="980" w:right="720"/>
        </w:sectPr>
      </w:pPr>
    </w:p>
    <w:p>
      <w:pPr>
        <w:spacing w:line="240" w:lineRule="auto" w:before="4"/>
        <w:rPr>
          <w:rFonts w:ascii="Times New Roman" w:hAnsi="Times New Roman" w:cs="Times New Roman" w:eastAsia="Times New Roman"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509"/>
        <w:gridCol w:w="5596"/>
        <w:gridCol w:w="1965"/>
        <w:gridCol w:w="1950"/>
      </w:tblGrid>
      <w:tr>
        <w:trPr>
          <w:trHeight w:val="1108" w:hRule="exact"/>
        </w:trPr>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一</w:t>
            </w:r>
          </w:p>
        </w:tc>
        <w:tc>
          <w:tcPr>
            <w:tcW w:w="559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33" w:right="0"/>
              <w:jc w:val="left"/>
              <w:rPr>
                <w:rFonts w:ascii="宋体" w:hAnsi="宋体" w:cs="宋体" w:eastAsia="宋体" w:hint="default"/>
                <w:sz w:val="24"/>
                <w:szCs w:val="24"/>
              </w:rPr>
            </w:pPr>
            <w:r>
              <w:rPr>
                <w:rFonts w:ascii="宋体" w:hAnsi="宋体" w:cs="宋体" w:eastAsia="宋体" w:hint="default"/>
                <w:b/>
                <w:bCs/>
                <w:sz w:val="24"/>
                <w:szCs w:val="24"/>
              </w:rPr>
              <w:t>非经常性损益明细表</w:t>
            </w:r>
            <w:r>
              <w:rPr>
                <w:rFonts w:ascii="宋体" w:hAnsi="宋体" w:cs="宋体" w:eastAsia="宋体" w:hint="default"/>
                <w:sz w:val="24"/>
                <w:szCs w:val="24"/>
              </w:rPr>
            </w: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313"/>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36"/>
              <w:jc w:val="righ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9" w:hRule="exact"/>
        </w:trPr>
        <w:tc>
          <w:tcPr>
            <w:tcW w:w="509" w:type="dxa"/>
            <w:tcBorders>
              <w:top w:val="nil" w:sz="6" w:space="0" w:color="auto"/>
              <w:left w:val="nil" w:sz="6" w:space="0" w:color="auto"/>
              <w:bottom w:val="nil" w:sz="6" w:space="0" w:color="auto"/>
              <w:right w:val="nil" w:sz="6" w:space="0" w:color="auto"/>
            </w:tcBorders>
          </w:tcPr>
          <w:p>
            <w:pPr/>
          </w:p>
        </w:tc>
        <w:tc>
          <w:tcPr>
            <w:tcW w:w="559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33" w:right="0"/>
              <w:jc w:val="left"/>
              <w:rPr>
                <w:rFonts w:ascii="宋体" w:hAnsi="宋体" w:cs="宋体" w:eastAsia="宋体" w:hint="default"/>
                <w:sz w:val="24"/>
                <w:szCs w:val="24"/>
              </w:rPr>
            </w:pPr>
            <w:r>
              <w:rPr>
                <w:rFonts w:ascii="宋体" w:hAnsi="宋体" w:cs="宋体" w:eastAsia="宋体" w:hint="default"/>
                <w:sz w:val="24"/>
                <w:szCs w:val="24"/>
              </w:rPr>
              <w:t>非流动资产处置净损失</w:t>
            </w: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335"/>
              <w:jc w:val="right"/>
              <w:rPr>
                <w:rFonts w:ascii="Arial" w:hAnsi="Arial" w:cs="Arial" w:eastAsia="Arial" w:hint="default"/>
                <w:sz w:val="24"/>
                <w:szCs w:val="24"/>
              </w:rPr>
            </w:pPr>
            <w:r>
              <w:rPr>
                <w:rFonts w:ascii="Arial"/>
                <w:spacing w:val="-1"/>
                <w:w w:val="95"/>
                <w:sz w:val="24"/>
              </w:rPr>
              <w:t>3,717</w:t>
            </w:r>
            <w:r>
              <w:rPr>
                <w:rFonts w:ascii="Arial"/>
                <w:sz w:val="24"/>
              </w:rPr>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65"/>
              <w:jc w:val="right"/>
              <w:rPr>
                <w:rFonts w:ascii="Arial" w:hAnsi="Arial" w:cs="Arial" w:eastAsia="Arial" w:hint="default"/>
                <w:sz w:val="24"/>
                <w:szCs w:val="24"/>
              </w:rPr>
            </w:pPr>
            <w:r>
              <w:rPr>
                <w:rFonts w:ascii="Arial"/>
                <w:spacing w:val="-1"/>
                <w:w w:val="95"/>
                <w:sz w:val="24"/>
              </w:rPr>
              <w:t>403</w:t>
            </w:r>
            <w:r>
              <w:rPr>
                <w:rFonts w:ascii="Arial"/>
                <w:sz w:val="24"/>
              </w:rPr>
            </w:r>
          </w:p>
        </w:tc>
      </w:tr>
      <w:tr>
        <w:trPr>
          <w:trHeight w:val="609" w:hRule="exact"/>
        </w:trPr>
        <w:tc>
          <w:tcPr>
            <w:tcW w:w="509" w:type="dxa"/>
            <w:tcBorders>
              <w:top w:val="nil" w:sz="6" w:space="0" w:color="auto"/>
              <w:left w:val="nil" w:sz="6" w:space="0" w:color="auto"/>
              <w:bottom w:val="nil" w:sz="6" w:space="0" w:color="auto"/>
              <w:right w:val="nil" w:sz="6" w:space="0" w:color="auto"/>
            </w:tcBorders>
          </w:tcPr>
          <w:p>
            <w:pPr/>
          </w:p>
        </w:tc>
        <w:tc>
          <w:tcPr>
            <w:tcW w:w="5596" w:type="dxa"/>
            <w:tcBorders>
              <w:top w:val="nil" w:sz="6" w:space="0" w:color="auto"/>
              <w:left w:val="nil" w:sz="6" w:space="0" w:color="auto"/>
              <w:bottom w:val="nil" w:sz="6" w:space="0" w:color="auto"/>
              <w:right w:val="nil" w:sz="6" w:space="0" w:color="auto"/>
            </w:tcBorders>
          </w:tcPr>
          <w:p>
            <w:pPr>
              <w:pStyle w:val="TableParagraph"/>
              <w:spacing w:line="260" w:lineRule="exact"/>
              <w:ind w:left="233" w:right="0"/>
              <w:jc w:val="left"/>
              <w:rPr>
                <w:rFonts w:ascii="宋体" w:hAnsi="宋体" w:cs="宋体" w:eastAsia="宋体" w:hint="default"/>
                <w:sz w:val="24"/>
                <w:szCs w:val="24"/>
              </w:rPr>
            </w:pPr>
            <w:r>
              <w:rPr>
                <w:rFonts w:ascii="宋体" w:hAnsi="宋体" w:cs="宋体" w:eastAsia="宋体" w:hint="default"/>
                <w:sz w:val="24"/>
                <w:szCs w:val="24"/>
              </w:rPr>
              <w:t>计入当期损益的政府补助</w:t>
            </w:r>
          </w:p>
          <w:p>
            <w:pPr>
              <w:pStyle w:val="TableParagraph"/>
              <w:spacing w:line="313" w:lineRule="exact"/>
              <w:ind w:left="233"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权益法核算的长期股权投资取得时所享有的被投资</w:t>
            </w: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5"/>
              <w:jc w:val="right"/>
              <w:rPr>
                <w:rFonts w:ascii="Arial" w:hAnsi="Arial" w:cs="Arial" w:eastAsia="Arial" w:hint="default"/>
                <w:sz w:val="24"/>
                <w:szCs w:val="24"/>
              </w:rPr>
            </w:pPr>
            <w:r>
              <w:rPr>
                <w:rFonts w:ascii="Arial"/>
                <w:spacing w:val="-1"/>
                <w:w w:val="95"/>
                <w:sz w:val="24"/>
              </w:rPr>
              <w:t>(41,982)</w:t>
            </w:r>
            <w:r>
              <w:rPr>
                <w:rFonts w:ascii="Arial"/>
                <w:sz w:val="24"/>
              </w:rPr>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5"/>
              <w:jc w:val="right"/>
              <w:rPr>
                <w:rFonts w:ascii="Arial" w:hAnsi="Arial" w:cs="Arial" w:eastAsia="Arial" w:hint="default"/>
                <w:sz w:val="24"/>
                <w:szCs w:val="24"/>
              </w:rPr>
            </w:pPr>
            <w:r>
              <w:rPr>
                <w:rFonts w:ascii="Arial"/>
                <w:spacing w:val="-1"/>
                <w:w w:val="95"/>
                <w:sz w:val="24"/>
              </w:rPr>
              <w:t>(71,155)</w:t>
            </w:r>
            <w:r>
              <w:rPr>
                <w:rFonts w:ascii="Arial"/>
                <w:sz w:val="24"/>
              </w:rPr>
            </w:r>
          </w:p>
        </w:tc>
      </w:tr>
      <w:tr>
        <w:trPr>
          <w:trHeight w:val="312" w:hRule="exact"/>
        </w:trPr>
        <w:tc>
          <w:tcPr>
            <w:tcW w:w="509" w:type="dxa"/>
            <w:tcBorders>
              <w:top w:val="nil" w:sz="6" w:space="0" w:color="auto"/>
              <w:left w:val="nil" w:sz="6" w:space="0" w:color="auto"/>
              <w:bottom w:val="nil" w:sz="6" w:space="0" w:color="auto"/>
              <w:right w:val="nil" w:sz="6" w:space="0" w:color="auto"/>
            </w:tcBorders>
          </w:tcPr>
          <w:p>
            <w:pPr/>
          </w:p>
        </w:tc>
        <w:tc>
          <w:tcPr>
            <w:tcW w:w="5596" w:type="dxa"/>
            <w:tcBorders>
              <w:top w:val="nil" w:sz="6" w:space="0" w:color="auto"/>
              <w:left w:val="nil" w:sz="6" w:space="0" w:color="auto"/>
              <w:bottom w:val="nil" w:sz="6" w:space="0" w:color="auto"/>
              <w:right w:val="nil" w:sz="6" w:space="0" w:color="auto"/>
            </w:tcBorders>
          </w:tcPr>
          <w:p>
            <w:pPr>
              <w:pStyle w:val="TableParagraph"/>
              <w:spacing w:line="276" w:lineRule="exact"/>
              <w:ind w:left="485" w:right="0"/>
              <w:jc w:val="left"/>
              <w:rPr>
                <w:rFonts w:ascii="宋体" w:hAnsi="宋体" w:cs="宋体" w:eastAsia="宋体" w:hint="default"/>
                <w:sz w:val="24"/>
                <w:szCs w:val="24"/>
              </w:rPr>
            </w:pPr>
            <w:r>
              <w:rPr>
                <w:rFonts w:ascii="宋体" w:hAnsi="宋体" w:cs="宋体" w:eastAsia="宋体" w:hint="default"/>
                <w:sz w:val="24"/>
                <w:szCs w:val="24"/>
              </w:rPr>
              <w:t>单位可辨认净资产公允价值份额超过初始投资成</w:t>
            </w:r>
          </w:p>
        </w:tc>
        <w:tc>
          <w:tcPr>
            <w:tcW w:w="1965"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nil" w:sz="6" w:space="0" w:color="auto"/>
              <w:right w:val="nil" w:sz="6" w:space="0" w:color="auto"/>
            </w:tcBorders>
          </w:tcPr>
          <w:p>
            <w:pPr/>
          </w:p>
        </w:tc>
      </w:tr>
      <w:tr>
        <w:trPr>
          <w:trHeight w:val="327" w:hRule="exact"/>
        </w:trPr>
        <w:tc>
          <w:tcPr>
            <w:tcW w:w="509" w:type="dxa"/>
            <w:tcBorders>
              <w:top w:val="nil" w:sz="6" w:space="0" w:color="auto"/>
              <w:left w:val="nil" w:sz="6" w:space="0" w:color="auto"/>
              <w:bottom w:val="nil" w:sz="6" w:space="0" w:color="auto"/>
              <w:right w:val="nil" w:sz="6" w:space="0" w:color="auto"/>
            </w:tcBorders>
          </w:tcPr>
          <w:p>
            <w:pPr/>
          </w:p>
        </w:tc>
        <w:tc>
          <w:tcPr>
            <w:tcW w:w="5596" w:type="dxa"/>
            <w:tcBorders>
              <w:top w:val="nil" w:sz="6" w:space="0" w:color="auto"/>
              <w:left w:val="nil" w:sz="6" w:space="0" w:color="auto"/>
              <w:bottom w:val="nil" w:sz="6" w:space="0" w:color="auto"/>
              <w:right w:val="nil" w:sz="6" w:space="0" w:color="auto"/>
            </w:tcBorders>
          </w:tcPr>
          <w:p>
            <w:pPr>
              <w:pStyle w:val="TableParagraph"/>
              <w:spacing w:line="276" w:lineRule="exact"/>
              <w:ind w:left="485" w:right="0"/>
              <w:jc w:val="left"/>
              <w:rPr>
                <w:rFonts w:ascii="宋体" w:hAnsi="宋体" w:cs="宋体" w:eastAsia="宋体" w:hint="default"/>
                <w:sz w:val="24"/>
                <w:szCs w:val="24"/>
              </w:rPr>
            </w:pPr>
            <w:r>
              <w:rPr>
                <w:rFonts w:ascii="宋体" w:hAnsi="宋体" w:cs="宋体" w:eastAsia="宋体" w:hint="default"/>
                <w:sz w:val="24"/>
                <w:szCs w:val="24"/>
              </w:rPr>
              <w:t>本的部分</w:t>
            </w: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5"/>
              <w:jc w:val="right"/>
              <w:rPr>
                <w:rFonts w:ascii="Arial" w:hAnsi="Arial" w:cs="Arial" w:eastAsia="Arial" w:hint="default"/>
                <w:sz w:val="24"/>
                <w:szCs w:val="24"/>
              </w:rPr>
            </w:pPr>
            <w:r>
              <w:rPr>
                <w:rFonts w:ascii="Arial"/>
                <w:w w:val="99"/>
                <w:sz w:val="24"/>
              </w:rPr>
              <w:t>-</w:t>
            </w:r>
            <w:r>
              <w:rPr>
                <w:rFonts w:ascii="Arial"/>
                <w:sz w:val="24"/>
              </w:rPr>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5"/>
              <w:jc w:val="right"/>
              <w:rPr>
                <w:rFonts w:ascii="Arial" w:hAnsi="Arial" w:cs="Arial" w:eastAsia="Arial" w:hint="default"/>
                <w:sz w:val="24"/>
                <w:szCs w:val="24"/>
              </w:rPr>
            </w:pPr>
            <w:r>
              <w:rPr>
                <w:rFonts w:ascii="Arial"/>
                <w:w w:val="95"/>
                <w:sz w:val="24"/>
              </w:rPr>
              <w:t>(10,049)</w:t>
            </w:r>
            <w:r>
              <w:rPr>
                <w:rFonts w:ascii="Arial"/>
                <w:sz w:val="24"/>
              </w:rPr>
            </w:r>
          </w:p>
        </w:tc>
      </w:tr>
      <w:tr>
        <w:trPr>
          <w:trHeight w:val="312" w:hRule="exact"/>
        </w:trPr>
        <w:tc>
          <w:tcPr>
            <w:tcW w:w="509" w:type="dxa"/>
            <w:tcBorders>
              <w:top w:val="nil" w:sz="6" w:space="0" w:color="auto"/>
              <w:left w:val="nil" w:sz="6" w:space="0" w:color="auto"/>
              <w:bottom w:val="nil" w:sz="6" w:space="0" w:color="auto"/>
              <w:right w:val="nil" w:sz="6" w:space="0" w:color="auto"/>
            </w:tcBorders>
          </w:tcPr>
          <w:p>
            <w:pPr/>
          </w:p>
        </w:tc>
        <w:tc>
          <w:tcPr>
            <w:tcW w:w="5596" w:type="dxa"/>
            <w:tcBorders>
              <w:top w:val="nil" w:sz="6" w:space="0" w:color="auto"/>
              <w:left w:val="nil" w:sz="6" w:space="0" w:color="auto"/>
              <w:bottom w:val="nil" w:sz="6" w:space="0" w:color="auto"/>
              <w:right w:val="nil" w:sz="6" w:space="0" w:color="auto"/>
            </w:tcBorders>
          </w:tcPr>
          <w:p>
            <w:pPr>
              <w:pStyle w:val="TableParagraph"/>
              <w:spacing w:line="261" w:lineRule="exact"/>
              <w:ind w:left="233"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除上述各项之外的其他营业外收入和支出</w:t>
            </w: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5"/>
              <w:jc w:val="right"/>
              <w:rPr>
                <w:rFonts w:ascii="Arial" w:hAnsi="Arial" w:cs="Arial" w:eastAsia="Arial" w:hint="default"/>
                <w:sz w:val="24"/>
                <w:szCs w:val="24"/>
              </w:rPr>
            </w:pPr>
            <w:r>
              <w:rPr>
                <w:rFonts w:ascii="Arial"/>
                <w:spacing w:val="-1"/>
                <w:w w:val="95"/>
                <w:sz w:val="24"/>
              </w:rPr>
              <w:t>68,169</w:t>
            </w:r>
            <w:r>
              <w:rPr>
                <w:rFonts w:ascii="Arial"/>
                <w:sz w:val="24"/>
              </w:rPr>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5"/>
              <w:jc w:val="right"/>
              <w:rPr>
                <w:rFonts w:ascii="Arial" w:hAnsi="Arial" w:cs="Arial" w:eastAsia="Arial" w:hint="default"/>
                <w:sz w:val="24"/>
                <w:szCs w:val="24"/>
              </w:rPr>
            </w:pPr>
            <w:r>
              <w:rPr>
                <w:rFonts w:ascii="Arial"/>
                <w:spacing w:val="-1"/>
                <w:w w:val="95"/>
                <w:sz w:val="24"/>
              </w:rPr>
              <w:t>29,466</w:t>
            </w:r>
            <w:r>
              <w:rPr>
                <w:rFonts w:ascii="Arial"/>
                <w:sz w:val="24"/>
              </w:rPr>
            </w:r>
          </w:p>
        </w:tc>
      </w:tr>
      <w:tr>
        <w:trPr>
          <w:trHeight w:val="311" w:hRule="exact"/>
        </w:trPr>
        <w:tc>
          <w:tcPr>
            <w:tcW w:w="509" w:type="dxa"/>
            <w:tcBorders>
              <w:top w:val="nil" w:sz="6" w:space="0" w:color="auto"/>
              <w:left w:val="nil" w:sz="6" w:space="0" w:color="auto"/>
              <w:bottom w:val="nil" w:sz="6" w:space="0" w:color="auto"/>
              <w:right w:val="nil" w:sz="6" w:space="0" w:color="auto"/>
            </w:tcBorders>
          </w:tcPr>
          <w:p>
            <w:pPr/>
          </w:p>
        </w:tc>
        <w:tc>
          <w:tcPr>
            <w:tcW w:w="5596" w:type="dxa"/>
            <w:tcBorders>
              <w:top w:val="nil" w:sz="6" w:space="0" w:color="auto"/>
              <w:left w:val="nil" w:sz="6" w:space="0" w:color="auto"/>
              <w:bottom w:val="nil" w:sz="6" w:space="0" w:color="auto"/>
              <w:right w:val="nil" w:sz="6" w:space="0" w:color="auto"/>
            </w:tcBorders>
          </w:tcPr>
          <w:p>
            <w:pPr>
              <w:pStyle w:val="TableParagraph"/>
              <w:spacing w:line="261" w:lineRule="exact"/>
              <w:ind w:left="233" w:right="0"/>
              <w:jc w:val="left"/>
              <w:rPr>
                <w:rFonts w:ascii="宋体" w:hAnsi="宋体" w:cs="宋体" w:eastAsia="宋体" w:hint="default"/>
                <w:sz w:val="24"/>
                <w:szCs w:val="24"/>
              </w:rPr>
            </w:pPr>
            <w:r>
              <w:rPr>
                <w:rFonts w:ascii="宋体" w:hAnsi="宋体" w:cs="宋体" w:eastAsia="宋体" w:hint="default"/>
                <w:sz w:val="24"/>
                <w:szCs w:val="24"/>
              </w:rPr>
              <w:t>交易性金融资产公允价值变动</w:t>
            </w:r>
          </w:p>
        </w:tc>
        <w:tc>
          <w:tcPr>
            <w:tcW w:w="1965" w:type="dxa"/>
            <w:tcBorders>
              <w:top w:val="nil" w:sz="6" w:space="0" w:color="auto"/>
              <w:left w:val="nil" w:sz="6" w:space="0" w:color="auto"/>
              <w:bottom w:val="nil" w:sz="6" w:space="0" w:color="auto"/>
              <w:right w:val="nil" w:sz="6" w:space="0" w:color="auto"/>
            </w:tcBorders>
          </w:tcPr>
          <w:p>
            <w:pPr>
              <w:pStyle w:val="TableParagraph"/>
              <w:tabs>
                <w:tab w:pos="897" w:val="left" w:leader="none"/>
              </w:tabs>
              <w:spacing w:line="240" w:lineRule="auto" w:before="20"/>
              <w:ind w:right="25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(5,658)</w:t>
            </w:r>
            <w:r>
              <w:rPr>
                <w:rFonts w:ascii="Arial"/>
                <w:w w:val="95"/>
                <w:sz w:val="24"/>
              </w:rPr>
            </w:r>
            <w:r>
              <w:rPr>
                <w:rFonts w:ascii="Arial"/>
                <w:sz w:val="24"/>
              </w:rPr>
            </w:r>
          </w:p>
        </w:tc>
        <w:tc>
          <w:tcPr>
            <w:tcW w:w="1950" w:type="dxa"/>
            <w:tcBorders>
              <w:top w:val="nil" w:sz="6" w:space="0" w:color="auto"/>
              <w:left w:val="nil" w:sz="6" w:space="0" w:color="auto"/>
              <w:bottom w:val="nil" w:sz="6" w:space="0" w:color="auto"/>
              <w:right w:val="nil" w:sz="6" w:space="0" w:color="auto"/>
            </w:tcBorders>
          </w:tcPr>
          <w:p>
            <w:pPr>
              <w:pStyle w:val="TableParagraph"/>
              <w:tabs>
                <w:tab w:pos="1489" w:val="left" w:leader="none"/>
                <w:tab w:pos="1701" w:val="left" w:leader="none"/>
              </w:tabs>
              <w:spacing w:line="240" w:lineRule="auto" w:before="20"/>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284" w:hRule="exact"/>
        </w:trPr>
        <w:tc>
          <w:tcPr>
            <w:tcW w:w="509" w:type="dxa"/>
            <w:tcBorders>
              <w:top w:val="nil" w:sz="6" w:space="0" w:color="auto"/>
              <w:left w:val="nil" w:sz="6" w:space="0" w:color="auto"/>
              <w:bottom w:val="nil" w:sz="6" w:space="0" w:color="auto"/>
              <w:right w:val="nil" w:sz="6" w:space="0" w:color="auto"/>
            </w:tcBorders>
          </w:tcPr>
          <w:p>
            <w:pPr/>
          </w:p>
        </w:tc>
        <w:tc>
          <w:tcPr>
            <w:tcW w:w="5596"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nil" w:sz="6" w:space="0" w:color="auto"/>
              <w:right w:val="nil" w:sz="6" w:space="0" w:color="auto"/>
            </w:tcBorders>
          </w:tcPr>
          <w:p>
            <w:pPr>
              <w:pStyle w:val="TableParagraph"/>
              <w:tabs>
                <w:tab w:pos="844" w:val="left" w:leader="none"/>
                <w:tab w:pos="1701" w:val="left" w:leader="none"/>
              </w:tabs>
              <w:spacing w:line="266" w:lineRule="exact"/>
              <w:ind w:right="21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24,246</w:t>
              <w:tab/>
            </w:r>
            <w:r>
              <w:rPr>
                <w:rFonts w:ascii="Arial"/>
                <w:spacing w:val="-1"/>
                <w:sz w:val="24"/>
              </w:rPr>
            </w:r>
          </w:p>
        </w:tc>
        <w:tc>
          <w:tcPr>
            <w:tcW w:w="1950" w:type="dxa"/>
            <w:tcBorders>
              <w:top w:val="nil" w:sz="6" w:space="0" w:color="auto"/>
              <w:left w:val="nil" w:sz="6" w:space="0" w:color="auto"/>
              <w:bottom w:val="nil" w:sz="6" w:space="0" w:color="auto"/>
              <w:right w:val="nil" w:sz="6" w:space="0" w:color="auto"/>
            </w:tcBorders>
          </w:tcPr>
          <w:p>
            <w:pPr>
              <w:pStyle w:val="TableParagraph"/>
              <w:tabs>
                <w:tab w:pos="756" w:val="left" w:leader="none"/>
              </w:tabs>
              <w:spacing w:line="266" w:lineRule="exact"/>
              <w:ind w:right="85"/>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w w:val="95"/>
                <w:sz w:val="24"/>
                <w:u w:val="single" w:color="000000"/>
              </w:rPr>
              <w:t>(51,335)</w:t>
            </w:r>
            <w:r>
              <w:rPr>
                <w:rFonts w:ascii="Arial"/>
                <w:spacing w:val="-1"/>
                <w:w w:val="95"/>
                <w:sz w:val="24"/>
              </w:rPr>
            </w:r>
            <w:r>
              <w:rPr>
                <w:rFonts w:ascii="Arial"/>
                <w:sz w:val="24"/>
              </w:rPr>
            </w:r>
          </w:p>
        </w:tc>
      </w:tr>
      <w:tr>
        <w:trPr>
          <w:trHeight w:val="315" w:hRule="exact"/>
        </w:trPr>
        <w:tc>
          <w:tcPr>
            <w:tcW w:w="509" w:type="dxa"/>
            <w:tcBorders>
              <w:top w:val="nil" w:sz="6" w:space="0" w:color="auto"/>
              <w:left w:val="nil" w:sz="6" w:space="0" w:color="auto"/>
              <w:bottom w:val="nil" w:sz="6" w:space="0" w:color="auto"/>
              <w:right w:val="nil" w:sz="6" w:space="0" w:color="auto"/>
            </w:tcBorders>
          </w:tcPr>
          <w:p>
            <w:pPr/>
          </w:p>
        </w:tc>
        <w:tc>
          <w:tcPr>
            <w:tcW w:w="5596" w:type="dxa"/>
            <w:tcBorders>
              <w:top w:val="nil" w:sz="6" w:space="0" w:color="auto"/>
              <w:left w:val="nil" w:sz="6" w:space="0" w:color="auto"/>
              <w:bottom w:val="nil" w:sz="6" w:space="0" w:color="auto"/>
              <w:right w:val="nil" w:sz="6" w:space="0" w:color="auto"/>
            </w:tcBorders>
          </w:tcPr>
          <w:p>
            <w:pPr>
              <w:pStyle w:val="TableParagraph"/>
              <w:spacing w:line="264" w:lineRule="exact"/>
              <w:ind w:left="233" w:right="0"/>
              <w:jc w:val="left"/>
              <w:rPr>
                <w:rFonts w:ascii="宋体" w:hAnsi="宋体" w:cs="宋体" w:eastAsia="宋体" w:hint="default"/>
                <w:sz w:val="24"/>
                <w:szCs w:val="24"/>
              </w:rPr>
            </w:pPr>
            <w:r>
              <w:rPr>
                <w:rFonts w:ascii="宋体" w:hAnsi="宋体" w:cs="宋体" w:eastAsia="宋体" w:hint="default"/>
                <w:sz w:val="24"/>
                <w:szCs w:val="24"/>
              </w:rPr>
              <w:t>所得税影响额</w:t>
            </w: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5"/>
              <w:jc w:val="right"/>
              <w:rPr>
                <w:rFonts w:ascii="Arial" w:hAnsi="Arial" w:cs="Arial" w:eastAsia="Arial" w:hint="default"/>
                <w:sz w:val="24"/>
                <w:szCs w:val="24"/>
              </w:rPr>
            </w:pPr>
            <w:r>
              <w:rPr>
                <w:rFonts w:ascii="Arial"/>
                <w:spacing w:val="-1"/>
                <w:w w:val="95"/>
                <w:sz w:val="24"/>
              </w:rPr>
              <w:t>(6,062)</w:t>
            </w:r>
            <w:r>
              <w:rPr>
                <w:rFonts w:ascii="Arial"/>
                <w:sz w:val="24"/>
              </w:rPr>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4"/>
              <w:jc w:val="right"/>
              <w:rPr>
                <w:rFonts w:ascii="Arial" w:hAnsi="Arial" w:cs="Arial" w:eastAsia="Arial" w:hint="default"/>
                <w:sz w:val="24"/>
                <w:szCs w:val="24"/>
              </w:rPr>
            </w:pPr>
            <w:r>
              <w:rPr>
                <w:rFonts w:ascii="Arial"/>
                <w:spacing w:val="-1"/>
                <w:w w:val="95"/>
                <w:sz w:val="24"/>
              </w:rPr>
              <w:t>12,834</w:t>
            </w:r>
            <w:r>
              <w:rPr>
                <w:rFonts w:ascii="Arial"/>
                <w:sz w:val="24"/>
              </w:rPr>
            </w:r>
          </w:p>
        </w:tc>
      </w:tr>
      <w:tr>
        <w:trPr>
          <w:trHeight w:val="320" w:hRule="exact"/>
        </w:trPr>
        <w:tc>
          <w:tcPr>
            <w:tcW w:w="509" w:type="dxa"/>
            <w:tcBorders>
              <w:top w:val="nil" w:sz="6" w:space="0" w:color="auto"/>
              <w:left w:val="nil" w:sz="6" w:space="0" w:color="auto"/>
              <w:bottom w:val="nil" w:sz="6" w:space="0" w:color="auto"/>
              <w:right w:val="nil" w:sz="6" w:space="0" w:color="auto"/>
            </w:tcBorders>
          </w:tcPr>
          <w:p>
            <w:pPr/>
          </w:p>
        </w:tc>
        <w:tc>
          <w:tcPr>
            <w:tcW w:w="5596" w:type="dxa"/>
            <w:tcBorders>
              <w:top w:val="nil" w:sz="6" w:space="0" w:color="auto"/>
              <w:left w:val="nil" w:sz="6" w:space="0" w:color="auto"/>
              <w:bottom w:val="nil" w:sz="6" w:space="0" w:color="auto"/>
              <w:right w:val="nil" w:sz="6" w:space="0" w:color="auto"/>
            </w:tcBorders>
          </w:tcPr>
          <w:p>
            <w:pPr>
              <w:pStyle w:val="TableParagraph"/>
              <w:spacing w:line="279" w:lineRule="exact"/>
              <w:ind w:left="233" w:right="0"/>
              <w:jc w:val="left"/>
              <w:rPr>
                <w:rFonts w:ascii="Arial" w:hAnsi="Arial" w:cs="Arial" w:eastAsia="Arial" w:hint="default"/>
                <w:sz w:val="24"/>
                <w:szCs w:val="24"/>
              </w:rPr>
            </w:pPr>
            <w:r>
              <w:rPr>
                <w:rFonts w:ascii="宋体" w:hAnsi="宋体" w:cs="宋体" w:eastAsia="宋体" w:hint="default"/>
                <w:sz w:val="24"/>
                <w:szCs w:val="24"/>
              </w:rPr>
              <w:t>少数股东权益影响额</w:t>
            </w:r>
            <w:r>
              <w:rPr>
                <w:rFonts w:ascii="Arial" w:hAnsi="Arial" w:cs="Arial" w:eastAsia="Arial" w:hint="default"/>
                <w:sz w:val="24"/>
                <w:szCs w:val="24"/>
              </w:rPr>
              <w:t>(</w:t>
            </w:r>
            <w:r>
              <w:rPr>
                <w:rFonts w:ascii="宋体" w:hAnsi="宋体" w:cs="宋体" w:eastAsia="宋体" w:hint="default"/>
                <w:sz w:val="24"/>
                <w:szCs w:val="24"/>
              </w:rPr>
              <w:t>税后</w:t>
            </w:r>
            <w:r>
              <w:rPr>
                <w:rFonts w:ascii="Arial" w:hAnsi="Arial" w:cs="Arial" w:eastAsia="Arial" w:hint="default"/>
                <w:sz w:val="24"/>
                <w:szCs w:val="24"/>
              </w:rPr>
              <w:t>)</w:t>
            </w:r>
          </w:p>
        </w:tc>
        <w:tc>
          <w:tcPr>
            <w:tcW w:w="1965" w:type="dxa"/>
            <w:tcBorders>
              <w:top w:val="nil" w:sz="6" w:space="0" w:color="auto"/>
              <w:left w:val="nil" w:sz="6" w:space="0" w:color="auto"/>
              <w:bottom w:val="nil" w:sz="6" w:space="0" w:color="auto"/>
              <w:right w:val="nil" w:sz="6" w:space="0" w:color="auto"/>
            </w:tcBorders>
          </w:tcPr>
          <w:p>
            <w:pPr>
              <w:pStyle w:val="TableParagraph"/>
              <w:tabs>
                <w:tab w:pos="1097" w:val="left" w:leader="none"/>
              </w:tabs>
              <w:spacing w:line="240" w:lineRule="auto" w:before="21"/>
              <w:ind w:right="25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(415)</w:t>
            </w:r>
            <w:r>
              <w:rPr>
                <w:rFonts w:ascii="Arial"/>
                <w:w w:val="95"/>
                <w:sz w:val="24"/>
              </w:rPr>
            </w:r>
            <w:r>
              <w:rPr>
                <w:rFonts w:ascii="Arial"/>
                <w:sz w:val="24"/>
              </w:rPr>
            </w:r>
          </w:p>
        </w:tc>
        <w:tc>
          <w:tcPr>
            <w:tcW w:w="1950" w:type="dxa"/>
            <w:tcBorders>
              <w:top w:val="nil" w:sz="6" w:space="0" w:color="auto"/>
              <w:left w:val="nil" w:sz="6" w:space="0" w:color="auto"/>
              <w:bottom w:val="nil" w:sz="6" w:space="0" w:color="auto"/>
              <w:right w:val="nil" w:sz="6" w:space="0" w:color="auto"/>
            </w:tcBorders>
          </w:tcPr>
          <w:p>
            <w:pPr>
              <w:pStyle w:val="TableParagraph"/>
              <w:tabs>
                <w:tab w:pos="969" w:val="left" w:leader="none"/>
                <w:tab w:pos="1701" w:val="left" w:leader="none"/>
              </w:tabs>
              <w:spacing w:line="240" w:lineRule="auto" w:before="21"/>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1,269</w:t>
            </w:r>
            <w:r>
              <w:rPr>
                <w:rFonts w:ascii="Arial"/>
                <w:sz w:val="24"/>
                <w:u w:val="single" w:color="000000"/>
              </w:rPr>
              <w:tab/>
            </w:r>
            <w:r>
              <w:rPr>
                <w:rFonts w:ascii="Arial"/>
                <w:sz w:val="24"/>
              </w:rPr>
            </w:r>
          </w:p>
        </w:tc>
      </w:tr>
      <w:tr>
        <w:trPr>
          <w:trHeight w:val="442" w:hRule="exact"/>
        </w:trPr>
        <w:tc>
          <w:tcPr>
            <w:tcW w:w="509" w:type="dxa"/>
            <w:tcBorders>
              <w:top w:val="nil" w:sz="6" w:space="0" w:color="auto"/>
              <w:left w:val="nil" w:sz="6" w:space="0" w:color="auto"/>
              <w:bottom w:val="nil" w:sz="6" w:space="0" w:color="auto"/>
              <w:right w:val="nil" w:sz="6" w:space="0" w:color="auto"/>
            </w:tcBorders>
          </w:tcPr>
          <w:p>
            <w:pPr/>
          </w:p>
        </w:tc>
        <w:tc>
          <w:tcPr>
            <w:tcW w:w="5596"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nil" w:sz="6" w:space="0" w:color="auto"/>
              <w:right w:val="nil" w:sz="6" w:space="0" w:color="auto"/>
            </w:tcBorders>
          </w:tcPr>
          <w:p>
            <w:pPr>
              <w:pStyle w:val="TableParagraph"/>
              <w:tabs>
                <w:tab w:pos="844" w:val="left" w:leader="none"/>
                <w:tab w:pos="1701" w:val="left" w:leader="none"/>
              </w:tabs>
              <w:spacing w:line="274" w:lineRule="exact"/>
              <w:ind w:right="21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17,769</w:t>
              <w:tab/>
            </w:r>
            <w:r>
              <w:rPr>
                <w:rFonts w:ascii="Arial"/>
                <w:spacing w:val="-1"/>
                <w:sz w:val="24"/>
              </w:rPr>
            </w:r>
          </w:p>
        </w:tc>
        <w:tc>
          <w:tcPr>
            <w:tcW w:w="1950" w:type="dxa"/>
            <w:tcBorders>
              <w:top w:val="nil" w:sz="6" w:space="0" w:color="auto"/>
              <w:left w:val="nil" w:sz="6" w:space="0" w:color="auto"/>
              <w:bottom w:val="nil" w:sz="6" w:space="0" w:color="auto"/>
              <w:right w:val="nil" w:sz="6" w:space="0" w:color="auto"/>
            </w:tcBorders>
          </w:tcPr>
          <w:p>
            <w:pPr>
              <w:pStyle w:val="TableParagraph"/>
              <w:tabs>
                <w:tab w:pos="756" w:val="left" w:leader="none"/>
              </w:tabs>
              <w:spacing w:line="274" w:lineRule="exact"/>
              <w:ind w:right="85"/>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w w:val="95"/>
                <w:sz w:val="24"/>
                <w:u w:val="thick" w:color="000000"/>
              </w:rPr>
              <w:t>(37,232)</w:t>
            </w:r>
            <w:r>
              <w:rPr>
                <w:rFonts w:ascii="Arial"/>
                <w:spacing w:val="-1"/>
                <w:w w:val="95"/>
                <w:sz w:val="24"/>
              </w:rPr>
            </w:r>
            <w:r>
              <w:rPr>
                <w:rFonts w:ascii="Arial"/>
                <w:sz w:val="24"/>
              </w:rPr>
            </w:r>
          </w:p>
        </w:tc>
      </w:tr>
      <w:tr>
        <w:trPr>
          <w:trHeight w:val="514" w:hRule="exact"/>
        </w:trPr>
        <w:tc>
          <w:tcPr>
            <w:tcW w:w="509" w:type="dxa"/>
            <w:tcBorders>
              <w:top w:val="nil" w:sz="6" w:space="0" w:color="auto"/>
              <w:left w:val="nil" w:sz="6" w:space="0" w:color="auto"/>
              <w:bottom w:val="nil" w:sz="6" w:space="0" w:color="auto"/>
              <w:right w:val="nil" w:sz="6" w:space="0" w:color="auto"/>
            </w:tcBorders>
          </w:tcPr>
          <w:p>
            <w:pPr/>
          </w:p>
        </w:tc>
        <w:tc>
          <w:tcPr>
            <w:tcW w:w="559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33" w:right="0"/>
              <w:jc w:val="left"/>
              <w:rPr>
                <w:rFonts w:ascii="宋体" w:hAnsi="宋体" w:cs="宋体" w:eastAsia="宋体" w:hint="default"/>
                <w:sz w:val="24"/>
                <w:szCs w:val="24"/>
              </w:rPr>
            </w:pPr>
            <w:r>
              <w:rPr>
                <w:rFonts w:ascii="宋体" w:hAnsi="宋体" w:cs="宋体" w:eastAsia="宋体" w:hint="default"/>
                <w:sz w:val="24"/>
                <w:szCs w:val="24"/>
              </w:rPr>
              <w:t>非经常性损益明细表编制基础</w:t>
            </w:r>
          </w:p>
        </w:tc>
        <w:tc>
          <w:tcPr>
            <w:tcW w:w="1965"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Times New Roman" w:hAnsi="Times New Roman" w:cs="Times New Roman" w:eastAsia="Times New Roman" w:hint="default"/>
          <w:sz w:val="12"/>
          <w:szCs w:val="12"/>
        </w:rPr>
      </w:pPr>
    </w:p>
    <w:p>
      <w:pPr>
        <w:pStyle w:val="BodyText"/>
        <w:spacing w:line="312" w:lineRule="exact" w:before="56"/>
        <w:ind w:left="850" w:right="246"/>
        <w:jc w:val="both"/>
      </w:pPr>
      <w:r>
        <w:rPr/>
        <w:t>根据中国证券监督管理委员会《公开发行证券的公司信息披露解释性公告第</w:t>
      </w:r>
      <w:r>
        <w:rPr>
          <w:spacing w:val="-57"/>
        </w:rPr>
        <w:t> </w:t>
      </w:r>
      <w:r>
        <w:rPr>
          <w:rFonts w:ascii="Arial" w:hAnsi="Arial" w:cs="Arial" w:eastAsia="Arial" w:hint="default"/>
        </w:rPr>
        <w:t>1</w:t>
      </w:r>
      <w:r>
        <w:rPr>
          <w:rFonts w:ascii="Arial" w:hAnsi="Arial" w:cs="Arial" w:eastAsia="Arial" w:hint="default"/>
          <w:spacing w:val="-4"/>
        </w:rPr>
        <w:t> </w:t>
      </w:r>
      <w:r>
        <w:rPr/>
        <w:t>号——非 经常性损益</w:t>
      </w:r>
      <w:r>
        <w:rPr>
          <w:rFonts w:ascii="Arial" w:hAnsi="Arial" w:cs="Arial" w:eastAsia="Arial" w:hint="default"/>
        </w:rPr>
        <w:t>[2008]</w:t>
      </w:r>
      <w:r>
        <w:rPr/>
        <w:t>》的规定，非经常性损益是指与公司正常经营业务无直接关系，以及</w:t>
      </w:r>
      <w:r>
        <w:rPr>
          <w:spacing w:val="-55"/>
        </w:rPr>
        <w:t> </w:t>
      </w:r>
      <w:r>
        <w:rPr>
          <w:spacing w:val="-55"/>
        </w:rPr>
      </w:r>
      <w:r>
        <w:rPr/>
        <w:t>虽与正常经营业务相关，但由于其性质特殊和偶发性，影响报表使用人对公司经营业绩</w:t>
      </w:r>
      <w:r>
        <w:rPr/>
        <w:t> 和盈利能力作出正确判断的各项交易和事项产生的损益。</w:t>
      </w:r>
    </w:p>
    <w:p>
      <w:pPr>
        <w:spacing w:line="240" w:lineRule="auto" w:before="10"/>
        <w:rPr>
          <w:rFonts w:ascii="宋体" w:hAnsi="宋体" w:cs="宋体" w:eastAsia="宋体" w:hint="default"/>
          <w:sz w:val="18"/>
          <w:szCs w:val="18"/>
        </w:rPr>
      </w:pPr>
    </w:p>
    <w:p>
      <w:pPr>
        <w:pStyle w:val="Heading2"/>
        <w:tabs>
          <w:tab w:pos="850" w:val="left" w:leader="none"/>
        </w:tabs>
        <w:spacing w:line="240" w:lineRule="auto" w:before="0"/>
        <w:ind w:left="142" w:right="0"/>
        <w:jc w:val="left"/>
        <w:rPr>
          <w:b w:val="0"/>
          <w:bCs w:val="0"/>
        </w:rPr>
      </w:pPr>
      <w:r>
        <w:rPr>
          <w:w w:val="95"/>
        </w:rPr>
        <w:t>二</w:t>
        <w:tab/>
      </w:r>
      <w:r>
        <w:rPr/>
        <w:t>净资产收益率及每股收益</w:t>
      </w:r>
      <w:r>
        <w:rPr>
          <w:b w:val="0"/>
          <w:bCs w:val="0"/>
        </w:rPr>
      </w:r>
    </w:p>
    <w:p>
      <w:pPr>
        <w:spacing w:line="240" w:lineRule="auto" w:before="7"/>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headerReference w:type="default" r:id="rId86"/>
          <w:footerReference w:type="default" r:id="rId87"/>
          <w:pgSz w:w="11910" w:h="16840"/>
          <w:pgMar w:header="829" w:footer="900" w:top="2580" w:bottom="1100" w:left="900" w:right="760"/>
          <w:pgNumType w:start="216"/>
        </w:sectPr>
      </w:pPr>
    </w:p>
    <w:p>
      <w:pPr>
        <w:spacing w:before="68"/>
        <w:ind w:left="0" w:right="0" w:firstLine="0"/>
        <w:jc w:val="right"/>
        <w:rPr>
          <w:rFonts w:ascii="宋体" w:hAnsi="宋体" w:cs="宋体" w:eastAsia="宋体" w:hint="default"/>
          <w:sz w:val="20"/>
          <w:szCs w:val="20"/>
        </w:rPr>
      </w:pPr>
      <w:r>
        <w:rPr>
          <w:rFonts w:ascii="宋体" w:hAnsi="宋体" w:cs="宋体" w:eastAsia="宋体" w:hint="default"/>
          <w:sz w:val="20"/>
          <w:szCs w:val="20"/>
        </w:rPr>
        <w:t>加权平均</w:t>
      </w:r>
    </w:p>
    <w:p>
      <w:pPr>
        <w:spacing w:before="38"/>
        <w:ind w:left="2612" w:right="2071" w:firstLine="0"/>
        <w:jc w:val="center"/>
        <w:rPr>
          <w:rFonts w:ascii="宋体" w:hAnsi="宋体" w:cs="宋体" w:eastAsia="宋体" w:hint="default"/>
          <w:sz w:val="20"/>
          <w:szCs w:val="20"/>
        </w:rPr>
      </w:pPr>
      <w:r>
        <w:rPr/>
        <w:br w:type="column"/>
      </w:r>
      <w:r>
        <w:rPr>
          <w:rFonts w:ascii="宋体" w:hAnsi="宋体" w:cs="宋体" w:eastAsia="宋体" w:hint="default"/>
          <w:sz w:val="20"/>
          <w:szCs w:val="20"/>
        </w:rPr>
        <w:t>每股收益</w:t>
      </w:r>
    </w:p>
    <w:p>
      <w:pPr>
        <w:spacing w:after="0"/>
        <w:jc w:val="center"/>
        <w:rPr>
          <w:rFonts w:ascii="宋体" w:hAnsi="宋体" w:cs="宋体" w:eastAsia="宋体" w:hint="default"/>
          <w:sz w:val="20"/>
          <w:szCs w:val="20"/>
        </w:rPr>
        <w:sectPr>
          <w:type w:val="continuous"/>
          <w:pgSz w:w="11910" w:h="16840"/>
          <w:pgMar w:top="920" w:bottom="900" w:left="900" w:right="760"/>
          <w:cols w:num="2" w:equalWidth="0">
            <w:col w:w="4681" w:space="40"/>
            <w:col w:w="5529"/>
          </w:cols>
        </w:sectPr>
      </w:pPr>
    </w:p>
    <w:p>
      <w:pPr>
        <w:tabs>
          <w:tab w:pos="6019" w:val="left" w:leader="none"/>
          <w:tab w:pos="8366" w:val="left" w:leader="none"/>
        </w:tabs>
        <w:spacing w:line="275" w:lineRule="exact" w:before="0"/>
        <w:ind w:left="3523" w:right="0" w:firstLine="0"/>
        <w:jc w:val="left"/>
        <w:rPr>
          <w:rFonts w:ascii="宋体" w:hAnsi="宋体" w:cs="宋体" w:eastAsia="宋体" w:hint="default"/>
          <w:sz w:val="20"/>
          <w:szCs w:val="20"/>
        </w:rPr>
      </w:pPr>
      <w:r>
        <w:rPr/>
        <w:pict>
          <v:group style="position:absolute;margin-left:314.940002pt;margin-top:.784066pt;width:234.75pt;height:.1pt;mso-position-horizontal-relative:page;mso-position-vertical-relative:paragraph;z-index:-1001152" coordorigin="6299,16" coordsize="4695,2">
            <v:shape style="position:absolute;left:6299;top:16;width:4695;height:2" coordorigin="6299,16" coordsize="4695,0" path="m6299,16l10993,16e" filled="false" stroked="true" strokeweight="1.5pt" strokecolor="#000000">
              <v:path arrowok="t"/>
            </v:shape>
            <w10:wrap type="none"/>
          </v:group>
        </w:pict>
      </w:r>
      <w:r>
        <w:rPr>
          <w:rFonts w:ascii="宋体" w:hAnsi="宋体" w:cs="宋体" w:eastAsia="宋体" w:hint="default"/>
          <w:spacing w:val="-1"/>
          <w:sz w:val="20"/>
          <w:szCs w:val="20"/>
        </w:rPr>
        <w:t>净资产收益率</w:t>
      </w:r>
      <w:r>
        <w:rPr>
          <w:rFonts w:ascii="Arial" w:hAnsi="Arial" w:cs="Arial" w:eastAsia="Arial" w:hint="default"/>
          <w:spacing w:val="-1"/>
          <w:sz w:val="20"/>
          <w:szCs w:val="20"/>
        </w:rPr>
        <w:t>(%)</w:t>
        <w:tab/>
      </w:r>
      <w:r>
        <w:rPr>
          <w:rFonts w:ascii="宋体" w:hAnsi="宋体" w:cs="宋体" w:eastAsia="宋体" w:hint="default"/>
          <w:spacing w:val="-1"/>
          <w:sz w:val="20"/>
          <w:szCs w:val="20"/>
        </w:rPr>
        <w:t>基本每股收益</w:t>
        <w:tab/>
        <w:t>稀释每股收益</w:t>
      </w:r>
    </w:p>
    <w:p>
      <w:pPr>
        <w:spacing w:line="240" w:lineRule="auto" w:before="13"/>
        <w:rPr>
          <w:rFonts w:ascii="宋体" w:hAnsi="宋体" w:cs="宋体" w:eastAsia="宋体" w:hint="default"/>
          <w:sz w:val="17"/>
          <w:szCs w:val="17"/>
        </w:rPr>
      </w:pPr>
    </w:p>
    <w:p>
      <w:pPr>
        <w:spacing w:before="38"/>
        <w:ind w:left="1048" w:right="7172" w:hanging="198"/>
        <w:jc w:val="both"/>
        <w:rPr>
          <w:rFonts w:ascii="宋体" w:hAnsi="宋体" w:cs="宋体" w:eastAsia="宋体" w:hint="default"/>
          <w:sz w:val="20"/>
          <w:szCs w:val="20"/>
        </w:rPr>
      </w:pPr>
      <w:r>
        <w:rPr/>
        <w:pict>
          <v:shape style="position:absolute;margin-left:202.320007pt;margin-top:-10.210027pt;width:347.35pt;height:83.4pt;mso-position-horizontal-relative:page;mso-position-vertical-relative:paragraph;z-index:5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0"/>
                    <w:gridCol w:w="1126"/>
                    <w:gridCol w:w="1175"/>
                    <w:gridCol w:w="1213"/>
                    <w:gridCol w:w="1165"/>
                    <w:gridCol w:w="1138"/>
                  </w:tblGrid>
                  <w:tr>
                    <w:trPr>
                      <w:trHeight w:val="1066" w:hRule="exact"/>
                    </w:trPr>
                    <w:tc>
                      <w:tcPr>
                        <w:tcW w:w="1130" w:type="dxa"/>
                        <w:tcBorders>
                          <w:top w:val="single" w:sz="12" w:space="0" w:color="000000"/>
                          <w:left w:val="nil" w:sz="6" w:space="0" w:color="auto"/>
                          <w:bottom w:val="nil" w:sz="6" w:space="0" w:color="auto"/>
                          <w:right w:val="nil" w:sz="6" w:space="0" w:color="auto"/>
                        </w:tcBorders>
                      </w:tcPr>
                      <w:p>
                        <w:pPr>
                          <w:pStyle w:val="TableParagraph"/>
                          <w:spacing w:line="244" w:lineRule="exact"/>
                          <w:ind w:left="115"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年度</w:t>
                        </w: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15" w:right="0"/>
                          <w:jc w:val="left"/>
                          <w:rPr>
                            <w:rFonts w:ascii="Arial" w:hAnsi="Arial" w:cs="Arial" w:eastAsia="Arial" w:hint="default"/>
                            <w:sz w:val="20"/>
                            <w:szCs w:val="20"/>
                          </w:rPr>
                        </w:pPr>
                        <w:r>
                          <w:rPr>
                            <w:rFonts w:ascii="Arial"/>
                            <w:sz w:val="20"/>
                          </w:rPr>
                          <w:t>24.48</w:t>
                        </w:r>
                      </w:p>
                    </w:tc>
                    <w:tc>
                      <w:tcPr>
                        <w:tcW w:w="1126" w:type="dxa"/>
                        <w:tcBorders>
                          <w:top w:val="single" w:sz="12" w:space="0" w:color="000000"/>
                          <w:left w:val="nil" w:sz="6" w:space="0" w:color="auto"/>
                          <w:bottom w:val="nil" w:sz="6" w:space="0" w:color="auto"/>
                          <w:right w:val="nil" w:sz="6" w:space="0" w:color="auto"/>
                        </w:tcBorders>
                      </w:tcPr>
                      <w:p>
                        <w:pPr>
                          <w:pStyle w:val="TableParagraph"/>
                          <w:spacing w:line="244" w:lineRule="exact"/>
                          <w:ind w:left="118"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年度</w:t>
                        </w: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18" w:right="0"/>
                          <w:jc w:val="left"/>
                          <w:rPr>
                            <w:rFonts w:ascii="Arial" w:hAnsi="Arial" w:cs="Arial" w:eastAsia="Arial" w:hint="default"/>
                            <w:sz w:val="20"/>
                            <w:szCs w:val="20"/>
                          </w:rPr>
                        </w:pPr>
                        <w:r>
                          <w:rPr>
                            <w:rFonts w:ascii="Arial"/>
                            <w:sz w:val="20"/>
                          </w:rPr>
                          <w:t>28.44</w:t>
                        </w:r>
                      </w:p>
                    </w:tc>
                    <w:tc>
                      <w:tcPr>
                        <w:tcW w:w="1175" w:type="dxa"/>
                        <w:tcBorders>
                          <w:top w:val="single" w:sz="12" w:space="0" w:color="000000"/>
                          <w:left w:val="nil" w:sz="6" w:space="0" w:color="auto"/>
                          <w:bottom w:val="nil" w:sz="6" w:space="0" w:color="auto"/>
                          <w:right w:val="nil" w:sz="6" w:space="0" w:color="auto"/>
                        </w:tcBorders>
                      </w:tcPr>
                      <w:p>
                        <w:pPr>
                          <w:pStyle w:val="TableParagraph"/>
                          <w:spacing w:line="244" w:lineRule="exact"/>
                          <w:ind w:left="111"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年度</w:t>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20"/>
                            <w:szCs w:val="20"/>
                          </w:rPr>
                        </w:pPr>
                        <w:r>
                          <w:rPr>
                            <w:rFonts w:ascii="Arial" w:hAnsi="Arial" w:cs="Arial" w:eastAsia="Arial" w:hint="default"/>
                            <w:sz w:val="20"/>
                            <w:szCs w:val="20"/>
                          </w:rPr>
                          <w:t>0.57</w:t>
                        </w:r>
                        <w:r>
                          <w:rPr>
                            <w:rFonts w:ascii="Arial" w:hAnsi="Arial" w:cs="Arial" w:eastAsia="Arial" w:hint="default"/>
                            <w:spacing w:val="-9"/>
                            <w:sz w:val="20"/>
                            <w:szCs w:val="20"/>
                          </w:rPr>
                          <w:t> </w:t>
                        </w:r>
                        <w:r>
                          <w:rPr>
                            <w:rFonts w:ascii="宋体" w:hAnsi="宋体" w:cs="宋体" w:eastAsia="宋体" w:hint="default"/>
                            <w:sz w:val="20"/>
                            <w:szCs w:val="20"/>
                          </w:rPr>
                          <w:t>元</w:t>
                        </w:r>
                        <w:r>
                          <w:rPr>
                            <w:rFonts w:ascii="Arial" w:hAnsi="Arial" w:cs="Arial" w:eastAsia="Arial" w:hint="default"/>
                            <w:sz w:val="20"/>
                            <w:szCs w:val="20"/>
                          </w:rPr>
                          <w:t>/</w:t>
                        </w:r>
                        <w:r>
                          <w:rPr>
                            <w:rFonts w:ascii="宋体" w:hAnsi="宋体" w:cs="宋体" w:eastAsia="宋体" w:hint="default"/>
                            <w:sz w:val="20"/>
                            <w:szCs w:val="20"/>
                          </w:rPr>
                          <w:t>股</w:t>
                        </w:r>
                      </w:p>
                    </w:tc>
                    <w:tc>
                      <w:tcPr>
                        <w:tcW w:w="1213" w:type="dxa"/>
                        <w:tcBorders>
                          <w:top w:val="single" w:sz="12" w:space="0" w:color="000000"/>
                          <w:left w:val="nil" w:sz="6" w:space="0" w:color="auto"/>
                          <w:bottom w:val="nil" w:sz="6" w:space="0" w:color="auto"/>
                          <w:right w:val="nil" w:sz="6" w:space="0" w:color="auto"/>
                        </w:tcBorders>
                      </w:tcPr>
                      <w:p>
                        <w:pPr>
                          <w:pStyle w:val="TableParagraph"/>
                          <w:spacing w:line="244" w:lineRule="exact"/>
                          <w:ind w:left="167"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年度</w:t>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20"/>
                            <w:szCs w:val="20"/>
                          </w:rPr>
                        </w:pPr>
                        <w:r>
                          <w:rPr>
                            <w:rFonts w:ascii="Arial" w:hAnsi="Arial" w:cs="Arial" w:eastAsia="Arial" w:hint="default"/>
                            <w:sz w:val="20"/>
                            <w:szCs w:val="20"/>
                          </w:rPr>
                          <w:t>0.43</w:t>
                        </w:r>
                        <w:r>
                          <w:rPr>
                            <w:rFonts w:ascii="Arial" w:hAnsi="Arial" w:cs="Arial" w:eastAsia="Arial" w:hint="default"/>
                            <w:spacing w:val="-9"/>
                            <w:sz w:val="20"/>
                            <w:szCs w:val="20"/>
                          </w:rPr>
                          <w:t> </w:t>
                        </w:r>
                        <w:r>
                          <w:rPr>
                            <w:rFonts w:ascii="宋体" w:hAnsi="宋体" w:cs="宋体" w:eastAsia="宋体" w:hint="default"/>
                            <w:sz w:val="20"/>
                            <w:szCs w:val="20"/>
                          </w:rPr>
                          <w:t>元</w:t>
                        </w:r>
                        <w:r>
                          <w:rPr>
                            <w:rFonts w:ascii="Arial" w:hAnsi="Arial" w:cs="Arial" w:eastAsia="Arial" w:hint="default"/>
                            <w:sz w:val="20"/>
                            <w:szCs w:val="20"/>
                          </w:rPr>
                          <w:t>/</w:t>
                        </w:r>
                        <w:r>
                          <w:rPr>
                            <w:rFonts w:ascii="宋体" w:hAnsi="宋体" w:cs="宋体" w:eastAsia="宋体" w:hint="default"/>
                            <w:sz w:val="20"/>
                            <w:szCs w:val="20"/>
                          </w:rPr>
                          <w:t>股</w:t>
                        </w:r>
                      </w:p>
                    </w:tc>
                    <w:tc>
                      <w:tcPr>
                        <w:tcW w:w="1165" w:type="dxa"/>
                        <w:tcBorders>
                          <w:top w:val="single" w:sz="12" w:space="0" w:color="000000"/>
                          <w:left w:val="nil" w:sz="6" w:space="0" w:color="auto"/>
                          <w:bottom w:val="nil" w:sz="6" w:space="0" w:color="auto"/>
                          <w:right w:val="nil" w:sz="6" w:space="0" w:color="auto"/>
                        </w:tcBorders>
                      </w:tcPr>
                      <w:p>
                        <w:pPr>
                          <w:pStyle w:val="TableParagraph"/>
                          <w:spacing w:line="244" w:lineRule="exact"/>
                          <w:ind w:left="149"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年度</w:t>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9" w:right="0"/>
                          <w:jc w:val="left"/>
                          <w:rPr>
                            <w:rFonts w:ascii="宋体" w:hAnsi="宋体" w:cs="宋体" w:eastAsia="宋体" w:hint="default"/>
                            <w:sz w:val="20"/>
                            <w:szCs w:val="20"/>
                          </w:rPr>
                        </w:pPr>
                        <w:r>
                          <w:rPr>
                            <w:rFonts w:ascii="Arial" w:hAnsi="Arial" w:cs="Arial" w:eastAsia="Arial" w:hint="default"/>
                            <w:sz w:val="20"/>
                            <w:szCs w:val="20"/>
                          </w:rPr>
                          <w:t>0.57</w:t>
                        </w:r>
                        <w:r>
                          <w:rPr>
                            <w:rFonts w:ascii="Arial" w:hAnsi="Arial" w:cs="Arial" w:eastAsia="Arial" w:hint="default"/>
                            <w:spacing w:val="-9"/>
                            <w:sz w:val="20"/>
                            <w:szCs w:val="20"/>
                          </w:rPr>
                          <w:t> </w:t>
                        </w:r>
                        <w:r>
                          <w:rPr>
                            <w:rFonts w:ascii="宋体" w:hAnsi="宋体" w:cs="宋体" w:eastAsia="宋体" w:hint="default"/>
                            <w:sz w:val="20"/>
                            <w:szCs w:val="20"/>
                          </w:rPr>
                          <w:t>元</w:t>
                        </w:r>
                        <w:r>
                          <w:rPr>
                            <w:rFonts w:ascii="Arial" w:hAnsi="Arial" w:cs="Arial" w:eastAsia="Arial" w:hint="default"/>
                            <w:sz w:val="20"/>
                            <w:szCs w:val="20"/>
                          </w:rPr>
                          <w:t>/</w:t>
                        </w:r>
                        <w:r>
                          <w:rPr>
                            <w:rFonts w:ascii="宋体" w:hAnsi="宋体" w:cs="宋体" w:eastAsia="宋体" w:hint="default"/>
                            <w:sz w:val="20"/>
                            <w:szCs w:val="20"/>
                          </w:rPr>
                          <w:t>股</w:t>
                        </w:r>
                      </w:p>
                    </w:tc>
                    <w:tc>
                      <w:tcPr>
                        <w:tcW w:w="1138" w:type="dxa"/>
                        <w:tcBorders>
                          <w:top w:val="single" w:sz="12" w:space="0" w:color="000000"/>
                          <w:left w:val="nil" w:sz="6" w:space="0" w:color="auto"/>
                          <w:bottom w:val="nil" w:sz="6" w:space="0" w:color="auto"/>
                          <w:right w:val="nil" w:sz="6" w:space="0" w:color="auto"/>
                        </w:tcBorders>
                      </w:tcPr>
                      <w:p>
                        <w:pPr>
                          <w:pStyle w:val="TableParagraph"/>
                          <w:spacing w:line="244" w:lineRule="exact"/>
                          <w:ind w:left="118"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年度</w:t>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20"/>
                            <w:szCs w:val="20"/>
                          </w:rPr>
                        </w:pPr>
                        <w:r>
                          <w:rPr>
                            <w:rFonts w:ascii="Arial" w:hAnsi="Arial" w:cs="Arial" w:eastAsia="Arial" w:hint="default"/>
                            <w:sz w:val="20"/>
                            <w:szCs w:val="20"/>
                          </w:rPr>
                          <w:t>0.43</w:t>
                        </w:r>
                        <w:r>
                          <w:rPr>
                            <w:rFonts w:ascii="Arial" w:hAnsi="Arial" w:cs="Arial" w:eastAsia="Arial" w:hint="default"/>
                            <w:spacing w:val="-9"/>
                            <w:sz w:val="20"/>
                            <w:szCs w:val="20"/>
                          </w:rPr>
                          <w:t> </w:t>
                        </w:r>
                        <w:r>
                          <w:rPr>
                            <w:rFonts w:ascii="宋体" w:hAnsi="宋体" w:cs="宋体" w:eastAsia="宋体" w:hint="default"/>
                            <w:sz w:val="20"/>
                            <w:szCs w:val="20"/>
                          </w:rPr>
                          <w:t>元</w:t>
                        </w:r>
                        <w:r>
                          <w:rPr>
                            <w:rFonts w:ascii="Arial" w:hAnsi="Arial" w:cs="Arial" w:eastAsia="Arial" w:hint="default"/>
                            <w:sz w:val="20"/>
                            <w:szCs w:val="20"/>
                          </w:rPr>
                          <w:t>/</w:t>
                        </w:r>
                        <w:r>
                          <w:rPr>
                            <w:rFonts w:ascii="宋体" w:hAnsi="宋体" w:cs="宋体" w:eastAsia="宋体" w:hint="default"/>
                            <w:sz w:val="20"/>
                            <w:szCs w:val="20"/>
                          </w:rPr>
                          <w:t>股</w:t>
                        </w:r>
                      </w:p>
                    </w:tc>
                  </w:tr>
                  <w:tr>
                    <w:trPr>
                      <w:trHeight w:val="602"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15" w:right="0"/>
                          <w:jc w:val="left"/>
                          <w:rPr>
                            <w:rFonts w:ascii="Arial" w:hAnsi="Arial" w:cs="Arial" w:eastAsia="Arial" w:hint="default"/>
                            <w:sz w:val="20"/>
                            <w:szCs w:val="20"/>
                          </w:rPr>
                        </w:pPr>
                        <w:r>
                          <w:rPr>
                            <w:rFonts w:ascii="Arial"/>
                            <w:sz w:val="20"/>
                          </w:rPr>
                          <w:t>24.58</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18" w:right="0"/>
                          <w:jc w:val="left"/>
                          <w:rPr>
                            <w:rFonts w:ascii="Arial" w:hAnsi="Arial" w:cs="Arial" w:eastAsia="Arial" w:hint="default"/>
                            <w:sz w:val="20"/>
                            <w:szCs w:val="20"/>
                          </w:rPr>
                        </w:pPr>
                        <w:r>
                          <w:rPr>
                            <w:rFonts w:ascii="Arial"/>
                            <w:sz w:val="20"/>
                          </w:rPr>
                          <w:t>28.07</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0"/>
                            <w:szCs w:val="20"/>
                          </w:rPr>
                        </w:pPr>
                        <w:r>
                          <w:rPr>
                            <w:rFonts w:ascii="Arial" w:hAnsi="Arial" w:cs="Arial" w:eastAsia="Arial" w:hint="default"/>
                            <w:sz w:val="20"/>
                            <w:szCs w:val="20"/>
                          </w:rPr>
                          <w:t>0.58</w:t>
                        </w:r>
                        <w:r>
                          <w:rPr>
                            <w:rFonts w:ascii="Arial" w:hAnsi="Arial" w:cs="Arial" w:eastAsia="Arial" w:hint="default"/>
                            <w:spacing w:val="-9"/>
                            <w:sz w:val="20"/>
                            <w:szCs w:val="20"/>
                          </w:rPr>
                          <w:t> </w:t>
                        </w:r>
                        <w:r>
                          <w:rPr>
                            <w:rFonts w:ascii="宋体" w:hAnsi="宋体" w:cs="宋体" w:eastAsia="宋体" w:hint="default"/>
                            <w:sz w:val="20"/>
                            <w:szCs w:val="20"/>
                          </w:rPr>
                          <w:t>元</w:t>
                        </w:r>
                        <w:r>
                          <w:rPr>
                            <w:rFonts w:ascii="Arial" w:hAnsi="Arial" w:cs="Arial" w:eastAsia="Arial" w:hint="default"/>
                            <w:sz w:val="20"/>
                            <w:szCs w:val="20"/>
                          </w:rPr>
                          <w:t>/</w:t>
                        </w:r>
                        <w:r>
                          <w:rPr>
                            <w:rFonts w:ascii="宋体" w:hAnsi="宋体" w:cs="宋体" w:eastAsia="宋体" w:hint="default"/>
                            <w:sz w:val="20"/>
                            <w:szCs w:val="20"/>
                          </w:rPr>
                          <w:t>股</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20"/>
                            <w:szCs w:val="20"/>
                          </w:rPr>
                        </w:pPr>
                        <w:r>
                          <w:rPr>
                            <w:rFonts w:ascii="Arial" w:hAnsi="Arial" w:cs="Arial" w:eastAsia="Arial" w:hint="default"/>
                            <w:sz w:val="20"/>
                            <w:szCs w:val="20"/>
                          </w:rPr>
                          <w:t>0.42</w:t>
                        </w:r>
                        <w:r>
                          <w:rPr>
                            <w:rFonts w:ascii="Arial" w:hAnsi="Arial" w:cs="Arial" w:eastAsia="Arial" w:hint="default"/>
                            <w:spacing w:val="-9"/>
                            <w:sz w:val="20"/>
                            <w:szCs w:val="20"/>
                          </w:rPr>
                          <w:t> </w:t>
                        </w:r>
                        <w:r>
                          <w:rPr>
                            <w:rFonts w:ascii="宋体" w:hAnsi="宋体" w:cs="宋体" w:eastAsia="宋体" w:hint="default"/>
                            <w:sz w:val="20"/>
                            <w:szCs w:val="20"/>
                          </w:rPr>
                          <w:t>元</w:t>
                        </w:r>
                        <w:r>
                          <w:rPr>
                            <w:rFonts w:ascii="Arial" w:hAnsi="Arial" w:cs="Arial" w:eastAsia="Arial" w:hint="default"/>
                            <w:sz w:val="20"/>
                            <w:szCs w:val="20"/>
                          </w:rPr>
                          <w:t>/</w:t>
                        </w:r>
                        <w:r>
                          <w:rPr>
                            <w:rFonts w:ascii="宋体" w:hAnsi="宋体" w:cs="宋体" w:eastAsia="宋体" w:hint="default"/>
                            <w:sz w:val="20"/>
                            <w:szCs w:val="20"/>
                          </w:rPr>
                          <w:t>股</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49" w:right="0"/>
                          <w:jc w:val="left"/>
                          <w:rPr>
                            <w:rFonts w:ascii="宋体" w:hAnsi="宋体" w:cs="宋体" w:eastAsia="宋体" w:hint="default"/>
                            <w:sz w:val="20"/>
                            <w:szCs w:val="20"/>
                          </w:rPr>
                        </w:pPr>
                        <w:r>
                          <w:rPr>
                            <w:rFonts w:ascii="Arial" w:hAnsi="Arial" w:cs="Arial" w:eastAsia="Arial" w:hint="default"/>
                            <w:sz w:val="20"/>
                            <w:szCs w:val="20"/>
                          </w:rPr>
                          <w:t>0.58</w:t>
                        </w:r>
                        <w:r>
                          <w:rPr>
                            <w:rFonts w:ascii="Arial" w:hAnsi="Arial" w:cs="Arial" w:eastAsia="Arial" w:hint="default"/>
                            <w:spacing w:val="-9"/>
                            <w:sz w:val="20"/>
                            <w:szCs w:val="20"/>
                          </w:rPr>
                          <w:t> </w:t>
                        </w:r>
                        <w:r>
                          <w:rPr>
                            <w:rFonts w:ascii="宋体" w:hAnsi="宋体" w:cs="宋体" w:eastAsia="宋体" w:hint="default"/>
                            <w:sz w:val="20"/>
                            <w:szCs w:val="20"/>
                          </w:rPr>
                          <w:t>元</w:t>
                        </w:r>
                        <w:r>
                          <w:rPr>
                            <w:rFonts w:ascii="Arial" w:hAnsi="Arial" w:cs="Arial" w:eastAsia="Arial" w:hint="default"/>
                            <w:sz w:val="20"/>
                            <w:szCs w:val="20"/>
                          </w:rPr>
                          <w:t>/</w:t>
                        </w:r>
                        <w:r>
                          <w:rPr>
                            <w:rFonts w:ascii="宋体" w:hAnsi="宋体" w:cs="宋体" w:eastAsia="宋体" w:hint="default"/>
                            <w:sz w:val="20"/>
                            <w:szCs w:val="20"/>
                          </w:rPr>
                          <w:t>股</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18" w:right="0"/>
                          <w:jc w:val="left"/>
                          <w:rPr>
                            <w:rFonts w:ascii="宋体" w:hAnsi="宋体" w:cs="宋体" w:eastAsia="宋体" w:hint="default"/>
                            <w:sz w:val="20"/>
                            <w:szCs w:val="20"/>
                          </w:rPr>
                        </w:pPr>
                        <w:r>
                          <w:rPr>
                            <w:rFonts w:ascii="Arial" w:hAnsi="Arial" w:cs="Arial" w:eastAsia="Arial" w:hint="default"/>
                            <w:sz w:val="20"/>
                            <w:szCs w:val="20"/>
                          </w:rPr>
                          <w:t>0.42</w:t>
                        </w:r>
                        <w:r>
                          <w:rPr>
                            <w:rFonts w:ascii="Arial" w:hAnsi="Arial" w:cs="Arial" w:eastAsia="Arial" w:hint="default"/>
                            <w:spacing w:val="-9"/>
                            <w:sz w:val="20"/>
                            <w:szCs w:val="20"/>
                          </w:rPr>
                          <w:t> </w:t>
                        </w:r>
                        <w:r>
                          <w:rPr>
                            <w:rFonts w:ascii="宋体" w:hAnsi="宋体" w:cs="宋体" w:eastAsia="宋体" w:hint="default"/>
                            <w:sz w:val="20"/>
                            <w:szCs w:val="20"/>
                          </w:rPr>
                          <w:t>元</w:t>
                        </w:r>
                        <w:r>
                          <w:rPr>
                            <w:rFonts w:ascii="Arial" w:hAnsi="Arial" w:cs="Arial" w:eastAsia="Arial" w:hint="default"/>
                            <w:sz w:val="20"/>
                            <w:szCs w:val="20"/>
                          </w:rPr>
                          <w:t>/</w:t>
                        </w:r>
                        <w:r>
                          <w:rPr>
                            <w:rFonts w:ascii="宋体" w:hAnsi="宋体" w:cs="宋体" w:eastAsia="宋体" w:hint="default"/>
                            <w:sz w:val="20"/>
                            <w:szCs w:val="20"/>
                          </w:rPr>
                          <w:t>股</w:t>
                        </w:r>
                      </w:p>
                    </w:tc>
                  </w:tr>
                </w:tbl>
                <w:p>
                  <w:pPr/>
                </w:p>
              </w:txbxContent>
            </v:textbox>
            <w10:wrap type="none"/>
          </v:shape>
        </w:pict>
      </w:r>
      <w:r>
        <w:rPr>
          <w:rFonts w:ascii="宋体" w:hAnsi="宋体" w:cs="宋体" w:eastAsia="宋体" w:hint="default"/>
          <w:spacing w:val="17"/>
          <w:sz w:val="20"/>
          <w:szCs w:val="20"/>
        </w:rPr>
        <w:t>归属于公司普通股股东</w:t>
      </w:r>
      <w:r>
        <w:rPr>
          <w:rFonts w:ascii="宋体" w:hAnsi="宋体" w:cs="宋体" w:eastAsia="宋体" w:hint="default"/>
          <w:spacing w:val="-79"/>
          <w:sz w:val="20"/>
          <w:szCs w:val="20"/>
        </w:rPr>
        <w:t> </w:t>
      </w:r>
      <w:r>
        <w:rPr>
          <w:rFonts w:ascii="宋体" w:hAnsi="宋体" w:cs="宋体" w:eastAsia="宋体" w:hint="default"/>
          <w:sz w:val="20"/>
          <w:szCs w:val="20"/>
        </w:rPr>
        <w:t>的净利润</w:t>
      </w:r>
    </w:p>
    <w:p>
      <w:pPr>
        <w:spacing w:line="237" w:lineRule="auto" w:before="1"/>
        <w:ind w:left="1048" w:right="7171" w:hanging="198"/>
        <w:jc w:val="both"/>
        <w:rPr>
          <w:rFonts w:ascii="宋体" w:hAnsi="宋体" w:cs="宋体" w:eastAsia="宋体" w:hint="default"/>
          <w:sz w:val="20"/>
          <w:szCs w:val="20"/>
        </w:rPr>
      </w:pPr>
      <w:r>
        <w:rPr>
          <w:rFonts w:ascii="宋体" w:hAnsi="宋体" w:cs="宋体" w:eastAsia="宋体" w:hint="default"/>
          <w:spacing w:val="17"/>
          <w:sz w:val="20"/>
          <w:szCs w:val="20"/>
        </w:rPr>
        <w:t>扣除非经常性损益后归</w:t>
      </w:r>
      <w:r>
        <w:rPr>
          <w:rFonts w:ascii="宋体" w:hAnsi="宋体" w:cs="宋体" w:eastAsia="宋体" w:hint="default"/>
          <w:spacing w:val="-79"/>
          <w:sz w:val="20"/>
          <w:szCs w:val="20"/>
        </w:rPr>
        <w:t> </w:t>
      </w:r>
      <w:r>
        <w:rPr>
          <w:rFonts w:ascii="宋体" w:hAnsi="宋体" w:cs="宋体" w:eastAsia="宋体" w:hint="default"/>
          <w:spacing w:val="11"/>
          <w:sz w:val="20"/>
          <w:szCs w:val="20"/>
        </w:rPr>
        <w:t>属于</w:t>
      </w:r>
      <w:r>
        <w:rPr>
          <w:rFonts w:ascii="宋体" w:hAnsi="宋体" w:cs="宋体" w:eastAsia="宋体" w:hint="default"/>
          <w:spacing w:val="-71"/>
          <w:sz w:val="20"/>
          <w:szCs w:val="20"/>
        </w:rPr>
        <w:t> </w:t>
      </w:r>
      <w:r>
        <w:rPr>
          <w:rFonts w:ascii="宋体" w:hAnsi="宋体" w:cs="宋体" w:eastAsia="宋体" w:hint="default"/>
          <w:spacing w:val="18"/>
          <w:sz w:val="20"/>
          <w:szCs w:val="20"/>
        </w:rPr>
        <w:t>公司普通股</w:t>
      </w:r>
      <w:r>
        <w:rPr>
          <w:rFonts w:ascii="宋体" w:hAnsi="宋体" w:cs="宋体" w:eastAsia="宋体" w:hint="default"/>
          <w:spacing w:val="-71"/>
          <w:sz w:val="20"/>
          <w:szCs w:val="20"/>
        </w:rPr>
        <w:t> </w:t>
      </w:r>
      <w:r>
        <w:rPr>
          <w:rFonts w:ascii="宋体" w:hAnsi="宋体" w:cs="宋体" w:eastAsia="宋体" w:hint="default"/>
          <w:spacing w:val="11"/>
          <w:sz w:val="20"/>
          <w:szCs w:val="20"/>
        </w:rPr>
        <w:t>股东</w:t>
      </w:r>
      <w:r>
        <w:rPr>
          <w:rFonts w:ascii="宋体" w:hAnsi="宋体" w:cs="宋体" w:eastAsia="宋体" w:hint="default"/>
          <w:spacing w:val="-76"/>
          <w:sz w:val="20"/>
          <w:szCs w:val="20"/>
        </w:rPr>
        <w:t> </w:t>
      </w:r>
      <w:r>
        <w:rPr>
          <w:rFonts w:ascii="宋体" w:hAnsi="宋体" w:cs="宋体" w:eastAsia="宋体" w:hint="default"/>
          <w:sz w:val="20"/>
          <w:szCs w:val="20"/>
        </w:rPr>
        <w:t>的净利润</w:t>
      </w:r>
    </w:p>
    <w:p>
      <w:pPr>
        <w:spacing w:after="0" w:line="237" w:lineRule="auto"/>
        <w:jc w:val="both"/>
        <w:rPr>
          <w:rFonts w:ascii="宋体" w:hAnsi="宋体" w:cs="宋体" w:eastAsia="宋体" w:hint="default"/>
          <w:sz w:val="20"/>
          <w:szCs w:val="20"/>
        </w:rPr>
        <w:sectPr>
          <w:type w:val="continuous"/>
          <w:pgSz w:w="11910" w:h="16840"/>
          <w:pgMar w:top="920" w:bottom="900" w:left="900" w:right="760"/>
        </w:sectPr>
      </w:pPr>
    </w:p>
    <w:p>
      <w:pPr>
        <w:spacing w:line="240" w:lineRule="auto" w:before="2"/>
        <w:rPr>
          <w:rFonts w:ascii="宋体" w:hAnsi="宋体" w:cs="宋体" w:eastAsia="宋体" w:hint="default"/>
          <w:sz w:val="16"/>
          <w:szCs w:val="16"/>
        </w:rPr>
      </w:pPr>
    </w:p>
    <w:p>
      <w:pPr>
        <w:pStyle w:val="Heading2"/>
        <w:tabs>
          <w:tab w:pos="810" w:val="left" w:leader="none"/>
        </w:tabs>
        <w:spacing w:line="240" w:lineRule="auto"/>
        <w:ind w:left="102" w:right="0"/>
        <w:jc w:val="left"/>
        <w:rPr>
          <w:b w:val="0"/>
          <w:bCs w:val="0"/>
        </w:rPr>
      </w:pPr>
      <w:r>
        <w:rPr>
          <w:w w:val="95"/>
        </w:rPr>
        <w:t>三</w:t>
        <w:tab/>
      </w:r>
      <w:r>
        <w:rPr/>
        <w:t>主要会计报表项目的异常情况及原因的说明</w:t>
      </w:r>
      <w:r>
        <w:rPr>
          <w:b w:val="0"/>
          <w:bCs w:val="0"/>
        </w:rPr>
      </w:r>
    </w:p>
    <w:p>
      <w:pPr>
        <w:spacing w:line="240" w:lineRule="auto" w:before="5"/>
        <w:rPr>
          <w:rFonts w:ascii="宋体" w:hAnsi="宋体" w:cs="宋体" w:eastAsia="宋体" w:hint="default"/>
          <w:b/>
          <w:bCs/>
          <w:sz w:val="22"/>
          <w:szCs w:val="22"/>
        </w:rPr>
      </w:pPr>
    </w:p>
    <w:tbl>
      <w:tblPr>
        <w:tblW w:w="0" w:type="auto"/>
        <w:jc w:val="left"/>
        <w:tblInd w:w="775" w:type="dxa"/>
        <w:tblLayout w:type="fixed"/>
        <w:tblCellMar>
          <w:top w:w="0" w:type="dxa"/>
          <w:left w:w="0" w:type="dxa"/>
          <w:bottom w:w="0" w:type="dxa"/>
          <w:right w:w="0" w:type="dxa"/>
        </w:tblCellMar>
        <w:tblLook w:val="01E0"/>
      </w:tblPr>
      <w:tblGrid>
        <w:gridCol w:w="1653"/>
        <w:gridCol w:w="1659"/>
        <w:gridCol w:w="1512"/>
        <w:gridCol w:w="1853"/>
        <w:gridCol w:w="979"/>
        <w:gridCol w:w="694"/>
        <w:gridCol w:w="1245"/>
      </w:tblGrid>
      <w:tr>
        <w:trPr>
          <w:trHeight w:val="710" w:hRule="exact"/>
        </w:trPr>
        <w:tc>
          <w:tcPr>
            <w:tcW w:w="4824" w:type="dxa"/>
            <w:gridSpan w:val="3"/>
            <w:tcBorders>
              <w:top w:val="nil" w:sz="6" w:space="0" w:color="auto"/>
              <w:left w:val="nil" w:sz="6" w:space="0" w:color="auto"/>
              <w:bottom w:val="nil" w:sz="6" w:space="0" w:color="auto"/>
              <w:right w:val="nil" w:sz="6" w:space="0" w:color="auto"/>
            </w:tcBorders>
          </w:tcPr>
          <w:p>
            <w:pPr>
              <w:pStyle w:val="TableParagraph"/>
              <w:spacing w:line="268" w:lineRule="exact" w:before="38"/>
              <w:ind w:right="479"/>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right="479"/>
              <w:jc w:val="righ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853" w:type="dxa"/>
            <w:tcBorders>
              <w:top w:val="nil" w:sz="6" w:space="0" w:color="auto"/>
              <w:left w:val="nil" w:sz="6" w:space="0" w:color="auto"/>
              <w:bottom w:val="nil" w:sz="6" w:space="0" w:color="auto"/>
              <w:right w:val="nil" w:sz="6" w:space="0" w:color="auto"/>
            </w:tcBorders>
          </w:tcPr>
          <w:p>
            <w:pPr>
              <w:pStyle w:val="TableParagraph"/>
              <w:spacing w:line="268" w:lineRule="exact" w:before="38"/>
              <w:ind w:left="781"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481"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476"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9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101" w:right="0"/>
              <w:jc w:val="left"/>
              <w:rPr>
                <w:rFonts w:ascii="宋体" w:hAnsi="宋体" w:cs="宋体" w:eastAsia="宋体" w:hint="default"/>
                <w:sz w:val="20"/>
                <w:szCs w:val="20"/>
              </w:rPr>
            </w:pPr>
            <w:r>
              <w:rPr>
                <w:rFonts w:ascii="宋体" w:hAnsi="宋体" w:cs="宋体" w:eastAsia="宋体" w:hint="default"/>
                <w:sz w:val="20"/>
                <w:szCs w:val="20"/>
              </w:rPr>
              <w:t>差异变动金额及幅度</w:t>
            </w:r>
          </w:p>
          <w:p>
            <w:pPr>
              <w:pStyle w:val="TableParagraph"/>
              <w:spacing w:line="240" w:lineRule="auto" w:before="43"/>
              <w:ind w:right="461"/>
              <w:jc w:val="right"/>
              <w:rPr>
                <w:rFonts w:ascii="Arial" w:hAnsi="Arial" w:cs="Arial" w:eastAsia="Arial" w:hint="default"/>
                <w:sz w:val="20"/>
                <w:szCs w:val="20"/>
              </w:rPr>
            </w:pPr>
            <w:r>
              <w:rPr>
                <w:rFonts w:ascii="Arial"/>
                <w:w w:val="100"/>
                <w:sz w:val="20"/>
              </w:rPr>
              <w:t>%</w:t>
            </w:r>
          </w:p>
        </w:tc>
      </w:tr>
      <w:tr>
        <w:trPr>
          <w:trHeight w:val="397"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17"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49"/>
                <w:sz w:val="20"/>
                <w:szCs w:val="20"/>
              </w:rPr>
              <w:t> </w:t>
            </w:r>
            <w:r>
              <w:rPr>
                <w:rFonts w:ascii="Arial" w:hAnsi="Arial" w:cs="Arial" w:eastAsia="Arial" w:hint="default"/>
                <w:sz w:val="20"/>
                <w:szCs w:val="20"/>
              </w:rPr>
              <w:t>1</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498"/>
              <w:jc w:val="right"/>
              <w:rPr>
                <w:rFonts w:ascii="Arial" w:hAnsi="Arial" w:cs="Arial" w:eastAsia="Arial" w:hint="default"/>
                <w:sz w:val="20"/>
                <w:szCs w:val="20"/>
              </w:rPr>
            </w:pPr>
            <w:r>
              <w:rPr>
                <w:rFonts w:ascii="Arial"/>
                <w:spacing w:val="-2"/>
                <w:sz w:val="20"/>
              </w:rPr>
              <w:t>1,104,611</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391"/>
              <w:jc w:val="right"/>
              <w:rPr>
                <w:rFonts w:ascii="Arial" w:hAnsi="Arial" w:cs="Arial" w:eastAsia="Arial" w:hint="default"/>
                <w:sz w:val="20"/>
                <w:szCs w:val="20"/>
              </w:rPr>
            </w:pPr>
            <w:r>
              <w:rPr>
                <w:rFonts w:ascii="Arial"/>
                <w:sz w:val="20"/>
              </w:rPr>
              <w:t>347,024</w:t>
            </w:r>
          </w:p>
        </w:tc>
        <w:tc>
          <w:tcPr>
            <w:tcW w:w="1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3"/>
              <w:ind w:left="543" w:right="0"/>
              <w:jc w:val="left"/>
              <w:rPr>
                <w:rFonts w:ascii="Arial" w:hAnsi="Arial" w:cs="Arial" w:eastAsia="Arial" w:hint="default"/>
                <w:sz w:val="20"/>
                <w:szCs w:val="20"/>
              </w:rPr>
            </w:pPr>
            <w:r>
              <w:rPr>
                <w:rFonts w:ascii="Arial"/>
                <w:sz w:val="20"/>
              </w:rPr>
              <w:t>757,587</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44"/>
              <w:jc w:val="right"/>
              <w:rPr>
                <w:rFonts w:ascii="Arial" w:hAnsi="Arial" w:cs="Arial" w:eastAsia="Arial" w:hint="default"/>
                <w:sz w:val="20"/>
                <w:szCs w:val="20"/>
              </w:rPr>
            </w:pPr>
            <w:r>
              <w:rPr>
                <w:rFonts w:ascii="Arial"/>
                <w:sz w:val="20"/>
              </w:rPr>
              <w:t>218.31%</w:t>
            </w:r>
          </w:p>
        </w:tc>
      </w:tr>
      <w:tr>
        <w:trPr>
          <w:trHeight w:val="275"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0"/>
                <w:szCs w:val="20"/>
              </w:rPr>
            </w:pPr>
            <w:r>
              <w:rPr>
                <w:rFonts w:ascii="宋体" w:hAnsi="宋体" w:cs="宋体" w:eastAsia="宋体" w:hint="default"/>
                <w:sz w:val="20"/>
                <w:szCs w:val="20"/>
              </w:rPr>
              <w:t>预付账款</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left="217"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49"/>
                <w:sz w:val="20"/>
                <w:szCs w:val="20"/>
              </w:rPr>
              <w:t> </w:t>
            </w:r>
            <w:r>
              <w:rPr>
                <w:rFonts w:ascii="Arial" w:hAnsi="Arial" w:cs="Arial" w:eastAsia="Arial" w:hint="default"/>
                <w:sz w:val="20"/>
                <w:szCs w:val="20"/>
              </w:rPr>
              <w:t>2</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98"/>
              <w:jc w:val="right"/>
              <w:rPr>
                <w:rFonts w:ascii="Arial" w:hAnsi="Arial" w:cs="Arial" w:eastAsia="Arial" w:hint="default"/>
                <w:sz w:val="20"/>
                <w:szCs w:val="20"/>
              </w:rPr>
            </w:pPr>
            <w:r>
              <w:rPr>
                <w:rFonts w:ascii="Arial"/>
                <w:spacing w:val="-1"/>
                <w:sz w:val="20"/>
              </w:rPr>
              <w:t>2,741,405</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92"/>
              <w:jc w:val="right"/>
              <w:rPr>
                <w:rFonts w:ascii="Arial" w:hAnsi="Arial" w:cs="Arial" w:eastAsia="Arial" w:hint="default"/>
                <w:sz w:val="20"/>
                <w:szCs w:val="20"/>
              </w:rPr>
            </w:pPr>
            <w:r>
              <w:rPr>
                <w:rFonts w:ascii="Arial"/>
                <w:spacing w:val="-1"/>
                <w:sz w:val="20"/>
              </w:rPr>
              <w:t>947,924</w:t>
            </w:r>
          </w:p>
        </w:tc>
        <w:tc>
          <w:tcPr>
            <w:tcW w:w="1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376" w:right="0"/>
              <w:jc w:val="left"/>
              <w:rPr>
                <w:rFonts w:ascii="Arial" w:hAnsi="Arial" w:cs="Arial" w:eastAsia="Arial" w:hint="default"/>
                <w:sz w:val="20"/>
                <w:szCs w:val="20"/>
              </w:rPr>
            </w:pPr>
            <w:r>
              <w:rPr>
                <w:rFonts w:ascii="Arial"/>
                <w:sz w:val="20"/>
              </w:rPr>
              <w:t>1,793,481</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4"/>
              <w:jc w:val="right"/>
              <w:rPr>
                <w:rFonts w:ascii="Arial" w:hAnsi="Arial" w:cs="Arial" w:eastAsia="Arial" w:hint="default"/>
                <w:sz w:val="20"/>
                <w:szCs w:val="20"/>
              </w:rPr>
            </w:pPr>
            <w:r>
              <w:rPr>
                <w:rFonts w:ascii="Arial"/>
                <w:sz w:val="20"/>
              </w:rPr>
              <w:t>189.20%</w:t>
            </w:r>
          </w:p>
        </w:tc>
      </w:tr>
      <w:tr>
        <w:trPr>
          <w:trHeight w:val="275"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left="217"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49"/>
                <w:sz w:val="20"/>
                <w:szCs w:val="20"/>
              </w:rPr>
              <w:t> </w:t>
            </w:r>
            <w:r>
              <w:rPr>
                <w:rFonts w:ascii="Arial" w:hAnsi="Arial" w:cs="Arial" w:eastAsia="Arial" w:hint="default"/>
                <w:sz w:val="20"/>
                <w:szCs w:val="20"/>
              </w:rPr>
              <w:t>3</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98"/>
              <w:jc w:val="right"/>
              <w:rPr>
                <w:rFonts w:ascii="Arial" w:hAnsi="Arial" w:cs="Arial" w:eastAsia="Arial" w:hint="default"/>
                <w:sz w:val="20"/>
                <w:szCs w:val="20"/>
              </w:rPr>
            </w:pPr>
            <w:r>
              <w:rPr>
                <w:rFonts w:ascii="Arial"/>
                <w:spacing w:val="-1"/>
                <w:sz w:val="20"/>
              </w:rPr>
              <w:t>975,737</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92"/>
              <w:jc w:val="right"/>
              <w:rPr>
                <w:rFonts w:ascii="Arial" w:hAnsi="Arial" w:cs="Arial" w:eastAsia="Arial" w:hint="default"/>
                <w:sz w:val="20"/>
                <w:szCs w:val="20"/>
              </w:rPr>
            </w:pPr>
            <w:r>
              <w:rPr>
                <w:rFonts w:ascii="Arial"/>
                <w:spacing w:val="-3"/>
                <w:sz w:val="20"/>
              </w:rPr>
              <w:t>110,975</w:t>
            </w:r>
          </w:p>
        </w:tc>
        <w:tc>
          <w:tcPr>
            <w:tcW w:w="1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543" w:right="0"/>
              <w:jc w:val="left"/>
              <w:rPr>
                <w:rFonts w:ascii="Arial" w:hAnsi="Arial" w:cs="Arial" w:eastAsia="Arial" w:hint="default"/>
                <w:sz w:val="20"/>
                <w:szCs w:val="20"/>
              </w:rPr>
            </w:pPr>
            <w:r>
              <w:rPr>
                <w:rFonts w:ascii="Arial"/>
                <w:sz w:val="20"/>
              </w:rPr>
              <w:t>864,762</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4"/>
              <w:jc w:val="right"/>
              <w:rPr>
                <w:rFonts w:ascii="Arial" w:hAnsi="Arial" w:cs="Arial" w:eastAsia="Arial" w:hint="default"/>
                <w:sz w:val="20"/>
                <w:szCs w:val="20"/>
              </w:rPr>
            </w:pPr>
            <w:r>
              <w:rPr>
                <w:rFonts w:ascii="Arial"/>
                <w:sz w:val="20"/>
              </w:rPr>
              <w:t>779.24%</w:t>
            </w:r>
          </w:p>
        </w:tc>
      </w:tr>
      <w:tr>
        <w:trPr>
          <w:trHeight w:val="275"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left="217"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49"/>
                <w:sz w:val="20"/>
                <w:szCs w:val="20"/>
              </w:rPr>
              <w:t> </w:t>
            </w:r>
            <w:r>
              <w:rPr>
                <w:rFonts w:ascii="Arial" w:hAnsi="Arial" w:cs="Arial" w:eastAsia="Arial" w:hint="default"/>
                <w:sz w:val="20"/>
                <w:szCs w:val="20"/>
              </w:rPr>
              <w:t>4</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98"/>
              <w:jc w:val="right"/>
              <w:rPr>
                <w:rFonts w:ascii="Arial" w:hAnsi="Arial" w:cs="Arial" w:eastAsia="Arial" w:hint="default"/>
                <w:sz w:val="20"/>
                <w:szCs w:val="20"/>
              </w:rPr>
            </w:pPr>
            <w:r>
              <w:rPr>
                <w:rFonts w:ascii="Arial"/>
                <w:spacing w:val="-1"/>
                <w:sz w:val="20"/>
              </w:rPr>
              <w:t>9,474,449</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92"/>
              <w:jc w:val="right"/>
              <w:rPr>
                <w:rFonts w:ascii="Arial" w:hAnsi="Arial" w:cs="Arial" w:eastAsia="Arial" w:hint="default"/>
                <w:sz w:val="20"/>
                <w:szCs w:val="20"/>
              </w:rPr>
            </w:pPr>
            <w:r>
              <w:rPr>
                <w:rFonts w:ascii="Arial"/>
                <w:spacing w:val="-1"/>
                <w:sz w:val="20"/>
              </w:rPr>
              <w:t>6,326,995</w:t>
            </w:r>
          </w:p>
        </w:tc>
        <w:tc>
          <w:tcPr>
            <w:tcW w:w="1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376" w:right="0"/>
              <w:jc w:val="left"/>
              <w:rPr>
                <w:rFonts w:ascii="Arial" w:hAnsi="Arial" w:cs="Arial" w:eastAsia="Arial" w:hint="default"/>
                <w:sz w:val="20"/>
                <w:szCs w:val="20"/>
              </w:rPr>
            </w:pPr>
            <w:r>
              <w:rPr>
                <w:rFonts w:ascii="Arial"/>
                <w:sz w:val="20"/>
              </w:rPr>
              <w:t>3,147,454</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4"/>
              <w:jc w:val="right"/>
              <w:rPr>
                <w:rFonts w:ascii="Arial" w:hAnsi="Arial" w:cs="Arial" w:eastAsia="Arial" w:hint="default"/>
                <w:sz w:val="20"/>
                <w:szCs w:val="20"/>
              </w:rPr>
            </w:pPr>
            <w:r>
              <w:rPr>
                <w:rFonts w:ascii="Arial"/>
                <w:sz w:val="20"/>
              </w:rPr>
              <w:t>49.75%</w:t>
            </w:r>
          </w:p>
        </w:tc>
      </w:tr>
      <w:tr>
        <w:trPr>
          <w:trHeight w:val="275"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left="217"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49"/>
                <w:sz w:val="20"/>
                <w:szCs w:val="20"/>
              </w:rPr>
              <w:t> </w:t>
            </w:r>
            <w:r>
              <w:rPr>
                <w:rFonts w:ascii="Arial" w:hAnsi="Arial" w:cs="Arial" w:eastAsia="Arial" w:hint="default"/>
                <w:sz w:val="20"/>
                <w:szCs w:val="20"/>
              </w:rPr>
              <w:t>5</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98"/>
              <w:jc w:val="right"/>
              <w:rPr>
                <w:rFonts w:ascii="Arial" w:hAnsi="Arial" w:cs="Arial" w:eastAsia="Arial" w:hint="default"/>
                <w:sz w:val="20"/>
                <w:szCs w:val="20"/>
              </w:rPr>
            </w:pPr>
            <w:r>
              <w:rPr>
                <w:rFonts w:ascii="Arial"/>
                <w:spacing w:val="-1"/>
                <w:sz w:val="20"/>
              </w:rPr>
              <w:t>793,656</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92"/>
              <w:jc w:val="right"/>
              <w:rPr>
                <w:rFonts w:ascii="Arial" w:hAnsi="Arial" w:cs="Arial" w:eastAsia="Arial" w:hint="default"/>
                <w:sz w:val="20"/>
                <w:szCs w:val="20"/>
              </w:rPr>
            </w:pPr>
            <w:r>
              <w:rPr>
                <w:rFonts w:ascii="Arial"/>
                <w:spacing w:val="-1"/>
                <w:sz w:val="20"/>
              </w:rPr>
              <w:t>455,740</w:t>
            </w:r>
          </w:p>
        </w:tc>
        <w:tc>
          <w:tcPr>
            <w:tcW w:w="1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542" w:right="0"/>
              <w:jc w:val="left"/>
              <w:rPr>
                <w:rFonts w:ascii="Arial" w:hAnsi="Arial" w:cs="Arial" w:eastAsia="Arial" w:hint="default"/>
                <w:sz w:val="20"/>
                <w:szCs w:val="20"/>
              </w:rPr>
            </w:pPr>
            <w:r>
              <w:rPr>
                <w:rFonts w:ascii="Arial"/>
                <w:sz w:val="20"/>
              </w:rPr>
              <w:t>337,916</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4"/>
              <w:jc w:val="right"/>
              <w:rPr>
                <w:rFonts w:ascii="Arial" w:hAnsi="Arial" w:cs="Arial" w:eastAsia="Arial" w:hint="default"/>
                <w:sz w:val="20"/>
                <w:szCs w:val="20"/>
              </w:rPr>
            </w:pPr>
            <w:r>
              <w:rPr>
                <w:rFonts w:ascii="Arial"/>
                <w:sz w:val="20"/>
              </w:rPr>
              <w:t>74.15%</w:t>
            </w:r>
          </w:p>
        </w:tc>
      </w:tr>
      <w:tr>
        <w:trPr>
          <w:trHeight w:val="275"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left="217"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49"/>
                <w:sz w:val="20"/>
                <w:szCs w:val="20"/>
              </w:rPr>
              <w:t> </w:t>
            </w:r>
            <w:r>
              <w:rPr>
                <w:rFonts w:ascii="Arial" w:hAnsi="Arial" w:cs="Arial" w:eastAsia="Arial" w:hint="default"/>
                <w:sz w:val="20"/>
                <w:szCs w:val="20"/>
              </w:rPr>
              <w:t>6</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98"/>
              <w:jc w:val="right"/>
              <w:rPr>
                <w:rFonts w:ascii="Arial" w:hAnsi="Arial" w:cs="Arial" w:eastAsia="Arial" w:hint="default"/>
                <w:sz w:val="20"/>
                <w:szCs w:val="20"/>
              </w:rPr>
            </w:pPr>
            <w:r>
              <w:rPr>
                <w:rFonts w:ascii="Arial"/>
                <w:spacing w:val="-1"/>
                <w:sz w:val="20"/>
              </w:rPr>
              <w:t>130,768</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92"/>
              <w:jc w:val="right"/>
              <w:rPr>
                <w:rFonts w:ascii="Arial" w:hAnsi="Arial" w:cs="Arial" w:eastAsia="Arial" w:hint="default"/>
                <w:sz w:val="20"/>
                <w:szCs w:val="20"/>
              </w:rPr>
            </w:pPr>
            <w:r>
              <w:rPr>
                <w:rFonts w:ascii="Arial"/>
                <w:sz w:val="20"/>
              </w:rPr>
              <w:t>88,450</w:t>
            </w:r>
          </w:p>
        </w:tc>
        <w:tc>
          <w:tcPr>
            <w:tcW w:w="1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653" w:right="0"/>
              <w:jc w:val="left"/>
              <w:rPr>
                <w:rFonts w:ascii="Arial" w:hAnsi="Arial" w:cs="Arial" w:eastAsia="Arial" w:hint="default"/>
                <w:sz w:val="20"/>
                <w:szCs w:val="20"/>
              </w:rPr>
            </w:pPr>
            <w:r>
              <w:rPr>
                <w:rFonts w:ascii="Arial"/>
                <w:sz w:val="20"/>
              </w:rPr>
              <w:t>42,318</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4"/>
              <w:jc w:val="right"/>
              <w:rPr>
                <w:rFonts w:ascii="Arial" w:hAnsi="Arial" w:cs="Arial" w:eastAsia="Arial" w:hint="default"/>
                <w:sz w:val="20"/>
                <w:szCs w:val="20"/>
              </w:rPr>
            </w:pPr>
            <w:r>
              <w:rPr>
                <w:rFonts w:ascii="Arial"/>
                <w:sz w:val="20"/>
              </w:rPr>
              <w:t>47.84%</w:t>
            </w:r>
          </w:p>
        </w:tc>
      </w:tr>
      <w:tr>
        <w:trPr>
          <w:trHeight w:val="275"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659" w:type="dxa"/>
            <w:tcBorders>
              <w:top w:val="nil" w:sz="6" w:space="0" w:color="auto"/>
              <w:left w:val="nil" w:sz="6" w:space="0" w:color="auto"/>
              <w:bottom w:val="nil" w:sz="6" w:space="0" w:color="auto"/>
              <w:right w:val="nil" w:sz="6" w:space="0" w:color="auto"/>
            </w:tcBorders>
          </w:tcPr>
          <w:p>
            <w:pPr>
              <w:pStyle w:val="TableParagraph"/>
              <w:spacing w:line="233" w:lineRule="exact"/>
              <w:ind w:left="217"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49"/>
                <w:sz w:val="20"/>
                <w:szCs w:val="20"/>
              </w:rPr>
              <w:t> </w:t>
            </w:r>
            <w:r>
              <w:rPr>
                <w:rFonts w:ascii="Arial" w:hAnsi="Arial" w:cs="Arial" w:eastAsia="Arial" w:hint="default"/>
                <w:sz w:val="20"/>
                <w:szCs w:val="20"/>
              </w:rPr>
              <w:t>7</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98"/>
              <w:jc w:val="right"/>
              <w:rPr>
                <w:rFonts w:ascii="Arial" w:hAnsi="Arial" w:cs="Arial" w:eastAsia="Arial" w:hint="default"/>
                <w:sz w:val="20"/>
                <w:szCs w:val="20"/>
              </w:rPr>
            </w:pPr>
            <w:r>
              <w:rPr>
                <w:rFonts w:ascii="Arial"/>
                <w:spacing w:val="-1"/>
                <w:sz w:val="20"/>
              </w:rPr>
              <w:t>792,896</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92"/>
              <w:jc w:val="right"/>
              <w:rPr>
                <w:rFonts w:ascii="Arial" w:hAnsi="Arial" w:cs="Arial" w:eastAsia="Arial" w:hint="default"/>
                <w:sz w:val="20"/>
                <w:szCs w:val="20"/>
              </w:rPr>
            </w:pPr>
            <w:r>
              <w:rPr>
                <w:rFonts w:ascii="Arial"/>
                <w:sz w:val="20"/>
              </w:rPr>
              <w:t>597,374</w:t>
            </w:r>
          </w:p>
        </w:tc>
        <w:tc>
          <w:tcPr>
            <w:tcW w:w="1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543" w:right="0"/>
              <w:jc w:val="left"/>
              <w:rPr>
                <w:rFonts w:ascii="Arial" w:hAnsi="Arial" w:cs="Arial" w:eastAsia="Arial" w:hint="default"/>
                <w:sz w:val="20"/>
                <w:szCs w:val="20"/>
              </w:rPr>
            </w:pPr>
            <w:r>
              <w:rPr>
                <w:rFonts w:ascii="Arial"/>
                <w:sz w:val="20"/>
              </w:rPr>
              <w:t>195,522</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4"/>
              <w:jc w:val="right"/>
              <w:rPr>
                <w:rFonts w:ascii="Arial" w:hAnsi="Arial" w:cs="Arial" w:eastAsia="Arial" w:hint="default"/>
                <w:sz w:val="20"/>
                <w:szCs w:val="20"/>
              </w:rPr>
            </w:pPr>
            <w:r>
              <w:rPr>
                <w:rFonts w:ascii="Arial"/>
                <w:sz w:val="20"/>
              </w:rPr>
              <w:t>32.73%</w:t>
            </w:r>
          </w:p>
        </w:tc>
      </w:tr>
      <w:tr>
        <w:trPr>
          <w:trHeight w:val="275"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left="217"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49"/>
                <w:sz w:val="20"/>
                <w:szCs w:val="20"/>
              </w:rPr>
              <w:t> </w:t>
            </w:r>
            <w:r>
              <w:rPr>
                <w:rFonts w:ascii="Arial" w:hAnsi="Arial" w:cs="Arial" w:eastAsia="Arial" w:hint="default"/>
                <w:sz w:val="20"/>
                <w:szCs w:val="20"/>
              </w:rPr>
              <w:t>8</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98"/>
              <w:jc w:val="right"/>
              <w:rPr>
                <w:rFonts w:ascii="Arial" w:hAnsi="Arial" w:cs="Arial" w:eastAsia="Arial" w:hint="default"/>
                <w:sz w:val="20"/>
                <w:szCs w:val="20"/>
              </w:rPr>
            </w:pPr>
            <w:r>
              <w:rPr>
                <w:rFonts w:ascii="Arial"/>
                <w:spacing w:val="-1"/>
                <w:sz w:val="20"/>
              </w:rPr>
              <w:t>3,914,317</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92"/>
              <w:jc w:val="right"/>
              <w:rPr>
                <w:rFonts w:ascii="Arial" w:hAnsi="Arial" w:cs="Arial" w:eastAsia="Arial" w:hint="default"/>
                <w:sz w:val="20"/>
                <w:szCs w:val="20"/>
              </w:rPr>
            </w:pPr>
            <w:r>
              <w:rPr>
                <w:rFonts w:ascii="Arial"/>
                <w:spacing w:val="-1"/>
                <w:sz w:val="20"/>
              </w:rPr>
              <w:t>2,895,971</w:t>
            </w:r>
          </w:p>
        </w:tc>
        <w:tc>
          <w:tcPr>
            <w:tcW w:w="1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376" w:right="0"/>
              <w:jc w:val="left"/>
              <w:rPr>
                <w:rFonts w:ascii="Arial" w:hAnsi="Arial" w:cs="Arial" w:eastAsia="Arial" w:hint="default"/>
                <w:sz w:val="20"/>
                <w:szCs w:val="20"/>
              </w:rPr>
            </w:pPr>
            <w:r>
              <w:rPr>
                <w:rFonts w:ascii="Arial"/>
                <w:sz w:val="20"/>
              </w:rPr>
              <w:t>1,018,346</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4"/>
              <w:jc w:val="right"/>
              <w:rPr>
                <w:rFonts w:ascii="Arial" w:hAnsi="Arial" w:cs="Arial" w:eastAsia="Arial" w:hint="default"/>
                <w:sz w:val="20"/>
                <w:szCs w:val="20"/>
              </w:rPr>
            </w:pPr>
            <w:r>
              <w:rPr>
                <w:rFonts w:ascii="Arial"/>
                <w:sz w:val="20"/>
              </w:rPr>
              <w:t>35.16%</w:t>
            </w:r>
          </w:p>
        </w:tc>
      </w:tr>
      <w:tr>
        <w:trPr>
          <w:trHeight w:val="275"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left="217"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49"/>
                <w:sz w:val="20"/>
                <w:szCs w:val="20"/>
              </w:rPr>
              <w:t> </w:t>
            </w:r>
            <w:r>
              <w:rPr>
                <w:rFonts w:ascii="Arial" w:hAnsi="Arial" w:cs="Arial" w:eastAsia="Arial" w:hint="default"/>
                <w:sz w:val="20"/>
                <w:szCs w:val="20"/>
              </w:rPr>
              <w:t>9</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98"/>
              <w:jc w:val="right"/>
              <w:rPr>
                <w:rFonts w:ascii="Arial" w:hAnsi="Arial" w:cs="Arial" w:eastAsia="Arial" w:hint="default"/>
                <w:sz w:val="20"/>
                <w:szCs w:val="20"/>
              </w:rPr>
            </w:pPr>
            <w:r>
              <w:rPr>
                <w:rFonts w:ascii="Arial"/>
                <w:spacing w:val="-1"/>
                <w:sz w:val="20"/>
              </w:rPr>
              <w:t>2,061,752</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92"/>
              <w:jc w:val="right"/>
              <w:rPr>
                <w:rFonts w:ascii="Arial" w:hAnsi="Arial" w:cs="Arial" w:eastAsia="Arial" w:hint="default"/>
                <w:sz w:val="20"/>
                <w:szCs w:val="20"/>
              </w:rPr>
            </w:pPr>
            <w:r>
              <w:rPr>
                <w:rFonts w:ascii="Arial"/>
                <w:sz w:val="20"/>
              </w:rPr>
              <w:t>408,528</w:t>
            </w:r>
          </w:p>
        </w:tc>
        <w:tc>
          <w:tcPr>
            <w:tcW w:w="1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376" w:right="0"/>
              <w:jc w:val="left"/>
              <w:rPr>
                <w:rFonts w:ascii="Arial" w:hAnsi="Arial" w:cs="Arial" w:eastAsia="Arial" w:hint="default"/>
                <w:sz w:val="20"/>
                <w:szCs w:val="20"/>
              </w:rPr>
            </w:pPr>
            <w:r>
              <w:rPr>
                <w:rFonts w:ascii="Arial"/>
                <w:sz w:val="20"/>
              </w:rPr>
              <w:t>1,653,224</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4"/>
              <w:jc w:val="right"/>
              <w:rPr>
                <w:rFonts w:ascii="Arial" w:hAnsi="Arial" w:cs="Arial" w:eastAsia="Arial" w:hint="default"/>
                <w:sz w:val="20"/>
                <w:szCs w:val="20"/>
              </w:rPr>
            </w:pPr>
            <w:r>
              <w:rPr>
                <w:rFonts w:ascii="Arial"/>
                <w:sz w:val="20"/>
              </w:rPr>
              <w:t>404.68%</w:t>
            </w:r>
          </w:p>
        </w:tc>
      </w:tr>
      <w:tr>
        <w:trPr>
          <w:trHeight w:val="275"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left="217"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3"/>
                <w:sz w:val="20"/>
                <w:szCs w:val="20"/>
              </w:rPr>
              <w:t> </w:t>
            </w:r>
            <w:r>
              <w:rPr>
                <w:rFonts w:ascii="Arial" w:hAnsi="Arial" w:cs="Arial" w:eastAsia="Arial" w:hint="default"/>
                <w:sz w:val="20"/>
                <w:szCs w:val="20"/>
              </w:rPr>
              <w:t>10</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98"/>
              <w:jc w:val="right"/>
              <w:rPr>
                <w:rFonts w:ascii="Arial" w:hAnsi="Arial" w:cs="Arial" w:eastAsia="Arial" w:hint="default"/>
                <w:sz w:val="20"/>
                <w:szCs w:val="20"/>
              </w:rPr>
            </w:pPr>
            <w:r>
              <w:rPr>
                <w:rFonts w:ascii="Arial"/>
                <w:spacing w:val="-1"/>
                <w:sz w:val="20"/>
              </w:rPr>
              <w:t>1,309,337</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91"/>
              <w:jc w:val="right"/>
              <w:rPr>
                <w:rFonts w:ascii="Arial" w:hAnsi="Arial" w:cs="Arial" w:eastAsia="Arial" w:hint="default"/>
                <w:sz w:val="20"/>
                <w:szCs w:val="20"/>
              </w:rPr>
            </w:pPr>
            <w:r>
              <w:rPr>
                <w:rFonts w:ascii="Arial"/>
                <w:sz w:val="20"/>
              </w:rPr>
              <w:t>764,874</w:t>
            </w:r>
          </w:p>
        </w:tc>
        <w:tc>
          <w:tcPr>
            <w:tcW w:w="1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543" w:right="0"/>
              <w:jc w:val="left"/>
              <w:rPr>
                <w:rFonts w:ascii="Arial" w:hAnsi="Arial" w:cs="Arial" w:eastAsia="Arial" w:hint="default"/>
                <w:sz w:val="20"/>
                <w:szCs w:val="20"/>
              </w:rPr>
            </w:pPr>
            <w:r>
              <w:rPr>
                <w:rFonts w:ascii="Arial"/>
                <w:sz w:val="20"/>
              </w:rPr>
              <w:t>544,463</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4"/>
              <w:jc w:val="right"/>
              <w:rPr>
                <w:rFonts w:ascii="Arial" w:hAnsi="Arial" w:cs="Arial" w:eastAsia="Arial" w:hint="default"/>
                <w:sz w:val="20"/>
                <w:szCs w:val="20"/>
              </w:rPr>
            </w:pPr>
            <w:r>
              <w:rPr>
                <w:rFonts w:ascii="Arial"/>
                <w:sz w:val="20"/>
              </w:rPr>
              <w:t>71.18%</w:t>
            </w:r>
          </w:p>
        </w:tc>
      </w:tr>
      <w:tr>
        <w:trPr>
          <w:trHeight w:val="390"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left="217"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0"/>
                <w:sz w:val="20"/>
                <w:szCs w:val="20"/>
              </w:rPr>
              <w:t> </w:t>
            </w:r>
            <w:r>
              <w:rPr>
                <w:rFonts w:ascii="Arial" w:hAnsi="Arial" w:cs="Arial" w:eastAsia="Arial" w:hint="default"/>
                <w:spacing w:val="-15"/>
                <w:sz w:val="20"/>
                <w:szCs w:val="20"/>
              </w:rPr>
              <w:t>11</w:t>
            </w:r>
            <w:r>
              <w:rPr>
                <w:rFonts w:ascii="Arial" w:hAnsi="Arial" w:cs="Arial" w:eastAsia="Arial" w:hint="default"/>
                <w:sz w:val="20"/>
                <w:szCs w:val="20"/>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98"/>
              <w:jc w:val="right"/>
              <w:rPr>
                <w:rFonts w:ascii="Arial" w:hAnsi="Arial" w:cs="Arial" w:eastAsia="Arial" w:hint="default"/>
                <w:sz w:val="20"/>
                <w:szCs w:val="20"/>
              </w:rPr>
            </w:pPr>
            <w:r>
              <w:rPr>
                <w:rFonts w:ascii="Arial"/>
                <w:spacing w:val="-1"/>
                <w:sz w:val="20"/>
              </w:rPr>
              <w:t>529,531</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92"/>
              <w:jc w:val="right"/>
              <w:rPr>
                <w:rFonts w:ascii="Arial" w:hAnsi="Arial" w:cs="Arial" w:eastAsia="Arial" w:hint="default"/>
                <w:sz w:val="20"/>
                <w:szCs w:val="20"/>
              </w:rPr>
            </w:pPr>
            <w:r>
              <w:rPr>
                <w:rFonts w:ascii="Arial"/>
                <w:sz w:val="20"/>
              </w:rPr>
              <w:t>237,942</w:t>
            </w:r>
          </w:p>
        </w:tc>
        <w:tc>
          <w:tcPr>
            <w:tcW w:w="1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543" w:right="0"/>
              <w:jc w:val="left"/>
              <w:rPr>
                <w:rFonts w:ascii="Arial" w:hAnsi="Arial" w:cs="Arial" w:eastAsia="Arial" w:hint="default"/>
                <w:sz w:val="20"/>
                <w:szCs w:val="20"/>
              </w:rPr>
            </w:pPr>
            <w:r>
              <w:rPr>
                <w:rFonts w:ascii="Arial"/>
                <w:sz w:val="20"/>
              </w:rPr>
              <w:t>291,589</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4"/>
              <w:jc w:val="right"/>
              <w:rPr>
                <w:rFonts w:ascii="Arial" w:hAnsi="Arial" w:cs="Arial" w:eastAsia="Arial" w:hint="default"/>
                <w:sz w:val="20"/>
                <w:szCs w:val="20"/>
              </w:rPr>
            </w:pPr>
            <w:r>
              <w:rPr>
                <w:rFonts w:ascii="Arial"/>
                <w:sz w:val="20"/>
              </w:rPr>
              <w:t>122.55%</w:t>
            </w:r>
          </w:p>
        </w:tc>
      </w:tr>
      <w:tr>
        <w:trPr>
          <w:trHeight w:val="416"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17"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3"/>
                <w:sz w:val="20"/>
                <w:szCs w:val="20"/>
              </w:rPr>
              <w:t> </w:t>
            </w:r>
            <w:r>
              <w:rPr>
                <w:rFonts w:ascii="Arial" w:hAnsi="Arial" w:cs="Arial" w:eastAsia="Arial" w:hint="default"/>
                <w:sz w:val="20"/>
                <w:szCs w:val="20"/>
              </w:rPr>
              <w:t>12</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98"/>
              <w:jc w:val="right"/>
              <w:rPr>
                <w:rFonts w:ascii="Arial" w:hAnsi="Arial" w:cs="Arial" w:eastAsia="Arial" w:hint="default"/>
                <w:sz w:val="20"/>
                <w:szCs w:val="20"/>
              </w:rPr>
            </w:pPr>
            <w:r>
              <w:rPr>
                <w:rFonts w:ascii="Arial"/>
                <w:spacing w:val="-1"/>
                <w:sz w:val="20"/>
              </w:rPr>
              <w:t>6,839,024</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90"/>
              <w:jc w:val="right"/>
              <w:rPr>
                <w:rFonts w:ascii="Arial" w:hAnsi="Arial" w:cs="Arial" w:eastAsia="Arial" w:hint="default"/>
                <w:sz w:val="20"/>
                <w:szCs w:val="20"/>
              </w:rPr>
            </w:pPr>
            <w:r>
              <w:rPr>
                <w:rFonts w:ascii="Arial"/>
                <w:spacing w:val="-2"/>
                <w:sz w:val="20"/>
              </w:rPr>
              <w:t>5,003,117</w:t>
            </w:r>
          </w:p>
        </w:tc>
        <w:tc>
          <w:tcPr>
            <w:tcW w:w="1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376" w:right="0"/>
              <w:jc w:val="left"/>
              <w:rPr>
                <w:rFonts w:ascii="Arial" w:hAnsi="Arial" w:cs="Arial" w:eastAsia="Arial" w:hint="default"/>
                <w:sz w:val="20"/>
                <w:szCs w:val="20"/>
              </w:rPr>
            </w:pPr>
            <w:r>
              <w:rPr>
                <w:rFonts w:ascii="Arial"/>
                <w:sz w:val="20"/>
              </w:rPr>
              <w:t>1,835,907</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4"/>
              <w:jc w:val="right"/>
              <w:rPr>
                <w:rFonts w:ascii="Arial" w:hAnsi="Arial" w:cs="Arial" w:eastAsia="Arial" w:hint="default"/>
                <w:sz w:val="20"/>
                <w:szCs w:val="20"/>
              </w:rPr>
            </w:pPr>
            <w:r>
              <w:rPr>
                <w:rFonts w:ascii="Arial"/>
                <w:sz w:val="20"/>
              </w:rPr>
              <w:t>36.70%</w:t>
            </w:r>
          </w:p>
        </w:tc>
      </w:tr>
      <w:tr>
        <w:trPr>
          <w:trHeight w:val="305"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659" w:type="dxa"/>
            <w:tcBorders>
              <w:top w:val="nil" w:sz="6" w:space="0" w:color="auto"/>
              <w:left w:val="nil" w:sz="6" w:space="0" w:color="auto"/>
              <w:bottom w:val="nil" w:sz="6" w:space="0" w:color="auto"/>
              <w:right w:val="nil" w:sz="6" w:space="0" w:color="auto"/>
            </w:tcBorders>
          </w:tcPr>
          <w:p>
            <w:pPr>
              <w:pStyle w:val="TableParagraph"/>
              <w:spacing w:line="207" w:lineRule="exact"/>
              <w:ind w:left="217"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3"/>
                <w:sz w:val="20"/>
                <w:szCs w:val="20"/>
              </w:rPr>
              <w:t> </w:t>
            </w:r>
            <w:r>
              <w:rPr>
                <w:rFonts w:ascii="Arial" w:hAnsi="Arial" w:cs="Arial" w:eastAsia="Arial" w:hint="default"/>
                <w:sz w:val="20"/>
                <w:szCs w:val="20"/>
              </w:rPr>
              <w:t>13</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98"/>
              <w:jc w:val="right"/>
              <w:rPr>
                <w:rFonts w:ascii="Arial" w:hAnsi="Arial" w:cs="Arial" w:eastAsia="Arial" w:hint="default"/>
                <w:sz w:val="20"/>
                <w:szCs w:val="20"/>
              </w:rPr>
            </w:pPr>
            <w:r>
              <w:rPr>
                <w:rFonts w:ascii="Arial"/>
                <w:spacing w:val="-1"/>
                <w:sz w:val="20"/>
              </w:rPr>
              <w:t>393,820</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92"/>
              <w:jc w:val="right"/>
              <w:rPr>
                <w:rFonts w:ascii="Arial" w:hAnsi="Arial" w:cs="Arial" w:eastAsia="Arial" w:hint="default"/>
                <w:sz w:val="20"/>
                <w:szCs w:val="20"/>
              </w:rPr>
            </w:pPr>
            <w:r>
              <w:rPr>
                <w:rFonts w:ascii="Arial"/>
                <w:sz w:val="20"/>
              </w:rPr>
              <w:t>276,792</w:t>
            </w:r>
          </w:p>
        </w:tc>
        <w:tc>
          <w:tcPr>
            <w:tcW w:w="1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557" w:right="0"/>
              <w:jc w:val="left"/>
              <w:rPr>
                <w:rFonts w:ascii="Arial" w:hAnsi="Arial" w:cs="Arial" w:eastAsia="Arial" w:hint="default"/>
                <w:sz w:val="20"/>
                <w:szCs w:val="20"/>
              </w:rPr>
            </w:pPr>
            <w:r>
              <w:rPr>
                <w:rFonts w:ascii="Arial"/>
                <w:spacing w:val="-3"/>
                <w:sz w:val="20"/>
              </w:rPr>
              <w:t>117,028</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4"/>
              <w:jc w:val="right"/>
              <w:rPr>
                <w:rFonts w:ascii="Arial" w:hAnsi="Arial" w:cs="Arial" w:eastAsia="Arial" w:hint="default"/>
                <w:sz w:val="20"/>
                <w:szCs w:val="20"/>
              </w:rPr>
            </w:pPr>
            <w:r>
              <w:rPr>
                <w:rFonts w:ascii="Arial"/>
                <w:sz w:val="20"/>
              </w:rPr>
              <w:t>42.28%</w:t>
            </w:r>
          </w:p>
        </w:tc>
      </w:tr>
      <w:tr>
        <w:trPr>
          <w:trHeight w:val="300"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659" w:type="dxa"/>
            <w:tcBorders>
              <w:top w:val="nil" w:sz="6" w:space="0" w:color="auto"/>
              <w:left w:val="nil" w:sz="6" w:space="0" w:color="auto"/>
              <w:bottom w:val="nil" w:sz="6" w:space="0" w:color="auto"/>
              <w:right w:val="nil" w:sz="6" w:space="0" w:color="auto"/>
            </w:tcBorders>
          </w:tcPr>
          <w:p>
            <w:pPr>
              <w:pStyle w:val="TableParagraph"/>
              <w:spacing w:line="212" w:lineRule="exact"/>
              <w:ind w:left="217"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3"/>
                <w:sz w:val="20"/>
                <w:szCs w:val="20"/>
              </w:rPr>
              <w:t> </w:t>
            </w:r>
            <w:r>
              <w:rPr>
                <w:rFonts w:ascii="Arial" w:hAnsi="Arial" w:cs="Arial" w:eastAsia="Arial" w:hint="default"/>
                <w:sz w:val="20"/>
                <w:szCs w:val="20"/>
              </w:rPr>
              <w:t>14</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98"/>
              <w:jc w:val="right"/>
              <w:rPr>
                <w:rFonts w:ascii="Arial" w:hAnsi="Arial" w:cs="Arial" w:eastAsia="Arial" w:hint="default"/>
                <w:sz w:val="20"/>
                <w:szCs w:val="20"/>
              </w:rPr>
            </w:pPr>
            <w:r>
              <w:rPr>
                <w:rFonts w:ascii="Arial"/>
                <w:spacing w:val="-1"/>
                <w:sz w:val="20"/>
              </w:rPr>
              <w:t>1,539,020</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92"/>
              <w:jc w:val="right"/>
              <w:rPr>
                <w:rFonts w:ascii="Arial" w:hAnsi="Arial" w:cs="Arial" w:eastAsia="Arial" w:hint="default"/>
                <w:sz w:val="20"/>
                <w:szCs w:val="20"/>
              </w:rPr>
            </w:pPr>
            <w:r>
              <w:rPr>
                <w:rFonts w:ascii="Arial"/>
                <w:spacing w:val="-1"/>
                <w:sz w:val="20"/>
              </w:rPr>
              <w:t>666,391</w:t>
            </w:r>
          </w:p>
        </w:tc>
        <w:tc>
          <w:tcPr>
            <w:tcW w:w="1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543" w:right="0"/>
              <w:jc w:val="left"/>
              <w:rPr>
                <w:rFonts w:ascii="Arial" w:hAnsi="Arial" w:cs="Arial" w:eastAsia="Arial" w:hint="default"/>
                <w:sz w:val="20"/>
                <w:szCs w:val="20"/>
              </w:rPr>
            </w:pPr>
            <w:r>
              <w:rPr>
                <w:rFonts w:ascii="Arial"/>
                <w:sz w:val="20"/>
              </w:rPr>
              <w:t>872,629</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4"/>
              <w:jc w:val="right"/>
              <w:rPr>
                <w:rFonts w:ascii="Arial" w:hAnsi="Arial" w:cs="Arial" w:eastAsia="Arial" w:hint="default"/>
                <w:sz w:val="20"/>
                <w:szCs w:val="20"/>
              </w:rPr>
            </w:pPr>
            <w:r>
              <w:rPr>
                <w:rFonts w:ascii="Arial"/>
                <w:sz w:val="20"/>
              </w:rPr>
              <w:t>130.95%</w:t>
            </w:r>
          </w:p>
        </w:tc>
      </w:tr>
      <w:tr>
        <w:trPr>
          <w:trHeight w:val="301"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659" w:type="dxa"/>
            <w:tcBorders>
              <w:top w:val="nil" w:sz="6" w:space="0" w:color="auto"/>
              <w:left w:val="nil" w:sz="6" w:space="0" w:color="auto"/>
              <w:bottom w:val="nil" w:sz="6" w:space="0" w:color="auto"/>
              <w:right w:val="nil" w:sz="6" w:space="0" w:color="auto"/>
            </w:tcBorders>
          </w:tcPr>
          <w:p>
            <w:pPr>
              <w:pStyle w:val="TableParagraph"/>
              <w:spacing w:line="213" w:lineRule="exact"/>
              <w:ind w:left="217"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3"/>
                <w:sz w:val="20"/>
                <w:szCs w:val="20"/>
              </w:rPr>
              <w:t> </w:t>
            </w:r>
            <w:r>
              <w:rPr>
                <w:rFonts w:ascii="Arial" w:hAnsi="Arial" w:cs="Arial" w:eastAsia="Arial" w:hint="default"/>
                <w:sz w:val="20"/>
                <w:szCs w:val="20"/>
              </w:rPr>
              <w:t>15</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98"/>
              <w:jc w:val="right"/>
              <w:rPr>
                <w:rFonts w:ascii="Arial" w:hAnsi="Arial" w:cs="Arial" w:eastAsia="Arial" w:hint="default"/>
                <w:sz w:val="20"/>
                <w:szCs w:val="20"/>
              </w:rPr>
            </w:pPr>
            <w:r>
              <w:rPr>
                <w:rFonts w:ascii="Arial"/>
                <w:spacing w:val="-1"/>
                <w:sz w:val="20"/>
              </w:rPr>
              <w:t>318,755</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92"/>
              <w:jc w:val="right"/>
              <w:rPr>
                <w:rFonts w:ascii="Arial" w:hAnsi="Arial" w:cs="Arial" w:eastAsia="Arial" w:hint="default"/>
                <w:sz w:val="20"/>
                <w:szCs w:val="20"/>
              </w:rPr>
            </w:pPr>
            <w:r>
              <w:rPr>
                <w:rFonts w:ascii="Arial"/>
                <w:sz w:val="20"/>
              </w:rPr>
              <w:t>235,148</w:t>
            </w:r>
          </w:p>
        </w:tc>
        <w:tc>
          <w:tcPr>
            <w:tcW w:w="1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653" w:right="0"/>
              <w:jc w:val="left"/>
              <w:rPr>
                <w:rFonts w:ascii="Arial" w:hAnsi="Arial" w:cs="Arial" w:eastAsia="Arial" w:hint="default"/>
                <w:sz w:val="20"/>
                <w:szCs w:val="20"/>
              </w:rPr>
            </w:pPr>
            <w:r>
              <w:rPr>
                <w:rFonts w:ascii="Arial"/>
                <w:sz w:val="20"/>
              </w:rPr>
              <w:t>83,607</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4"/>
              <w:jc w:val="right"/>
              <w:rPr>
                <w:rFonts w:ascii="Arial" w:hAnsi="Arial" w:cs="Arial" w:eastAsia="Arial" w:hint="default"/>
                <w:sz w:val="20"/>
                <w:szCs w:val="20"/>
              </w:rPr>
            </w:pPr>
            <w:r>
              <w:rPr>
                <w:rFonts w:ascii="Arial"/>
                <w:sz w:val="20"/>
              </w:rPr>
              <w:t>35.56%</w:t>
            </w:r>
          </w:p>
        </w:tc>
      </w:tr>
      <w:tr>
        <w:trPr>
          <w:trHeight w:val="362"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659" w:type="dxa"/>
            <w:tcBorders>
              <w:top w:val="nil" w:sz="6" w:space="0" w:color="auto"/>
              <w:left w:val="nil" w:sz="6" w:space="0" w:color="auto"/>
              <w:bottom w:val="nil" w:sz="6" w:space="0" w:color="auto"/>
              <w:right w:val="nil" w:sz="6" w:space="0" w:color="auto"/>
            </w:tcBorders>
          </w:tcPr>
          <w:p>
            <w:pPr>
              <w:pStyle w:val="TableParagraph"/>
              <w:spacing w:line="213" w:lineRule="exact"/>
              <w:ind w:left="217"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3"/>
                <w:sz w:val="20"/>
                <w:szCs w:val="20"/>
              </w:rPr>
              <w:t> </w:t>
            </w:r>
            <w:r>
              <w:rPr>
                <w:rFonts w:ascii="Arial" w:hAnsi="Arial" w:cs="Arial" w:eastAsia="Arial" w:hint="default"/>
                <w:sz w:val="20"/>
                <w:szCs w:val="20"/>
              </w:rPr>
              <w:t>16</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98"/>
              <w:jc w:val="right"/>
              <w:rPr>
                <w:rFonts w:ascii="Arial" w:hAnsi="Arial" w:cs="Arial" w:eastAsia="Arial" w:hint="default"/>
                <w:sz w:val="20"/>
                <w:szCs w:val="20"/>
              </w:rPr>
            </w:pPr>
            <w:r>
              <w:rPr>
                <w:rFonts w:ascii="Arial"/>
                <w:spacing w:val="-1"/>
                <w:sz w:val="20"/>
              </w:rPr>
              <w:t>493,248</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92"/>
              <w:jc w:val="right"/>
              <w:rPr>
                <w:rFonts w:ascii="Arial" w:hAnsi="Arial" w:cs="Arial" w:eastAsia="Arial" w:hint="default"/>
                <w:sz w:val="20"/>
                <w:szCs w:val="20"/>
              </w:rPr>
            </w:pPr>
            <w:r>
              <w:rPr>
                <w:rFonts w:ascii="Arial"/>
                <w:spacing w:val="-1"/>
                <w:sz w:val="20"/>
              </w:rPr>
              <w:t>189,271</w:t>
            </w:r>
          </w:p>
        </w:tc>
        <w:tc>
          <w:tcPr>
            <w:tcW w:w="1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542" w:right="0"/>
              <w:jc w:val="left"/>
              <w:rPr>
                <w:rFonts w:ascii="Arial" w:hAnsi="Arial" w:cs="Arial" w:eastAsia="Arial" w:hint="default"/>
                <w:sz w:val="20"/>
                <w:szCs w:val="20"/>
              </w:rPr>
            </w:pPr>
            <w:r>
              <w:rPr>
                <w:rFonts w:ascii="Arial"/>
                <w:sz w:val="20"/>
              </w:rPr>
              <w:t>303,977</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4"/>
              <w:jc w:val="right"/>
              <w:rPr>
                <w:rFonts w:ascii="Arial" w:hAnsi="Arial" w:cs="Arial" w:eastAsia="Arial" w:hint="default"/>
                <w:sz w:val="20"/>
                <w:szCs w:val="20"/>
              </w:rPr>
            </w:pPr>
            <w:r>
              <w:rPr>
                <w:rFonts w:ascii="Arial"/>
                <w:sz w:val="20"/>
              </w:rPr>
              <w:t>160.60%</w:t>
            </w:r>
          </w:p>
        </w:tc>
      </w:tr>
    </w:tbl>
    <w:p>
      <w:pPr>
        <w:spacing w:line="240" w:lineRule="auto" w:before="13"/>
        <w:rPr>
          <w:rFonts w:ascii="宋体" w:hAnsi="宋体" w:cs="宋体" w:eastAsia="宋体" w:hint="default"/>
          <w:b/>
          <w:bCs/>
          <w:sz w:val="8"/>
          <w:szCs w:val="8"/>
        </w:rPr>
      </w:pPr>
    </w:p>
    <w:p>
      <w:pPr>
        <w:spacing w:before="38"/>
        <w:ind w:left="0" w:right="164" w:firstLine="0"/>
        <w:jc w:val="right"/>
        <w:rPr>
          <w:rFonts w:ascii="宋体" w:hAnsi="宋体" w:cs="宋体" w:eastAsia="宋体" w:hint="default"/>
          <w:sz w:val="20"/>
          <w:szCs w:val="20"/>
        </w:rPr>
      </w:pPr>
      <w:r>
        <w:rPr>
          <w:rFonts w:ascii="宋体" w:hAnsi="宋体" w:cs="宋体" w:eastAsia="宋体" w:hint="default"/>
          <w:spacing w:val="-1"/>
          <w:sz w:val="20"/>
          <w:szCs w:val="20"/>
        </w:rPr>
        <w:t>差异变动金额及幅度</w:t>
      </w:r>
    </w:p>
    <w:p>
      <w:pPr>
        <w:spacing w:line="240" w:lineRule="auto" w:before="1"/>
        <w:rPr>
          <w:rFonts w:ascii="宋体" w:hAnsi="宋体" w:cs="宋体" w:eastAsia="宋体" w:hint="default"/>
          <w:sz w:val="3"/>
          <w:szCs w:val="3"/>
        </w:rPr>
      </w:pPr>
    </w:p>
    <w:tbl>
      <w:tblPr>
        <w:tblW w:w="0" w:type="auto"/>
        <w:jc w:val="left"/>
        <w:tblInd w:w="775" w:type="dxa"/>
        <w:tblLayout w:type="fixed"/>
        <w:tblCellMar>
          <w:top w:w="0" w:type="dxa"/>
          <w:left w:w="0" w:type="dxa"/>
          <w:bottom w:w="0" w:type="dxa"/>
          <w:right w:w="0" w:type="dxa"/>
        </w:tblCellMar>
        <w:tblLook w:val="01E0"/>
      </w:tblPr>
      <w:tblGrid>
        <w:gridCol w:w="3340"/>
        <w:gridCol w:w="1463"/>
        <w:gridCol w:w="1797"/>
        <w:gridCol w:w="1771"/>
        <w:gridCol w:w="1214"/>
      </w:tblGrid>
      <w:tr>
        <w:trPr>
          <w:trHeight w:val="402" w:hRule="exact"/>
        </w:trPr>
        <w:tc>
          <w:tcPr>
            <w:tcW w:w="4802" w:type="dxa"/>
            <w:gridSpan w:val="2"/>
            <w:tcBorders>
              <w:top w:val="nil" w:sz="6" w:space="0" w:color="auto"/>
              <w:left w:val="nil" w:sz="6" w:space="0" w:color="auto"/>
              <w:bottom w:val="nil" w:sz="6" w:space="0" w:color="auto"/>
              <w:right w:val="nil" w:sz="6" w:space="0" w:color="auto"/>
            </w:tcBorders>
          </w:tcPr>
          <w:p>
            <w:pPr>
              <w:pStyle w:val="TableParagraph"/>
              <w:spacing w:line="233" w:lineRule="exact"/>
              <w:ind w:right="476"/>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1797" w:type="dxa"/>
            <w:tcBorders>
              <w:top w:val="nil" w:sz="6" w:space="0" w:color="auto"/>
              <w:left w:val="nil" w:sz="6" w:space="0" w:color="auto"/>
              <w:bottom w:val="nil" w:sz="6" w:space="0" w:color="auto"/>
              <w:right w:val="nil" w:sz="6" w:space="0" w:color="auto"/>
            </w:tcBorders>
          </w:tcPr>
          <w:p>
            <w:pPr>
              <w:pStyle w:val="TableParagraph"/>
              <w:spacing w:line="233" w:lineRule="exact"/>
              <w:ind w:right="315"/>
              <w:jc w:val="righ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1771" w:type="dxa"/>
            <w:tcBorders>
              <w:top w:val="nil" w:sz="6" w:space="0" w:color="auto"/>
              <w:left w:val="nil" w:sz="6" w:space="0" w:color="auto"/>
              <w:bottom w:val="nil" w:sz="6" w:space="0" w:color="auto"/>
              <w:right w:val="nil" w:sz="6" w:space="0" w:color="auto"/>
            </w:tcBorders>
          </w:tcPr>
          <w:p>
            <w:pPr>
              <w:pStyle w:val="TableParagraph"/>
              <w:spacing w:line="219" w:lineRule="exact"/>
              <w:ind w:right="22"/>
              <w:jc w:val="center"/>
              <w:rPr>
                <w:rFonts w:ascii="宋体" w:hAnsi="宋体" w:cs="宋体" w:eastAsia="宋体" w:hint="default"/>
                <w:sz w:val="20"/>
                <w:szCs w:val="20"/>
              </w:rPr>
            </w:pPr>
            <w:r>
              <w:rPr>
                <w:rFonts w:ascii="宋体" w:hAnsi="宋体" w:cs="宋体" w:eastAsia="宋体" w:hint="default"/>
                <w:sz w:val="20"/>
                <w:szCs w:val="20"/>
              </w:rPr>
              <w:t>金额</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3"/>
              <w:ind w:left="701" w:right="0"/>
              <w:jc w:val="left"/>
              <w:rPr>
                <w:rFonts w:ascii="Arial" w:hAnsi="Arial" w:cs="Arial" w:eastAsia="Arial" w:hint="default"/>
                <w:sz w:val="20"/>
                <w:szCs w:val="20"/>
              </w:rPr>
            </w:pPr>
            <w:r>
              <w:rPr>
                <w:rFonts w:ascii="Arial"/>
                <w:w w:val="100"/>
                <w:sz w:val="20"/>
              </w:rPr>
              <w:t>%</w:t>
            </w:r>
          </w:p>
        </w:tc>
      </w:tr>
      <w:tr>
        <w:trPr>
          <w:trHeight w:val="442" w:hRule="exact"/>
        </w:trPr>
        <w:tc>
          <w:tcPr>
            <w:tcW w:w="3340" w:type="dxa"/>
            <w:tcBorders>
              <w:top w:val="nil" w:sz="6" w:space="0" w:color="auto"/>
              <w:left w:val="nil" w:sz="6" w:space="0" w:color="auto"/>
              <w:bottom w:val="nil" w:sz="6" w:space="0" w:color="auto"/>
              <w:right w:val="nil" w:sz="6" w:space="0" w:color="auto"/>
            </w:tcBorders>
          </w:tcPr>
          <w:p>
            <w:pPr>
              <w:pStyle w:val="TableParagraph"/>
              <w:tabs>
                <w:tab w:pos="1869" w:val="left" w:leader="none"/>
              </w:tabs>
              <w:spacing w:line="240" w:lineRule="auto" w:before="56"/>
              <w:ind w:left="35" w:right="0"/>
              <w:jc w:val="left"/>
              <w:rPr>
                <w:rFonts w:ascii="Arial" w:hAnsi="Arial" w:cs="Arial" w:eastAsia="Arial" w:hint="default"/>
                <w:sz w:val="20"/>
                <w:szCs w:val="20"/>
              </w:rPr>
            </w:pPr>
            <w:r>
              <w:rPr>
                <w:rFonts w:ascii="宋体" w:hAnsi="宋体" w:cs="宋体" w:eastAsia="宋体" w:hint="default"/>
                <w:position w:val="-5"/>
                <w:sz w:val="20"/>
                <w:szCs w:val="20"/>
              </w:rPr>
              <w:t>营业收入</w:t>
              <w:tab/>
            </w:r>
            <w:r>
              <w:rPr>
                <w:rFonts w:ascii="宋体" w:hAnsi="宋体" w:cs="宋体" w:eastAsia="宋体" w:hint="default"/>
                <w:sz w:val="20"/>
                <w:szCs w:val="20"/>
              </w:rPr>
              <w:t>注释</w:t>
            </w:r>
            <w:r>
              <w:rPr>
                <w:rFonts w:ascii="宋体" w:hAnsi="宋体" w:cs="宋体" w:eastAsia="宋体" w:hint="default"/>
                <w:spacing w:val="-53"/>
                <w:sz w:val="20"/>
                <w:szCs w:val="20"/>
              </w:rPr>
              <w:t> </w:t>
            </w:r>
            <w:r>
              <w:rPr>
                <w:rFonts w:ascii="Arial" w:hAnsi="Arial" w:cs="Arial" w:eastAsia="Arial" w:hint="default"/>
                <w:sz w:val="20"/>
                <w:szCs w:val="20"/>
              </w:rPr>
              <w:t>17</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18" w:right="476"/>
              <w:jc w:val="right"/>
              <w:rPr>
                <w:rFonts w:ascii="Arial" w:hAnsi="Arial" w:cs="Arial" w:eastAsia="Arial" w:hint="default"/>
                <w:sz w:val="20"/>
                <w:szCs w:val="20"/>
              </w:rPr>
            </w:pPr>
            <w:r>
              <w:rPr>
                <w:rFonts w:ascii="Arial"/>
                <w:spacing w:val="-1"/>
                <w:sz w:val="20"/>
              </w:rPr>
              <w:t>75,504,739</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313"/>
              <w:jc w:val="right"/>
              <w:rPr>
                <w:rFonts w:ascii="Arial" w:hAnsi="Arial" w:cs="Arial" w:eastAsia="Arial" w:hint="default"/>
                <w:sz w:val="20"/>
                <w:szCs w:val="20"/>
              </w:rPr>
            </w:pPr>
            <w:r>
              <w:rPr>
                <w:rFonts w:ascii="Arial"/>
                <w:sz w:val="20"/>
              </w:rPr>
              <w:t>58,300,149</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315" w:right="0"/>
              <w:jc w:val="left"/>
              <w:rPr>
                <w:rFonts w:ascii="Arial" w:hAnsi="Arial" w:cs="Arial" w:eastAsia="Arial" w:hint="default"/>
                <w:sz w:val="20"/>
                <w:szCs w:val="20"/>
              </w:rPr>
            </w:pPr>
            <w:r>
              <w:rPr>
                <w:rFonts w:ascii="Arial"/>
                <w:sz w:val="20"/>
              </w:rPr>
              <w:t>17,204,590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33"/>
              <w:jc w:val="right"/>
              <w:rPr>
                <w:rFonts w:ascii="Arial" w:hAnsi="Arial" w:cs="Arial" w:eastAsia="Arial" w:hint="default"/>
                <w:sz w:val="20"/>
                <w:szCs w:val="20"/>
              </w:rPr>
            </w:pPr>
            <w:r>
              <w:rPr>
                <w:rFonts w:ascii="Arial"/>
                <w:sz w:val="20"/>
              </w:rPr>
              <w:t>29.51%</w:t>
            </w:r>
          </w:p>
        </w:tc>
      </w:tr>
      <w:tr>
        <w:trPr>
          <w:trHeight w:val="315" w:hRule="exact"/>
        </w:trPr>
        <w:tc>
          <w:tcPr>
            <w:tcW w:w="3340" w:type="dxa"/>
            <w:tcBorders>
              <w:top w:val="nil" w:sz="6" w:space="0" w:color="auto"/>
              <w:left w:val="nil" w:sz="6" w:space="0" w:color="auto"/>
              <w:bottom w:val="nil" w:sz="6" w:space="0" w:color="auto"/>
              <w:right w:val="nil" w:sz="6" w:space="0" w:color="auto"/>
            </w:tcBorders>
          </w:tcPr>
          <w:p>
            <w:pPr>
              <w:pStyle w:val="TableParagraph"/>
              <w:tabs>
                <w:tab w:pos="1869" w:val="left" w:leader="none"/>
              </w:tabs>
              <w:spacing w:line="251" w:lineRule="exact"/>
              <w:ind w:left="35" w:right="0"/>
              <w:jc w:val="left"/>
              <w:rPr>
                <w:rFonts w:ascii="Arial" w:hAnsi="Arial" w:cs="Arial" w:eastAsia="Arial" w:hint="default"/>
                <w:sz w:val="20"/>
                <w:szCs w:val="20"/>
              </w:rPr>
            </w:pPr>
            <w:r>
              <w:rPr>
                <w:rFonts w:ascii="宋体" w:hAnsi="宋体" w:cs="宋体" w:eastAsia="宋体" w:hint="default"/>
                <w:position w:val="-5"/>
                <w:sz w:val="20"/>
                <w:szCs w:val="20"/>
              </w:rPr>
              <w:t>营业成本</w:t>
              <w:tab/>
            </w:r>
            <w:r>
              <w:rPr>
                <w:rFonts w:ascii="宋体" w:hAnsi="宋体" w:cs="宋体" w:eastAsia="宋体" w:hint="default"/>
                <w:sz w:val="20"/>
                <w:szCs w:val="20"/>
              </w:rPr>
              <w:t>注释</w:t>
            </w:r>
            <w:r>
              <w:rPr>
                <w:rFonts w:ascii="宋体" w:hAnsi="宋体" w:cs="宋体" w:eastAsia="宋体" w:hint="default"/>
                <w:spacing w:val="-53"/>
                <w:sz w:val="20"/>
                <w:szCs w:val="20"/>
              </w:rPr>
              <w:t> </w:t>
            </w:r>
            <w:r>
              <w:rPr>
                <w:rFonts w:ascii="Arial" w:hAnsi="Arial" w:cs="Arial" w:eastAsia="Arial" w:hint="default"/>
                <w:sz w:val="20"/>
                <w:szCs w:val="20"/>
              </w:rPr>
              <w:t>17</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 w:right="476"/>
              <w:jc w:val="right"/>
              <w:rPr>
                <w:rFonts w:ascii="Arial" w:hAnsi="Arial" w:cs="Arial" w:eastAsia="Arial" w:hint="default"/>
                <w:sz w:val="20"/>
                <w:szCs w:val="20"/>
              </w:rPr>
            </w:pPr>
            <w:r>
              <w:rPr>
                <w:rFonts w:ascii="Arial"/>
                <w:spacing w:val="-1"/>
                <w:sz w:val="20"/>
              </w:rPr>
              <w:t>62,040,712</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3"/>
              <w:jc w:val="right"/>
              <w:rPr>
                <w:rFonts w:ascii="Arial" w:hAnsi="Arial" w:cs="Arial" w:eastAsia="Arial" w:hint="default"/>
                <w:sz w:val="20"/>
                <w:szCs w:val="20"/>
              </w:rPr>
            </w:pPr>
            <w:r>
              <w:rPr>
                <w:rFonts w:ascii="Arial"/>
                <w:sz w:val="20"/>
              </w:rPr>
              <w:t>48,185,789</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15" w:right="0"/>
              <w:jc w:val="left"/>
              <w:rPr>
                <w:rFonts w:ascii="Arial" w:hAnsi="Arial" w:cs="Arial" w:eastAsia="Arial" w:hint="default"/>
                <w:sz w:val="20"/>
                <w:szCs w:val="20"/>
              </w:rPr>
            </w:pPr>
            <w:r>
              <w:rPr>
                <w:rFonts w:ascii="Arial"/>
                <w:sz w:val="20"/>
              </w:rPr>
              <w:t>13,854,923</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Arial" w:hAnsi="Arial" w:cs="Arial" w:eastAsia="Arial" w:hint="default"/>
                <w:sz w:val="20"/>
                <w:szCs w:val="20"/>
              </w:rPr>
            </w:pPr>
            <w:r>
              <w:rPr>
                <w:rFonts w:ascii="Arial"/>
                <w:sz w:val="20"/>
              </w:rPr>
              <w:t>28.75%</w:t>
            </w:r>
          </w:p>
        </w:tc>
      </w:tr>
      <w:tr>
        <w:trPr>
          <w:trHeight w:val="315" w:hRule="exact"/>
        </w:trPr>
        <w:tc>
          <w:tcPr>
            <w:tcW w:w="3340" w:type="dxa"/>
            <w:tcBorders>
              <w:top w:val="nil" w:sz="6" w:space="0" w:color="auto"/>
              <w:left w:val="nil" w:sz="6" w:space="0" w:color="auto"/>
              <w:bottom w:val="nil" w:sz="6" w:space="0" w:color="auto"/>
              <w:right w:val="nil" w:sz="6" w:space="0" w:color="auto"/>
            </w:tcBorders>
          </w:tcPr>
          <w:p>
            <w:pPr>
              <w:pStyle w:val="TableParagraph"/>
              <w:tabs>
                <w:tab w:pos="1869" w:val="left" w:leader="none"/>
              </w:tabs>
              <w:spacing w:line="251" w:lineRule="exact"/>
              <w:ind w:left="35" w:right="0"/>
              <w:jc w:val="left"/>
              <w:rPr>
                <w:rFonts w:ascii="Arial" w:hAnsi="Arial" w:cs="Arial" w:eastAsia="Arial" w:hint="default"/>
                <w:sz w:val="20"/>
                <w:szCs w:val="20"/>
              </w:rPr>
            </w:pPr>
            <w:r>
              <w:rPr>
                <w:rFonts w:ascii="宋体" w:hAnsi="宋体" w:cs="宋体" w:eastAsia="宋体" w:hint="default"/>
                <w:position w:val="-5"/>
                <w:sz w:val="20"/>
                <w:szCs w:val="20"/>
              </w:rPr>
              <w:t>财务费用</w:t>
              <w:tab/>
            </w:r>
            <w:r>
              <w:rPr>
                <w:rFonts w:ascii="宋体" w:hAnsi="宋体" w:cs="宋体" w:eastAsia="宋体" w:hint="default"/>
                <w:sz w:val="20"/>
                <w:szCs w:val="20"/>
              </w:rPr>
              <w:t>注释</w:t>
            </w:r>
            <w:r>
              <w:rPr>
                <w:rFonts w:ascii="宋体" w:hAnsi="宋体" w:cs="宋体" w:eastAsia="宋体" w:hint="default"/>
                <w:spacing w:val="-53"/>
                <w:sz w:val="20"/>
                <w:szCs w:val="20"/>
              </w:rPr>
              <w:t> </w:t>
            </w:r>
            <w:r>
              <w:rPr>
                <w:rFonts w:ascii="Arial" w:hAnsi="Arial" w:cs="Arial" w:eastAsia="Arial" w:hint="default"/>
                <w:sz w:val="20"/>
                <w:szCs w:val="20"/>
              </w:rPr>
              <w:t>18</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77"/>
              <w:jc w:val="right"/>
              <w:rPr>
                <w:rFonts w:ascii="Arial" w:hAnsi="Arial" w:cs="Arial" w:eastAsia="Arial" w:hint="default"/>
                <w:sz w:val="20"/>
                <w:szCs w:val="20"/>
              </w:rPr>
            </w:pPr>
            <w:r>
              <w:rPr>
                <w:rFonts w:ascii="Arial"/>
                <w:spacing w:val="-1"/>
                <w:sz w:val="20"/>
              </w:rPr>
              <w:t>(360,769)</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14"/>
              <w:jc w:val="right"/>
              <w:rPr>
                <w:rFonts w:ascii="Arial" w:hAnsi="Arial" w:cs="Arial" w:eastAsia="Arial" w:hint="default"/>
                <w:sz w:val="20"/>
                <w:szCs w:val="20"/>
              </w:rPr>
            </w:pPr>
            <w:r>
              <w:rPr>
                <w:rFonts w:ascii="Arial"/>
                <w:spacing w:val="-1"/>
                <w:sz w:val="20"/>
              </w:rPr>
              <w:t>(172,924)</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85"/>
              <w:jc w:val="right"/>
              <w:rPr>
                <w:rFonts w:ascii="Arial" w:hAnsi="Arial" w:cs="Arial" w:eastAsia="Arial" w:hint="default"/>
                <w:sz w:val="20"/>
                <w:szCs w:val="20"/>
              </w:rPr>
            </w:pPr>
            <w:r>
              <w:rPr>
                <w:rFonts w:ascii="Arial"/>
                <w:spacing w:val="-1"/>
                <w:sz w:val="20"/>
              </w:rPr>
              <w:t>(187,845)</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Arial" w:hAnsi="Arial" w:cs="Arial" w:eastAsia="Arial" w:hint="default"/>
                <w:sz w:val="20"/>
                <w:szCs w:val="20"/>
              </w:rPr>
            </w:pPr>
            <w:r>
              <w:rPr>
                <w:rFonts w:ascii="Arial"/>
                <w:sz w:val="20"/>
              </w:rPr>
              <w:t>108.63%</w:t>
            </w:r>
          </w:p>
        </w:tc>
      </w:tr>
      <w:tr>
        <w:trPr>
          <w:trHeight w:val="315" w:hRule="exact"/>
        </w:trPr>
        <w:tc>
          <w:tcPr>
            <w:tcW w:w="3340" w:type="dxa"/>
            <w:tcBorders>
              <w:top w:val="nil" w:sz="6" w:space="0" w:color="auto"/>
              <w:left w:val="nil" w:sz="6" w:space="0" w:color="auto"/>
              <w:bottom w:val="nil" w:sz="6" w:space="0" w:color="auto"/>
              <w:right w:val="nil" w:sz="6" w:space="0" w:color="auto"/>
            </w:tcBorders>
          </w:tcPr>
          <w:p>
            <w:pPr>
              <w:pStyle w:val="TableParagraph"/>
              <w:tabs>
                <w:tab w:pos="1869" w:val="left" w:leader="none"/>
              </w:tabs>
              <w:spacing w:line="246" w:lineRule="exact"/>
              <w:ind w:left="35" w:right="0"/>
              <w:jc w:val="left"/>
              <w:rPr>
                <w:rFonts w:ascii="Arial" w:hAnsi="Arial" w:cs="Arial" w:eastAsia="Arial" w:hint="default"/>
                <w:sz w:val="20"/>
                <w:szCs w:val="20"/>
              </w:rPr>
            </w:pPr>
            <w:r>
              <w:rPr>
                <w:rFonts w:ascii="宋体" w:hAnsi="宋体" w:cs="宋体" w:eastAsia="宋体" w:hint="default"/>
                <w:spacing w:val="-1"/>
                <w:sz w:val="20"/>
                <w:szCs w:val="20"/>
              </w:rPr>
              <w:t>营业外收入</w:t>
              <w:tab/>
            </w:r>
            <w:r>
              <w:rPr>
                <w:rFonts w:ascii="宋体" w:hAnsi="宋体" w:cs="宋体" w:eastAsia="宋体" w:hint="default"/>
                <w:position w:val="6"/>
                <w:sz w:val="20"/>
                <w:szCs w:val="20"/>
              </w:rPr>
              <w:t>注释</w:t>
            </w:r>
            <w:r>
              <w:rPr>
                <w:rFonts w:ascii="宋体" w:hAnsi="宋体" w:cs="宋体" w:eastAsia="宋体" w:hint="default"/>
                <w:spacing w:val="-49"/>
                <w:position w:val="6"/>
                <w:sz w:val="20"/>
                <w:szCs w:val="20"/>
              </w:rPr>
              <w:t> </w:t>
            </w:r>
            <w:r>
              <w:rPr>
                <w:rFonts w:ascii="Arial" w:hAnsi="Arial" w:cs="Arial" w:eastAsia="Arial" w:hint="default"/>
                <w:spacing w:val="-2"/>
                <w:position w:val="6"/>
                <w:sz w:val="20"/>
                <w:szCs w:val="20"/>
              </w:rPr>
              <w:t>19</w:t>
            </w:r>
            <w:r>
              <w:rPr>
                <w:rFonts w:ascii="Arial" w:hAnsi="Arial" w:cs="Arial" w:eastAsia="Arial" w:hint="default"/>
                <w:sz w:val="20"/>
                <w:szCs w:val="20"/>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76"/>
              <w:jc w:val="right"/>
              <w:rPr>
                <w:rFonts w:ascii="Arial" w:hAnsi="Arial" w:cs="Arial" w:eastAsia="Arial" w:hint="default"/>
                <w:sz w:val="20"/>
                <w:szCs w:val="20"/>
              </w:rPr>
            </w:pPr>
            <w:r>
              <w:rPr>
                <w:rFonts w:ascii="Arial"/>
                <w:sz w:val="20"/>
              </w:rPr>
              <w:t>72,465</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3"/>
              <w:jc w:val="right"/>
              <w:rPr>
                <w:rFonts w:ascii="Arial" w:hAnsi="Arial" w:cs="Arial" w:eastAsia="Arial" w:hint="default"/>
                <w:sz w:val="20"/>
                <w:szCs w:val="20"/>
              </w:rPr>
            </w:pPr>
            <w:r>
              <w:rPr>
                <w:rFonts w:ascii="Arial"/>
                <w:spacing w:val="-5"/>
                <w:sz w:val="20"/>
              </w:rPr>
              <w:t>111,578</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5"/>
              <w:jc w:val="right"/>
              <w:rPr>
                <w:rFonts w:ascii="Arial" w:hAnsi="Arial" w:cs="Arial" w:eastAsia="Arial" w:hint="default"/>
                <w:sz w:val="20"/>
                <w:szCs w:val="20"/>
              </w:rPr>
            </w:pPr>
            <w:r>
              <w:rPr>
                <w:rFonts w:ascii="Arial"/>
                <w:spacing w:val="-3"/>
                <w:sz w:val="20"/>
              </w:rPr>
              <w:t>(39,113)</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Arial" w:hAnsi="Arial" w:cs="Arial" w:eastAsia="Arial" w:hint="default"/>
                <w:sz w:val="20"/>
                <w:szCs w:val="20"/>
              </w:rPr>
            </w:pPr>
            <w:r>
              <w:rPr>
                <w:rFonts w:ascii="Arial"/>
                <w:spacing w:val="-1"/>
                <w:sz w:val="20"/>
              </w:rPr>
              <w:t>-35.05%</w:t>
            </w:r>
          </w:p>
        </w:tc>
      </w:tr>
      <w:tr>
        <w:trPr>
          <w:trHeight w:val="369" w:hRule="exact"/>
        </w:trPr>
        <w:tc>
          <w:tcPr>
            <w:tcW w:w="3340" w:type="dxa"/>
            <w:tcBorders>
              <w:top w:val="nil" w:sz="6" w:space="0" w:color="auto"/>
              <w:left w:val="nil" w:sz="6" w:space="0" w:color="auto"/>
              <w:bottom w:val="nil" w:sz="6" w:space="0" w:color="auto"/>
              <w:right w:val="nil" w:sz="6" w:space="0" w:color="auto"/>
            </w:tcBorders>
          </w:tcPr>
          <w:p>
            <w:pPr>
              <w:pStyle w:val="TableParagraph"/>
              <w:tabs>
                <w:tab w:pos="1869" w:val="left" w:leader="none"/>
              </w:tabs>
              <w:spacing w:line="246" w:lineRule="exact"/>
              <w:ind w:left="35" w:right="0"/>
              <w:jc w:val="left"/>
              <w:rPr>
                <w:rFonts w:ascii="Arial" w:hAnsi="Arial" w:cs="Arial" w:eastAsia="Arial" w:hint="default"/>
                <w:sz w:val="20"/>
                <w:szCs w:val="20"/>
              </w:rPr>
            </w:pPr>
            <w:r>
              <w:rPr>
                <w:rFonts w:ascii="宋体" w:hAnsi="宋体" w:cs="宋体" w:eastAsia="宋体" w:hint="default"/>
                <w:spacing w:val="-1"/>
                <w:sz w:val="20"/>
                <w:szCs w:val="20"/>
              </w:rPr>
              <w:t>营业外支出</w:t>
              <w:tab/>
            </w:r>
            <w:r>
              <w:rPr>
                <w:rFonts w:ascii="宋体" w:hAnsi="宋体" w:cs="宋体" w:eastAsia="宋体" w:hint="default"/>
                <w:position w:val="6"/>
                <w:sz w:val="20"/>
                <w:szCs w:val="20"/>
              </w:rPr>
              <w:t>注释</w:t>
            </w:r>
            <w:r>
              <w:rPr>
                <w:rFonts w:ascii="宋体" w:hAnsi="宋体" w:cs="宋体" w:eastAsia="宋体" w:hint="default"/>
                <w:spacing w:val="-49"/>
                <w:position w:val="6"/>
                <w:sz w:val="20"/>
                <w:szCs w:val="20"/>
              </w:rPr>
              <w:t> </w:t>
            </w:r>
            <w:r>
              <w:rPr>
                <w:rFonts w:ascii="Arial" w:hAnsi="Arial" w:cs="Arial" w:eastAsia="Arial" w:hint="default"/>
                <w:spacing w:val="-2"/>
                <w:position w:val="6"/>
                <w:sz w:val="20"/>
                <w:szCs w:val="20"/>
              </w:rPr>
              <w:t>20</w:t>
            </w:r>
            <w:r>
              <w:rPr>
                <w:rFonts w:ascii="Arial" w:hAnsi="Arial" w:cs="Arial" w:eastAsia="Arial" w:hint="default"/>
                <w:sz w:val="20"/>
                <w:szCs w:val="20"/>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76"/>
              <w:jc w:val="right"/>
              <w:rPr>
                <w:rFonts w:ascii="Arial" w:hAnsi="Arial" w:cs="Arial" w:eastAsia="Arial" w:hint="default"/>
                <w:sz w:val="20"/>
                <w:szCs w:val="20"/>
              </w:rPr>
            </w:pPr>
            <w:r>
              <w:rPr>
                <w:rFonts w:ascii="Arial"/>
                <w:spacing w:val="-1"/>
                <w:sz w:val="20"/>
              </w:rPr>
              <w:t>102,369</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14"/>
              <w:jc w:val="right"/>
              <w:rPr>
                <w:rFonts w:ascii="Arial" w:hAnsi="Arial" w:cs="Arial" w:eastAsia="Arial" w:hint="default"/>
                <w:sz w:val="20"/>
                <w:szCs w:val="20"/>
              </w:rPr>
            </w:pPr>
            <w:r>
              <w:rPr>
                <w:rFonts w:ascii="Arial"/>
                <w:sz w:val="20"/>
              </w:rPr>
              <w:t>60,243</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703" w:right="0"/>
              <w:jc w:val="left"/>
              <w:rPr>
                <w:rFonts w:ascii="Arial" w:hAnsi="Arial" w:cs="Arial" w:eastAsia="Arial" w:hint="default"/>
                <w:sz w:val="20"/>
                <w:szCs w:val="20"/>
              </w:rPr>
            </w:pPr>
            <w:r>
              <w:rPr>
                <w:rFonts w:ascii="Arial"/>
                <w:sz w:val="20"/>
              </w:rPr>
              <w:t>42,126</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Arial" w:hAnsi="Arial" w:cs="Arial" w:eastAsia="Arial" w:hint="default"/>
                <w:sz w:val="20"/>
                <w:szCs w:val="20"/>
              </w:rPr>
            </w:pPr>
            <w:r>
              <w:rPr>
                <w:rFonts w:ascii="Arial"/>
                <w:sz w:val="20"/>
              </w:rPr>
              <w:t>69.93%</w:t>
            </w:r>
          </w:p>
        </w:tc>
      </w:tr>
    </w:tbl>
    <w:p>
      <w:pPr>
        <w:pStyle w:val="BodyText"/>
        <w:spacing w:line="194" w:lineRule="auto" w:before="118"/>
        <w:ind w:left="703" w:right="1257"/>
        <w:jc w:val="both"/>
      </w:pPr>
      <w:r>
        <w:rPr/>
        <w:t>注释</w:t>
      </w:r>
      <w:r>
        <w:rPr>
          <w:spacing w:val="-61"/>
        </w:rPr>
        <w:t> </w:t>
      </w:r>
      <w:r>
        <w:rPr>
          <w:rFonts w:ascii="Arial" w:hAnsi="Arial" w:cs="Arial" w:eastAsia="Arial" w:hint="default"/>
        </w:rPr>
        <w:t>1</w:t>
      </w:r>
      <w:r>
        <w:rPr/>
        <w:t>：</w:t>
      </w:r>
      <w:r>
        <w:rPr>
          <w:spacing w:val="-1"/>
        </w:rPr>
        <w:t> </w:t>
      </w:r>
      <w:r>
        <w:rPr/>
        <w:t>应收账款年末数比年初数增加</w:t>
      </w:r>
      <w:r>
        <w:rPr>
          <w:spacing w:val="-61"/>
        </w:rPr>
        <w:t> </w:t>
      </w:r>
      <w:r>
        <w:rPr>
          <w:rFonts w:ascii="Arial" w:hAnsi="Arial" w:cs="Arial" w:eastAsia="Arial" w:hint="default"/>
        </w:rPr>
        <w:t>218.31%</w:t>
      </w:r>
      <w:r>
        <w:rPr/>
        <w:t>，主要原因为：国家家电下乡、 </w:t>
      </w:r>
      <w:r>
        <w:rPr>
          <w:spacing w:val="2"/>
        </w:rPr>
        <w:t>以旧换新政策实施区域范围的扩大，在销售收入大幅增长的同时，也带来了本期</w:t>
      </w:r>
      <w:r>
        <w:rPr>
          <w:spacing w:val="2"/>
        </w:rPr>
        <w:t> 应收财政补贴款的增加；另外，报告期内，本集团与中国联通网络有限公司合作 </w:t>
      </w:r>
      <w:r>
        <w:rPr>
          <w:rFonts w:ascii="Arial" w:hAnsi="Arial" w:cs="Arial" w:eastAsia="Arial" w:hint="default"/>
        </w:rPr>
        <w:t>iPhone</w:t>
      </w:r>
      <w:r>
        <w:rPr>
          <w:rFonts w:ascii="Arial" w:hAnsi="Arial" w:cs="Arial" w:eastAsia="Arial" w:hint="default"/>
          <w:spacing w:val="-13"/>
        </w:rPr>
        <w:t> </w:t>
      </w:r>
      <w:r>
        <w:rPr/>
        <w:t>合约计划的销售，应收中国联通网络有限公司的款项有较大幅度的增加。</w:t>
      </w:r>
    </w:p>
    <w:p>
      <w:pPr>
        <w:spacing w:line="240" w:lineRule="auto" w:before="3"/>
        <w:rPr>
          <w:rFonts w:ascii="宋体" w:hAnsi="宋体" w:cs="宋体" w:eastAsia="宋体" w:hint="default"/>
          <w:sz w:val="19"/>
          <w:szCs w:val="19"/>
        </w:rPr>
      </w:pPr>
    </w:p>
    <w:p>
      <w:pPr>
        <w:pStyle w:val="BodyText"/>
        <w:spacing w:line="194" w:lineRule="auto"/>
        <w:ind w:left="704" w:right="1287"/>
        <w:jc w:val="both"/>
      </w:pPr>
      <w:r>
        <w:rPr/>
        <w:t>注释</w:t>
      </w:r>
      <w:r>
        <w:rPr>
          <w:spacing w:val="-67"/>
        </w:rPr>
        <w:t> </w:t>
      </w:r>
      <w:r>
        <w:rPr>
          <w:rFonts w:ascii="Arial" w:hAnsi="Arial" w:cs="Arial" w:eastAsia="Arial" w:hint="default"/>
        </w:rPr>
        <w:t>2</w:t>
      </w:r>
      <w:r>
        <w:rPr/>
        <w:t>：</w:t>
      </w:r>
      <w:r>
        <w:rPr>
          <w:spacing w:val="-20"/>
        </w:rPr>
        <w:t> </w:t>
      </w:r>
      <w:r>
        <w:rPr/>
        <w:t>预付账款年末数比年初数增加</w:t>
      </w:r>
      <w:r>
        <w:rPr>
          <w:spacing w:val="-67"/>
        </w:rPr>
        <w:t> </w:t>
      </w:r>
      <w:r>
        <w:rPr>
          <w:rFonts w:ascii="Arial" w:hAnsi="Arial" w:cs="Arial" w:eastAsia="Arial" w:hint="default"/>
        </w:rPr>
        <w:t>189.20%</w:t>
      </w:r>
      <w:r>
        <w:rPr/>
        <w:t>，主要原因为：报告期内，本集 </w:t>
      </w:r>
      <w:r>
        <w:rPr>
          <w:spacing w:val="2"/>
        </w:rPr>
        <w:t>团加快了自建店和物流基地的选址速度，预付的土地款较上年末有较大幅度的增</w:t>
      </w:r>
      <w:r>
        <w:rPr>
          <w:spacing w:val="2"/>
        </w:rPr>
        <w:t> 加；另外，随着本集团连锁规模的扩大，本集团应对元旦、春节销售旺季的备货 </w:t>
      </w:r>
      <w:r>
        <w:rPr/>
        <w:t>量有所加大，预付供应商的货款也有所增加。</w:t>
      </w:r>
    </w:p>
    <w:p>
      <w:pPr>
        <w:spacing w:line="240" w:lineRule="auto" w:before="9"/>
        <w:rPr>
          <w:rFonts w:ascii="宋体" w:hAnsi="宋体" w:cs="宋体" w:eastAsia="宋体" w:hint="default"/>
          <w:sz w:val="20"/>
          <w:szCs w:val="20"/>
        </w:rPr>
      </w:pPr>
    </w:p>
    <w:p>
      <w:pPr>
        <w:pStyle w:val="BodyText"/>
        <w:spacing w:line="189" w:lineRule="auto"/>
        <w:ind w:left="704" w:right="1287"/>
        <w:jc w:val="both"/>
      </w:pPr>
      <w:r>
        <w:rPr/>
        <w:t>注释 </w:t>
      </w:r>
      <w:r>
        <w:rPr>
          <w:rFonts w:ascii="Arial" w:hAnsi="Arial" w:cs="Arial" w:eastAsia="Arial" w:hint="default"/>
        </w:rPr>
        <w:t>3</w:t>
      </w:r>
      <w:r>
        <w:rPr/>
        <w:t>：其他应收款年末数比年初数增加</w:t>
      </w:r>
      <w:r>
        <w:rPr>
          <w:spacing w:val="-37"/>
        </w:rPr>
        <w:t> </w:t>
      </w:r>
      <w:r>
        <w:rPr>
          <w:rFonts w:ascii="Arial" w:hAnsi="Arial" w:cs="Arial" w:eastAsia="Arial" w:hint="default"/>
        </w:rPr>
        <w:t>779.24%</w:t>
      </w:r>
      <w:r>
        <w:rPr/>
        <w:t>，主要原因为：报告期内本集 团向中国农业银行购买了截至</w:t>
      </w:r>
      <w:r>
        <w:rPr>
          <w:spacing w:val="-45"/>
        </w:rPr>
        <w:t> </w:t>
      </w:r>
      <w:r>
        <w:rPr>
          <w:rFonts w:ascii="Arial" w:hAnsi="Arial" w:cs="Arial" w:eastAsia="Arial" w:hint="default"/>
        </w:rPr>
        <w:t>2010</w:t>
      </w:r>
      <w:r>
        <w:rPr>
          <w:rFonts w:ascii="Arial" w:hAnsi="Arial" w:cs="Arial" w:eastAsia="Arial" w:hint="default"/>
          <w:spacing w:val="9"/>
        </w:rPr>
        <w:t> </w:t>
      </w:r>
      <w:r>
        <w:rPr/>
        <w:t>年</w:t>
      </w:r>
      <w:r>
        <w:rPr>
          <w:spacing w:val="-45"/>
        </w:rPr>
        <w:t> </w:t>
      </w:r>
      <w:r>
        <w:rPr>
          <w:rFonts w:ascii="Arial" w:hAnsi="Arial" w:cs="Arial" w:eastAsia="Arial" w:hint="default"/>
        </w:rPr>
        <w:t>12</w:t>
      </w:r>
      <w:r>
        <w:rPr>
          <w:rFonts w:ascii="Arial" w:hAnsi="Arial" w:cs="Arial" w:eastAsia="Arial" w:hint="default"/>
          <w:spacing w:val="8"/>
        </w:rPr>
        <w:t> </w:t>
      </w:r>
      <w:r>
        <w:rPr/>
        <w:t>月</w:t>
      </w:r>
      <w:r>
        <w:rPr>
          <w:spacing w:val="-43"/>
        </w:rPr>
        <w:t> </w:t>
      </w:r>
      <w:r>
        <w:rPr>
          <w:rFonts w:ascii="Arial" w:hAnsi="Arial" w:cs="Arial" w:eastAsia="Arial" w:hint="default"/>
        </w:rPr>
        <w:t>31</w:t>
      </w:r>
      <w:r>
        <w:rPr>
          <w:rFonts w:ascii="Arial" w:hAnsi="Arial" w:cs="Arial" w:eastAsia="Arial" w:hint="default"/>
          <w:spacing w:val="8"/>
        </w:rPr>
        <w:t> </w:t>
      </w:r>
      <w:r>
        <w:rPr/>
        <w:t>日止尚未到期的保本保收益理财</w:t>
      </w:r>
    </w:p>
    <w:p>
      <w:pPr>
        <w:pStyle w:val="BodyText"/>
        <w:spacing w:line="187" w:lineRule="auto" w:before="1"/>
        <w:ind w:left="704" w:right="1287"/>
        <w:jc w:val="both"/>
      </w:pPr>
      <w:r>
        <w:rPr/>
        <w:t>产品人民币 </w:t>
      </w:r>
      <w:r>
        <w:rPr>
          <w:rFonts w:ascii="Arial" w:hAnsi="Arial" w:cs="Arial" w:eastAsia="Arial" w:hint="default"/>
        </w:rPr>
        <w:t>7</w:t>
      </w:r>
      <w:r>
        <w:rPr>
          <w:rFonts w:ascii="Arial" w:hAnsi="Arial" w:cs="Arial" w:eastAsia="Arial" w:hint="default"/>
          <w:spacing w:val="8"/>
        </w:rPr>
        <w:t> </w:t>
      </w:r>
      <w:r>
        <w:rPr/>
        <w:t>亿元；另外，随着集团连锁规模的扩大，支付的各项保证金、押金 也相应增加。</w:t>
      </w:r>
    </w:p>
    <w:p>
      <w:pPr>
        <w:spacing w:after="0" w:line="187" w:lineRule="auto"/>
        <w:jc w:val="both"/>
        <w:sectPr>
          <w:pgSz w:w="11910" w:h="16840"/>
          <w:pgMar w:header="829" w:footer="900" w:top="2580" w:bottom="1100" w:left="940" w:right="480"/>
        </w:sectPr>
      </w:pPr>
    </w:p>
    <w:p>
      <w:pPr>
        <w:spacing w:line="240" w:lineRule="auto" w:before="10"/>
        <w:rPr>
          <w:rFonts w:ascii="宋体" w:hAnsi="宋体" w:cs="宋体" w:eastAsia="宋体" w:hint="default"/>
          <w:sz w:val="18"/>
          <w:szCs w:val="18"/>
        </w:rPr>
      </w:pPr>
    </w:p>
    <w:p>
      <w:pPr>
        <w:pStyle w:val="Heading2"/>
        <w:tabs>
          <w:tab w:pos="685" w:val="left" w:leader="none"/>
        </w:tabs>
        <w:spacing w:line="240" w:lineRule="auto"/>
        <w:ind w:left="102" w:right="0"/>
        <w:jc w:val="left"/>
        <w:rPr>
          <w:rFonts w:ascii="Arial" w:hAnsi="Arial" w:cs="Arial" w:eastAsia="Arial" w:hint="default"/>
          <w:b w:val="0"/>
          <w:bCs w:val="0"/>
        </w:rPr>
      </w:pPr>
      <w:r>
        <w:rPr>
          <w:w w:val="95"/>
        </w:rPr>
        <w:t>三</w:t>
        <w:tab/>
      </w:r>
      <w:r>
        <w:rPr/>
        <w:t>主要会计报表项目的异常情况及原因的说明</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9"/>
        <w:rPr>
          <w:rFonts w:ascii="Arial" w:hAnsi="Arial" w:cs="Arial" w:eastAsia="Arial" w:hint="default"/>
          <w:b/>
          <w:bCs/>
          <w:sz w:val="25"/>
          <w:szCs w:val="25"/>
        </w:rPr>
      </w:pPr>
    </w:p>
    <w:p>
      <w:pPr>
        <w:pStyle w:val="BodyText"/>
        <w:spacing w:line="280" w:lineRule="exact"/>
        <w:ind w:left="703" w:right="268"/>
        <w:jc w:val="both"/>
      </w:pPr>
      <w:r>
        <w:rPr/>
        <w:t>注释</w:t>
      </w:r>
      <w:r>
        <w:rPr>
          <w:spacing w:val="-71"/>
        </w:rPr>
        <w:t> </w:t>
      </w:r>
      <w:r>
        <w:rPr>
          <w:rFonts w:ascii="Arial" w:hAnsi="Arial" w:cs="Arial" w:eastAsia="Arial" w:hint="default"/>
        </w:rPr>
        <w:t>4</w:t>
      </w:r>
      <w:r>
        <w:rPr/>
        <w:t>：存货年末数比年初数增加</w:t>
      </w:r>
      <w:r>
        <w:rPr>
          <w:spacing w:val="-71"/>
        </w:rPr>
        <w:t> </w:t>
      </w:r>
      <w:r>
        <w:rPr>
          <w:rFonts w:ascii="Arial" w:hAnsi="Arial" w:cs="Arial" w:eastAsia="Arial" w:hint="default"/>
        </w:rPr>
        <w:t>49.75%</w:t>
      </w:r>
      <w:r>
        <w:rPr/>
        <w:t>，主要原因为：随着本集团连锁规模的 扩大，以及为保障元旦、春节的销售，加大了存货储备。</w:t>
      </w:r>
    </w:p>
    <w:p>
      <w:pPr>
        <w:spacing w:line="240" w:lineRule="auto" w:before="12"/>
        <w:rPr>
          <w:rFonts w:ascii="宋体" w:hAnsi="宋体" w:cs="宋体" w:eastAsia="宋体" w:hint="default"/>
          <w:sz w:val="19"/>
          <w:szCs w:val="19"/>
        </w:rPr>
      </w:pPr>
    </w:p>
    <w:p>
      <w:pPr>
        <w:pStyle w:val="BodyText"/>
        <w:spacing w:line="208" w:lineRule="auto"/>
        <w:ind w:left="703" w:right="267"/>
        <w:jc w:val="both"/>
      </w:pPr>
      <w:r>
        <w:rPr/>
        <w:t>注释</w:t>
      </w:r>
      <w:r>
        <w:rPr>
          <w:spacing w:val="-70"/>
        </w:rPr>
        <w:t> </w:t>
      </w:r>
      <w:r>
        <w:rPr>
          <w:rFonts w:ascii="Arial" w:hAnsi="Arial" w:cs="Arial" w:eastAsia="Arial" w:hint="default"/>
        </w:rPr>
        <w:t>5</w:t>
      </w:r>
      <w:r>
        <w:rPr/>
        <w:t>：其他流动资产年末数比年初数增加</w:t>
      </w:r>
      <w:r>
        <w:rPr>
          <w:spacing w:val="-70"/>
        </w:rPr>
        <w:t> </w:t>
      </w:r>
      <w:r>
        <w:rPr>
          <w:rFonts w:ascii="Arial" w:hAnsi="Arial" w:cs="Arial" w:eastAsia="Arial" w:hint="default"/>
        </w:rPr>
        <w:t>74.15%</w:t>
      </w:r>
      <w:r>
        <w:rPr/>
        <w:t>，主要原因为：报告期内，本 </w:t>
      </w:r>
      <w:r>
        <w:rPr>
          <w:spacing w:val="2"/>
        </w:rPr>
        <w:t>集团新增门店数量较往年有较大增长，预付的房租相应增加，带来其他流动资产</w:t>
      </w:r>
      <w:r>
        <w:rPr>
          <w:spacing w:val="2"/>
        </w:rPr>
        <w:t> </w:t>
      </w:r>
      <w:r>
        <w:rPr/>
        <w:t>的增加。</w:t>
      </w:r>
    </w:p>
    <w:p>
      <w:pPr>
        <w:spacing w:line="240" w:lineRule="auto" w:before="11"/>
        <w:rPr>
          <w:rFonts w:ascii="宋体" w:hAnsi="宋体" w:cs="宋体" w:eastAsia="宋体" w:hint="default"/>
          <w:sz w:val="21"/>
          <w:szCs w:val="21"/>
        </w:rPr>
      </w:pPr>
    </w:p>
    <w:p>
      <w:pPr>
        <w:pStyle w:val="BodyText"/>
        <w:spacing w:line="208" w:lineRule="auto"/>
        <w:ind w:left="703" w:right="267"/>
        <w:jc w:val="both"/>
      </w:pPr>
      <w:r>
        <w:rPr/>
        <w:t>注释</w:t>
      </w:r>
      <w:r>
        <w:rPr>
          <w:spacing w:val="-70"/>
        </w:rPr>
        <w:t> </w:t>
      </w:r>
      <w:r>
        <w:rPr>
          <w:rFonts w:ascii="Arial" w:hAnsi="Arial" w:cs="Arial" w:eastAsia="Arial" w:hint="default"/>
        </w:rPr>
        <w:t>6</w:t>
      </w:r>
      <w:r>
        <w:rPr/>
        <w:t>：长期应收款年末数比年初数增加</w:t>
      </w:r>
      <w:r>
        <w:rPr>
          <w:spacing w:val="-70"/>
        </w:rPr>
        <w:t> </w:t>
      </w:r>
      <w:r>
        <w:rPr>
          <w:rFonts w:ascii="Arial" w:hAnsi="Arial" w:cs="Arial" w:eastAsia="Arial" w:hint="default"/>
        </w:rPr>
        <w:t>47.84%</w:t>
      </w:r>
      <w:r>
        <w:rPr/>
        <w:t>，主要原因为：报告期内，本集 </w:t>
      </w:r>
      <w:r>
        <w:rPr>
          <w:spacing w:val="2"/>
        </w:rPr>
        <w:t>团新增门店数量较往年有较大增长，支付的租赁保证金相应增加，带来长期应收</w:t>
      </w:r>
      <w:r>
        <w:rPr>
          <w:spacing w:val="2"/>
        </w:rPr>
        <w:t> </w:t>
      </w:r>
      <w:r>
        <w:rPr/>
        <w:t>款的增加。</w:t>
      </w:r>
    </w:p>
    <w:p>
      <w:pPr>
        <w:spacing w:line="240" w:lineRule="auto" w:before="6"/>
        <w:rPr>
          <w:rFonts w:ascii="宋体" w:hAnsi="宋体" w:cs="宋体" w:eastAsia="宋体" w:hint="default"/>
          <w:sz w:val="23"/>
          <w:szCs w:val="23"/>
        </w:rPr>
      </w:pPr>
    </w:p>
    <w:p>
      <w:pPr>
        <w:pStyle w:val="BodyText"/>
        <w:spacing w:line="280" w:lineRule="exact"/>
        <w:ind w:left="703" w:right="267"/>
        <w:jc w:val="both"/>
      </w:pPr>
      <w:r>
        <w:rPr/>
        <w:t>注释</w:t>
      </w:r>
      <w:r>
        <w:rPr>
          <w:spacing w:val="-70"/>
        </w:rPr>
        <w:t> </w:t>
      </w:r>
      <w:r>
        <w:rPr>
          <w:rFonts w:ascii="Arial" w:hAnsi="Arial" w:cs="Arial" w:eastAsia="Arial" w:hint="default"/>
        </w:rPr>
        <w:t>7</w:t>
      </w:r>
      <w:r>
        <w:rPr/>
        <w:t>：长期股权投资年末数比年初数增加</w:t>
      </w:r>
      <w:r>
        <w:rPr>
          <w:spacing w:val="-70"/>
        </w:rPr>
        <w:t> </w:t>
      </w:r>
      <w:r>
        <w:rPr>
          <w:rFonts w:ascii="Arial" w:hAnsi="Arial" w:cs="Arial" w:eastAsia="Arial" w:hint="default"/>
        </w:rPr>
        <w:t>32.73%</w:t>
      </w:r>
      <w:r>
        <w:rPr/>
        <w:t>，主要原因为：报告期内，本 集团追加了对</w:t>
      </w:r>
      <w:r>
        <w:rPr>
          <w:spacing w:val="-60"/>
        </w:rPr>
        <w:t> </w:t>
      </w:r>
      <w:r>
        <w:rPr>
          <w:rFonts w:ascii="Arial" w:hAnsi="Arial" w:cs="Arial" w:eastAsia="Arial" w:hint="default"/>
        </w:rPr>
        <w:t>LAOX</w:t>
      </w:r>
      <w:r>
        <w:rPr>
          <w:rFonts w:ascii="Arial" w:hAnsi="Arial" w:cs="Arial" w:eastAsia="Arial" w:hint="default"/>
          <w:spacing w:val="-7"/>
        </w:rPr>
        <w:t> </w:t>
      </w:r>
      <w:r>
        <w:rPr/>
        <w:t>株式会社的投资。</w:t>
      </w:r>
    </w:p>
    <w:p>
      <w:pPr>
        <w:spacing w:line="240" w:lineRule="auto" w:before="6"/>
        <w:rPr>
          <w:rFonts w:ascii="宋体" w:hAnsi="宋体" w:cs="宋体" w:eastAsia="宋体" w:hint="default"/>
          <w:sz w:val="21"/>
          <w:szCs w:val="21"/>
        </w:rPr>
      </w:pPr>
    </w:p>
    <w:p>
      <w:pPr>
        <w:pStyle w:val="BodyText"/>
        <w:spacing w:line="280" w:lineRule="exact"/>
        <w:ind w:left="703" w:right="268"/>
        <w:jc w:val="both"/>
      </w:pPr>
      <w:r>
        <w:rPr/>
        <w:t>注释</w:t>
      </w:r>
      <w:r>
        <w:rPr>
          <w:spacing w:val="-71"/>
        </w:rPr>
        <w:t> </w:t>
      </w:r>
      <w:r>
        <w:rPr>
          <w:rFonts w:ascii="Arial" w:hAnsi="Arial" w:cs="Arial" w:eastAsia="Arial" w:hint="default"/>
        </w:rPr>
        <w:t>8</w:t>
      </w:r>
      <w:r>
        <w:rPr/>
        <w:t>：固定资产年末数比年初数增加</w:t>
      </w:r>
      <w:r>
        <w:rPr>
          <w:spacing w:val="-71"/>
        </w:rPr>
        <w:t> </w:t>
      </w:r>
      <w:r>
        <w:rPr>
          <w:rFonts w:ascii="Arial" w:hAnsi="Arial" w:cs="Arial" w:eastAsia="Arial" w:hint="default"/>
        </w:rPr>
        <w:t>35.16%</w:t>
      </w:r>
      <w:r>
        <w:rPr/>
        <w:t>，主要原因为：本集团部分自建店 及物流基地建设完工并投入使用，以及新增购置店，使固定资产有所增加。</w:t>
      </w:r>
    </w:p>
    <w:p>
      <w:pPr>
        <w:spacing w:line="240" w:lineRule="auto" w:before="9"/>
        <w:rPr>
          <w:rFonts w:ascii="宋体" w:hAnsi="宋体" w:cs="宋体" w:eastAsia="宋体" w:hint="default"/>
          <w:sz w:val="19"/>
          <w:szCs w:val="19"/>
        </w:rPr>
      </w:pPr>
    </w:p>
    <w:p>
      <w:pPr>
        <w:pStyle w:val="BodyText"/>
        <w:spacing w:line="211" w:lineRule="auto"/>
        <w:ind w:left="703" w:right="266"/>
        <w:jc w:val="both"/>
      </w:pPr>
      <w:r>
        <w:rPr/>
        <w:t>注释 </w:t>
      </w:r>
      <w:r>
        <w:rPr>
          <w:rFonts w:ascii="Arial" w:hAnsi="Arial" w:cs="Arial" w:eastAsia="Arial" w:hint="default"/>
        </w:rPr>
        <w:t>9</w:t>
      </w:r>
      <w:r>
        <w:rPr/>
        <w:t>：在建工程年末数比年初数增加</w:t>
      </w:r>
      <w:r>
        <w:rPr>
          <w:spacing w:val="-37"/>
        </w:rPr>
        <w:t> </w:t>
      </w:r>
      <w:r>
        <w:rPr>
          <w:rFonts w:ascii="Arial" w:hAnsi="Arial" w:cs="Arial" w:eastAsia="Arial" w:hint="default"/>
        </w:rPr>
        <w:t>404.68%</w:t>
      </w:r>
      <w:r>
        <w:rPr/>
        <w:t>，主要原因为：本集团加快了物 </w:t>
      </w:r>
      <w:r>
        <w:rPr>
          <w:spacing w:val="2"/>
        </w:rPr>
        <w:t>流基地的开发和建设，成都、无锡、天津、合肥和青岛等物流基地全面开工；南</w:t>
      </w:r>
      <w:r>
        <w:rPr>
          <w:spacing w:val="2"/>
        </w:rPr>
        <w:t> 京徐庄总部基地尚未完全竣工和决算，以及新购置的店面正在装修过程中。上述 </w:t>
      </w:r>
      <w:r>
        <w:rPr/>
        <w:t>原因带来本期在建工程期末余额有较大幅度的增加。</w:t>
      </w:r>
    </w:p>
    <w:p>
      <w:pPr>
        <w:spacing w:line="240" w:lineRule="auto" w:before="11"/>
        <w:rPr>
          <w:rFonts w:ascii="宋体" w:hAnsi="宋体" w:cs="宋体" w:eastAsia="宋体" w:hint="default"/>
          <w:sz w:val="21"/>
          <w:szCs w:val="21"/>
        </w:rPr>
      </w:pPr>
    </w:p>
    <w:p>
      <w:pPr>
        <w:pStyle w:val="BodyText"/>
        <w:spacing w:line="208" w:lineRule="auto"/>
        <w:ind w:left="703" w:right="266"/>
        <w:jc w:val="both"/>
      </w:pPr>
      <w:r>
        <w:rPr/>
        <w:t>注释 </w:t>
      </w:r>
      <w:r>
        <w:rPr>
          <w:rFonts w:ascii="Arial" w:hAnsi="Arial" w:cs="Arial" w:eastAsia="Arial" w:hint="default"/>
        </w:rPr>
        <w:t>10</w:t>
      </w:r>
      <w:r>
        <w:rPr/>
        <w:t>：无形资产年末数比年初数增加</w:t>
      </w:r>
      <w:r>
        <w:rPr>
          <w:spacing w:val="-37"/>
        </w:rPr>
        <w:t> </w:t>
      </w:r>
      <w:r>
        <w:rPr>
          <w:rFonts w:ascii="Arial" w:hAnsi="Arial" w:cs="Arial" w:eastAsia="Arial" w:hint="default"/>
        </w:rPr>
        <w:t>71.18%</w:t>
      </w:r>
      <w:r>
        <w:rPr/>
        <w:t>，主要原因为：本集团新购买了 </w:t>
      </w:r>
      <w:r>
        <w:rPr>
          <w:spacing w:val="2"/>
        </w:rPr>
        <w:t>部分地区物流基地的土地使用权；报告期内，本集团加大了信息系统的投入，购</w:t>
      </w:r>
      <w:r>
        <w:rPr>
          <w:spacing w:val="2"/>
        </w:rPr>
        <w:t> </w:t>
      </w:r>
      <w:r>
        <w:rPr/>
        <w:t>置并研发了部分系统软件。</w:t>
      </w:r>
    </w:p>
    <w:p>
      <w:pPr>
        <w:spacing w:line="240" w:lineRule="auto" w:before="10"/>
        <w:rPr>
          <w:rFonts w:ascii="宋体" w:hAnsi="宋体" w:cs="宋体" w:eastAsia="宋体" w:hint="default"/>
          <w:sz w:val="21"/>
          <w:szCs w:val="21"/>
        </w:rPr>
      </w:pPr>
    </w:p>
    <w:p>
      <w:pPr>
        <w:pStyle w:val="BodyText"/>
        <w:spacing w:line="211" w:lineRule="auto"/>
        <w:ind w:left="703" w:right="267"/>
        <w:jc w:val="both"/>
      </w:pPr>
      <w:r>
        <w:rPr/>
        <w:t>注释</w:t>
      </w:r>
      <w:r>
        <w:rPr>
          <w:spacing w:val="-82"/>
        </w:rPr>
        <w:t> </w:t>
      </w:r>
      <w:r>
        <w:rPr>
          <w:rFonts w:ascii="Arial" w:hAnsi="Arial" w:cs="Arial" w:eastAsia="Arial" w:hint="default"/>
        </w:rPr>
        <w:t>11</w:t>
      </w:r>
      <w:r>
        <w:rPr/>
        <w:t>：长期待摊费用年末数比年初数增加</w:t>
      </w:r>
      <w:r>
        <w:rPr>
          <w:spacing w:val="-82"/>
        </w:rPr>
        <w:t> </w:t>
      </w:r>
      <w:r>
        <w:rPr>
          <w:rFonts w:ascii="Arial" w:hAnsi="Arial" w:cs="Arial" w:eastAsia="Arial" w:hint="default"/>
        </w:rPr>
        <w:t>122.55%</w:t>
      </w:r>
      <w:r>
        <w:rPr/>
        <w:t>，主要原因为：本集团新增 </w:t>
      </w:r>
      <w:r>
        <w:rPr>
          <w:spacing w:val="2"/>
        </w:rPr>
        <w:t>门店数量较往年有较大增长，以及为了提升店面形象，加大了店面改良支出；另</w:t>
      </w:r>
      <w:r>
        <w:rPr>
          <w:spacing w:val="2"/>
        </w:rPr>
        <w:t> 外，本集团向顾客提供电器延长保修业务，并就提供的延长保修业务向第三方保 险公司支付相应保险费用，随着延保业务的不断扩大，相应的延保费用也随之增 </w:t>
      </w:r>
      <w:r>
        <w:rPr/>
        <w:t>加。</w:t>
      </w:r>
    </w:p>
    <w:p>
      <w:pPr>
        <w:spacing w:line="240" w:lineRule="auto" w:before="6"/>
        <w:rPr>
          <w:rFonts w:ascii="宋体" w:hAnsi="宋体" w:cs="宋体" w:eastAsia="宋体" w:hint="default"/>
          <w:sz w:val="23"/>
          <w:szCs w:val="23"/>
        </w:rPr>
      </w:pPr>
    </w:p>
    <w:p>
      <w:pPr>
        <w:pStyle w:val="BodyText"/>
        <w:spacing w:line="280" w:lineRule="exact"/>
        <w:ind w:left="703" w:right="267"/>
        <w:jc w:val="both"/>
      </w:pPr>
      <w:r>
        <w:rPr/>
        <w:t>注释</w:t>
      </w:r>
      <w:r>
        <w:rPr>
          <w:spacing w:val="-70"/>
        </w:rPr>
        <w:t> </w:t>
      </w:r>
      <w:r>
        <w:rPr>
          <w:rFonts w:ascii="Arial" w:hAnsi="Arial" w:cs="Arial" w:eastAsia="Arial" w:hint="default"/>
        </w:rPr>
        <w:t>12</w:t>
      </w:r>
      <w:r>
        <w:rPr/>
        <w:t>：应付账款年末数比年初数增加</w:t>
      </w:r>
      <w:r>
        <w:rPr>
          <w:spacing w:val="-70"/>
        </w:rPr>
        <w:t> </w:t>
      </w:r>
      <w:r>
        <w:rPr>
          <w:rFonts w:ascii="Arial" w:hAnsi="Arial" w:cs="Arial" w:eastAsia="Arial" w:hint="default"/>
        </w:rPr>
        <w:t>36.7%</w:t>
      </w:r>
      <w:r>
        <w:rPr/>
        <w:t>，主要原因为：报告期末，本集团 </w:t>
      </w:r>
      <w:r>
        <w:rPr>
          <w:spacing w:val="2"/>
        </w:rPr>
        <w:t>门店和销售规模较往年有较大幅度增长，为了满足销售需要，存货储备也相应增</w:t>
      </w:r>
      <w:r>
        <w:rPr>
          <w:spacing w:val="2"/>
        </w:rPr>
        <w:t> </w:t>
      </w:r>
      <w:r>
        <w:rPr/>
        <w:t>加，而与供应商的货款结算存在一定周期，导致期末应付供应商款项增加。</w:t>
      </w:r>
    </w:p>
    <w:p>
      <w:pPr>
        <w:spacing w:line="240" w:lineRule="auto" w:before="6"/>
        <w:rPr>
          <w:rFonts w:ascii="宋体" w:hAnsi="宋体" w:cs="宋体" w:eastAsia="宋体" w:hint="default"/>
          <w:sz w:val="21"/>
          <w:szCs w:val="21"/>
        </w:rPr>
      </w:pPr>
    </w:p>
    <w:p>
      <w:pPr>
        <w:pStyle w:val="BodyText"/>
        <w:spacing w:line="280" w:lineRule="exact"/>
        <w:ind w:left="703" w:right="267"/>
        <w:jc w:val="both"/>
      </w:pPr>
      <w:r>
        <w:rPr/>
        <w:t>注释 </w:t>
      </w:r>
      <w:r>
        <w:rPr>
          <w:rFonts w:ascii="Arial" w:hAnsi="Arial" w:cs="Arial" w:eastAsia="Arial" w:hint="default"/>
        </w:rPr>
        <w:t>13</w:t>
      </w:r>
      <w:r>
        <w:rPr/>
        <w:t>：预收账款年末数比年初数增加</w:t>
      </w:r>
      <w:r>
        <w:rPr>
          <w:spacing w:val="-37"/>
        </w:rPr>
        <w:t> </w:t>
      </w:r>
      <w:r>
        <w:rPr>
          <w:rFonts w:ascii="Arial" w:hAnsi="Arial" w:cs="Arial" w:eastAsia="Arial" w:hint="default"/>
        </w:rPr>
        <w:t>42.28%</w:t>
      </w:r>
      <w:r>
        <w:rPr/>
        <w:t>，主要原因为：随着本集团连锁 店面数量的增加以及销售规模的扩大，预收客户的货款有所增加。</w:t>
      </w:r>
    </w:p>
    <w:p>
      <w:pPr>
        <w:spacing w:line="240" w:lineRule="auto" w:before="12"/>
        <w:rPr>
          <w:rFonts w:ascii="宋体" w:hAnsi="宋体" w:cs="宋体" w:eastAsia="宋体" w:hint="default"/>
          <w:sz w:val="19"/>
          <w:szCs w:val="19"/>
        </w:rPr>
      </w:pPr>
    </w:p>
    <w:p>
      <w:pPr>
        <w:pStyle w:val="BodyText"/>
        <w:spacing w:line="208" w:lineRule="auto"/>
        <w:ind w:left="703" w:right="266"/>
        <w:jc w:val="both"/>
      </w:pPr>
      <w:r>
        <w:rPr/>
        <w:t>注释</w:t>
      </w:r>
      <w:r>
        <w:rPr>
          <w:spacing w:val="-83"/>
        </w:rPr>
        <w:t> </w:t>
      </w:r>
      <w:r>
        <w:rPr>
          <w:rFonts w:ascii="Arial" w:hAnsi="Arial" w:cs="Arial" w:eastAsia="Arial" w:hint="default"/>
        </w:rPr>
        <w:t>14</w:t>
      </w:r>
      <w:r>
        <w:rPr/>
        <w:t>：其他应付款年末数比年初数增加</w:t>
      </w:r>
      <w:r>
        <w:rPr>
          <w:spacing w:val="-83"/>
        </w:rPr>
        <w:t> </w:t>
      </w:r>
      <w:r>
        <w:rPr>
          <w:rFonts w:ascii="Arial" w:hAnsi="Arial" w:cs="Arial" w:eastAsia="Arial" w:hint="default"/>
        </w:rPr>
        <w:t>130.95%</w:t>
      </w:r>
      <w:r>
        <w:rPr/>
        <w:t>，主要原因为：随着本集团在 </w:t>
      </w:r>
      <w:r>
        <w:rPr>
          <w:spacing w:val="2"/>
        </w:rPr>
        <w:t>建工程项目的增加，应付工程款项相应增加；另外，随着本集团连锁店面数量的</w:t>
      </w:r>
      <w:r>
        <w:rPr>
          <w:spacing w:val="2"/>
        </w:rPr>
        <w:t> </w:t>
      </w:r>
      <w:r>
        <w:rPr/>
        <w:t>增加，收取的各项保证金及押金也有所增加。</w:t>
      </w:r>
    </w:p>
    <w:p>
      <w:pPr>
        <w:spacing w:after="0" w:line="208" w:lineRule="auto"/>
        <w:jc w:val="both"/>
        <w:sectPr>
          <w:pgSz w:w="11910" w:h="16840"/>
          <w:pgMar w:header="829" w:footer="900" w:top="2580" w:bottom="1100" w:left="940" w:right="1500"/>
        </w:sectPr>
      </w:pPr>
    </w:p>
    <w:p>
      <w:pPr>
        <w:spacing w:line="240" w:lineRule="auto" w:before="10"/>
        <w:rPr>
          <w:rFonts w:ascii="宋体" w:hAnsi="宋体" w:cs="宋体" w:eastAsia="宋体" w:hint="default"/>
          <w:sz w:val="18"/>
          <w:szCs w:val="18"/>
        </w:rPr>
      </w:pPr>
    </w:p>
    <w:p>
      <w:pPr>
        <w:pStyle w:val="Heading2"/>
        <w:tabs>
          <w:tab w:pos="685" w:val="left" w:leader="none"/>
        </w:tabs>
        <w:spacing w:line="240" w:lineRule="auto"/>
        <w:ind w:left="102" w:right="0"/>
        <w:jc w:val="left"/>
        <w:rPr>
          <w:rFonts w:ascii="Arial" w:hAnsi="Arial" w:cs="Arial" w:eastAsia="Arial" w:hint="default"/>
          <w:b w:val="0"/>
          <w:bCs w:val="0"/>
        </w:rPr>
      </w:pPr>
      <w:r>
        <w:rPr>
          <w:w w:val="95"/>
        </w:rPr>
        <w:t>三</w:t>
        <w:tab/>
      </w:r>
      <w:r>
        <w:rPr/>
        <w:t>主要会计报表项目的异常情况及原因的说明</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0"/>
        <w:rPr>
          <w:rFonts w:ascii="Arial" w:hAnsi="Arial" w:cs="Arial" w:eastAsia="Arial" w:hint="default"/>
          <w:b/>
          <w:bCs/>
          <w:sz w:val="25"/>
          <w:szCs w:val="25"/>
        </w:rPr>
      </w:pPr>
    </w:p>
    <w:p>
      <w:pPr>
        <w:pStyle w:val="BodyText"/>
        <w:spacing w:line="312" w:lineRule="exact"/>
        <w:ind w:left="703" w:right="269"/>
        <w:jc w:val="both"/>
      </w:pPr>
      <w:r>
        <w:rPr/>
        <w:t>注释 </w:t>
      </w:r>
      <w:r>
        <w:rPr>
          <w:rFonts w:ascii="Arial" w:hAnsi="Arial" w:cs="Arial" w:eastAsia="Arial" w:hint="default"/>
        </w:rPr>
        <w:t>15</w:t>
      </w:r>
      <w:r>
        <w:rPr/>
        <w:t>：其他流动负债年末数比年初数增加</w:t>
      </w:r>
      <w:r>
        <w:rPr>
          <w:spacing w:val="-40"/>
        </w:rPr>
        <w:t> </w:t>
      </w:r>
      <w:r>
        <w:rPr>
          <w:rFonts w:ascii="Arial" w:hAnsi="Arial" w:cs="Arial" w:eastAsia="Arial" w:hint="default"/>
        </w:rPr>
        <w:t>35.56%</w:t>
      </w:r>
      <w:r>
        <w:rPr/>
        <w:t>，主要原因为：报告期内， 本集团新增门店数量较往年有较大增长，预提的房租及水电费相应增加。</w:t>
      </w:r>
    </w:p>
    <w:p>
      <w:pPr>
        <w:spacing w:line="240" w:lineRule="auto" w:before="1"/>
        <w:rPr>
          <w:rFonts w:ascii="宋体" w:hAnsi="宋体" w:cs="宋体" w:eastAsia="宋体" w:hint="default"/>
          <w:sz w:val="21"/>
          <w:szCs w:val="21"/>
        </w:rPr>
      </w:pPr>
    </w:p>
    <w:p>
      <w:pPr>
        <w:pStyle w:val="BodyText"/>
        <w:spacing w:line="312" w:lineRule="exact"/>
        <w:ind w:left="703" w:right="141"/>
        <w:jc w:val="left"/>
      </w:pPr>
      <w:r>
        <w:rPr/>
        <w:t>注释</w:t>
      </w:r>
      <w:r>
        <w:rPr>
          <w:spacing w:val="-52"/>
        </w:rPr>
        <w:t> </w:t>
      </w:r>
      <w:r>
        <w:rPr>
          <w:rFonts w:ascii="Arial" w:hAnsi="Arial" w:cs="Arial" w:eastAsia="Arial" w:hint="default"/>
          <w:spacing w:val="-4"/>
        </w:rPr>
        <w:t>16</w:t>
      </w:r>
      <w:r>
        <w:rPr>
          <w:spacing w:val="-4"/>
        </w:rPr>
        <w:t>：其他非流动负债年末数比年初数增加</w:t>
      </w:r>
      <w:r>
        <w:rPr>
          <w:spacing w:val="-52"/>
        </w:rPr>
        <w:t> </w:t>
      </w:r>
      <w:r>
        <w:rPr>
          <w:rFonts w:ascii="Arial" w:hAnsi="Arial" w:cs="Arial" w:eastAsia="Arial" w:hint="default"/>
          <w:spacing w:val="-6"/>
        </w:rPr>
        <w:t>160.60%</w:t>
      </w:r>
      <w:r>
        <w:rPr>
          <w:spacing w:val="-6"/>
        </w:rPr>
        <w:t>，主要原因为：报告期内，</w:t>
      </w:r>
      <w:r>
        <w:rPr>
          <w:spacing w:val="-118"/>
        </w:rPr>
        <w:t> </w:t>
      </w:r>
      <w:r>
        <w:rPr>
          <w:spacing w:val="-118"/>
        </w:rPr>
      </w:r>
      <w:r>
        <w:rPr>
          <w:spacing w:val="2"/>
        </w:rPr>
        <w:t>本集团延保业务销售规模也较大幅度的增长，而延保业务是在延保服务期内确认</w:t>
      </w:r>
      <w:r>
        <w:rPr>
          <w:spacing w:val="2"/>
        </w:rPr>
        <w:t> </w:t>
      </w:r>
      <w:r>
        <w:rPr/>
        <w:t>收入，导致期末其他非流动负债余额较期初有较大幅度增加。</w:t>
      </w:r>
    </w:p>
    <w:p>
      <w:pPr>
        <w:spacing w:line="240" w:lineRule="auto" w:before="1"/>
        <w:rPr>
          <w:rFonts w:ascii="宋体" w:hAnsi="宋体" w:cs="宋体" w:eastAsia="宋体" w:hint="default"/>
          <w:sz w:val="21"/>
          <w:szCs w:val="21"/>
        </w:rPr>
      </w:pPr>
    </w:p>
    <w:p>
      <w:pPr>
        <w:pStyle w:val="BodyText"/>
        <w:spacing w:line="312" w:lineRule="exact"/>
        <w:ind w:left="703" w:right="268"/>
        <w:jc w:val="both"/>
      </w:pPr>
      <w:r>
        <w:rPr/>
        <w:t>注释</w:t>
      </w:r>
      <w:r>
        <w:rPr>
          <w:spacing w:val="-75"/>
        </w:rPr>
        <w:t> </w:t>
      </w:r>
      <w:r>
        <w:rPr>
          <w:rFonts w:ascii="Arial" w:hAnsi="Arial" w:cs="Arial" w:eastAsia="Arial" w:hint="default"/>
        </w:rPr>
        <w:t>17</w:t>
      </w:r>
      <w:r>
        <w:rPr/>
        <w:t>：营业收入与营业成本本年度分别比上年度上升</w:t>
      </w:r>
      <w:r>
        <w:rPr>
          <w:spacing w:val="-75"/>
        </w:rPr>
        <w:t> </w:t>
      </w:r>
      <w:r>
        <w:rPr>
          <w:rFonts w:ascii="Arial" w:hAnsi="Arial" w:cs="Arial" w:eastAsia="Arial" w:hint="default"/>
        </w:rPr>
        <w:t>29.51%</w:t>
      </w:r>
      <w:r>
        <w:rPr/>
        <w:t>、</w:t>
      </w:r>
      <w:r>
        <w:rPr>
          <w:rFonts w:ascii="Arial" w:hAnsi="Arial" w:cs="Arial" w:eastAsia="Arial" w:hint="default"/>
        </w:rPr>
        <w:t>28.75%</w:t>
      </w:r>
      <w:r>
        <w:rPr/>
        <w:t>，主要 </w:t>
      </w:r>
      <w:r>
        <w:rPr>
          <w:spacing w:val="2"/>
        </w:rPr>
        <w:t>原因为：国家一系列拉动内需政策的持续推进和落实，以及本集团坚持既定的发</w:t>
      </w:r>
      <w:r>
        <w:rPr>
          <w:spacing w:val="2"/>
        </w:rPr>
        <w:t> 展战略，贯彻落实年初制定的一系列明确的经营策略，同比店面销售收入实现了 一定的增长；报告期内，本集团连锁规模进一步扩大，以及积极拓展自营商品和 电子商务，销售规模也得到了同步扩大；另外，本集团终端销售和服务能力的稳 </w:t>
      </w:r>
      <w:r>
        <w:rPr/>
        <w:t>步提升，以及自营商品经营能力的提升，各品类产品毛利率水平也稳中有升。</w:t>
      </w:r>
    </w:p>
    <w:p>
      <w:pPr>
        <w:spacing w:line="240" w:lineRule="auto" w:before="1"/>
        <w:rPr>
          <w:rFonts w:ascii="宋体" w:hAnsi="宋体" w:cs="宋体" w:eastAsia="宋体" w:hint="default"/>
          <w:sz w:val="21"/>
          <w:szCs w:val="21"/>
        </w:rPr>
      </w:pPr>
    </w:p>
    <w:p>
      <w:pPr>
        <w:pStyle w:val="BodyText"/>
        <w:spacing w:line="312" w:lineRule="exact"/>
        <w:ind w:left="703" w:right="268"/>
        <w:jc w:val="both"/>
      </w:pPr>
      <w:r>
        <w:rPr/>
        <w:t>注释</w:t>
      </w:r>
      <w:r>
        <w:rPr>
          <w:spacing w:val="-83"/>
        </w:rPr>
        <w:t> </w:t>
      </w:r>
      <w:r>
        <w:rPr>
          <w:rFonts w:ascii="Arial" w:hAnsi="Arial" w:cs="Arial" w:eastAsia="Arial" w:hint="default"/>
        </w:rPr>
        <w:t>18</w:t>
      </w:r>
      <w:r>
        <w:rPr/>
        <w:t>：财务费用本期比上年同期下降</w:t>
      </w:r>
      <w:r>
        <w:rPr>
          <w:spacing w:val="-83"/>
        </w:rPr>
        <w:t> </w:t>
      </w:r>
      <w:r>
        <w:rPr>
          <w:rFonts w:ascii="Arial" w:hAnsi="Arial" w:cs="Arial" w:eastAsia="Arial" w:hint="default"/>
        </w:rPr>
        <w:t>108.63%</w:t>
      </w:r>
      <w:r>
        <w:rPr/>
        <w:t>，主要原因为：本集团加强了资 </w:t>
      </w:r>
      <w:r>
        <w:rPr>
          <w:spacing w:val="2"/>
        </w:rPr>
        <w:t>金管理，中短期定期存款、活期存款、通知存款和协定存款的灵活运用，以及国</w:t>
      </w:r>
      <w:r>
        <w:rPr>
          <w:spacing w:val="2"/>
        </w:rPr>
        <w:t> 家存款利率的上调，带来本期的利息收入有较大幅度的增加；另外，报告期内， </w:t>
      </w:r>
      <w:r>
        <w:rPr/>
        <w:t>本集团加强了与供应商的资金运作，相应的投款折扣也有所增加。</w:t>
      </w:r>
    </w:p>
    <w:p>
      <w:pPr>
        <w:spacing w:line="240" w:lineRule="auto" w:before="1"/>
        <w:rPr>
          <w:rFonts w:ascii="宋体" w:hAnsi="宋体" w:cs="宋体" w:eastAsia="宋体" w:hint="default"/>
          <w:sz w:val="21"/>
          <w:szCs w:val="21"/>
        </w:rPr>
      </w:pPr>
    </w:p>
    <w:p>
      <w:pPr>
        <w:pStyle w:val="BodyText"/>
        <w:spacing w:line="312" w:lineRule="exact"/>
        <w:ind w:left="703" w:right="269"/>
        <w:jc w:val="both"/>
      </w:pPr>
      <w:r>
        <w:rPr/>
        <w:t>注释 </w:t>
      </w:r>
      <w:r>
        <w:rPr>
          <w:rFonts w:ascii="Arial" w:hAnsi="Arial" w:cs="Arial" w:eastAsia="Arial" w:hint="default"/>
        </w:rPr>
        <w:t>19</w:t>
      </w:r>
      <w:r>
        <w:rPr/>
        <w:t>：营业外收入本年度比上年度下降</w:t>
      </w:r>
      <w:r>
        <w:rPr>
          <w:spacing w:val="-37"/>
        </w:rPr>
        <w:t> </w:t>
      </w:r>
      <w:r>
        <w:rPr>
          <w:rFonts w:ascii="Arial" w:hAnsi="Arial" w:cs="Arial" w:eastAsia="Arial" w:hint="default"/>
        </w:rPr>
        <w:t>35.05%</w:t>
      </w:r>
      <w:r>
        <w:rPr/>
        <w:t>，主要原因为：报告期内，本 集团各子公司收到的当地财政部门给予的企业发展补助有所减少。</w:t>
      </w:r>
    </w:p>
    <w:p>
      <w:pPr>
        <w:spacing w:line="240" w:lineRule="auto" w:before="11"/>
        <w:rPr>
          <w:rFonts w:ascii="宋体" w:hAnsi="宋体" w:cs="宋体" w:eastAsia="宋体" w:hint="default"/>
          <w:sz w:val="23"/>
          <w:szCs w:val="23"/>
        </w:rPr>
      </w:pPr>
    </w:p>
    <w:p>
      <w:pPr>
        <w:pStyle w:val="BodyText"/>
        <w:spacing w:line="312" w:lineRule="exact"/>
        <w:ind w:left="703" w:right="124"/>
        <w:jc w:val="left"/>
      </w:pPr>
      <w:r>
        <w:rPr/>
        <w:t>注释</w:t>
      </w:r>
      <w:r>
        <w:rPr>
          <w:spacing w:val="-72"/>
        </w:rPr>
        <w:t> </w:t>
      </w:r>
      <w:r>
        <w:rPr>
          <w:rFonts w:ascii="Arial" w:hAnsi="Arial" w:cs="Arial" w:eastAsia="Arial" w:hint="default"/>
        </w:rPr>
        <w:t>20</w:t>
      </w:r>
      <w:r>
        <w:rPr/>
        <w:t>：营业外支出本年度比上年度上升</w:t>
      </w:r>
      <w:r>
        <w:rPr>
          <w:spacing w:val="-72"/>
        </w:rPr>
        <w:t> </w:t>
      </w:r>
      <w:r>
        <w:rPr>
          <w:rFonts w:ascii="Arial" w:hAnsi="Arial" w:cs="Arial" w:eastAsia="Arial" w:hint="default"/>
        </w:rPr>
        <w:t>69.93%</w:t>
      </w:r>
      <w:r>
        <w:rPr/>
        <w:t>，主要原因为：报告期内，本集 团积极开展各项公益活动，捐款支出较上年度有一定幅度的增加。</w:t>
      </w:r>
    </w:p>
    <w:p>
      <w:pPr>
        <w:spacing w:after="0" w:line="312" w:lineRule="exact"/>
        <w:jc w:val="left"/>
        <w:sectPr>
          <w:pgSz w:w="11910" w:h="16840"/>
          <w:pgMar w:header="829" w:footer="900" w:top="2580" w:bottom="1100" w:left="940" w:right="1500"/>
        </w:sectPr>
      </w:pPr>
    </w:p>
    <w:p>
      <w:pPr>
        <w:spacing w:before="26"/>
        <w:ind w:left="5614" w:right="0" w:firstLine="0"/>
        <w:jc w:val="left"/>
        <w:rPr>
          <w:rFonts w:ascii="宋体" w:hAnsi="宋体" w:cs="宋体" w:eastAsia="宋体" w:hint="default"/>
          <w:sz w:val="18"/>
          <w:szCs w:val="18"/>
        </w:rPr>
      </w:pPr>
      <w:r>
        <w:rPr>
          <w:rFonts w:ascii="宋体" w:hAnsi="宋体" w:cs="宋体" w:eastAsia="宋体" w:hint="default"/>
          <w:sz w:val="18"/>
          <w:szCs w:val="18"/>
        </w:rPr>
        <w:t>苏宁电器股份有限公司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4.8pt;height:.75pt;mso-position-horizontal-relative:char;mso-position-vertical-relative:line" coordorigin="0,0" coordsize="8696,15">
            <v:group style="position:absolute;left:7;top:7;width:8681;height:2" coordorigin="7,7" coordsize="8681,2">
              <v:shape style="position:absolute;left:7;top:7;width:8681;height:2" coordorigin="7,7" coordsize="8681,0" path="m7,7l8688,7e" filled="false" stroked="true" strokeweight=".71997pt" strokecolor="#000000">
                <v:path arrowok="t"/>
              </v:shape>
            </v:group>
          </v:group>
        </w:pict>
      </w:r>
      <w:r>
        <w:rPr>
          <w:rFonts w:ascii="宋体" w:hAnsi="宋体" w:cs="宋体" w:eastAsia="宋体" w:hint="default"/>
          <w:sz w:val="2"/>
          <w:szCs w:val="2"/>
        </w:rPr>
      </w:r>
    </w:p>
    <w:p>
      <w:pPr>
        <w:pStyle w:val="Heading1"/>
        <w:tabs>
          <w:tab w:pos="4613" w:val="left" w:leader="none"/>
        </w:tabs>
        <w:spacing w:line="240" w:lineRule="auto" w:before="127"/>
        <w:ind w:left="3012" w:right="0"/>
        <w:jc w:val="left"/>
        <w:rPr>
          <w:b w:val="0"/>
          <w:bCs w:val="0"/>
        </w:rPr>
      </w:pPr>
      <w:bookmarkStart w:name="_TOC_250000" w:id="11"/>
      <w:r>
        <w:rPr>
          <w:w w:val="95"/>
        </w:rPr>
        <w:t>第十一节</w:t>
        <w:tab/>
      </w:r>
      <w:r>
        <w:rPr/>
        <w:t>备查文件目录</w:t>
      </w:r>
      <w:bookmarkEnd w:id="11"/>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11"/>
        <w:rPr>
          <w:rFonts w:ascii="宋体" w:hAnsi="宋体" w:cs="宋体" w:eastAsia="宋体" w:hint="default"/>
          <w:b/>
          <w:bCs/>
          <w:sz w:val="36"/>
          <w:szCs w:val="36"/>
        </w:rPr>
      </w:pPr>
    </w:p>
    <w:p>
      <w:pPr>
        <w:pStyle w:val="BodyText"/>
        <w:spacing w:line="240" w:lineRule="auto"/>
        <w:ind w:left="624" w:right="0"/>
        <w:jc w:val="left"/>
      </w:pPr>
      <w:r>
        <w:rPr/>
        <w:t>公司在办公地点备置有完整、齐备的下列文件：</w:t>
      </w:r>
    </w:p>
    <w:p>
      <w:pPr>
        <w:pStyle w:val="BodyText"/>
        <w:spacing w:line="338" w:lineRule="auto" w:before="154"/>
        <w:ind w:left="143" w:right="0" w:firstLine="480"/>
        <w:jc w:val="left"/>
      </w:pPr>
      <w:r>
        <w:rPr>
          <w:rFonts w:ascii="Times New Roman" w:hAnsi="Times New Roman" w:cs="Times New Roman" w:eastAsia="Times New Roman" w:hint="default"/>
          <w:spacing w:val="2"/>
        </w:rPr>
        <w:t>1</w:t>
      </w:r>
      <w:r>
        <w:rPr>
          <w:spacing w:val="2"/>
        </w:rPr>
        <w:t>、载有公司法定代表人、主管会计工作负责人、会计机构负责人签名并盖章</w:t>
      </w:r>
      <w:r>
        <w:rPr>
          <w:spacing w:val="3"/>
        </w:rPr>
        <w:t> </w:t>
      </w:r>
      <w:r>
        <w:rPr/>
        <w:t>的会计报表。</w:t>
      </w:r>
    </w:p>
    <w:p>
      <w:pPr>
        <w:pStyle w:val="BodyText"/>
        <w:spacing w:line="338" w:lineRule="auto" w:before="55"/>
        <w:ind w:left="143" w:right="0" w:firstLine="480"/>
        <w:jc w:val="left"/>
      </w:pPr>
      <w:r>
        <w:rPr>
          <w:rFonts w:ascii="Times New Roman" w:hAnsi="Times New Roman" w:cs="Times New Roman" w:eastAsia="Times New Roman" w:hint="default"/>
          <w:spacing w:val="2"/>
        </w:rPr>
        <w:t>2</w:t>
      </w:r>
      <w:r>
        <w:rPr>
          <w:spacing w:val="2"/>
        </w:rPr>
        <w:t>、载有普华永道中天会计师事务所有限公司盖章、注册会计师签名并盖章的</w:t>
      </w:r>
      <w:r>
        <w:rPr>
          <w:spacing w:val="3"/>
        </w:rPr>
        <w:t> </w:t>
      </w:r>
      <w:r>
        <w:rPr/>
        <w:t>审计报告原件。</w:t>
      </w:r>
    </w:p>
    <w:p>
      <w:pPr>
        <w:pStyle w:val="BodyText"/>
        <w:spacing w:line="338" w:lineRule="auto" w:before="55"/>
        <w:ind w:left="143" w:right="0" w:firstLine="480"/>
        <w:jc w:val="left"/>
      </w:pPr>
      <w:r>
        <w:rPr>
          <w:rFonts w:ascii="Times New Roman" w:hAnsi="Times New Roman" w:cs="Times New Roman" w:eastAsia="Times New Roman" w:hint="default"/>
          <w:spacing w:val="-18"/>
        </w:rPr>
        <w:t>3</w:t>
      </w:r>
      <w:r>
        <w:rPr>
          <w:spacing w:val="-18"/>
        </w:rPr>
        <w:t>、报告期内在《证券时报》、《中国证券报》、《上海证券报》、《证券日报》上</w:t>
      </w:r>
      <w:r>
        <w:rPr>
          <w:spacing w:val="2"/>
        </w:rPr>
        <w:t> </w:t>
      </w:r>
      <w:r>
        <w:rPr/>
        <w:t>公开披露过的所有公司文件的正本及公告的原稿。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7"/>
          <w:szCs w:val="27"/>
        </w:rPr>
      </w:pPr>
    </w:p>
    <w:p>
      <w:pPr>
        <w:pStyle w:val="BodyText"/>
        <w:spacing w:line="357" w:lineRule="auto"/>
        <w:ind w:left="5904" w:right="820" w:hanging="240"/>
        <w:jc w:val="left"/>
      </w:pPr>
      <w:r>
        <w:rPr/>
        <w:t>苏宁电器股份有限公司 董事长： 张近东</w:t>
      </w:r>
    </w:p>
    <w:p>
      <w:pPr>
        <w:pStyle w:val="BodyText"/>
        <w:spacing w:line="240" w:lineRule="auto" w:before="36"/>
        <w:ind w:left="5524" w:right="888"/>
        <w:jc w:val="center"/>
      </w:pPr>
      <w:r>
        <w:rPr/>
        <w:t>二</w:t>
      </w:r>
      <w:r>
        <w:rPr>
          <w:spacing w:val="-61"/>
        </w:rPr>
        <w:t> </w:t>
      </w:r>
      <w:r>
        <w:rPr>
          <w:rFonts w:ascii="Times New Roman" w:hAnsi="Times New Roman" w:cs="Times New Roman" w:eastAsia="Times New Roman" w:hint="default"/>
        </w:rPr>
        <w:t>O</w:t>
      </w:r>
      <w:r>
        <w:rPr>
          <w:rFonts w:ascii="Times New Roman" w:hAnsi="Times New Roman" w:cs="Times New Roman" w:eastAsia="Times New Roman" w:hint="default"/>
          <w:spacing w:val="-1"/>
        </w:rPr>
        <w:t> </w:t>
      </w:r>
      <w:r>
        <w:rPr/>
        <w:t>一一年三月十四日</w:t>
      </w:r>
    </w:p>
    <w:sectPr>
      <w:headerReference w:type="default" r:id="rId88"/>
      <w:footerReference w:type="default" r:id="rId89"/>
      <w:pgSz w:w="11910" w:h="16840"/>
      <w:pgMar w:header="0" w:footer="900" w:top="740" w:bottom="1100" w:left="1500" w:right="1500"/>
      <w:pgNumType w:star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5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5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4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4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5pt;margin-top:774.747192pt;width:425pt;height:31.55pt;mso-position-horizontal-relative:page;mso-position-vertical-relative:page;z-index:-1004944" type="#_x0000_t202" filled="false" stroked="false">
          <v:textbox inset="0,0,0,0">
            <w:txbxContent>
              <w:p>
                <w:pPr>
                  <w:pStyle w:val="BodyText"/>
                  <w:spacing w:line="278" w:lineRule="exact"/>
                  <w:ind w:left="20" w:right="0"/>
                  <w:jc w:val="left"/>
                </w:pPr>
                <w:r>
                  <w:rPr>
                    <w:rFonts w:ascii="Times New Roman" w:hAnsi="Times New Roman" w:cs="Times New Roman" w:eastAsia="Times New Roman" w:hint="default"/>
                  </w:rPr>
                  <w:t>37</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3 </w:t>
                </w:r>
                <w:r>
                  <w:rPr/>
                  <w:t>日，苏宁电器股份有限公司和公司控股子公司—江苏苏宁地铁</w:t>
                </w:r>
              </w:p>
              <w:p>
                <w:pPr>
                  <w:spacing w:before="129"/>
                  <w:ind w:left="0" w:right="389"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5pt;margin-top:774.747192pt;width:425pt;height:31.55pt;mso-position-horizontal-relative:page;mso-position-vertical-relative:page;z-index:-1004920" type="#_x0000_t202" filled="false" stroked="false">
          <v:textbox inset="0,0,0,0">
            <w:txbxContent>
              <w:p>
                <w:pPr>
                  <w:pStyle w:val="BodyText"/>
                  <w:spacing w:line="278" w:lineRule="exact"/>
                  <w:ind w:left="20" w:right="0"/>
                  <w:jc w:val="left"/>
                </w:pPr>
                <w:r>
                  <w:rPr>
                    <w:rFonts w:ascii="Times New Roman" w:hAnsi="Times New Roman" w:cs="Times New Roman" w:eastAsia="Times New Roman" w:hint="default"/>
                  </w:rPr>
                  <w:t>45</w:t>
                </w:r>
                <w:r>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8 </w:t>
                </w:r>
                <w:r>
                  <w:rPr/>
                  <w:t>日，苏宁电器股份有限公司和公司控股子公司—江苏苏宁地铁</w:t>
                </w:r>
              </w:p>
              <w:p>
                <w:pPr>
                  <w:spacing w:before="129"/>
                  <w:ind w:left="0" w:right="389" w:firstLine="0"/>
                  <w:jc w:val="center"/>
                  <w:rPr>
                    <w:rFonts w:ascii="Times New Roman" w:hAnsi="Times New Roman" w:cs="Times New Roman" w:eastAsia="Times New Roman" w:hint="default"/>
                    <w:sz w:val="18"/>
                    <w:szCs w:val="18"/>
                  </w:rPr>
                </w:pPr>
                <w:r>
                  <w:rPr>
                    <w:rFonts w:ascii="Times New Roman"/>
                    <w:sz w:val="18"/>
                  </w:rPr>
                  <w:t>71</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4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4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4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4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4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5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4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4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4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4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40002pt;margin-top:795.277649pt;width:15.5pt;height:11pt;mso-position-horizontal-relative:page;mso-position-vertical-relative:page;z-index:-10046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296.140015pt;margin-top:795.277649pt;width:17.6pt;height:11.3pt;mso-position-horizontal-relative:page;mso-position-vertical-relative:page;z-index:-1004656" type="#_x0000_t202" filled="false" stroked="false">
          <v:textbox inset="0,0,0,0">
            <w:txbxContent>
              <w:p>
                <w:pPr>
                  <w:spacing w:before="2"/>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250488pt;margin-top:536.987183pt;width:28.05pt;height:11pt;mso-position-horizontal-relative:page;mso-position-vertical-relative:page;z-index:-1004248"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137</w:t>
                </w:r>
                <w:r>
                  <w:rPr/>
                  <w:fldChar w:fldCharType="end"/>
                </w:r>
                <w:r>
                  <w:rPr>
                    <w:rFonts w:ascii="Arial"/>
                    <w:spacing w:val="-1"/>
                    <w:sz w:val="18"/>
                  </w:rPr>
                  <w:t> </w:t>
                </w:r>
                <w:r>
                  <w:rPr>
                    <w:rFonts w:ascii="Arial"/>
                    <w:sz w:val="18"/>
                  </w:rPr>
                  <w:t>-</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899994pt;margin-top:783.646851pt;width:28.05pt;height:11pt;mso-position-horizontal-relative:page;mso-position-vertical-relative:page;z-index:-1004152"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141</w:t>
                </w:r>
                <w:r>
                  <w:rPr/>
                  <w:fldChar w:fldCharType="end"/>
                </w:r>
                <w:r>
                  <w:rPr>
                    <w:rFonts w:ascii="Arial"/>
                    <w:spacing w:val="-1"/>
                    <w:sz w:val="18"/>
                  </w:rPr>
                  <w:t> </w:t>
                </w:r>
                <w:r>
                  <w:rPr>
                    <w:rFonts w:ascii="Arial"/>
                    <w:sz w:val="18"/>
                  </w:rPr>
                  <w:t>-</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250488pt;margin-top:536.987183pt;width:28.05pt;height:11pt;mso-position-horizontal-relative:page;mso-position-vertical-relative:page;z-index:-1004056"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156</w:t>
                </w:r>
                <w:r>
                  <w:rPr/>
                  <w:fldChar w:fldCharType="end"/>
                </w:r>
                <w:r>
                  <w:rPr>
                    <w:rFonts w:ascii="Arial"/>
                    <w:spacing w:val="-1"/>
                    <w:sz w:val="18"/>
                  </w:rPr>
                  <w:t> </w:t>
                </w:r>
                <w:r>
                  <w:rPr>
                    <w:rFonts w:ascii="Arial"/>
                    <w:sz w:val="18"/>
                  </w:rPr>
                  <w:t>-</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5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899994pt;margin-top:783.646851pt;width:28.05pt;height:11pt;mso-position-horizontal-relative:page;mso-position-vertical-relative:page;z-index:-1003960"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160</w:t>
                </w:r>
                <w:r>
                  <w:rPr/>
                  <w:fldChar w:fldCharType="end"/>
                </w:r>
                <w:r>
                  <w:rPr>
                    <w:rFonts w:ascii="Arial"/>
                    <w:spacing w:val="-1"/>
                    <w:sz w:val="18"/>
                  </w:rPr>
                  <w:t> </w:t>
                </w:r>
                <w:r>
                  <w:rPr>
                    <w:rFonts w:ascii="Arial"/>
                    <w:sz w:val="18"/>
                  </w:rPr>
                  <w:t>-</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250488pt;margin-top:536.987183pt;width:28.05pt;height:11pt;mso-position-horizontal-relative:page;mso-position-vertical-relative:page;z-index:-1003864"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162</w:t>
                </w:r>
                <w:r>
                  <w:rPr/>
                  <w:fldChar w:fldCharType="end"/>
                </w:r>
                <w:r>
                  <w:rPr>
                    <w:rFonts w:ascii="Arial"/>
                    <w:spacing w:val="-1"/>
                    <w:sz w:val="18"/>
                  </w:rPr>
                  <w:t> </w:t>
                </w:r>
                <w:r>
                  <w:rPr>
                    <w:rFonts w:ascii="Arial"/>
                    <w:sz w:val="18"/>
                  </w:rPr>
                  <w:t>-</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899994pt;margin-top:783.646851pt;width:28.05pt;height:11pt;mso-position-horizontal-relative:page;mso-position-vertical-relative:page;z-index:-1003768"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164</w:t>
                </w:r>
                <w:r>
                  <w:rPr/>
                  <w:fldChar w:fldCharType="end"/>
                </w:r>
                <w:r>
                  <w:rPr>
                    <w:rFonts w:ascii="Arial"/>
                    <w:spacing w:val="-1"/>
                    <w:sz w:val="18"/>
                  </w:rPr>
                  <w:t> </w:t>
                </w:r>
                <w:r>
                  <w:rPr>
                    <w:rFonts w:ascii="Arial"/>
                    <w:sz w:val="18"/>
                  </w:rPr>
                  <w:t>-</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700012pt;margin-top:783.646851pt;width:28.05pt;height:11pt;mso-position-horizontal-relative:page;mso-position-vertical-relative:page;z-index:-1003672"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177</w:t>
                </w:r>
                <w:r>
                  <w:rPr/>
                  <w:fldChar w:fldCharType="end"/>
                </w:r>
                <w:r>
                  <w:rPr>
                    <w:rFonts w:ascii="Arial"/>
                    <w:spacing w:val="-1"/>
                    <w:sz w:val="18"/>
                  </w:rPr>
                  <w:t> </w:t>
                </w:r>
                <w:r>
                  <w:rPr>
                    <w:rFonts w:ascii="Arial"/>
                    <w:sz w:val="18"/>
                  </w:rPr>
                  <w:t>-</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8.990509pt;margin-top:536.987183pt;width:28.05pt;height:11pt;mso-position-horizontal-relative:page;mso-position-vertical-relative:page;z-index:-1003576"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193</w:t>
                </w:r>
                <w:r>
                  <w:rPr/>
                  <w:fldChar w:fldCharType="end"/>
                </w:r>
                <w:r>
                  <w:rPr>
                    <w:rFonts w:ascii="Arial"/>
                    <w:spacing w:val="-1"/>
                    <w:sz w:val="18"/>
                  </w:rPr>
                  <w:t> </w:t>
                </w:r>
                <w:r>
                  <w:rPr>
                    <w:rFonts w:ascii="Arial"/>
                    <w:sz w:val="18"/>
                  </w:rPr>
                  <w:t>-</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899994pt;margin-top:783.646851pt;width:28.05pt;height:11pt;mso-position-horizontal-relative:page;mso-position-vertical-relative:page;z-index:-1003480"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195</w:t>
                </w:r>
                <w:r>
                  <w:rPr/>
                  <w:fldChar w:fldCharType="end"/>
                </w:r>
                <w:r>
                  <w:rPr>
                    <w:rFonts w:ascii="Arial"/>
                    <w:spacing w:val="-1"/>
                    <w:sz w:val="18"/>
                  </w:rPr>
                  <w:t> </w:t>
                </w:r>
                <w:r>
                  <w:rPr>
                    <w:rFonts w:ascii="Arial"/>
                    <w:sz w:val="18"/>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5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899994pt;margin-top:783.646851pt;width:28.05pt;height:11pt;mso-position-horizontal-relative:page;mso-position-vertical-relative:page;z-index:-1003456"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- 200</w:t>
                </w:r>
                <w:r>
                  <w:rPr>
                    <w:rFonts w:ascii="Arial"/>
                    <w:spacing w:val="-3"/>
                    <w:sz w:val="18"/>
                  </w:rPr>
                  <w:t> </w:t>
                </w:r>
                <w:r>
                  <w:rPr>
                    <w:rFonts w:ascii="Arial"/>
                    <w:sz w:val="18"/>
                  </w:rPr>
                  <w:t>-</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899994pt;margin-top:783.646851pt;width:28.05pt;height:11pt;mso-position-horizontal-relative:page;mso-position-vertical-relative:page;z-index:-1003432"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201</w:t>
                </w:r>
                <w:r>
                  <w:rPr/>
                  <w:fldChar w:fldCharType="end"/>
                </w:r>
                <w:r>
                  <w:rPr>
                    <w:rFonts w:ascii="Arial"/>
                    <w:spacing w:val="-1"/>
                    <w:sz w:val="18"/>
                  </w:rPr>
                  <w:t> </w:t>
                </w:r>
                <w:r>
                  <w:rPr>
                    <w:rFonts w:ascii="Arial"/>
                    <w:sz w:val="18"/>
                  </w:rPr>
                  <w:t>-</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10486pt;margin-top:536.987183pt;width:28.05pt;height:11pt;mso-position-horizontal-relative:page;mso-position-vertical-relative:page;z-index:-1003336"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209</w:t>
                </w:r>
                <w:r>
                  <w:rPr/>
                  <w:fldChar w:fldCharType="end"/>
                </w:r>
                <w:r>
                  <w:rPr>
                    <w:rFonts w:ascii="Arial"/>
                    <w:spacing w:val="-1"/>
                    <w:sz w:val="18"/>
                  </w:rPr>
                  <w:t> </w:t>
                </w:r>
                <w:r>
                  <w:rPr>
                    <w:rFonts w:ascii="Arial"/>
                    <w:sz w:val="18"/>
                  </w:rPr>
                  <w:t>-</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899994pt;margin-top:783.646851pt;width:28.05pt;height:11pt;mso-position-horizontal-relative:page;mso-position-vertical-relative:page;z-index:-1003240"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213</w:t>
                </w:r>
                <w:r>
                  <w:rPr/>
                  <w:fldChar w:fldCharType="end"/>
                </w:r>
                <w:r>
                  <w:rPr>
                    <w:rFonts w:ascii="Arial"/>
                    <w:spacing w:val="-1"/>
                    <w:sz w:val="18"/>
                  </w:rPr>
                  <w:t> </w:t>
                </w:r>
                <w:r>
                  <w:rPr>
                    <w:rFonts w:ascii="Arial"/>
                    <w:sz w:val="18"/>
                  </w:rPr>
                  <w:t>-</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39697pt;margin-top:785.977661pt;width:17.5pt;height:11pt;mso-position-horizontal-relative:page;mso-position-vertical-relative:page;z-index:-1003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216</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002pt;margin-top:785.977661pt;width:17.5pt;height:11pt;mso-position-horizontal-relative:page;mso-position-vertical-relative:page;z-index:-1003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5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5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5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5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95.277649pt;width:13pt;height:11pt;mso-position-horizontal-relative:page;mso-position-vertical-relative:page;z-index:-1005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70.5pt;margin-top:49.080013pt;width:454.45pt;height:.1pt;mso-position-horizontal-relative:page;mso-position-vertical-relative:page;z-index:-1005280" coordorigin="1410,982" coordsize="9089,2">
          <v:shape style="position:absolute;left:1410;top:982;width:9089;height:2" coordorigin="1410,982" coordsize="9089,0" path="m1410,982l10499,982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64.940002pt;margin-top:36.385326pt;width:159.5pt;height:11.5pt;mso-position-horizontal-relative:page;mso-position-vertical-relative:page;z-index:-10052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59999pt;margin-top:151.37999pt;width:439.95pt;height:.1pt;mso-position-horizontal-relative:page;mso-position-vertical-relative:page;z-index:-1004032" coordorigin="1699,3028" coordsize="8799,2">
          <v:shape style="position:absolute;left:1699;top:3028;width:8799;height:2" coordorigin="1699,3028" coordsize="8799,0" path="m1699,3028l10498,3028e" filled="false" stroked="true" strokeweight=".72003pt" strokecolor="#000000">
            <v:path arrowok="t"/>
          </v:shape>
          <w10:wrap type="none"/>
        </v:group>
      </w:pict>
    </w:r>
    <w:r>
      <w:rPr/>
      <w:pict>
        <v:shape style="position:absolute;margin-left:85.459999pt;margin-top:72.747200pt;width:122pt;height:14pt;mso-position-horizontal-relative:page;mso-position-vertical-relative:page;z-index:-1004008" type="#_x0000_t202" filled="false" stroked="false">
          <v:textbox inset="0,0,0,0">
            <w:txbxContent>
              <w:p>
                <w:pPr>
                  <w:pStyle w:val="BodyText"/>
                  <w:spacing w:line="260" w:lineRule="exact"/>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59999pt;margin-top:103.947197pt;width:214.05pt;height:45.95pt;mso-position-horizontal-relative:page;mso-position-vertical-relative:page;z-index:-1003984" type="#_x0000_t202" filled="false" stroked="false">
          <v:textbox inset="0,0,0,0">
            <w:txbxContent>
              <w:p>
                <w:pPr>
                  <w:pStyle w:val="BodyText"/>
                  <w:spacing w:line="259" w:lineRule="exact"/>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ind w:left="20"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11"/>
                  </w:rPr>
                  <w:t> </w:t>
                </w:r>
                <w:r>
                  <w:rPr>
                    <w:rFonts w:ascii="黑体" w:hAnsi="黑体" w:cs="黑体" w:eastAsia="黑体" w:hint="default"/>
                  </w:rPr>
                  <w:t>年度</w:t>
                </w:r>
              </w:p>
              <w:p>
                <w:pPr>
                  <w:pStyle w:val="BodyText"/>
                  <w:spacing w:line="323" w:lineRule="exact"/>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50996pt;margin-top:151.380005pt;width:686.6pt;height:.1pt;mso-position-horizontal-relative:page;mso-position-vertical-relative:page;z-index:-1003936" coordorigin="1699,3028" coordsize="13732,2">
          <v:shape style="position:absolute;left:1699;top:3028;width:13732;height:2" coordorigin="1699,3028" coordsize="13732,0" path="m1699,3028l15431,3028e" filled="false" stroked="true" strokeweight=".72pt" strokecolor="#000000">
            <v:path arrowok="t"/>
          </v:shape>
          <w10:wrap type="none"/>
        </v:group>
      </w:pict>
    </w:r>
    <w:r>
      <w:rPr/>
      <w:pict>
        <v:shape style="position:absolute;margin-left:85.4505pt;margin-top:72.747498pt;width:122pt;height:14pt;mso-position-horizontal-relative:page;mso-position-vertical-relative:page;z-index:-1003912" type="#_x0000_t202" filled="false" stroked="false">
          <v:textbox inset="0,0,0,0">
            <w:txbxContent>
              <w:p>
                <w:pPr>
                  <w:pStyle w:val="BodyText"/>
                  <w:spacing w:line="260" w:lineRule="exact"/>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505pt;margin-top:103.947502pt;width:214.05pt;height:45.95pt;mso-position-horizontal-relative:page;mso-position-vertical-relative:page;z-index:-1003888" type="#_x0000_t202" filled="false" stroked="false">
          <v:textbox inset="0,0,0,0">
            <w:txbxContent>
              <w:p>
                <w:pPr>
                  <w:pStyle w:val="BodyText"/>
                  <w:spacing w:line="259" w:lineRule="exact"/>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ind w:left="20"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11"/>
                  </w:rPr>
                  <w:t> </w:t>
                </w:r>
                <w:r>
                  <w:rPr>
                    <w:rFonts w:ascii="黑体" w:hAnsi="黑体" w:cs="黑体" w:eastAsia="黑体" w:hint="default"/>
                  </w:rPr>
                  <w:t>年度</w:t>
                </w:r>
              </w:p>
              <w:p>
                <w:pPr>
                  <w:pStyle w:val="BodyText"/>
                  <w:spacing w:line="323" w:lineRule="exact"/>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59999pt;margin-top:115.379982pt;width:439.95pt;height:.1pt;mso-position-horizontal-relative:page;mso-position-vertical-relative:page;z-index:-1003840" coordorigin="1699,2308" coordsize="8799,2">
          <v:shape style="position:absolute;left:1699;top:2308;width:8799;height:2" coordorigin="1699,2308" coordsize="8799,0" path="m1699,2308l10498,2308e" filled="false" stroked="true" strokeweight=".72003pt" strokecolor="#000000">
            <v:path arrowok="t"/>
          </v:shape>
          <w10:wrap type="none"/>
        </v:group>
      </w:pict>
    </w:r>
    <w:r>
      <w:rPr/>
      <w:pict>
        <v:shape style="position:absolute;margin-left:85.459999pt;margin-top:36.7472pt;width:122pt;height:14pt;mso-position-horizontal-relative:page;mso-position-vertical-relative:page;z-index:-1003816" type="#_x0000_t202" filled="false" stroked="false">
          <v:textbox inset="0,0,0,0">
            <w:txbxContent>
              <w:p>
                <w:pPr>
                  <w:pStyle w:val="BodyText"/>
                  <w:spacing w:line="260" w:lineRule="exact"/>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59999pt;margin-top:67.947197pt;width:214.05pt;height:45.95pt;mso-position-horizontal-relative:page;mso-position-vertical-relative:page;z-index:-1003792" type="#_x0000_t202" filled="false" stroked="false">
          <v:textbox inset="0,0,0,0">
            <w:txbxContent>
              <w:p>
                <w:pPr>
                  <w:pStyle w:val="BodyText"/>
                  <w:spacing w:line="259" w:lineRule="exact"/>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ind w:left="20"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11"/>
                  </w:rPr>
                  <w:t> </w:t>
                </w:r>
                <w:r>
                  <w:rPr>
                    <w:rFonts w:ascii="黑体" w:hAnsi="黑体" w:cs="黑体" w:eastAsia="黑体" w:hint="default"/>
                  </w:rPr>
                  <w:t>年度</w:t>
                </w:r>
              </w:p>
              <w:p>
                <w:pPr>
                  <w:pStyle w:val="BodyText"/>
                  <w:spacing w:line="323" w:lineRule="exact"/>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59999pt;margin-top:115.379982pt;width:439.95pt;height:.1pt;mso-position-horizontal-relative:page;mso-position-vertical-relative:page;z-index:-1003744" coordorigin="1699,2308" coordsize="8799,2">
          <v:shape style="position:absolute;left:1699;top:2308;width:8799;height:2" coordorigin="1699,2308" coordsize="8799,0" path="m1699,2308l10498,2308e" filled="false" stroked="true" strokeweight=".72003pt" strokecolor="#000000">
            <v:path arrowok="t"/>
          </v:shape>
          <w10:wrap type="none"/>
        </v:group>
      </w:pict>
    </w:r>
    <w:r>
      <w:rPr/>
      <w:pict>
        <v:shape style="position:absolute;margin-left:85.459999pt;margin-top:36.7472pt;width:122pt;height:14pt;mso-position-horizontal-relative:page;mso-position-vertical-relative:page;z-index:-1003720" type="#_x0000_t202" filled="false" stroked="false">
          <v:textbox inset="0,0,0,0">
            <w:txbxContent>
              <w:p>
                <w:pPr>
                  <w:pStyle w:val="BodyText"/>
                  <w:spacing w:line="260" w:lineRule="exact"/>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59999pt;margin-top:67.947197pt;width:214.05pt;height:45.95pt;mso-position-horizontal-relative:page;mso-position-vertical-relative:page;z-index:-1003696" type="#_x0000_t202" filled="false" stroked="false">
          <v:textbox inset="0,0,0,0">
            <w:txbxContent>
              <w:p>
                <w:pPr>
                  <w:pStyle w:val="BodyText"/>
                  <w:spacing w:line="259" w:lineRule="exact"/>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ind w:left="20"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11"/>
                  </w:rPr>
                  <w:t> </w:t>
                </w:r>
                <w:r>
                  <w:rPr>
                    <w:rFonts w:ascii="黑体" w:hAnsi="黑体" w:cs="黑体" w:eastAsia="黑体" w:hint="default"/>
                  </w:rPr>
                  <w:t>年度</w:t>
                </w:r>
              </w:p>
              <w:p>
                <w:pPr>
                  <w:pStyle w:val="BodyText"/>
                  <w:spacing w:line="323" w:lineRule="exact"/>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4.491001pt;margin-top:115.379997pt;width:737pt;height:.1pt;mso-position-horizontal-relative:page;mso-position-vertical-relative:page;z-index:-1003648" coordorigin="690,2308" coordsize="14740,2">
          <v:shape style="position:absolute;left:690;top:2308;width:14740;height:2" coordorigin="690,2308" coordsize="14740,0" path="m690,2308l15429,2308e" filled="false" stroked="true" strokeweight=".72pt" strokecolor="#000000">
            <v:path arrowok="t"/>
          </v:shape>
          <w10:wrap type="none"/>
        </v:group>
      </w:pict>
    </w:r>
    <w:r>
      <w:rPr/>
      <w:pict>
        <v:shape style="position:absolute;margin-left:34.990501pt;margin-top:36.747501pt;width:122pt;height:14pt;mso-position-horizontal-relative:page;mso-position-vertical-relative:page;z-index:-1003624" type="#_x0000_t202" filled="false" stroked="false">
          <v:textbox inset="0,0,0,0">
            <w:txbxContent>
              <w:p>
                <w:pPr>
                  <w:pStyle w:val="BodyText"/>
                  <w:spacing w:line="260" w:lineRule="exact"/>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34.990501pt;margin-top:67.947502pt;width:214.05pt;height:45.95pt;mso-position-horizontal-relative:page;mso-position-vertical-relative:page;z-index:-1003600" type="#_x0000_t202" filled="false" stroked="false">
          <v:textbox inset="0,0,0,0">
            <w:txbxContent>
              <w:p>
                <w:pPr>
                  <w:pStyle w:val="BodyText"/>
                  <w:spacing w:line="259" w:lineRule="exact"/>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ind w:left="20"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11"/>
                  </w:rPr>
                  <w:t> </w:t>
                </w:r>
                <w:r>
                  <w:rPr>
                    <w:rFonts w:ascii="黑体" w:hAnsi="黑体" w:cs="黑体" w:eastAsia="黑体" w:hint="default"/>
                  </w:rPr>
                  <w:t>年度</w:t>
                </w:r>
              </w:p>
              <w:p>
                <w:pPr>
                  <w:pStyle w:val="BodyText"/>
                  <w:spacing w:line="323" w:lineRule="exact"/>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59999pt;margin-top:115.379982pt;width:439.95pt;height:.1pt;mso-position-horizontal-relative:page;mso-position-vertical-relative:page;z-index:-1003552" coordorigin="1699,2308" coordsize="8799,2">
          <v:shape style="position:absolute;left:1699;top:2308;width:8799;height:2" coordorigin="1699,2308" coordsize="8799,0" path="m1699,2308l10498,2308e" filled="false" stroked="true" strokeweight=".72003pt" strokecolor="#000000">
            <v:path arrowok="t"/>
          </v:shape>
          <w10:wrap type="none"/>
        </v:group>
      </w:pict>
    </w:r>
    <w:r>
      <w:rPr/>
      <w:pict>
        <v:shape style="position:absolute;margin-left:85.459999pt;margin-top:36.7472pt;width:122pt;height:14pt;mso-position-horizontal-relative:page;mso-position-vertical-relative:page;z-index:-1003528" type="#_x0000_t202" filled="false" stroked="false">
          <v:textbox inset="0,0,0,0">
            <w:txbxContent>
              <w:p>
                <w:pPr>
                  <w:pStyle w:val="BodyText"/>
                  <w:spacing w:line="260" w:lineRule="exact"/>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59999pt;margin-top:67.947197pt;width:214.05pt;height:45.95pt;mso-position-horizontal-relative:page;mso-position-vertical-relative:page;z-index:-1003504" type="#_x0000_t202" filled="false" stroked="false">
          <v:textbox inset="0,0,0,0">
            <w:txbxContent>
              <w:p>
                <w:pPr>
                  <w:pStyle w:val="BodyText"/>
                  <w:spacing w:line="259" w:lineRule="exact"/>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ind w:left="20"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11"/>
                  </w:rPr>
                  <w:t> </w:t>
                </w:r>
                <w:r>
                  <w:rPr>
                    <w:rFonts w:ascii="黑体" w:hAnsi="黑体" w:cs="黑体" w:eastAsia="黑体" w:hint="default"/>
                  </w:rPr>
                  <w:t>年度</w:t>
                </w:r>
              </w:p>
              <w:p>
                <w:pPr>
                  <w:pStyle w:val="BodyText"/>
                  <w:spacing w:line="323" w:lineRule="exact"/>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115.379997pt;width:716.3pt;height:.1pt;mso-position-horizontal-relative:page;mso-position-vertical-relative:page;z-index:-1003408" coordorigin="1104,2308" coordsize="14326,2">
          <v:shape style="position:absolute;left:1104;top:2308;width:14326;height:2" coordorigin="1104,2308" coordsize="14326,0" path="m1104,2308l15429,2308e" filled="false" stroked="true" strokeweight=".72pt" strokecolor="#000000">
            <v:path arrowok="t"/>
          </v:shape>
          <w10:wrap type="none"/>
        </v:group>
      </w:pict>
    </w:r>
    <w:r>
      <w:rPr/>
      <w:pict>
        <v:shape style="position:absolute;margin-left:55.690601pt;margin-top:36.747501pt;width:122pt;height:14pt;mso-position-horizontal-relative:page;mso-position-vertical-relative:page;z-index:-1003384" type="#_x0000_t202" filled="false" stroked="false">
          <v:textbox inset="0,0,0,0">
            <w:txbxContent>
              <w:p>
                <w:pPr>
                  <w:pStyle w:val="BodyText"/>
                  <w:spacing w:line="260" w:lineRule="exact"/>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55.690601pt;margin-top:67.947502pt;width:214.05pt;height:45.95pt;mso-position-horizontal-relative:page;mso-position-vertical-relative:page;z-index:-1003360" type="#_x0000_t202" filled="false" stroked="false">
          <v:textbox inset="0,0,0,0">
            <w:txbxContent>
              <w:p>
                <w:pPr>
                  <w:pStyle w:val="BodyText"/>
                  <w:spacing w:line="259" w:lineRule="exact"/>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ind w:left="20"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11"/>
                  </w:rPr>
                  <w:t> </w:t>
                </w:r>
                <w:r>
                  <w:rPr>
                    <w:rFonts w:ascii="黑体" w:hAnsi="黑体" w:cs="黑体" w:eastAsia="黑体" w:hint="default"/>
                  </w:rPr>
                  <w:t>年度</w:t>
                </w:r>
              </w:p>
              <w:p>
                <w:pPr>
                  <w:pStyle w:val="BodyText"/>
                  <w:spacing w:line="323" w:lineRule="exact"/>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59999pt;margin-top:36.7472pt;width:122pt;height:14pt;mso-position-horizontal-relative:page;mso-position-vertical-relative:page;z-index:-1004632" type="#_x0000_t202" filled="false" stroked="false">
          <v:textbox inset="0,0,0,0">
            <w:txbxContent>
              <w:p>
                <w:pPr>
                  <w:pStyle w:val="BodyText"/>
                  <w:spacing w:line="260" w:lineRule="exact"/>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59999pt;margin-top:115.379982pt;width:439.95pt;height:.1pt;mso-position-horizontal-relative:page;mso-position-vertical-relative:page;z-index:-1003312" coordorigin="1699,2308" coordsize="8799,2">
          <v:shape style="position:absolute;left:1699;top:2308;width:8799;height:2" coordorigin="1699,2308" coordsize="8799,0" path="m1699,2308l10498,2308e" filled="false" stroked="true" strokeweight=".72003pt" strokecolor="#000000">
            <v:path arrowok="t"/>
          </v:shape>
          <w10:wrap type="none"/>
        </v:group>
      </w:pict>
    </w:r>
    <w:r>
      <w:rPr/>
      <w:pict>
        <v:shape style="position:absolute;margin-left:85.459999pt;margin-top:36.7472pt;width:122pt;height:14pt;mso-position-horizontal-relative:page;mso-position-vertical-relative:page;z-index:-1003288" type="#_x0000_t202" filled="false" stroked="false">
          <v:textbox inset="0,0,0,0">
            <w:txbxContent>
              <w:p>
                <w:pPr>
                  <w:pStyle w:val="BodyText"/>
                  <w:spacing w:line="260" w:lineRule="exact"/>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59999pt;margin-top:67.947197pt;width:218pt;height:45.35pt;mso-position-horizontal-relative:page;mso-position-vertical-relative:page;z-index:-1003264" type="#_x0000_t202" filled="false" stroked="false">
          <v:textbox inset="0,0,0,0">
            <w:txbxContent>
              <w:p>
                <w:pPr>
                  <w:pStyle w:val="BodyText"/>
                  <w:spacing w:line="259" w:lineRule="exact"/>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240" w:lineRule="auto"/>
                  <w:ind w:left="20" w:right="18"/>
                  <w:jc w:val="left"/>
                </w:pPr>
                <w:r>
                  <w:rPr/>
                  <w:t>2010</w:t>
                </w:r>
                <w:r>
                  <w:rPr>
                    <w:spacing w:val="-60"/>
                  </w:rPr>
                  <w:t> </w:t>
                </w:r>
                <w:r>
                  <w:rPr/>
                  <w:t>年度</w:t>
                </w:r>
                <w:r>
                  <w:rPr/>
                  <w:t> (除特别注明外，金额单位为人民币千元)</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699997pt;margin-top:129.420013pt;width:434.05pt;height:.1pt;mso-position-horizontal-relative:page;mso-position-vertical-relative:page;z-index:-1003216" coordorigin="1614,2588" coordsize="8681,2">
          <v:shape style="position:absolute;left:1614;top:2588;width:8681;height:2" coordorigin="1614,2588" coordsize="8681,0" path="m1614,2588l10295,2588e" filled="false" stroked="true" strokeweight=".71997pt" strokecolor="#000000">
            <v:path arrowok="t"/>
          </v:shape>
          <w10:wrap type="none"/>
        </v:group>
      </w:pict>
    </w:r>
    <w:r>
      <w:rPr/>
      <w:pict>
        <v:shape style="position:absolute;margin-left:81.199997pt;margin-top:40.467201pt;width:122pt;height:14pt;mso-position-horizontal-relative:page;mso-position-vertical-relative:page;z-index:-1003192" type="#_x0000_t202" filled="false" stroked="false">
          <v:textbox inset="0,0,0,0">
            <w:txbxContent>
              <w:p>
                <w:pPr>
                  <w:pStyle w:val="BodyText"/>
                  <w:spacing w:line="260" w:lineRule="exact"/>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1.199997pt;margin-top:71.667198pt;width:214.05pt;height:45.8pt;mso-position-horizontal-relative:page;mso-position-vertical-relative:page;z-index:-1003168" type="#_x0000_t202" filled="false" stroked="false">
          <v:textbox inset="0,0,0,0">
            <w:txbxContent>
              <w:p>
                <w:pPr>
                  <w:pStyle w:val="BodyText"/>
                  <w:spacing w:line="259" w:lineRule="exact"/>
                  <w:ind w:left="20" w:right="0"/>
                  <w:jc w:val="left"/>
                  <w:rPr>
                    <w:rFonts w:ascii="黑体" w:hAnsi="黑体" w:cs="黑体" w:eastAsia="黑体" w:hint="default"/>
                  </w:rPr>
                </w:pPr>
                <w:r>
                  <w:rPr>
                    <w:rFonts w:ascii="黑体" w:hAnsi="黑体" w:cs="黑体" w:eastAsia="黑体" w:hint="default"/>
                  </w:rPr>
                  <w:t>财务报表补充资料</w:t>
                </w:r>
              </w:p>
              <w:p>
                <w:pPr>
                  <w:pStyle w:val="BodyText"/>
                  <w:spacing w:line="321" w:lineRule="exact"/>
                  <w:ind w:left="20"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11"/>
                  </w:rPr>
                  <w:t> </w:t>
                </w:r>
                <w:r>
                  <w:rPr>
                    <w:rFonts w:ascii="黑体" w:hAnsi="黑体" w:cs="黑体" w:eastAsia="黑体" w:hint="default"/>
                  </w:rPr>
                  <w:t>年度</w:t>
                </w:r>
              </w:p>
              <w:p>
                <w:pPr>
                  <w:pStyle w:val="BodyText"/>
                  <w:spacing w:line="322" w:lineRule="exact"/>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59999pt;margin-top:99.779984pt;width:440pt;height:.1pt;mso-position-horizontal-relative:page;mso-position-vertical-relative:page;z-index:-1004608" coordorigin="1699,1996" coordsize="8800,2">
          <v:shape style="position:absolute;left:1699;top:1996;width:8800;height:2" coordorigin="1699,1996" coordsize="8800,0" path="m1699,1996l10499,1996e" filled="false" stroked="true" strokeweight=".72003pt" strokecolor="#000000">
            <v:path arrowok="t"/>
          </v:shape>
          <w10:wrap type="none"/>
        </v:group>
      </w:pict>
    </w:r>
    <w:r>
      <w:rPr/>
      <w:pict>
        <v:shape style="position:absolute;margin-left:85.459999pt;margin-top:36.7472pt;width:122pt;height:14pt;mso-position-horizontal-relative:page;mso-position-vertical-relative:page;z-index:-1004584" type="#_x0000_t202" filled="false" stroked="false">
          <v:textbox inset="0,0,0,0">
            <w:txbxContent>
              <w:p>
                <w:pPr>
                  <w:pStyle w:val="BodyText"/>
                  <w:spacing w:line="260" w:lineRule="exact"/>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59999pt;margin-top:67.947197pt;width:214.05pt;height:30.35pt;mso-position-horizontal-relative:page;mso-position-vertical-relative:page;z-index:-1004560" type="#_x0000_t202" filled="false" stroked="false">
          <v:textbox inset="0,0,0,0">
            <w:txbxContent>
              <w:p>
                <w:pPr>
                  <w:spacing w:line="269" w:lineRule="exact" w:before="0"/>
                  <w:ind w:left="20" w:right="0" w:firstLine="0"/>
                  <w:jc w:val="left"/>
                  <w:rPr>
                    <w:rFonts w:ascii="宋体" w:hAnsi="宋体" w:cs="宋体" w:eastAsia="宋体" w:hint="default"/>
                    <w:sz w:val="24"/>
                    <w:szCs w:val="24"/>
                  </w:rPr>
                </w:pPr>
                <w:r>
                  <w:rPr>
                    <w:rFonts w:ascii="Arial" w:hAnsi="Arial" w:cs="Arial" w:eastAsia="Arial" w:hint="default"/>
                    <w:b/>
                    <w:bCs/>
                    <w:sz w:val="24"/>
                    <w:szCs w:val="24"/>
                  </w:rPr>
                  <w:t>2010</w:t>
                </w:r>
                <w:r>
                  <w:rPr>
                    <w:rFonts w:ascii="Arial" w:hAnsi="Arial" w:cs="Arial" w:eastAsia="Arial" w:hint="default"/>
                    <w:b/>
                    <w:bCs/>
                    <w:spacing w:val="-22"/>
                    <w:sz w:val="24"/>
                    <w:szCs w:val="24"/>
                  </w:rPr>
                  <w:t> </w:t>
                </w:r>
                <w:r>
                  <w:rPr>
                    <w:rFonts w:ascii="宋体" w:hAnsi="宋体" w:cs="宋体" w:eastAsia="宋体" w:hint="default"/>
                    <w:b/>
                    <w:bCs/>
                    <w:sz w:val="24"/>
                    <w:szCs w:val="24"/>
                  </w:rPr>
                  <w:t>年度合并及公司现金流量表</w:t>
                </w:r>
                <w:r>
                  <w:rPr>
                    <w:rFonts w:ascii="宋体" w:hAnsi="宋体" w:cs="宋体" w:eastAsia="宋体" w:hint="default"/>
                    <w:sz w:val="24"/>
                    <w:szCs w:val="24"/>
                  </w:rPr>
                </w:r>
              </w:p>
              <w:p>
                <w:pPr>
                  <w:pStyle w:val="BodyText"/>
                  <w:spacing w:line="323" w:lineRule="exact"/>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59999pt;margin-top:99.779984pt;width:440pt;height:.1pt;mso-position-horizontal-relative:page;mso-position-vertical-relative:page;z-index:-1004536" coordorigin="1699,1996" coordsize="8800,2">
          <v:shape style="position:absolute;left:1699;top:1996;width:8800;height:2" coordorigin="1699,1996" coordsize="8800,0" path="m1699,1996l10499,1996e" filled="false" stroked="true" strokeweight=".72003pt" strokecolor="#000000">
            <v:path arrowok="t"/>
          </v:shape>
          <w10:wrap type="none"/>
        </v:group>
      </w:pict>
    </w:r>
    <w:r>
      <w:rPr/>
      <w:pict>
        <v:shape style="position:absolute;margin-left:85.459999pt;margin-top:36.7472pt;width:122pt;height:14pt;mso-position-horizontal-relative:page;mso-position-vertical-relative:page;z-index:-1004512" type="#_x0000_t202" filled="false" stroked="false">
          <v:textbox inset="0,0,0,0">
            <w:txbxContent>
              <w:p>
                <w:pPr>
                  <w:pStyle w:val="BodyText"/>
                  <w:spacing w:line="260" w:lineRule="exact"/>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59999pt;margin-top:67.947197pt;width:214.05pt;height:30.35pt;mso-position-horizontal-relative:page;mso-position-vertical-relative:page;z-index:-1004488" type="#_x0000_t202" filled="false" stroked="false">
          <v:textbox inset="0,0,0,0">
            <w:txbxContent>
              <w:p>
                <w:pPr>
                  <w:spacing w:line="269" w:lineRule="exact" w:before="0"/>
                  <w:ind w:left="20" w:right="0" w:firstLine="0"/>
                  <w:jc w:val="left"/>
                  <w:rPr>
                    <w:rFonts w:ascii="宋体" w:hAnsi="宋体" w:cs="宋体" w:eastAsia="宋体" w:hint="default"/>
                    <w:sz w:val="24"/>
                    <w:szCs w:val="24"/>
                  </w:rPr>
                </w:pPr>
                <w:r>
                  <w:rPr>
                    <w:rFonts w:ascii="Arial" w:hAnsi="Arial" w:cs="Arial" w:eastAsia="Arial" w:hint="default"/>
                    <w:b/>
                    <w:bCs/>
                    <w:sz w:val="24"/>
                    <w:szCs w:val="24"/>
                  </w:rPr>
                  <w:t>2010</w:t>
                </w:r>
                <w:r>
                  <w:rPr>
                    <w:rFonts w:ascii="Arial" w:hAnsi="Arial" w:cs="Arial" w:eastAsia="Arial" w:hint="default"/>
                    <w:b/>
                    <w:bCs/>
                    <w:spacing w:val="-21"/>
                    <w:sz w:val="24"/>
                    <w:szCs w:val="24"/>
                  </w:rPr>
                  <w:t> </w:t>
                </w:r>
                <w:r>
                  <w:rPr>
                    <w:rFonts w:ascii="宋体" w:hAnsi="宋体" w:cs="宋体" w:eastAsia="宋体" w:hint="default"/>
                    <w:b/>
                    <w:bCs/>
                    <w:sz w:val="24"/>
                    <w:szCs w:val="24"/>
                  </w:rPr>
                  <w:t>年度合并股东权益变动表</w:t>
                </w:r>
                <w:r>
                  <w:rPr>
                    <w:rFonts w:ascii="宋体" w:hAnsi="宋体" w:cs="宋体" w:eastAsia="宋体" w:hint="default"/>
                    <w:sz w:val="24"/>
                    <w:szCs w:val="24"/>
                  </w:rPr>
                </w:r>
              </w:p>
              <w:p>
                <w:pPr>
                  <w:pStyle w:val="BodyText"/>
                  <w:spacing w:line="323" w:lineRule="exact"/>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59999pt;margin-top:99.779984pt;width:440pt;height:.1pt;mso-position-horizontal-relative:page;mso-position-vertical-relative:page;z-index:-1004464" coordorigin="1699,1996" coordsize="8800,2">
          <v:shape style="position:absolute;left:1699;top:1996;width:8800;height:2" coordorigin="1699,1996" coordsize="8800,0" path="m1699,1996l10499,1996e" filled="false" stroked="true" strokeweight=".72003pt" strokecolor="#000000">
            <v:path arrowok="t"/>
          </v:shape>
          <w10:wrap type="none"/>
        </v:group>
      </w:pict>
    </w:r>
    <w:r>
      <w:rPr/>
      <w:pict>
        <v:shape style="position:absolute;margin-left:85.459999pt;margin-top:36.7472pt;width:122pt;height:14pt;mso-position-horizontal-relative:page;mso-position-vertical-relative:page;z-index:-1004440" type="#_x0000_t202" filled="false" stroked="false">
          <v:textbox inset="0,0,0,0">
            <w:txbxContent>
              <w:p>
                <w:pPr>
                  <w:pStyle w:val="BodyText"/>
                  <w:spacing w:line="260" w:lineRule="exact"/>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59999pt;margin-top:67.947197pt;width:214.05pt;height:30.35pt;mso-position-horizontal-relative:page;mso-position-vertical-relative:page;z-index:-1004416" type="#_x0000_t202" filled="false" stroked="false">
          <v:textbox inset="0,0,0,0">
            <w:txbxContent>
              <w:p>
                <w:pPr>
                  <w:spacing w:line="269" w:lineRule="exact" w:before="0"/>
                  <w:ind w:left="20" w:right="0" w:firstLine="0"/>
                  <w:jc w:val="left"/>
                  <w:rPr>
                    <w:rFonts w:ascii="宋体" w:hAnsi="宋体" w:cs="宋体" w:eastAsia="宋体" w:hint="default"/>
                    <w:sz w:val="24"/>
                    <w:szCs w:val="24"/>
                  </w:rPr>
                </w:pPr>
                <w:r>
                  <w:rPr>
                    <w:rFonts w:ascii="Arial" w:hAnsi="Arial" w:cs="Arial" w:eastAsia="Arial" w:hint="default"/>
                    <w:b/>
                    <w:bCs/>
                    <w:sz w:val="24"/>
                    <w:szCs w:val="24"/>
                  </w:rPr>
                  <w:t>2010</w:t>
                </w:r>
                <w:r>
                  <w:rPr>
                    <w:rFonts w:ascii="Arial" w:hAnsi="Arial" w:cs="Arial" w:eastAsia="Arial" w:hint="default"/>
                    <w:b/>
                    <w:bCs/>
                    <w:spacing w:val="-21"/>
                    <w:sz w:val="24"/>
                    <w:szCs w:val="24"/>
                  </w:rPr>
                  <w:t> </w:t>
                </w:r>
                <w:r>
                  <w:rPr>
                    <w:rFonts w:ascii="宋体" w:hAnsi="宋体" w:cs="宋体" w:eastAsia="宋体" w:hint="default"/>
                    <w:b/>
                    <w:bCs/>
                    <w:sz w:val="24"/>
                    <w:szCs w:val="24"/>
                  </w:rPr>
                  <w:t>年度公司股东权益变动表</w:t>
                </w:r>
                <w:r>
                  <w:rPr>
                    <w:rFonts w:ascii="宋体" w:hAnsi="宋体" w:cs="宋体" w:eastAsia="宋体" w:hint="default"/>
                    <w:sz w:val="24"/>
                    <w:szCs w:val="24"/>
                  </w:rPr>
                </w:r>
              </w:p>
              <w:p>
                <w:pPr>
                  <w:pStyle w:val="BodyText"/>
                  <w:spacing w:line="323" w:lineRule="exact"/>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59999pt;margin-top:151.37999pt;width:439.95pt;height:.1pt;mso-position-horizontal-relative:page;mso-position-vertical-relative:page;z-index:-1004392" coordorigin="1699,3028" coordsize="8799,2">
          <v:shape style="position:absolute;left:1699;top:3028;width:8799;height:2" coordorigin="1699,3028" coordsize="8799,0" path="m1699,3028l10498,3028e" filled="false" stroked="true" strokeweight=".72003pt" strokecolor="#000000">
            <v:path arrowok="t"/>
          </v:shape>
          <w10:wrap type="none"/>
        </v:group>
      </w:pict>
    </w:r>
    <w:r>
      <w:rPr/>
      <w:pict>
        <v:shape style="position:absolute;margin-left:85.459999pt;margin-top:72.747200pt;width:122pt;height:14pt;mso-position-horizontal-relative:page;mso-position-vertical-relative:page;z-index:-1004368" type="#_x0000_t202" filled="false" stroked="false">
          <v:textbox inset="0,0,0,0">
            <w:txbxContent>
              <w:p>
                <w:pPr>
                  <w:pStyle w:val="BodyText"/>
                  <w:spacing w:line="260" w:lineRule="exact"/>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59999pt;margin-top:103.947197pt;width:214.05pt;height:45.95pt;mso-position-horizontal-relative:page;mso-position-vertical-relative:page;z-index:-1004344" type="#_x0000_t202" filled="false" stroked="false">
          <v:textbox inset="0,0,0,0">
            <w:txbxContent>
              <w:p>
                <w:pPr>
                  <w:pStyle w:val="BodyText"/>
                  <w:spacing w:line="259" w:lineRule="exact"/>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ind w:left="20"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11"/>
                  </w:rPr>
                  <w:t> </w:t>
                </w:r>
                <w:r>
                  <w:rPr>
                    <w:rFonts w:ascii="黑体" w:hAnsi="黑体" w:cs="黑体" w:eastAsia="黑体" w:hint="default"/>
                  </w:rPr>
                  <w:t>年度</w:t>
                </w:r>
              </w:p>
              <w:p>
                <w:pPr>
                  <w:pStyle w:val="BodyText"/>
                  <w:spacing w:line="323" w:lineRule="exact"/>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50996pt;margin-top:151.380005pt;width:686.6pt;height:.1pt;mso-position-horizontal-relative:page;mso-position-vertical-relative:page;z-index:-1004320" coordorigin="1699,3028" coordsize="13732,2">
          <v:shape style="position:absolute;left:1699;top:3028;width:13732;height:2" coordorigin="1699,3028" coordsize="13732,0" path="m1699,3028l15431,3028e" filled="false" stroked="true" strokeweight=".72pt" strokecolor="#000000">
            <v:path arrowok="t"/>
          </v:shape>
          <w10:wrap type="none"/>
        </v:group>
      </w:pict>
    </w:r>
    <w:r>
      <w:rPr/>
      <w:pict>
        <v:shape style="position:absolute;margin-left:85.4505pt;margin-top:72.747498pt;width:122pt;height:14pt;mso-position-horizontal-relative:page;mso-position-vertical-relative:page;z-index:-1004296" type="#_x0000_t202" filled="false" stroked="false">
          <v:textbox inset="0,0,0,0">
            <w:txbxContent>
              <w:p>
                <w:pPr>
                  <w:pStyle w:val="BodyText"/>
                  <w:spacing w:line="260" w:lineRule="exact"/>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505pt;margin-top:103.947502pt;width:214.05pt;height:45.95pt;mso-position-horizontal-relative:page;mso-position-vertical-relative:page;z-index:-1004272" type="#_x0000_t202" filled="false" stroked="false">
          <v:textbox inset="0,0,0,0">
            <w:txbxContent>
              <w:p>
                <w:pPr>
                  <w:pStyle w:val="BodyText"/>
                  <w:spacing w:line="259" w:lineRule="exact"/>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ind w:left="20"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11"/>
                  </w:rPr>
                  <w:t> </w:t>
                </w:r>
                <w:r>
                  <w:rPr>
                    <w:rFonts w:ascii="黑体" w:hAnsi="黑体" w:cs="黑体" w:eastAsia="黑体" w:hint="default"/>
                  </w:rPr>
                  <w:t>年度</w:t>
                </w:r>
              </w:p>
              <w:p>
                <w:pPr>
                  <w:pStyle w:val="BodyText"/>
                  <w:spacing w:line="323" w:lineRule="exact"/>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59999pt;margin-top:151.37999pt;width:439.95pt;height:.1pt;mso-position-horizontal-relative:page;mso-position-vertical-relative:page;z-index:-1004224" coordorigin="1699,3028" coordsize="8799,2">
          <v:shape style="position:absolute;left:1699;top:3028;width:8799;height:2" coordorigin="1699,3028" coordsize="8799,0" path="m1699,3028l10498,3028e" filled="false" stroked="true" strokeweight=".72003pt" strokecolor="#000000">
            <v:path arrowok="t"/>
          </v:shape>
          <w10:wrap type="none"/>
        </v:group>
      </w:pict>
    </w:r>
    <w:r>
      <w:rPr/>
      <w:pict>
        <v:shape style="position:absolute;margin-left:85.459999pt;margin-top:72.747200pt;width:122pt;height:14pt;mso-position-horizontal-relative:page;mso-position-vertical-relative:page;z-index:-1004200" type="#_x0000_t202" filled="false" stroked="false">
          <v:textbox inset="0,0,0,0">
            <w:txbxContent>
              <w:p>
                <w:pPr>
                  <w:pStyle w:val="BodyText"/>
                  <w:spacing w:line="260" w:lineRule="exact"/>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59999pt;margin-top:103.947197pt;width:214.05pt;height:45.95pt;mso-position-horizontal-relative:page;mso-position-vertical-relative:page;z-index:-1004176" type="#_x0000_t202" filled="false" stroked="false">
          <v:textbox inset="0,0,0,0">
            <w:txbxContent>
              <w:p>
                <w:pPr>
                  <w:pStyle w:val="BodyText"/>
                  <w:spacing w:line="259" w:lineRule="exact"/>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ind w:left="20"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11"/>
                  </w:rPr>
                  <w:t> </w:t>
                </w:r>
                <w:r>
                  <w:rPr>
                    <w:rFonts w:ascii="黑体" w:hAnsi="黑体" w:cs="黑体" w:eastAsia="黑体" w:hint="default"/>
                  </w:rPr>
                  <w:t>年度</w:t>
                </w:r>
              </w:p>
              <w:p>
                <w:pPr>
                  <w:pStyle w:val="BodyText"/>
                  <w:spacing w:line="323" w:lineRule="exact"/>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50996pt;margin-top:151.380005pt;width:686.6pt;height:.1pt;mso-position-horizontal-relative:page;mso-position-vertical-relative:page;z-index:-1004128" coordorigin="1699,3028" coordsize="13732,2">
          <v:shape style="position:absolute;left:1699;top:3028;width:13732;height:2" coordorigin="1699,3028" coordsize="13732,0" path="m1699,3028l15431,3028e" filled="false" stroked="true" strokeweight=".72pt" strokecolor="#000000">
            <v:path arrowok="t"/>
          </v:shape>
          <w10:wrap type="none"/>
        </v:group>
      </w:pict>
    </w:r>
    <w:r>
      <w:rPr/>
      <w:pict>
        <v:shape style="position:absolute;margin-left:85.4505pt;margin-top:72.747498pt;width:122pt;height:14pt;mso-position-horizontal-relative:page;mso-position-vertical-relative:page;z-index:-1004104" type="#_x0000_t202" filled="false" stroked="false">
          <v:textbox inset="0,0,0,0">
            <w:txbxContent>
              <w:p>
                <w:pPr>
                  <w:pStyle w:val="BodyText"/>
                  <w:spacing w:line="260" w:lineRule="exact"/>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505pt;margin-top:103.947502pt;width:214.05pt;height:45.95pt;mso-position-horizontal-relative:page;mso-position-vertical-relative:page;z-index:-1004080" type="#_x0000_t202" filled="false" stroked="false">
          <v:textbox inset="0,0,0,0">
            <w:txbxContent>
              <w:p>
                <w:pPr>
                  <w:pStyle w:val="BodyText"/>
                  <w:spacing w:line="259" w:lineRule="exact"/>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ind w:left="20"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11"/>
                  </w:rPr>
                  <w:t> </w:t>
                </w:r>
                <w:r>
                  <w:rPr>
                    <w:rFonts w:ascii="黑体" w:hAnsi="黑体" w:cs="黑体" w:eastAsia="黑体" w:hint="default"/>
                  </w:rPr>
                  <w:t>年度</w:t>
                </w:r>
              </w:p>
              <w:p>
                <w:pPr>
                  <w:pStyle w:val="BodyText"/>
                  <w:spacing w:line="323" w:lineRule="exact"/>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817" w:hanging="710"/>
        <w:jc w:val="left"/>
      </w:pPr>
      <w:rPr>
        <w:rFonts w:hint="default" w:ascii="Arial" w:hAnsi="Arial" w:eastAsia="Arial"/>
        <w:w w:val="99"/>
        <w:position w:val="2"/>
        <w:sz w:val="24"/>
        <w:szCs w:val="24"/>
      </w:rPr>
    </w:lvl>
    <w:lvl w:ilvl="1">
      <w:start w:val="1"/>
      <w:numFmt w:val="bullet"/>
      <w:lvlText w:val="•"/>
      <w:lvlJc w:val="left"/>
      <w:pPr>
        <w:ind w:left="1746" w:hanging="710"/>
      </w:pPr>
      <w:rPr>
        <w:rFonts w:hint="default"/>
      </w:rPr>
    </w:lvl>
    <w:lvl w:ilvl="2">
      <w:start w:val="1"/>
      <w:numFmt w:val="bullet"/>
      <w:lvlText w:val="•"/>
      <w:lvlJc w:val="left"/>
      <w:pPr>
        <w:ind w:left="2672" w:hanging="710"/>
      </w:pPr>
      <w:rPr>
        <w:rFonts w:hint="default"/>
      </w:rPr>
    </w:lvl>
    <w:lvl w:ilvl="3">
      <w:start w:val="1"/>
      <w:numFmt w:val="bullet"/>
      <w:lvlText w:val="•"/>
      <w:lvlJc w:val="left"/>
      <w:pPr>
        <w:ind w:left="3599" w:hanging="710"/>
      </w:pPr>
      <w:rPr>
        <w:rFonts w:hint="default"/>
      </w:rPr>
    </w:lvl>
    <w:lvl w:ilvl="4">
      <w:start w:val="1"/>
      <w:numFmt w:val="bullet"/>
      <w:lvlText w:val="•"/>
      <w:lvlJc w:val="left"/>
      <w:pPr>
        <w:ind w:left="4525" w:hanging="710"/>
      </w:pPr>
      <w:rPr>
        <w:rFonts w:hint="default"/>
      </w:rPr>
    </w:lvl>
    <w:lvl w:ilvl="5">
      <w:start w:val="1"/>
      <w:numFmt w:val="bullet"/>
      <w:lvlText w:val="•"/>
      <w:lvlJc w:val="left"/>
      <w:pPr>
        <w:ind w:left="5452" w:hanging="710"/>
      </w:pPr>
      <w:rPr>
        <w:rFonts w:hint="default"/>
      </w:rPr>
    </w:lvl>
    <w:lvl w:ilvl="6">
      <w:start w:val="1"/>
      <w:numFmt w:val="bullet"/>
      <w:lvlText w:val="•"/>
      <w:lvlJc w:val="left"/>
      <w:pPr>
        <w:ind w:left="6378" w:hanging="710"/>
      </w:pPr>
      <w:rPr>
        <w:rFonts w:hint="default"/>
      </w:rPr>
    </w:lvl>
    <w:lvl w:ilvl="7">
      <w:start w:val="1"/>
      <w:numFmt w:val="bullet"/>
      <w:lvlText w:val="•"/>
      <w:lvlJc w:val="left"/>
      <w:pPr>
        <w:ind w:left="7305" w:hanging="710"/>
      </w:pPr>
      <w:rPr>
        <w:rFonts w:hint="default"/>
      </w:rPr>
    </w:lvl>
    <w:lvl w:ilvl="8">
      <w:start w:val="1"/>
      <w:numFmt w:val="bullet"/>
      <w:lvlText w:val="•"/>
      <w:lvlJc w:val="left"/>
      <w:pPr>
        <w:ind w:left="8231" w:hanging="710"/>
      </w:pPr>
      <w:rPr>
        <w:rFonts w:hint="default"/>
      </w:rPr>
    </w:lvl>
  </w:abstractNum>
  <w:abstractNum w:abstractNumId="0">
    <w:multiLevelType w:val="hybridMultilevel"/>
    <w:lvl w:ilvl="0">
      <w:start w:val="1"/>
      <w:numFmt w:val="bullet"/>
      <w:lvlText w:val=""/>
      <w:lvlJc w:val="left"/>
      <w:pPr>
        <w:ind w:left="140" w:hanging="360"/>
      </w:pPr>
      <w:rPr>
        <w:rFonts w:hint="default" w:ascii="Wingdings" w:hAnsi="Wingdings" w:eastAsia="Wingdings"/>
        <w:w w:val="100"/>
        <w:sz w:val="24"/>
        <w:szCs w:val="24"/>
      </w:rPr>
    </w:lvl>
    <w:lvl w:ilvl="1">
      <w:start w:val="1"/>
      <w:numFmt w:val="bullet"/>
      <w:lvlText w:val="•"/>
      <w:lvlJc w:val="left"/>
      <w:pPr>
        <w:ind w:left="1066" w:hanging="360"/>
      </w:pPr>
      <w:rPr>
        <w:rFonts w:hint="default"/>
      </w:rPr>
    </w:lvl>
    <w:lvl w:ilvl="2">
      <w:start w:val="1"/>
      <w:numFmt w:val="bullet"/>
      <w:lvlText w:val="•"/>
      <w:lvlJc w:val="left"/>
      <w:pPr>
        <w:ind w:left="1992" w:hanging="360"/>
      </w:pPr>
      <w:rPr>
        <w:rFonts w:hint="default"/>
      </w:rPr>
    </w:lvl>
    <w:lvl w:ilvl="3">
      <w:start w:val="1"/>
      <w:numFmt w:val="bullet"/>
      <w:lvlText w:val="•"/>
      <w:lvlJc w:val="left"/>
      <w:pPr>
        <w:ind w:left="2919" w:hanging="360"/>
      </w:pPr>
      <w:rPr>
        <w:rFonts w:hint="default"/>
      </w:rPr>
    </w:lvl>
    <w:lvl w:ilvl="4">
      <w:start w:val="1"/>
      <w:numFmt w:val="bullet"/>
      <w:lvlText w:val="•"/>
      <w:lvlJc w:val="left"/>
      <w:pPr>
        <w:ind w:left="3845" w:hanging="360"/>
      </w:pPr>
      <w:rPr>
        <w:rFonts w:hint="default"/>
      </w:rPr>
    </w:lvl>
    <w:lvl w:ilvl="5">
      <w:start w:val="1"/>
      <w:numFmt w:val="bullet"/>
      <w:lvlText w:val="•"/>
      <w:lvlJc w:val="left"/>
      <w:pPr>
        <w:ind w:left="4772" w:hanging="360"/>
      </w:pPr>
      <w:rPr>
        <w:rFonts w:hint="default"/>
      </w:rPr>
    </w:lvl>
    <w:lvl w:ilvl="6">
      <w:start w:val="1"/>
      <w:numFmt w:val="bullet"/>
      <w:lvlText w:val="•"/>
      <w:lvlJc w:val="left"/>
      <w:pPr>
        <w:ind w:left="5698" w:hanging="360"/>
      </w:pPr>
      <w:rPr>
        <w:rFonts w:hint="default"/>
      </w:rPr>
    </w:lvl>
    <w:lvl w:ilvl="7">
      <w:start w:val="1"/>
      <w:numFmt w:val="bullet"/>
      <w:lvlText w:val="•"/>
      <w:lvlJc w:val="left"/>
      <w:pPr>
        <w:ind w:left="6625" w:hanging="360"/>
      </w:pPr>
      <w:rPr>
        <w:rFonts w:hint="default"/>
      </w:rPr>
    </w:lvl>
    <w:lvl w:ilvl="8">
      <w:start w:val="1"/>
      <w:numFmt w:val="bullet"/>
      <w:lvlText w:val="•"/>
      <w:lvlJc w:val="left"/>
      <w:pPr>
        <w:ind w:left="7551"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550"/>
      <w:ind w:left="115"/>
    </w:pPr>
    <w:rPr>
      <w:rFonts w:ascii="宋体" w:hAnsi="宋体" w:eastAsia="宋体"/>
      <w:b/>
      <w:bCs/>
      <w:sz w:val="24"/>
      <w:szCs w:val="24"/>
    </w:rPr>
  </w:style>
  <w:style w:styleId="BodyText" w:type="paragraph">
    <w:name w:val="Body Text"/>
    <w:basedOn w:val="Normal"/>
    <w:uiPriority w:val="1"/>
    <w:qFormat/>
    <w:pPr>
      <w:ind w:left="140"/>
    </w:pPr>
    <w:rPr>
      <w:rFonts w:ascii="宋体" w:hAnsi="宋体" w:eastAsia="宋体"/>
      <w:sz w:val="24"/>
      <w:szCs w:val="24"/>
    </w:rPr>
  </w:style>
  <w:style w:styleId="Heading1" w:type="paragraph">
    <w:name w:val="Heading 1"/>
    <w:basedOn w:val="Normal"/>
    <w:uiPriority w:val="1"/>
    <w:qFormat/>
    <w:pPr>
      <w:spacing w:before="138"/>
      <w:ind w:left="2"/>
      <w:outlineLvl w:val="1"/>
    </w:pPr>
    <w:rPr>
      <w:rFonts w:ascii="宋体" w:hAnsi="宋体" w:eastAsia="宋体"/>
      <w:b/>
      <w:bCs/>
      <w:sz w:val="32"/>
      <w:szCs w:val="32"/>
    </w:rPr>
  </w:style>
  <w:style w:styleId="Heading2" w:type="paragraph">
    <w:name w:val="Heading 2"/>
    <w:basedOn w:val="Normal"/>
    <w:uiPriority w:val="1"/>
    <w:qFormat/>
    <w:pPr>
      <w:spacing w:before="26"/>
      <w:ind w:left="107"/>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mailto:stock@cnsuning.com" TargetMode="External"/><Relationship Id="rId9" Type="http://schemas.openxmlformats.org/officeDocument/2006/relationships/hyperlink" Target="http://www.cnsuning.com/"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http://www.cninfo.com&#19978;/" TargetMode="Externa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footer" Target="footer7.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footer" Target="footer10.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footer" Target="footer23.xml"/><Relationship Id="rId47" Type="http://schemas.openxmlformats.org/officeDocument/2006/relationships/footer" Target="footer24.xml"/><Relationship Id="rId48" Type="http://schemas.openxmlformats.org/officeDocument/2006/relationships/footer" Target="footer25.xml"/><Relationship Id="rId49" Type="http://schemas.openxmlformats.org/officeDocument/2006/relationships/header" Target="header2.xml"/><Relationship Id="rId50" Type="http://schemas.openxmlformats.org/officeDocument/2006/relationships/header" Target="header3.xml"/><Relationship Id="rId51" Type="http://schemas.openxmlformats.org/officeDocument/2006/relationships/header" Target="header4.xml"/><Relationship Id="rId52" Type="http://schemas.openxmlformats.org/officeDocument/2006/relationships/header" Target="header5.xml"/><Relationship Id="rId53" Type="http://schemas.openxmlformats.org/officeDocument/2006/relationships/header" Target="header6.xml"/><Relationship Id="rId54" Type="http://schemas.openxmlformats.org/officeDocument/2006/relationships/header" Target="header7.xml"/><Relationship Id="rId55" Type="http://schemas.openxmlformats.org/officeDocument/2006/relationships/footer" Target="footer26.xml"/><Relationship Id="rId56" Type="http://schemas.openxmlformats.org/officeDocument/2006/relationships/header" Target="header8.xml"/><Relationship Id="rId57" Type="http://schemas.openxmlformats.org/officeDocument/2006/relationships/footer" Target="footer27.xml"/><Relationship Id="rId58" Type="http://schemas.openxmlformats.org/officeDocument/2006/relationships/header" Target="header9.xml"/><Relationship Id="rId59" Type="http://schemas.openxmlformats.org/officeDocument/2006/relationships/footer" Target="footer28.xml"/><Relationship Id="rId60" Type="http://schemas.openxmlformats.org/officeDocument/2006/relationships/header" Target="header10.xml"/><Relationship Id="rId61" Type="http://schemas.openxmlformats.org/officeDocument/2006/relationships/footer" Target="footer29.xml"/><Relationship Id="rId62" Type="http://schemas.openxmlformats.org/officeDocument/2006/relationships/header" Target="header11.xml"/><Relationship Id="rId63" Type="http://schemas.openxmlformats.org/officeDocument/2006/relationships/footer" Target="footer30.xml"/><Relationship Id="rId64" Type="http://schemas.openxmlformats.org/officeDocument/2006/relationships/footer" Target="footer31.xml"/><Relationship Id="rId65" Type="http://schemas.openxmlformats.org/officeDocument/2006/relationships/header" Target="header12.xml"/><Relationship Id="rId66" Type="http://schemas.openxmlformats.org/officeDocument/2006/relationships/footer" Target="footer32.xml"/><Relationship Id="rId67" Type="http://schemas.openxmlformats.org/officeDocument/2006/relationships/header" Target="header13.xml"/><Relationship Id="rId68" Type="http://schemas.openxmlformats.org/officeDocument/2006/relationships/footer" Target="footer33.xml"/><Relationship Id="rId69" Type="http://schemas.openxmlformats.org/officeDocument/2006/relationships/header" Target="header14.xml"/><Relationship Id="rId70" Type="http://schemas.openxmlformats.org/officeDocument/2006/relationships/footer" Target="footer34.xml"/><Relationship Id="rId71" Type="http://schemas.openxmlformats.org/officeDocument/2006/relationships/header" Target="header15.xml"/><Relationship Id="rId72" Type="http://schemas.openxmlformats.org/officeDocument/2006/relationships/footer" Target="footer35.xml"/><Relationship Id="rId73" Type="http://schemas.openxmlformats.org/officeDocument/2006/relationships/header" Target="header16.xml"/><Relationship Id="rId74" Type="http://schemas.openxmlformats.org/officeDocument/2006/relationships/footer" Target="footer36.xml"/><Relationship Id="rId75" Type="http://schemas.openxmlformats.org/officeDocument/2006/relationships/footer" Target="footer37.xml"/><Relationship Id="rId76" Type="http://schemas.openxmlformats.org/officeDocument/2006/relationships/header" Target="header17.xml"/><Relationship Id="rId77" Type="http://schemas.openxmlformats.org/officeDocument/2006/relationships/footer" Target="footer38.xml"/><Relationship Id="rId78" Type="http://schemas.openxmlformats.org/officeDocument/2006/relationships/header" Target="header18.xml"/><Relationship Id="rId79" Type="http://schemas.openxmlformats.org/officeDocument/2006/relationships/footer" Target="footer39.xml"/><Relationship Id="rId80" Type="http://schemas.openxmlformats.org/officeDocument/2006/relationships/footer" Target="footer40.xml"/><Relationship Id="rId81" Type="http://schemas.openxmlformats.org/officeDocument/2006/relationships/footer" Target="footer41.xml"/><Relationship Id="rId82" Type="http://schemas.openxmlformats.org/officeDocument/2006/relationships/header" Target="header19.xml"/><Relationship Id="rId83" Type="http://schemas.openxmlformats.org/officeDocument/2006/relationships/footer" Target="footer42.xml"/><Relationship Id="rId84" Type="http://schemas.openxmlformats.org/officeDocument/2006/relationships/header" Target="header20.xml"/><Relationship Id="rId85" Type="http://schemas.openxmlformats.org/officeDocument/2006/relationships/footer" Target="footer43.xml"/><Relationship Id="rId86" Type="http://schemas.openxmlformats.org/officeDocument/2006/relationships/header" Target="header21.xml"/><Relationship Id="rId87" Type="http://schemas.openxmlformats.org/officeDocument/2006/relationships/footer" Target="footer44.xml"/><Relationship Id="rId88" Type="http://schemas.openxmlformats.org/officeDocument/2006/relationships/header" Target="header22.xml"/><Relationship Id="rId89" Type="http://schemas.openxmlformats.org/officeDocument/2006/relationships/footer" Target="footer45.xml"/><Relationship Id="rId9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AR2010002024b定期报告全文_Word中文版_改.DOC</dc:title>
  <dcterms:created xsi:type="dcterms:W3CDTF">2020-04-29T01:14:54Z</dcterms:created>
  <dcterms:modified xsi:type="dcterms:W3CDTF">2020-04-29T01:14:54Z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2011-03-16T00:00:00Z</vt:filetime>
  </property>
  <property fmtid="{D5CDD505-2E9C-101B-9397-08002B2CF9AE}" pid="3" name="Creator">
    <vt:lpwstr>PScript5.dll Version 5.2.2</vt:lpwstr>
  </property>
  <property fmtid="{D5CDD505-2E9C-101B-9397-08002B2CF9AE}" pid="4" name="LastSaved">
    <vt:filetime>2020-04-28T00:00:00Z</vt:filetime>
  </property>
</Properties>
</file>